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7A3" w:rsidRPr="00A919D2" w:rsidRDefault="00AB27A3" w:rsidP="00AB27A3">
      <w:pPr>
        <w:spacing w:line="360" w:lineRule="auto"/>
        <w:ind w:right="-187"/>
        <w:jc w:val="center"/>
        <w:rPr>
          <w:rFonts w:ascii="GHEA Grapalat" w:hAnsi="GHEA Grapalat" w:cs="Calibri"/>
          <w:b/>
          <w:i/>
          <w:sz w:val="22"/>
          <w:szCs w:val="22"/>
        </w:rPr>
      </w:pPr>
      <w:r w:rsidRPr="00A919D2">
        <w:rPr>
          <w:rFonts w:ascii="GHEA Grapalat" w:hAnsi="GHEA Grapalat" w:cs="Sylfaen"/>
          <w:b/>
          <w:i/>
          <w:sz w:val="22"/>
          <w:szCs w:val="22"/>
          <w:lang w:val="hy-AM"/>
        </w:rPr>
        <w:t>Տ</w:t>
      </w:r>
      <w:r w:rsidRPr="00A919D2">
        <w:rPr>
          <w:rFonts w:ascii="GHEA Grapalat" w:hAnsi="GHEA Grapalat" w:cs="Calibri"/>
          <w:b/>
          <w:i/>
          <w:sz w:val="22"/>
          <w:szCs w:val="22"/>
          <w:lang w:val="hy-AM"/>
        </w:rPr>
        <w:t xml:space="preserve"> </w:t>
      </w:r>
      <w:r w:rsidRPr="00A919D2">
        <w:rPr>
          <w:rFonts w:ascii="GHEA Grapalat" w:hAnsi="GHEA Grapalat" w:cs="Sylfaen"/>
          <w:b/>
          <w:i/>
          <w:sz w:val="22"/>
          <w:szCs w:val="22"/>
          <w:lang w:val="hy-AM"/>
        </w:rPr>
        <w:t>Ե</w:t>
      </w:r>
      <w:r w:rsidRPr="00A919D2">
        <w:rPr>
          <w:rFonts w:ascii="GHEA Grapalat" w:hAnsi="GHEA Grapalat" w:cs="Calibri"/>
          <w:b/>
          <w:i/>
          <w:sz w:val="22"/>
          <w:szCs w:val="22"/>
          <w:lang w:val="hy-AM"/>
        </w:rPr>
        <w:t xml:space="preserve"> </w:t>
      </w:r>
      <w:r w:rsidRPr="00A919D2">
        <w:rPr>
          <w:rFonts w:ascii="GHEA Grapalat" w:hAnsi="GHEA Grapalat" w:cs="Sylfaen"/>
          <w:b/>
          <w:i/>
          <w:sz w:val="22"/>
          <w:szCs w:val="22"/>
          <w:lang w:val="hy-AM"/>
        </w:rPr>
        <w:t>Ղ</w:t>
      </w:r>
      <w:r w:rsidRPr="00A919D2">
        <w:rPr>
          <w:rFonts w:ascii="GHEA Grapalat" w:hAnsi="GHEA Grapalat" w:cs="Calibri"/>
          <w:b/>
          <w:i/>
          <w:sz w:val="22"/>
          <w:szCs w:val="22"/>
          <w:lang w:val="hy-AM"/>
        </w:rPr>
        <w:t xml:space="preserve"> </w:t>
      </w:r>
      <w:r w:rsidRPr="00A919D2">
        <w:rPr>
          <w:rFonts w:ascii="GHEA Grapalat" w:hAnsi="GHEA Grapalat" w:cs="Sylfaen"/>
          <w:b/>
          <w:i/>
          <w:sz w:val="22"/>
          <w:szCs w:val="22"/>
          <w:lang w:val="hy-AM"/>
        </w:rPr>
        <w:t>Ե</w:t>
      </w:r>
      <w:r w:rsidRPr="00A919D2">
        <w:rPr>
          <w:rFonts w:ascii="GHEA Grapalat" w:hAnsi="GHEA Grapalat" w:cs="Calibri"/>
          <w:b/>
          <w:i/>
          <w:sz w:val="22"/>
          <w:szCs w:val="22"/>
          <w:lang w:val="hy-AM"/>
        </w:rPr>
        <w:t xml:space="preserve"> </w:t>
      </w:r>
      <w:r w:rsidRPr="00A919D2">
        <w:rPr>
          <w:rFonts w:ascii="GHEA Grapalat" w:hAnsi="GHEA Grapalat" w:cs="Sylfaen"/>
          <w:b/>
          <w:i/>
          <w:sz w:val="22"/>
          <w:szCs w:val="22"/>
          <w:lang w:val="hy-AM"/>
        </w:rPr>
        <w:t>Կ</w:t>
      </w:r>
      <w:r w:rsidRPr="00A919D2">
        <w:rPr>
          <w:rFonts w:ascii="GHEA Grapalat" w:hAnsi="GHEA Grapalat" w:cs="Calibri"/>
          <w:b/>
          <w:i/>
          <w:sz w:val="22"/>
          <w:szCs w:val="22"/>
          <w:lang w:val="hy-AM"/>
        </w:rPr>
        <w:t xml:space="preserve"> </w:t>
      </w:r>
      <w:r w:rsidRPr="00A919D2">
        <w:rPr>
          <w:rFonts w:ascii="GHEA Grapalat" w:hAnsi="GHEA Grapalat" w:cs="Sylfaen"/>
          <w:b/>
          <w:i/>
          <w:sz w:val="22"/>
          <w:szCs w:val="22"/>
          <w:lang w:val="hy-AM"/>
        </w:rPr>
        <w:t>Ա</w:t>
      </w:r>
      <w:r w:rsidRPr="00A919D2">
        <w:rPr>
          <w:rFonts w:ascii="GHEA Grapalat" w:hAnsi="GHEA Grapalat" w:cs="Calibri"/>
          <w:b/>
          <w:i/>
          <w:sz w:val="22"/>
          <w:szCs w:val="22"/>
          <w:lang w:val="hy-AM"/>
        </w:rPr>
        <w:t xml:space="preserve"> </w:t>
      </w:r>
      <w:r w:rsidRPr="00A919D2">
        <w:rPr>
          <w:rFonts w:ascii="GHEA Grapalat" w:hAnsi="GHEA Grapalat" w:cs="Sylfaen"/>
          <w:b/>
          <w:i/>
          <w:sz w:val="22"/>
          <w:szCs w:val="22"/>
          <w:lang w:val="hy-AM"/>
        </w:rPr>
        <w:t>Տ</w:t>
      </w:r>
      <w:r w:rsidRPr="00A919D2">
        <w:rPr>
          <w:rFonts w:ascii="GHEA Grapalat" w:hAnsi="GHEA Grapalat" w:cs="Calibri"/>
          <w:b/>
          <w:i/>
          <w:sz w:val="22"/>
          <w:szCs w:val="22"/>
          <w:lang w:val="hy-AM"/>
        </w:rPr>
        <w:t xml:space="preserve"> </w:t>
      </w:r>
      <w:r w:rsidRPr="00A919D2">
        <w:rPr>
          <w:rFonts w:ascii="GHEA Grapalat" w:hAnsi="GHEA Grapalat" w:cs="Sylfaen"/>
          <w:b/>
          <w:i/>
          <w:sz w:val="22"/>
          <w:szCs w:val="22"/>
          <w:lang w:val="hy-AM"/>
        </w:rPr>
        <w:t>Վ</w:t>
      </w:r>
      <w:r w:rsidRPr="00A919D2">
        <w:rPr>
          <w:rFonts w:ascii="GHEA Grapalat" w:hAnsi="GHEA Grapalat" w:cs="Calibri"/>
          <w:b/>
          <w:i/>
          <w:sz w:val="22"/>
          <w:szCs w:val="22"/>
          <w:lang w:val="hy-AM"/>
        </w:rPr>
        <w:t xml:space="preserve"> </w:t>
      </w:r>
      <w:r w:rsidRPr="00A919D2">
        <w:rPr>
          <w:rFonts w:ascii="GHEA Grapalat" w:hAnsi="GHEA Grapalat" w:cs="Sylfaen"/>
          <w:b/>
          <w:i/>
          <w:sz w:val="22"/>
          <w:szCs w:val="22"/>
          <w:lang w:val="hy-AM"/>
        </w:rPr>
        <w:t>ՈՒ</w:t>
      </w:r>
      <w:r w:rsidRPr="00A919D2">
        <w:rPr>
          <w:rFonts w:ascii="GHEA Grapalat" w:hAnsi="GHEA Grapalat" w:cs="Calibri"/>
          <w:b/>
          <w:i/>
          <w:sz w:val="22"/>
          <w:szCs w:val="22"/>
          <w:lang w:val="hy-AM"/>
        </w:rPr>
        <w:t xml:space="preserve"> </w:t>
      </w:r>
      <w:r w:rsidRPr="00A919D2">
        <w:rPr>
          <w:rFonts w:ascii="GHEA Grapalat" w:hAnsi="GHEA Grapalat" w:cs="Sylfaen"/>
          <w:b/>
          <w:i/>
          <w:sz w:val="22"/>
          <w:szCs w:val="22"/>
          <w:lang w:val="hy-AM"/>
        </w:rPr>
        <w:t>Թ</w:t>
      </w:r>
      <w:r w:rsidRPr="00A919D2">
        <w:rPr>
          <w:rFonts w:ascii="GHEA Grapalat" w:hAnsi="GHEA Grapalat" w:cs="Calibri"/>
          <w:b/>
          <w:i/>
          <w:sz w:val="22"/>
          <w:szCs w:val="22"/>
          <w:lang w:val="hy-AM"/>
        </w:rPr>
        <w:t xml:space="preserve"> </w:t>
      </w:r>
      <w:r w:rsidRPr="00A919D2">
        <w:rPr>
          <w:rFonts w:ascii="GHEA Grapalat" w:hAnsi="GHEA Grapalat" w:cs="Sylfaen"/>
          <w:b/>
          <w:i/>
          <w:sz w:val="22"/>
          <w:szCs w:val="22"/>
          <w:lang w:val="hy-AM"/>
        </w:rPr>
        <w:t>Յ</w:t>
      </w:r>
      <w:r w:rsidRPr="00A919D2">
        <w:rPr>
          <w:rFonts w:ascii="GHEA Grapalat" w:hAnsi="GHEA Grapalat" w:cs="Calibri"/>
          <w:b/>
          <w:i/>
          <w:sz w:val="22"/>
          <w:szCs w:val="22"/>
          <w:lang w:val="hy-AM"/>
        </w:rPr>
        <w:t xml:space="preserve"> </w:t>
      </w:r>
      <w:r w:rsidRPr="00A919D2">
        <w:rPr>
          <w:rFonts w:ascii="GHEA Grapalat" w:hAnsi="GHEA Grapalat" w:cs="Sylfaen"/>
          <w:b/>
          <w:i/>
          <w:sz w:val="22"/>
          <w:szCs w:val="22"/>
          <w:lang w:val="hy-AM"/>
        </w:rPr>
        <w:t>ՈՒ</w:t>
      </w:r>
      <w:r w:rsidRPr="00A919D2">
        <w:rPr>
          <w:rFonts w:ascii="GHEA Grapalat" w:hAnsi="GHEA Grapalat" w:cs="Calibri"/>
          <w:b/>
          <w:i/>
          <w:sz w:val="22"/>
          <w:szCs w:val="22"/>
          <w:lang w:val="hy-AM"/>
        </w:rPr>
        <w:t xml:space="preserve"> </w:t>
      </w:r>
      <w:r w:rsidRPr="00A919D2">
        <w:rPr>
          <w:rFonts w:ascii="GHEA Grapalat" w:hAnsi="GHEA Grapalat" w:cs="Sylfaen"/>
          <w:b/>
          <w:i/>
          <w:sz w:val="22"/>
          <w:szCs w:val="22"/>
          <w:lang w:val="hy-AM"/>
        </w:rPr>
        <w:t>Ն</w:t>
      </w:r>
    </w:p>
    <w:p w:rsidR="00AB27A3" w:rsidRPr="00A919D2" w:rsidRDefault="00AB27A3" w:rsidP="00AB27A3">
      <w:pPr>
        <w:spacing w:line="360" w:lineRule="auto"/>
        <w:ind w:right="-187"/>
        <w:jc w:val="center"/>
        <w:rPr>
          <w:rFonts w:ascii="GHEA Grapalat" w:hAnsi="GHEA Grapalat" w:cs="Calibri"/>
          <w:b/>
          <w:i/>
          <w:sz w:val="22"/>
          <w:szCs w:val="22"/>
          <w:lang w:val="hy-AM"/>
        </w:rPr>
      </w:pPr>
      <w:r w:rsidRPr="00A919D2">
        <w:rPr>
          <w:rFonts w:ascii="GHEA Grapalat" w:hAnsi="GHEA Grapalat" w:cs="Sylfaen"/>
          <w:b/>
          <w:i/>
          <w:sz w:val="22"/>
          <w:szCs w:val="22"/>
          <w:lang w:val="hy-AM"/>
        </w:rPr>
        <w:t>ՀԱՅԱՍՏԱՆԻ</w:t>
      </w:r>
      <w:r w:rsidRPr="00A919D2">
        <w:rPr>
          <w:rFonts w:ascii="GHEA Grapalat" w:hAnsi="GHEA Grapalat" w:cs="Calibri"/>
          <w:b/>
          <w:i/>
          <w:sz w:val="22"/>
          <w:szCs w:val="22"/>
          <w:lang w:val="hy-AM"/>
        </w:rPr>
        <w:t xml:space="preserve"> </w:t>
      </w:r>
      <w:r w:rsidRPr="00A919D2">
        <w:rPr>
          <w:rFonts w:ascii="GHEA Grapalat" w:hAnsi="GHEA Grapalat" w:cs="Sylfaen"/>
          <w:b/>
          <w:i/>
          <w:sz w:val="22"/>
          <w:szCs w:val="22"/>
          <w:lang w:val="hy-AM"/>
        </w:rPr>
        <w:t>ՀԱՆՐԱՊԵՏՈՒԹՅԱՆ</w:t>
      </w:r>
      <w:r w:rsidRPr="00A919D2">
        <w:rPr>
          <w:rFonts w:ascii="GHEA Grapalat" w:hAnsi="GHEA Grapalat" w:cs="Calibri"/>
          <w:b/>
          <w:i/>
          <w:sz w:val="22"/>
          <w:szCs w:val="22"/>
          <w:lang w:val="hy-AM"/>
        </w:rPr>
        <w:t xml:space="preserve"> 201</w:t>
      </w:r>
      <w:r>
        <w:rPr>
          <w:rFonts w:ascii="GHEA Grapalat" w:hAnsi="GHEA Grapalat" w:cs="Calibri"/>
          <w:b/>
          <w:i/>
          <w:sz w:val="22"/>
          <w:szCs w:val="22"/>
        </w:rPr>
        <w:t>5</w:t>
      </w:r>
      <w:r w:rsidRPr="00A919D2">
        <w:rPr>
          <w:rFonts w:ascii="GHEA Grapalat" w:hAnsi="GHEA Grapalat" w:cs="Calibri"/>
          <w:b/>
          <w:i/>
          <w:sz w:val="22"/>
          <w:szCs w:val="22"/>
          <w:lang w:val="hy-AM"/>
        </w:rPr>
        <w:t xml:space="preserve"> </w:t>
      </w:r>
      <w:r w:rsidRPr="00A919D2">
        <w:rPr>
          <w:rFonts w:ascii="GHEA Grapalat" w:hAnsi="GHEA Grapalat" w:cs="Sylfaen"/>
          <w:b/>
          <w:i/>
          <w:sz w:val="22"/>
          <w:szCs w:val="22"/>
          <w:lang w:val="hy-AM"/>
        </w:rPr>
        <w:t>ԹՎԱԿԱՆԻ</w:t>
      </w:r>
      <w:r w:rsidRPr="00A919D2">
        <w:rPr>
          <w:rFonts w:ascii="GHEA Grapalat" w:hAnsi="GHEA Grapalat" w:cs="Calibri"/>
          <w:b/>
          <w:i/>
          <w:sz w:val="22"/>
          <w:szCs w:val="22"/>
          <w:lang w:val="hy-AM"/>
        </w:rPr>
        <w:t xml:space="preserve"> </w:t>
      </w:r>
      <w:r w:rsidRPr="00A919D2">
        <w:rPr>
          <w:rFonts w:ascii="GHEA Grapalat" w:hAnsi="GHEA Grapalat" w:cs="Sylfaen"/>
          <w:b/>
          <w:i/>
          <w:sz w:val="22"/>
          <w:szCs w:val="22"/>
          <w:lang w:val="hy-AM"/>
        </w:rPr>
        <w:t xml:space="preserve">ԱՌԱՋԻՆ </w:t>
      </w:r>
      <w:r>
        <w:rPr>
          <w:rFonts w:ascii="GHEA Grapalat" w:hAnsi="GHEA Grapalat" w:cs="Sylfaen"/>
          <w:b/>
          <w:i/>
          <w:sz w:val="22"/>
          <w:szCs w:val="22"/>
        </w:rPr>
        <w:t>ԿԻՍԱՄ</w:t>
      </w:r>
      <w:r w:rsidRPr="00A919D2">
        <w:rPr>
          <w:rFonts w:ascii="GHEA Grapalat" w:hAnsi="GHEA Grapalat" w:cs="Sylfaen"/>
          <w:b/>
          <w:i/>
          <w:sz w:val="22"/>
          <w:szCs w:val="22"/>
          <w:lang w:val="hy-AM"/>
        </w:rPr>
        <w:t>ՅԱԿԻ</w:t>
      </w:r>
    </w:p>
    <w:p w:rsidR="00AB27A3" w:rsidRPr="00A919D2" w:rsidRDefault="00AB27A3" w:rsidP="00AB27A3">
      <w:pPr>
        <w:spacing w:line="360" w:lineRule="auto"/>
        <w:ind w:right="-187"/>
        <w:jc w:val="center"/>
        <w:rPr>
          <w:rFonts w:ascii="GHEA Grapalat" w:hAnsi="GHEA Grapalat" w:cs="Calibri"/>
          <w:b/>
          <w:i/>
          <w:sz w:val="22"/>
          <w:szCs w:val="22"/>
          <w:lang w:val="hy-AM"/>
        </w:rPr>
      </w:pPr>
      <w:r w:rsidRPr="00A919D2">
        <w:rPr>
          <w:rFonts w:ascii="GHEA Grapalat" w:hAnsi="GHEA Grapalat" w:cs="Sylfaen"/>
          <w:b/>
          <w:i/>
          <w:sz w:val="22"/>
          <w:szCs w:val="22"/>
          <w:lang w:val="hy-AM"/>
        </w:rPr>
        <w:t>ՊԵՏԱԿԱՆ</w:t>
      </w:r>
      <w:r w:rsidRPr="00A919D2">
        <w:rPr>
          <w:rFonts w:ascii="GHEA Grapalat" w:hAnsi="GHEA Grapalat" w:cs="Calibri"/>
          <w:b/>
          <w:i/>
          <w:sz w:val="22"/>
          <w:szCs w:val="22"/>
          <w:lang w:val="hy-AM"/>
        </w:rPr>
        <w:t xml:space="preserve"> </w:t>
      </w:r>
      <w:r w:rsidRPr="00A919D2">
        <w:rPr>
          <w:rFonts w:ascii="GHEA Grapalat" w:hAnsi="GHEA Grapalat" w:cs="Sylfaen"/>
          <w:b/>
          <w:i/>
          <w:sz w:val="22"/>
          <w:szCs w:val="22"/>
          <w:lang w:val="hy-AM"/>
        </w:rPr>
        <w:t>ԲՅՈՒՋԵԻ</w:t>
      </w:r>
      <w:r w:rsidRPr="00A919D2">
        <w:rPr>
          <w:rFonts w:ascii="GHEA Grapalat" w:hAnsi="GHEA Grapalat" w:cs="Calibri"/>
          <w:b/>
          <w:i/>
          <w:sz w:val="22"/>
          <w:szCs w:val="22"/>
          <w:lang w:val="hy-AM"/>
        </w:rPr>
        <w:t xml:space="preserve"> </w:t>
      </w:r>
      <w:r w:rsidRPr="00A919D2">
        <w:rPr>
          <w:rFonts w:ascii="GHEA Grapalat" w:hAnsi="GHEA Grapalat" w:cs="Sylfaen"/>
          <w:b/>
          <w:i/>
          <w:sz w:val="22"/>
          <w:szCs w:val="22"/>
          <w:lang w:val="hy-AM"/>
        </w:rPr>
        <w:t>ԿԱՏԱՐՄԱՆ</w:t>
      </w:r>
      <w:r w:rsidRPr="00A919D2">
        <w:rPr>
          <w:rFonts w:ascii="GHEA Grapalat" w:hAnsi="GHEA Grapalat" w:cs="Calibri"/>
          <w:b/>
          <w:i/>
          <w:sz w:val="22"/>
          <w:szCs w:val="22"/>
          <w:lang w:val="hy-AM"/>
        </w:rPr>
        <w:t xml:space="preserve"> </w:t>
      </w:r>
      <w:r w:rsidRPr="00A919D2">
        <w:rPr>
          <w:rFonts w:ascii="GHEA Grapalat" w:hAnsi="GHEA Grapalat" w:cs="Sylfaen"/>
          <w:b/>
          <w:i/>
          <w:sz w:val="22"/>
          <w:szCs w:val="22"/>
          <w:lang w:val="hy-AM"/>
        </w:rPr>
        <w:t>ԸՆԹԱՑՔԻ</w:t>
      </w:r>
      <w:r w:rsidRPr="00A919D2">
        <w:rPr>
          <w:rFonts w:ascii="GHEA Grapalat" w:hAnsi="GHEA Grapalat" w:cs="Calibri"/>
          <w:b/>
          <w:i/>
          <w:sz w:val="22"/>
          <w:szCs w:val="22"/>
          <w:lang w:val="hy-AM"/>
        </w:rPr>
        <w:t xml:space="preserve"> </w:t>
      </w:r>
      <w:r w:rsidRPr="00A919D2">
        <w:rPr>
          <w:rFonts w:ascii="GHEA Grapalat" w:hAnsi="GHEA Grapalat" w:cs="Sylfaen"/>
          <w:b/>
          <w:i/>
          <w:sz w:val="22"/>
          <w:szCs w:val="22"/>
          <w:lang w:val="hy-AM"/>
        </w:rPr>
        <w:t>ՎԵՐԱԲԵՐՅԱԼ</w:t>
      </w:r>
    </w:p>
    <w:p w:rsidR="00AB27A3" w:rsidRDefault="00AB27A3" w:rsidP="00EE3648">
      <w:pPr>
        <w:spacing w:line="480" w:lineRule="auto"/>
        <w:ind w:right="-187" w:firstLine="561"/>
        <w:rPr>
          <w:rFonts w:ascii="GHEA Grapalat" w:hAnsi="GHEA Grapalat" w:cs="Sylfaen"/>
          <w:b/>
          <w:i/>
          <w:sz w:val="22"/>
          <w:szCs w:val="22"/>
        </w:rPr>
      </w:pPr>
    </w:p>
    <w:p w:rsidR="00AB27A3" w:rsidRPr="002D765A" w:rsidRDefault="00AB27A3" w:rsidP="00AB27A3">
      <w:pPr>
        <w:spacing w:line="480" w:lineRule="auto"/>
        <w:ind w:left="561" w:right="-187"/>
        <w:rPr>
          <w:rFonts w:ascii="GHEA Grapalat" w:hAnsi="GHEA Grapalat" w:cs="Sylfaen"/>
          <w:b/>
          <w:i/>
          <w:sz w:val="22"/>
          <w:szCs w:val="22"/>
          <w:lang w:val="hy-AM"/>
        </w:rPr>
      </w:pPr>
      <w:r w:rsidRPr="00A919D2">
        <w:rPr>
          <w:rFonts w:ascii="GHEA Grapalat" w:hAnsi="GHEA Grapalat" w:cs="Sylfaen"/>
          <w:b/>
          <w:i/>
          <w:sz w:val="22"/>
          <w:szCs w:val="22"/>
          <w:lang w:val="hy-AM"/>
        </w:rPr>
        <w:t>ՀՀ</w:t>
      </w:r>
      <w:r w:rsidRPr="00A919D2">
        <w:rPr>
          <w:rFonts w:ascii="GHEA Grapalat" w:hAnsi="GHEA Grapalat" w:cs="Calibri"/>
          <w:b/>
          <w:i/>
          <w:sz w:val="22"/>
          <w:szCs w:val="22"/>
          <w:lang w:val="hy-AM"/>
        </w:rPr>
        <w:t xml:space="preserve"> </w:t>
      </w:r>
      <w:r w:rsidRPr="00A919D2">
        <w:rPr>
          <w:rFonts w:ascii="GHEA Grapalat" w:hAnsi="GHEA Grapalat" w:cs="Sylfaen"/>
          <w:b/>
          <w:i/>
          <w:sz w:val="22"/>
          <w:szCs w:val="22"/>
          <w:lang w:val="hy-AM"/>
        </w:rPr>
        <w:t>ՍՈՑԻԱԼ</w:t>
      </w:r>
      <w:r w:rsidRPr="00A919D2">
        <w:rPr>
          <w:rFonts w:ascii="GHEA Grapalat" w:hAnsi="GHEA Grapalat" w:cs="Calibri"/>
          <w:b/>
          <w:i/>
          <w:sz w:val="22"/>
          <w:szCs w:val="22"/>
          <w:lang w:val="hy-AM"/>
        </w:rPr>
        <w:t>-</w:t>
      </w:r>
      <w:r w:rsidRPr="00A919D2">
        <w:rPr>
          <w:rFonts w:ascii="GHEA Grapalat" w:hAnsi="GHEA Grapalat" w:cs="Sylfaen"/>
          <w:b/>
          <w:i/>
          <w:sz w:val="22"/>
          <w:szCs w:val="22"/>
          <w:lang w:val="hy-AM"/>
        </w:rPr>
        <w:t>ՏՆՏԵՍԱԿԱՆ</w:t>
      </w:r>
      <w:r w:rsidRPr="00A919D2">
        <w:rPr>
          <w:rFonts w:ascii="GHEA Grapalat" w:hAnsi="GHEA Grapalat" w:cs="Calibri"/>
          <w:b/>
          <w:i/>
          <w:sz w:val="22"/>
          <w:szCs w:val="22"/>
          <w:lang w:val="hy-AM"/>
        </w:rPr>
        <w:t xml:space="preserve"> </w:t>
      </w:r>
      <w:r w:rsidRPr="00A919D2">
        <w:rPr>
          <w:rFonts w:ascii="GHEA Grapalat" w:hAnsi="GHEA Grapalat" w:cs="Sylfaen"/>
          <w:b/>
          <w:i/>
          <w:sz w:val="22"/>
          <w:szCs w:val="22"/>
          <w:lang w:val="hy-AM"/>
        </w:rPr>
        <w:t>ԻՐԱՎԻՃԱԿԸ</w:t>
      </w:r>
    </w:p>
    <w:p w:rsidR="00A67B4D" w:rsidRPr="00A67B4D" w:rsidRDefault="00A67B4D" w:rsidP="00A67B4D">
      <w:pPr>
        <w:spacing w:line="360" w:lineRule="auto"/>
        <w:ind w:firstLine="561"/>
        <w:jc w:val="both"/>
        <w:rPr>
          <w:rFonts w:ascii="GHEA Grapalat" w:hAnsi="GHEA Grapalat"/>
          <w:sz w:val="22"/>
          <w:szCs w:val="22"/>
          <w:lang w:val="hy-AM"/>
        </w:rPr>
      </w:pPr>
      <w:r w:rsidRPr="00A67B4D">
        <w:rPr>
          <w:rFonts w:ascii="GHEA Grapalat" w:hAnsi="GHEA Grapalat"/>
          <w:sz w:val="22"/>
          <w:szCs w:val="22"/>
          <w:lang w:val="hy-AM"/>
        </w:rPr>
        <w:t>2015 թվականի առաջին կիսամյակի տվյալների ամփոփումը ցույց</w:t>
      </w:r>
      <w:r w:rsidR="00CB4190">
        <w:rPr>
          <w:rFonts w:ascii="GHEA Grapalat" w:hAnsi="GHEA Grapalat"/>
          <w:sz w:val="22"/>
          <w:szCs w:val="22"/>
          <w:lang w:val="hy-AM"/>
        </w:rPr>
        <w:t xml:space="preserve"> տվեց, որ տնտեսության զարգացում</w:t>
      </w:r>
      <w:r w:rsidR="00CB4190">
        <w:rPr>
          <w:rFonts w:ascii="GHEA Grapalat" w:hAnsi="GHEA Grapalat"/>
          <w:sz w:val="22"/>
          <w:szCs w:val="22"/>
        </w:rPr>
        <w:t>ն</w:t>
      </w:r>
      <w:r w:rsidRPr="00A67B4D">
        <w:rPr>
          <w:rFonts w:ascii="GHEA Grapalat" w:hAnsi="GHEA Grapalat"/>
          <w:sz w:val="22"/>
          <w:szCs w:val="22"/>
          <w:lang w:val="hy-AM"/>
        </w:rPr>
        <w:t xml:space="preserve"> ընթանում է նախորդ տարվա համեմատ ավելի դանդաղ տեմպերով` հիմնականում պայմանավորված ծառայությունների ոլորտի աճի տեմպերի դանդաղմամբ: Տնտեսական ակտիվության հիմնական շարժիչ ուժերը եղել են գյուղատնտեսությունը և արդյունաբերությունը, իսկ ամբողջական պահանջարկի տեսանկյունից տնտեսական աճն ուղեկցվել է ներքին պահանջարկի՝ սպառման </w:t>
      </w:r>
      <w:r w:rsidR="00CB4190">
        <w:rPr>
          <w:rFonts w:ascii="GHEA Grapalat" w:hAnsi="GHEA Grapalat"/>
          <w:sz w:val="22"/>
          <w:szCs w:val="22"/>
        </w:rPr>
        <w:t>ու</w:t>
      </w:r>
      <w:r w:rsidRPr="00A67B4D">
        <w:rPr>
          <w:rFonts w:ascii="GHEA Grapalat" w:hAnsi="GHEA Grapalat"/>
          <w:sz w:val="22"/>
          <w:szCs w:val="22"/>
          <w:lang w:val="hy-AM"/>
        </w:rPr>
        <w:t xml:space="preserve"> ներդրումների նվազմամբ և ներմուծման նվազմամբ պայմանավորված</w:t>
      </w:r>
      <w:r w:rsidR="00CB4190">
        <w:rPr>
          <w:rFonts w:ascii="GHEA Grapalat" w:hAnsi="GHEA Grapalat"/>
          <w:sz w:val="22"/>
          <w:szCs w:val="22"/>
        </w:rPr>
        <w:t>՝</w:t>
      </w:r>
      <w:r w:rsidRPr="00A67B4D">
        <w:rPr>
          <w:rFonts w:ascii="GHEA Grapalat" w:hAnsi="GHEA Grapalat"/>
          <w:sz w:val="22"/>
          <w:szCs w:val="22"/>
          <w:lang w:val="hy-AM"/>
        </w:rPr>
        <w:t xml:space="preserve"> զուտ արտահանման բարելավմամբ:</w:t>
      </w:r>
    </w:p>
    <w:p w:rsidR="00A67B4D" w:rsidRPr="00A67B4D" w:rsidRDefault="00A67B4D" w:rsidP="00A67B4D">
      <w:pPr>
        <w:spacing w:line="360" w:lineRule="auto"/>
        <w:ind w:firstLine="561"/>
        <w:jc w:val="both"/>
        <w:rPr>
          <w:rFonts w:ascii="GHEA Grapalat" w:hAnsi="GHEA Grapalat"/>
          <w:sz w:val="22"/>
          <w:szCs w:val="22"/>
          <w:lang w:val="hy-AM"/>
        </w:rPr>
      </w:pPr>
      <w:r w:rsidRPr="00A67B4D">
        <w:rPr>
          <w:rFonts w:ascii="GHEA Grapalat" w:hAnsi="GHEA Grapalat"/>
          <w:sz w:val="22"/>
          <w:szCs w:val="22"/>
          <w:lang w:val="hy-AM"/>
        </w:rPr>
        <w:t xml:space="preserve">2015 թվականի առաջին կիսամյակում միջին գնաճը կազմել է 5.1%: Արձանագրվել է պետական բյուջեի ընդհանուր եկամուտների անվանական 0.3% աճ, իսկ ծախսերի գծով արձանագրվել է 15.7% աճ: Հարկաբյուջետային քաղաքականությունը 2015 թվականի առաջին կիսամյակի արդյունքներով ամբողջական պահանջարկի վրա թողել է ընդհանուր առմամբ խթանող ազդեցություն: </w:t>
      </w:r>
    </w:p>
    <w:p w:rsidR="00A67B4D" w:rsidRPr="00A67B4D" w:rsidRDefault="00A67B4D" w:rsidP="00A67B4D">
      <w:pPr>
        <w:spacing w:line="360" w:lineRule="auto"/>
        <w:ind w:firstLine="561"/>
        <w:jc w:val="both"/>
        <w:rPr>
          <w:rFonts w:ascii="GHEA Grapalat" w:hAnsi="GHEA Grapalat"/>
          <w:sz w:val="22"/>
          <w:szCs w:val="22"/>
          <w:lang w:val="hy-AM"/>
        </w:rPr>
      </w:pPr>
    </w:p>
    <w:p w:rsidR="00A67B4D" w:rsidRPr="00D76CE2" w:rsidRDefault="00A67B4D" w:rsidP="00A67B4D">
      <w:pPr>
        <w:autoSpaceDE w:val="0"/>
        <w:autoSpaceDN w:val="0"/>
        <w:adjustRightInd w:val="0"/>
        <w:spacing w:line="336" w:lineRule="auto"/>
        <w:ind w:firstLine="540"/>
        <w:jc w:val="both"/>
        <w:rPr>
          <w:rFonts w:ascii="GHEA Grapalat" w:hAnsi="GHEA Grapalat" w:cs="Sylfaen"/>
          <w:b/>
          <w:i/>
          <w:sz w:val="22"/>
          <w:szCs w:val="22"/>
          <w:lang w:val="hy-AM"/>
        </w:rPr>
      </w:pPr>
      <w:r w:rsidRPr="00D76CE2">
        <w:rPr>
          <w:rFonts w:ascii="GHEA Grapalat" w:hAnsi="GHEA Grapalat" w:cs="Sylfaen"/>
          <w:b/>
          <w:sz w:val="22"/>
          <w:szCs w:val="22"/>
          <w:u w:val="single"/>
          <w:lang w:val="hy-AM"/>
        </w:rPr>
        <w:t>Համախառն առաջարկ</w:t>
      </w:r>
    </w:p>
    <w:p w:rsidR="00A67B4D" w:rsidRPr="00A67B4D" w:rsidRDefault="00A67B4D" w:rsidP="00A67B4D">
      <w:pPr>
        <w:spacing w:line="360" w:lineRule="auto"/>
        <w:ind w:firstLine="561"/>
        <w:jc w:val="both"/>
        <w:rPr>
          <w:rFonts w:ascii="GHEA Grapalat" w:hAnsi="GHEA Grapalat"/>
          <w:sz w:val="22"/>
          <w:szCs w:val="22"/>
          <w:lang w:val="hy-AM"/>
        </w:rPr>
      </w:pPr>
      <w:r w:rsidRPr="00A67B4D">
        <w:rPr>
          <w:rFonts w:ascii="GHEA Grapalat" w:hAnsi="GHEA Grapalat"/>
          <w:sz w:val="22"/>
          <w:szCs w:val="22"/>
          <w:lang w:val="hy-AM"/>
        </w:rPr>
        <w:t>2015 թվականի հունվար-հունիսին արտաքին աշխարհից եկող ոչ բարենպաստ տնտեսական զարգացումների պայմաններում տնտեսությունը շարունակում է աճել, ընդ որում՝ հիմնականում արտահանելի ճյուղերի հաշվին:</w:t>
      </w:r>
      <w:r>
        <w:rPr>
          <w:rFonts w:ascii="GHEA Grapalat" w:hAnsi="GHEA Grapalat"/>
          <w:sz w:val="22"/>
          <w:szCs w:val="22"/>
          <w:lang w:val="hy-AM"/>
        </w:rPr>
        <w:t xml:space="preserve"> </w:t>
      </w:r>
      <w:r w:rsidRPr="00A67B4D">
        <w:rPr>
          <w:rFonts w:ascii="GHEA Grapalat" w:hAnsi="GHEA Grapalat"/>
          <w:sz w:val="22"/>
          <w:szCs w:val="22"/>
          <w:lang w:val="hy-AM"/>
        </w:rPr>
        <w:t xml:space="preserve">Գրանցվել է տնտեսական ակտիվության իրական արտահայտությամբ 4.2% աճ նախորդ տարվա նույն ժամանակահատվածի նկատմամբ, որը զիջում է նախորդ տարվա ցուցանիշը 0.2 տոկոսային կետով: Ընդ որում տնտեսական ակտիվությանն ամենամեծ նպաստումն են ունեցել գյուղատնտեսության (2.9 տոկոսային կետ) և արդյունաբերության (0.9 տոկոսային կետ) ճյուղերը: Ծառայությունների ու շինարարության նպաստումները </w:t>
      </w:r>
      <w:r w:rsidR="00CB4190" w:rsidRPr="00A67B4D">
        <w:rPr>
          <w:rFonts w:ascii="GHEA Grapalat" w:hAnsi="GHEA Grapalat"/>
          <w:sz w:val="22"/>
          <w:szCs w:val="22"/>
          <w:lang w:val="hy-AM"/>
        </w:rPr>
        <w:t xml:space="preserve">ՏԱՑ-ի աճին </w:t>
      </w:r>
      <w:r w:rsidR="00CB4190">
        <w:rPr>
          <w:rFonts w:ascii="GHEA Grapalat" w:hAnsi="GHEA Grapalat"/>
          <w:sz w:val="22"/>
          <w:szCs w:val="22"/>
          <w:lang w:val="hy-AM"/>
        </w:rPr>
        <w:t>փոքր են եղել</w:t>
      </w:r>
      <w:r w:rsidR="00CB4190" w:rsidRPr="00D76CE2">
        <w:rPr>
          <w:rFonts w:ascii="GHEA Grapalat" w:hAnsi="GHEA Grapalat"/>
          <w:sz w:val="22"/>
          <w:szCs w:val="22"/>
          <w:lang w:val="hy-AM"/>
        </w:rPr>
        <w:t>՝</w:t>
      </w:r>
      <w:r>
        <w:rPr>
          <w:rFonts w:ascii="GHEA Grapalat" w:hAnsi="GHEA Grapalat"/>
          <w:sz w:val="22"/>
          <w:szCs w:val="22"/>
          <w:lang w:val="hy-AM"/>
        </w:rPr>
        <w:t xml:space="preserve"> </w:t>
      </w:r>
      <w:r w:rsidRPr="00A67B4D">
        <w:rPr>
          <w:rFonts w:ascii="GHEA Grapalat" w:hAnsi="GHEA Grapalat"/>
          <w:sz w:val="22"/>
          <w:szCs w:val="22"/>
          <w:lang w:val="hy-AM"/>
        </w:rPr>
        <w:t>համապատասխանաբար 0.3 և 0.1 տոկոսային կետ: Գործընկեր երկրների տնտեսություններից եկող բացասական զարգացումներն իրենց արտացոլումն են գտել հիմնականում իրական տնօրինվող եկամտի նվազման վրա՝ նպաստելով ծառայությունների</w:t>
      </w:r>
      <w:r w:rsidR="00CB4190" w:rsidRPr="00D76CE2">
        <w:rPr>
          <w:rFonts w:ascii="GHEA Grapalat" w:hAnsi="GHEA Grapalat"/>
          <w:sz w:val="22"/>
          <w:szCs w:val="22"/>
          <w:lang w:val="hy-AM"/>
        </w:rPr>
        <w:t>՝</w:t>
      </w:r>
      <w:r w:rsidRPr="00A67B4D">
        <w:rPr>
          <w:rFonts w:ascii="GHEA Grapalat" w:hAnsi="GHEA Grapalat"/>
          <w:sz w:val="22"/>
          <w:szCs w:val="22"/>
          <w:lang w:val="hy-AM"/>
        </w:rPr>
        <w:t xml:space="preserve"> նախորդ տարվա համեմատ ցածր աճի (այդ թվում</w:t>
      </w:r>
      <w:r w:rsidR="00CB4190" w:rsidRPr="00D76CE2">
        <w:rPr>
          <w:rFonts w:ascii="GHEA Grapalat" w:hAnsi="GHEA Grapalat"/>
          <w:sz w:val="22"/>
          <w:szCs w:val="22"/>
          <w:lang w:val="hy-AM"/>
        </w:rPr>
        <w:t>՝</w:t>
      </w:r>
      <w:r w:rsidRPr="00A67B4D">
        <w:rPr>
          <w:rFonts w:ascii="GHEA Grapalat" w:hAnsi="GHEA Grapalat"/>
          <w:sz w:val="22"/>
          <w:szCs w:val="22"/>
          <w:lang w:val="hy-AM"/>
        </w:rPr>
        <w:t xml:space="preserve"> առևտրի նվազման) ձևավորմանը: Վերջինս</w:t>
      </w:r>
      <w:r w:rsidR="00CB4190" w:rsidRPr="00D76CE2">
        <w:rPr>
          <w:rFonts w:ascii="GHEA Grapalat" w:hAnsi="GHEA Grapalat"/>
          <w:sz w:val="22"/>
          <w:szCs w:val="22"/>
          <w:lang w:val="hy-AM"/>
        </w:rPr>
        <w:t>,</w:t>
      </w:r>
      <w:r w:rsidRPr="00A67B4D">
        <w:rPr>
          <w:rFonts w:ascii="GHEA Grapalat" w:hAnsi="GHEA Grapalat"/>
          <w:sz w:val="22"/>
          <w:szCs w:val="22"/>
          <w:lang w:val="hy-AM"/>
        </w:rPr>
        <w:t xml:space="preserve"> սակայն</w:t>
      </w:r>
      <w:r w:rsidR="00CB4190" w:rsidRPr="00D76CE2">
        <w:rPr>
          <w:rFonts w:ascii="GHEA Grapalat" w:hAnsi="GHEA Grapalat"/>
          <w:sz w:val="22"/>
          <w:szCs w:val="22"/>
          <w:lang w:val="hy-AM"/>
        </w:rPr>
        <w:t>,</w:t>
      </w:r>
      <w:r w:rsidRPr="00A67B4D">
        <w:rPr>
          <w:rFonts w:ascii="GHEA Grapalat" w:hAnsi="GHEA Grapalat"/>
          <w:sz w:val="22"/>
          <w:szCs w:val="22"/>
          <w:lang w:val="hy-AM"/>
        </w:rPr>
        <w:t xml:space="preserve"> փոխհատուցվել է հիմնականում գյուղատնտեսության բարձր աճի, ինչպես նաև արդյունաբերության (հանքագործության արտահանման հաշվին) աճի ցուցանիշներով: </w:t>
      </w:r>
    </w:p>
    <w:p w:rsidR="00A67B4D" w:rsidRPr="00D76CE2" w:rsidRDefault="00A67B4D" w:rsidP="00A67B4D">
      <w:pPr>
        <w:tabs>
          <w:tab w:val="num" w:pos="720"/>
        </w:tabs>
        <w:spacing w:line="360" w:lineRule="auto"/>
        <w:ind w:firstLine="540"/>
        <w:jc w:val="both"/>
        <w:rPr>
          <w:rFonts w:ascii="GHEA Grapalat" w:hAnsi="GHEA Grapalat" w:cs="Sylfaen"/>
          <w:b/>
          <w:i/>
          <w:sz w:val="22"/>
          <w:szCs w:val="22"/>
          <w:lang w:val="hy-AM"/>
        </w:rPr>
      </w:pPr>
    </w:p>
    <w:p w:rsidR="00A67B4D" w:rsidRPr="00D76CE2" w:rsidRDefault="00A67B4D" w:rsidP="00A67B4D">
      <w:pPr>
        <w:tabs>
          <w:tab w:val="num" w:pos="720"/>
        </w:tabs>
        <w:spacing w:line="360" w:lineRule="auto"/>
        <w:ind w:firstLine="540"/>
        <w:jc w:val="both"/>
        <w:rPr>
          <w:rFonts w:ascii="GHEA Grapalat" w:hAnsi="GHEA Grapalat"/>
          <w:sz w:val="22"/>
          <w:szCs w:val="22"/>
          <w:lang w:val="hy-AM"/>
        </w:rPr>
      </w:pPr>
      <w:r w:rsidRPr="00D76CE2">
        <w:rPr>
          <w:rFonts w:ascii="GHEA Grapalat" w:hAnsi="GHEA Grapalat" w:cs="Sylfaen"/>
          <w:b/>
          <w:sz w:val="22"/>
          <w:szCs w:val="22"/>
          <w:lang w:val="hy-AM"/>
        </w:rPr>
        <w:lastRenderedPageBreak/>
        <w:t xml:space="preserve">Գծապատկեր 1. </w:t>
      </w:r>
      <w:r w:rsidRPr="00D76CE2">
        <w:rPr>
          <w:rFonts w:ascii="GHEA Grapalat" w:hAnsi="GHEA Grapalat"/>
          <w:sz w:val="22"/>
          <w:szCs w:val="22"/>
          <w:lang w:val="hy-AM"/>
        </w:rPr>
        <w:t>2014-2015 թվականների հունվար-հունիս ամիսներին տնտեսության ճյուղերի թողարկումների նպաստումները տնտեսական ակտիվության իրական աճին, տոկոսային կետ:</w:t>
      </w:r>
    </w:p>
    <w:p w:rsidR="00A67B4D" w:rsidRPr="00D76CE2" w:rsidRDefault="00A67B4D" w:rsidP="00A67B4D">
      <w:pPr>
        <w:tabs>
          <w:tab w:val="right" w:pos="8640"/>
        </w:tabs>
        <w:spacing w:line="360" w:lineRule="auto"/>
        <w:ind w:firstLine="540"/>
        <w:jc w:val="both"/>
        <w:rPr>
          <w:rFonts w:ascii="GHEA Grapalat" w:hAnsi="GHEA Grapalat" w:cs="Sylfaen"/>
          <w:b/>
          <w:i/>
          <w:lang w:val="hy-AM"/>
        </w:rPr>
      </w:pPr>
    </w:p>
    <w:p w:rsidR="00A67B4D" w:rsidRPr="00A062B1" w:rsidRDefault="00A67B4D" w:rsidP="00A67B4D">
      <w:pPr>
        <w:tabs>
          <w:tab w:val="right" w:pos="8640"/>
        </w:tabs>
        <w:spacing w:line="360" w:lineRule="auto"/>
        <w:jc w:val="both"/>
        <w:rPr>
          <w:rFonts w:ascii="GHEA Grapalat" w:hAnsi="GHEA Grapalat" w:cs="Sylfaen"/>
          <w:b/>
          <w:i/>
        </w:rPr>
      </w:pPr>
      <w:r w:rsidRPr="00A062B1">
        <w:rPr>
          <w:rFonts w:ascii="GHEA Grapalat" w:hAnsi="GHEA Grapalat" w:cs="Sylfaen"/>
          <w:b/>
          <w:i/>
          <w:noProof/>
          <w:lang w:val="ru-RU" w:eastAsia="ru-RU"/>
        </w:rPr>
        <w:drawing>
          <wp:inline distT="0" distB="0" distL="0" distR="0" wp14:anchorId="291D540B" wp14:editId="652E0063">
            <wp:extent cx="3162300" cy="2600325"/>
            <wp:effectExtent l="0" t="0" r="1905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A062B1">
        <w:rPr>
          <w:rFonts w:ascii="GHEA Grapalat" w:hAnsi="GHEA Grapalat" w:cs="Sylfaen"/>
          <w:b/>
          <w:i/>
          <w:noProof/>
          <w:lang w:val="ru-RU" w:eastAsia="ru-RU"/>
        </w:rPr>
        <w:drawing>
          <wp:inline distT="0" distB="0" distL="0" distR="0" wp14:anchorId="30D1C05D" wp14:editId="79CD86EC">
            <wp:extent cx="3152633" cy="2613546"/>
            <wp:effectExtent l="0" t="0" r="10160"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67B4D" w:rsidRPr="00A67B4D" w:rsidRDefault="00A67B4D" w:rsidP="00A67B4D">
      <w:pPr>
        <w:spacing w:line="360" w:lineRule="auto"/>
        <w:ind w:firstLine="561"/>
        <w:jc w:val="both"/>
        <w:rPr>
          <w:rFonts w:ascii="GHEA Grapalat" w:hAnsi="GHEA Grapalat"/>
          <w:sz w:val="22"/>
          <w:szCs w:val="22"/>
          <w:lang w:val="hy-AM"/>
        </w:rPr>
      </w:pPr>
    </w:p>
    <w:p w:rsidR="00A67B4D" w:rsidRPr="00A67B4D" w:rsidRDefault="00A67B4D" w:rsidP="00A67B4D">
      <w:pPr>
        <w:spacing w:line="360" w:lineRule="auto"/>
        <w:ind w:firstLine="561"/>
        <w:jc w:val="both"/>
        <w:rPr>
          <w:rFonts w:ascii="GHEA Grapalat" w:hAnsi="GHEA Grapalat"/>
          <w:sz w:val="22"/>
          <w:szCs w:val="22"/>
          <w:lang w:val="hy-AM"/>
        </w:rPr>
      </w:pPr>
      <w:r w:rsidRPr="00A67B4D">
        <w:rPr>
          <w:rFonts w:ascii="GHEA Grapalat" w:hAnsi="GHEA Grapalat"/>
          <w:b/>
          <w:sz w:val="22"/>
          <w:szCs w:val="22"/>
          <w:lang w:val="hy-AM"/>
        </w:rPr>
        <w:t>Արդյունաբերություն</w:t>
      </w:r>
      <w:r w:rsidRPr="00A67B4D">
        <w:rPr>
          <w:b/>
          <w:sz w:val="22"/>
          <w:szCs w:val="22"/>
          <w:vertAlign w:val="superscript"/>
          <w:lang w:val="hy-AM"/>
        </w:rPr>
        <w:footnoteReference w:id="1"/>
      </w:r>
      <w:r w:rsidRPr="00A67B4D">
        <w:rPr>
          <w:rFonts w:ascii="GHEA Grapalat" w:hAnsi="GHEA Grapalat"/>
          <w:b/>
          <w:sz w:val="22"/>
          <w:szCs w:val="22"/>
          <w:lang w:val="hy-AM"/>
        </w:rPr>
        <w:t>:</w:t>
      </w:r>
      <w:r w:rsidRPr="00A67B4D">
        <w:rPr>
          <w:rFonts w:ascii="GHEA Grapalat" w:hAnsi="GHEA Grapalat"/>
          <w:sz w:val="22"/>
          <w:szCs w:val="22"/>
          <w:lang w:val="hy-AM"/>
        </w:rPr>
        <w:t xml:space="preserve"> 2015 թվականի հունվար-հունիսին արդյունաբերություն</w:t>
      </w:r>
      <w:r w:rsidRPr="00D76CE2">
        <w:rPr>
          <w:rFonts w:ascii="GHEA Grapalat" w:hAnsi="GHEA Grapalat"/>
          <w:sz w:val="22"/>
          <w:szCs w:val="22"/>
          <w:lang w:val="hy-AM"/>
        </w:rPr>
        <w:t>ն</w:t>
      </w:r>
      <w:r w:rsidRPr="00A67B4D">
        <w:rPr>
          <w:rFonts w:ascii="GHEA Grapalat" w:hAnsi="GHEA Grapalat"/>
          <w:sz w:val="22"/>
          <w:szCs w:val="22"/>
          <w:lang w:val="hy-AM"/>
        </w:rPr>
        <w:t xml:space="preserve"> աճել է</w:t>
      </w:r>
      <w:r w:rsidRPr="00D76CE2">
        <w:rPr>
          <w:rFonts w:ascii="GHEA Grapalat" w:hAnsi="GHEA Grapalat"/>
          <w:sz w:val="22"/>
          <w:szCs w:val="22"/>
          <w:lang w:val="hy-AM"/>
        </w:rPr>
        <w:t>՝</w:t>
      </w:r>
      <w:r>
        <w:rPr>
          <w:rFonts w:ascii="GHEA Grapalat" w:hAnsi="GHEA Grapalat"/>
          <w:sz w:val="22"/>
          <w:szCs w:val="22"/>
          <w:lang w:val="hy-AM"/>
        </w:rPr>
        <w:t xml:space="preserve"> </w:t>
      </w:r>
      <w:r w:rsidRPr="00A67B4D">
        <w:rPr>
          <w:rFonts w:ascii="GHEA Grapalat" w:hAnsi="GHEA Grapalat"/>
          <w:sz w:val="22"/>
          <w:szCs w:val="22"/>
          <w:lang w:val="hy-AM"/>
        </w:rPr>
        <w:t>պայմանավորված հանքագործական արդյունաբերությամբ: Արձանագրվել է արդյունաբերական արտադրանքի թողարկման ծավալի 5.1% աճ: Չնայած միջազգային շուկայում մետաղների գների նվազման միտումին՝ արդյունաբերությանը հիմնականում նպաստել է հանքագործական արդյունաբերության 34.8% աճը, որը պայմանավորված է Թեղուտի հանքավայրի շահագործման մեկնարկով:</w:t>
      </w:r>
    </w:p>
    <w:p w:rsidR="00A67B4D" w:rsidRPr="00A67B4D" w:rsidRDefault="00A67B4D" w:rsidP="00A67B4D">
      <w:pPr>
        <w:spacing w:line="360" w:lineRule="auto"/>
        <w:ind w:firstLine="561"/>
        <w:jc w:val="both"/>
        <w:rPr>
          <w:rFonts w:ascii="GHEA Grapalat" w:hAnsi="GHEA Grapalat"/>
          <w:sz w:val="22"/>
          <w:szCs w:val="22"/>
          <w:lang w:val="hy-AM"/>
        </w:rPr>
      </w:pPr>
      <w:r w:rsidRPr="00A67B4D">
        <w:rPr>
          <w:rFonts w:ascii="GHEA Grapalat" w:hAnsi="GHEA Grapalat"/>
          <w:sz w:val="22"/>
          <w:szCs w:val="22"/>
          <w:lang w:val="hy-AM"/>
        </w:rPr>
        <w:t>Մշակող արդյունաբերությունը նվազել է՝ հիմնականում կրելով արտաքին տնտեսական զարգացումների ազդեցությունը: Մշակող արդյունաբերությունը նվազել է 2.1%-ով, որին հիմնականում նպաստել են սննդամթերքի (7</w:t>
      </w:r>
      <w:r w:rsidR="00CB4190" w:rsidRPr="00D76CE2">
        <w:rPr>
          <w:rFonts w:ascii="GHEA Grapalat" w:hAnsi="GHEA Grapalat"/>
          <w:sz w:val="22"/>
          <w:szCs w:val="22"/>
          <w:lang w:val="hy-AM"/>
        </w:rPr>
        <w:t>.</w:t>
      </w:r>
      <w:r w:rsidRPr="00A67B4D">
        <w:rPr>
          <w:rFonts w:ascii="GHEA Grapalat" w:hAnsi="GHEA Grapalat"/>
          <w:sz w:val="22"/>
          <w:szCs w:val="22"/>
          <w:lang w:val="hy-AM"/>
        </w:rPr>
        <w:t>7%), խմիչքների (17.9%) և հիմնային մետաղների</w:t>
      </w:r>
      <w:r w:rsidR="00CB4190" w:rsidRPr="00D76CE2">
        <w:rPr>
          <w:rFonts w:ascii="GHEA Grapalat" w:hAnsi="GHEA Grapalat"/>
          <w:sz w:val="22"/>
          <w:szCs w:val="22"/>
          <w:lang w:val="hy-AM"/>
        </w:rPr>
        <w:t xml:space="preserve"> </w:t>
      </w:r>
      <w:r w:rsidRPr="00A67B4D">
        <w:rPr>
          <w:rFonts w:ascii="GHEA Grapalat" w:hAnsi="GHEA Grapalat"/>
          <w:sz w:val="22"/>
          <w:szCs w:val="22"/>
          <w:lang w:val="hy-AM"/>
        </w:rPr>
        <w:t>(7.2%) արտադրության նվազումները: Մշակող արդյունաբերությանը բացասական նպաստող ենթաճյուղերի ցուցանիշները պայմանավորված են գործընկեր երկրների տնտեսական զարգացումների արդյունքում ինչպես արտաքին պահանջարկի նվազմամբ, այնպես էլ դրամական փոխանցումների անկման հետևանքով իրական տնօրինվող եկամտի նվազմամբ: Մշակող արդյունաբերությանն էական դրական նպաստում է ունեցել ծխախոտային արտադրատեսակների արտադրության 45.9% աճը, որը պայմանավորված է ծխախոտի արտահանման ծավալների (հիմնականում դեպի Իրաք) աճով:</w:t>
      </w:r>
      <w:r>
        <w:rPr>
          <w:rFonts w:ascii="GHEA Grapalat" w:hAnsi="GHEA Grapalat"/>
          <w:sz w:val="22"/>
          <w:szCs w:val="22"/>
          <w:lang w:val="hy-AM"/>
        </w:rPr>
        <w:t xml:space="preserve"> </w:t>
      </w:r>
    </w:p>
    <w:p w:rsidR="00A67B4D" w:rsidRPr="00A67B4D" w:rsidRDefault="00A67B4D" w:rsidP="00A67B4D">
      <w:pPr>
        <w:tabs>
          <w:tab w:val="right" w:pos="8640"/>
        </w:tabs>
        <w:spacing w:line="360" w:lineRule="auto"/>
        <w:ind w:firstLine="540"/>
        <w:jc w:val="both"/>
        <w:rPr>
          <w:rFonts w:ascii="GHEA Grapalat" w:hAnsi="GHEA Grapalat"/>
          <w:sz w:val="22"/>
          <w:szCs w:val="22"/>
          <w:lang w:val="hy-AM"/>
        </w:rPr>
      </w:pPr>
      <w:r w:rsidRPr="00A67B4D">
        <w:rPr>
          <w:rFonts w:ascii="GHEA Grapalat" w:hAnsi="GHEA Grapalat"/>
          <w:sz w:val="22"/>
          <w:szCs w:val="22"/>
          <w:lang w:val="hy-AM"/>
        </w:rPr>
        <w:t>Էլեկտրաէներգիայի և ջրամատակարարման ճյուղեր</w:t>
      </w:r>
      <w:r w:rsidR="00CB4190" w:rsidRPr="00D76CE2">
        <w:rPr>
          <w:rFonts w:ascii="GHEA Grapalat" w:hAnsi="GHEA Grapalat"/>
          <w:sz w:val="22"/>
          <w:szCs w:val="22"/>
          <w:lang w:val="hy-AM"/>
        </w:rPr>
        <w:t>ն</w:t>
      </w:r>
      <w:r w:rsidRPr="00A67B4D">
        <w:rPr>
          <w:rFonts w:ascii="GHEA Grapalat" w:hAnsi="GHEA Grapalat"/>
          <w:sz w:val="22"/>
          <w:szCs w:val="22"/>
          <w:lang w:val="hy-AM"/>
        </w:rPr>
        <w:t xml:space="preserve"> աճի ցուցանիշներ են արձանագրել: Էլեկտրաէներգիայի և ջրամատակարարման ճյուղերում արձանագրվել է համապատասխանաբար 3.5% և 9.6%: Էլեկտրաէներգիայի աճը հունվար-հունիսին պայմանավորվել է արտահանման 10.2% </w:t>
      </w:r>
      <w:r w:rsidRPr="00A67B4D">
        <w:rPr>
          <w:rFonts w:ascii="GHEA Grapalat" w:hAnsi="GHEA Grapalat"/>
          <w:sz w:val="22"/>
          <w:szCs w:val="22"/>
          <w:lang w:val="hy-AM"/>
        </w:rPr>
        <w:lastRenderedPageBreak/>
        <w:t>աճով: Էլեկտրաէներգիայի արտադրության աճը հիմնականում ապահովվել է ՀԷԿ-երի և ՀԱԷԿ-ի կողմից արտադրության ծավալների համապատասխանաբար 11.1</w:t>
      </w:r>
      <w:r w:rsidR="00CB4190">
        <w:rPr>
          <w:rFonts w:ascii="GHEA Grapalat" w:hAnsi="GHEA Grapalat"/>
          <w:sz w:val="22"/>
          <w:szCs w:val="22"/>
          <w:lang w:val="hy-AM"/>
        </w:rPr>
        <w:t>% և 12.7% աճերի հաշվին, իսկ Ջէկ</w:t>
      </w:r>
      <w:r w:rsidR="00CB4190" w:rsidRPr="00D76CE2">
        <w:rPr>
          <w:rFonts w:ascii="GHEA Grapalat" w:hAnsi="GHEA Grapalat"/>
          <w:sz w:val="22"/>
          <w:szCs w:val="22"/>
          <w:lang w:val="hy-AM"/>
        </w:rPr>
        <w:noBreakHyphen/>
      </w:r>
      <w:r w:rsidRPr="00A67B4D">
        <w:rPr>
          <w:rFonts w:ascii="GHEA Grapalat" w:hAnsi="GHEA Grapalat"/>
          <w:sz w:val="22"/>
          <w:szCs w:val="22"/>
          <w:lang w:val="hy-AM"/>
        </w:rPr>
        <w:t>երի կողմից արտադրված էլեկտրաէներգիան նվազել է 17.8%-ով:</w:t>
      </w:r>
    </w:p>
    <w:p w:rsidR="00A67B4D" w:rsidRPr="00A67B4D" w:rsidRDefault="00A67B4D" w:rsidP="00A67B4D">
      <w:pPr>
        <w:tabs>
          <w:tab w:val="right" w:pos="8640"/>
        </w:tabs>
        <w:spacing w:line="360" w:lineRule="auto"/>
        <w:ind w:firstLine="540"/>
        <w:jc w:val="both"/>
        <w:rPr>
          <w:rFonts w:ascii="GHEA Grapalat" w:hAnsi="GHEA Grapalat"/>
          <w:sz w:val="22"/>
          <w:szCs w:val="22"/>
          <w:lang w:val="hy-AM"/>
        </w:rPr>
      </w:pPr>
      <w:r w:rsidRPr="00A67B4D">
        <w:rPr>
          <w:rFonts w:ascii="GHEA Grapalat" w:hAnsi="GHEA Grapalat"/>
          <w:b/>
          <w:sz w:val="22"/>
          <w:szCs w:val="22"/>
          <w:lang w:val="hy-AM"/>
        </w:rPr>
        <w:t xml:space="preserve">Գյուղատնտեսություն: </w:t>
      </w:r>
      <w:r w:rsidRPr="00A67B4D">
        <w:rPr>
          <w:rFonts w:ascii="GHEA Grapalat" w:hAnsi="GHEA Grapalat"/>
          <w:sz w:val="22"/>
          <w:szCs w:val="22"/>
          <w:lang w:val="hy-AM"/>
        </w:rPr>
        <w:t>Գյուղատնտեսությունը երկնիշ աճի ցուցանիշ է արձանագրել` պայմանավորված բուսաբուծության աճով: 2015 թվականի հունվար-հունիսին գյուղատնտեսության համախառն թողարկումն աճել է իրական արտահայտությամբ 15.3%-ով: Գյուղատնտեսության աճը հիմնականում պայմանավորված էր բուսաբուծության 38.7% աճով: Անասնաբուծությունը և ձկնորսությունը նույնպես նպաստել են գյուղատնտեսությանը՝ աճելով 4.5%</w:t>
      </w:r>
      <w:r w:rsidR="00CB4190" w:rsidRPr="00D76CE2">
        <w:rPr>
          <w:rFonts w:ascii="GHEA Grapalat" w:hAnsi="GHEA Grapalat"/>
          <w:sz w:val="22"/>
          <w:szCs w:val="22"/>
          <w:lang w:val="hy-AM"/>
        </w:rPr>
        <w:t>-ով</w:t>
      </w:r>
      <w:r w:rsidRPr="00A67B4D">
        <w:rPr>
          <w:rFonts w:ascii="GHEA Grapalat" w:hAnsi="GHEA Grapalat"/>
          <w:sz w:val="22"/>
          <w:szCs w:val="22"/>
          <w:lang w:val="hy-AM"/>
        </w:rPr>
        <w:t xml:space="preserve"> և 29.6%-ով: Անասնաբուծության ճյուղի աճը պայմանավորված էր մսի արտադրու</w:t>
      </w:r>
      <w:r w:rsidRPr="00A67B4D">
        <w:rPr>
          <w:rFonts w:ascii="GHEA Grapalat" w:hAnsi="GHEA Grapalat"/>
          <w:sz w:val="22"/>
          <w:szCs w:val="22"/>
          <w:lang w:val="hy-AM"/>
        </w:rPr>
        <w:softHyphen/>
        <w:t>թյան</w:t>
      </w:r>
      <w:r w:rsidR="00CB4190" w:rsidRPr="00D76CE2">
        <w:rPr>
          <w:rFonts w:ascii="GHEA Grapalat" w:hAnsi="GHEA Grapalat"/>
          <w:sz w:val="22"/>
          <w:szCs w:val="22"/>
          <w:lang w:val="hy-AM"/>
        </w:rPr>
        <w:t>՝</w:t>
      </w:r>
      <w:r w:rsidRPr="00A67B4D">
        <w:rPr>
          <w:rFonts w:ascii="GHEA Grapalat" w:hAnsi="GHEA Grapalat"/>
          <w:sz w:val="22"/>
          <w:szCs w:val="22"/>
          <w:lang w:val="hy-AM"/>
        </w:rPr>
        <w:t xml:space="preserve"> 4.9%, կաթի արտադրության</w:t>
      </w:r>
      <w:r w:rsidR="00CB4190" w:rsidRPr="00D76CE2">
        <w:rPr>
          <w:rFonts w:ascii="GHEA Grapalat" w:hAnsi="GHEA Grapalat"/>
          <w:sz w:val="22"/>
          <w:szCs w:val="22"/>
          <w:lang w:val="hy-AM"/>
        </w:rPr>
        <w:t>՝</w:t>
      </w:r>
      <w:r w:rsidRPr="00A67B4D">
        <w:rPr>
          <w:rFonts w:ascii="GHEA Grapalat" w:hAnsi="GHEA Grapalat"/>
          <w:sz w:val="22"/>
          <w:szCs w:val="22"/>
          <w:lang w:val="hy-AM"/>
        </w:rPr>
        <w:t xml:space="preserve"> 3.8% և ձվի արտադրության 0.7% աճերով: </w:t>
      </w:r>
    </w:p>
    <w:p w:rsidR="00A67B4D" w:rsidRPr="00A67B4D" w:rsidRDefault="00A67B4D" w:rsidP="00A67B4D">
      <w:pPr>
        <w:tabs>
          <w:tab w:val="right" w:pos="8640"/>
        </w:tabs>
        <w:spacing w:line="360" w:lineRule="auto"/>
        <w:ind w:firstLine="540"/>
        <w:jc w:val="both"/>
        <w:rPr>
          <w:rFonts w:ascii="GHEA Grapalat" w:hAnsi="GHEA Grapalat"/>
          <w:sz w:val="22"/>
          <w:szCs w:val="22"/>
          <w:lang w:val="hy-AM"/>
        </w:rPr>
      </w:pPr>
      <w:r w:rsidRPr="00A67B4D">
        <w:rPr>
          <w:rFonts w:ascii="GHEA Grapalat" w:hAnsi="GHEA Grapalat"/>
          <w:b/>
          <w:sz w:val="22"/>
          <w:szCs w:val="22"/>
          <w:lang w:val="hy-AM"/>
        </w:rPr>
        <w:t>Շինարարություն:</w:t>
      </w:r>
      <w:r w:rsidRPr="00A67B4D">
        <w:rPr>
          <w:rFonts w:ascii="GHEA Grapalat" w:hAnsi="GHEA Grapalat"/>
          <w:sz w:val="22"/>
          <w:szCs w:val="22"/>
          <w:lang w:val="hy-AM"/>
        </w:rPr>
        <w:t xml:space="preserve"> Շինարարությունը հ</w:t>
      </w:r>
      <w:r w:rsidR="00CB4190">
        <w:rPr>
          <w:rFonts w:ascii="GHEA Grapalat" w:hAnsi="GHEA Grapalat"/>
          <w:sz w:val="22"/>
          <w:szCs w:val="22"/>
          <w:lang w:val="hy-AM"/>
        </w:rPr>
        <w:t>ամեստ աճի միտում է դրսևորել, որ</w:t>
      </w:r>
      <w:r w:rsidR="00CB4190" w:rsidRPr="00D76CE2">
        <w:rPr>
          <w:rFonts w:ascii="GHEA Grapalat" w:hAnsi="GHEA Grapalat"/>
          <w:sz w:val="22"/>
          <w:szCs w:val="22"/>
          <w:lang w:val="hy-AM"/>
        </w:rPr>
        <w:t>ը</w:t>
      </w:r>
      <w:r w:rsidRPr="00A67B4D">
        <w:rPr>
          <w:rFonts w:ascii="GHEA Grapalat" w:hAnsi="GHEA Grapalat"/>
          <w:sz w:val="22"/>
          <w:szCs w:val="22"/>
          <w:lang w:val="hy-AM"/>
        </w:rPr>
        <w:t xml:space="preserve"> հիմնականում ֆինանսավորվել է բնակչության միջոցների հաշվին: 2015 թվականի հունվար-հունիսին շինարարությունն իրական արտահայտությամբ աճել է 0.6%-ով: Շինարարության ծավալների ա</w:t>
      </w:r>
      <w:r w:rsidRPr="00A67B4D">
        <w:rPr>
          <w:rFonts w:ascii="GHEA Grapalat" w:hAnsi="GHEA Grapalat"/>
          <w:sz w:val="22"/>
          <w:szCs w:val="22"/>
          <w:lang w:val="hy-AM"/>
        </w:rPr>
        <w:softHyphen/>
        <w:t>ճին հիմնականում դրական</w:t>
      </w:r>
      <w:r w:rsidR="00CB4190" w:rsidRPr="00D76CE2">
        <w:rPr>
          <w:rFonts w:ascii="GHEA Grapalat" w:hAnsi="GHEA Grapalat"/>
          <w:sz w:val="22"/>
          <w:szCs w:val="22"/>
          <w:lang w:val="hy-AM"/>
        </w:rPr>
        <w:t>որեն</w:t>
      </w:r>
      <w:r w:rsidRPr="00A67B4D">
        <w:rPr>
          <w:rFonts w:ascii="GHEA Grapalat" w:hAnsi="GHEA Grapalat"/>
          <w:sz w:val="22"/>
          <w:szCs w:val="22"/>
          <w:lang w:val="hy-AM"/>
        </w:rPr>
        <w:t xml:space="preserve"> է նպաստել բնակչության միջոցների հաշվին իրականացված շինարարության աճը (15%): Շինարարությանը բացասա</w:t>
      </w:r>
      <w:r w:rsidR="00CB4190" w:rsidRPr="00D76CE2">
        <w:rPr>
          <w:rFonts w:ascii="GHEA Grapalat" w:hAnsi="GHEA Grapalat"/>
          <w:sz w:val="22"/>
          <w:szCs w:val="22"/>
          <w:lang w:val="hy-AM"/>
        </w:rPr>
        <w:t>բար</w:t>
      </w:r>
      <w:r w:rsidRPr="00A67B4D">
        <w:rPr>
          <w:rFonts w:ascii="GHEA Grapalat" w:hAnsi="GHEA Grapalat"/>
          <w:sz w:val="22"/>
          <w:szCs w:val="22"/>
          <w:lang w:val="hy-AM"/>
        </w:rPr>
        <w:t xml:space="preserve"> </w:t>
      </w:r>
      <w:r w:rsidR="00CB4190" w:rsidRPr="00D76CE2">
        <w:rPr>
          <w:rFonts w:ascii="GHEA Grapalat" w:hAnsi="GHEA Grapalat"/>
          <w:sz w:val="22"/>
          <w:szCs w:val="22"/>
          <w:lang w:val="hy-AM"/>
        </w:rPr>
        <w:t>է</w:t>
      </w:r>
      <w:r w:rsidRPr="00A67B4D">
        <w:rPr>
          <w:rFonts w:ascii="GHEA Grapalat" w:hAnsi="GHEA Grapalat"/>
          <w:sz w:val="22"/>
          <w:szCs w:val="22"/>
          <w:lang w:val="hy-AM"/>
        </w:rPr>
        <w:t xml:space="preserve"> նպաստել համայնքների միջոցների (74,9%), կազ</w:t>
      </w:r>
      <w:r w:rsidRPr="00A67B4D">
        <w:rPr>
          <w:rFonts w:ascii="GHEA Grapalat" w:hAnsi="GHEA Grapalat"/>
          <w:sz w:val="22"/>
          <w:szCs w:val="22"/>
          <w:lang w:val="hy-AM"/>
        </w:rPr>
        <w:softHyphen/>
        <w:t>մա</w:t>
      </w:r>
      <w:r w:rsidRPr="00A67B4D">
        <w:rPr>
          <w:rFonts w:ascii="GHEA Grapalat" w:hAnsi="GHEA Grapalat"/>
          <w:sz w:val="22"/>
          <w:szCs w:val="22"/>
          <w:lang w:val="hy-AM"/>
        </w:rPr>
        <w:softHyphen/>
        <w:t xml:space="preserve">կերպությունների միջոցների (0,6%) հաշվին իրականացված շինարարությունների նվազումը: </w:t>
      </w:r>
    </w:p>
    <w:p w:rsidR="00A67B4D" w:rsidRPr="00A67B4D" w:rsidRDefault="00A67B4D" w:rsidP="00A67B4D">
      <w:pPr>
        <w:tabs>
          <w:tab w:val="right" w:pos="8640"/>
        </w:tabs>
        <w:spacing w:line="360" w:lineRule="auto"/>
        <w:ind w:firstLine="540"/>
        <w:jc w:val="both"/>
        <w:rPr>
          <w:rFonts w:ascii="GHEA Grapalat" w:hAnsi="GHEA Grapalat"/>
          <w:sz w:val="22"/>
          <w:szCs w:val="22"/>
          <w:lang w:val="hy-AM"/>
        </w:rPr>
      </w:pPr>
      <w:r w:rsidRPr="00A67B4D">
        <w:rPr>
          <w:rFonts w:ascii="GHEA Grapalat" w:hAnsi="GHEA Grapalat"/>
          <w:sz w:val="22"/>
          <w:szCs w:val="22"/>
          <w:lang w:val="hy-AM"/>
        </w:rPr>
        <w:t>Ըստ տնտեսական գործունեության տեսակների շինարարությանը հիմնականում դրական</w:t>
      </w:r>
      <w:r w:rsidR="00CB4190" w:rsidRPr="00D76CE2">
        <w:rPr>
          <w:rFonts w:ascii="GHEA Grapalat" w:hAnsi="GHEA Grapalat"/>
          <w:sz w:val="22"/>
          <w:szCs w:val="22"/>
          <w:lang w:val="hy-AM"/>
        </w:rPr>
        <w:t>որեն</w:t>
      </w:r>
      <w:r w:rsidRPr="00A67B4D">
        <w:rPr>
          <w:rFonts w:ascii="GHEA Grapalat" w:hAnsi="GHEA Grapalat"/>
          <w:sz w:val="22"/>
          <w:szCs w:val="22"/>
          <w:lang w:val="hy-AM"/>
        </w:rPr>
        <w:t xml:space="preserve"> են նպաստել անշարժ գույքի հետ կապված գործունեությանը (15,1%), կացության և հանրային սննդի (58,1%), ինչպես նաև մշակույթ, զվարճություններ և հանգստի (120%) ծառայությունների ենթաճյուղերին ուղղվող աճերը:</w:t>
      </w:r>
    </w:p>
    <w:p w:rsidR="00A67B4D" w:rsidRPr="00A67B4D" w:rsidRDefault="00A67B4D" w:rsidP="00A67B4D">
      <w:pPr>
        <w:tabs>
          <w:tab w:val="right" w:pos="8640"/>
        </w:tabs>
        <w:spacing w:line="360" w:lineRule="auto"/>
        <w:ind w:firstLine="540"/>
        <w:jc w:val="both"/>
        <w:rPr>
          <w:rFonts w:ascii="GHEA Grapalat" w:hAnsi="GHEA Grapalat"/>
          <w:sz w:val="22"/>
          <w:szCs w:val="22"/>
          <w:lang w:val="hy-AM"/>
        </w:rPr>
      </w:pPr>
      <w:r w:rsidRPr="00A67B4D">
        <w:rPr>
          <w:rFonts w:ascii="GHEA Grapalat" w:hAnsi="GHEA Grapalat"/>
          <w:sz w:val="22"/>
          <w:szCs w:val="22"/>
          <w:lang w:val="hy-AM"/>
        </w:rPr>
        <w:t>Ըստ տնտեսական գործունեության տեսակների շինարարությանը բացասա</w:t>
      </w:r>
      <w:r w:rsidR="00CB4190" w:rsidRPr="00D76CE2">
        <w:rPr>
          <w:rFonts w:ascii="GHEA Grapalat" w:hAnsi="GHEA Grapalat"/>
          <w:sz w:val="22"/>
          <w:szCs w:val="22"/>
          <w:lang w:val="hy-AM"/>
        </w:rPr>
        <w:t>բար</w:t>
      </w:r>
      <w:r w:rsidRPr="00A67B4D">
        <w:rPr>
          <w:rFonts w:ascii="GHEA Grapalat" w:hAnsi="GHEA Grapalat"/>
          <w:sz w:val="22"/>
          <w:szCs w:val="22"/>
          <w:lang w:val="hy-AM"/>
        </w:rPr>
        <w:t xml:space="preserve"> են նպաստել տրանսպորտին (-36.9%), մշակող արդյունաբերությանը (-45,1%), հանքագործությանն (-36.6%) ու էլեկտարականությանն</w:t>
      </w:r>
      <w:r w:rsidRPr="00D76CE2">
        <w:rPr>
          <w:rFonts w:ascii="GHEA Grapalat" w:hAnsi="GHEA Grapalat"/>
          <w:sz w:val="22"/>
          <w:szCs w:val="22"/>
          <w:lang w:val="hy-AM"/>
        </w:rPr>
        <w:t xml:space="preserve"> </w:t>
      </w:r>
      <w:r w:rsidRPr="00A67B4D">
        <w:rPr>
          <w:rFonts w:ascii="GHEA Grapalat" w:hAnsi="GHEA Grapalat"/>
          <w:sz w:val="22"/>
          <w:szCs w:val="22"/>
          <w:lang w:val="hy-AM"/>
        </w:rPr>
        <w:t xml:space="preserve">(-21,4%) ուղղված շինարարությունների նվազումները: </w:t>
      </w:r>
    </w:p>
    <w:p w:rsidR="00A67B4D" w:rsidRPr="00A67B4D" w:rsidRDefault="00A67B4D" w:rsidP="00A67B4D">
      <w:pPr>
        <w:tabs>
          <w:tab w:val="right" w:pos="8640"/>
        </w:tabs>
        <w:spacing w:line="360" w:lineRule="auto"/>
        <w:ind w:firstLine="540"/>
        <w:jc w:val="both"/>
        <w:rPr>
          <w:rFonts w:ascii="GHEA Grapalat" w:hAnsi="GHEA Grapalat"/>
          <w:sz w:val="22"/>
          <w:szCs w:val="22"/>
          <w:lang w:val="hy-AM"/>
        </w:rPr>
      </w:pPr>
      <w:r w:rsidRPr="00A67B4D">
        <w:rPr>
          <w:rFonts w:ascii="GHEA Grapalat" w:hAnsi="GHEA Grapalat"/>
          <w:b/>
          <w:sz w:val="22"/>
          <w:szCs w:val="22"/>
          <w:lang w:val="hy-AM"/>
        </w:rPr>
        <w:t>Ծառայություններ և առևտուր:</w:t>
      </w:r>
      <w:r w:rsidRPr="00A67B4D">
        <w:rPr>
          <w:rFonts w:ascii="GHEA Grapalat" w:hAnsi="GHEA Grapalat"/>
          <w:sz w:val="22"/>
          <w:szCs w:val="22"/>
          <w:lang w:val="hy-AM"/>
        </w:rPr>
        <w:t xml:space="preserve"> 201</w:t>
      </w:r>
      <w:r w:rsidR="000B6CA6" w:rsidRPr="00D76CE2">
        <w:rPr>
          <w:rFonts w:ascii="GHEA Grapalat" w:hAnsi="GHEA Grapalat"/>
          <w:sz w:val="22"/>
          <w:szCs w:val="22"/>
          <w:lang w:val="hy-AM"/>
        </w:rPr>
        <w:t>5</w:t>
      </w:r>
      <w:r w:rsidRPr="00A67B4D">
        <w:rPr>
          <w:rFonts w:ascii="GHEA Grapalat" w:hAnsi="GHEA Grapalat"/>
          <w:sz w:val="22"/>
          <w:szCs w:val="22"/>
          <w:lang w:val="hy-AM"/>
        </w:rPr>
        <w:t xml:space="preserve"> թվականի հունվար-հունիսին ծառայությունների աճը զիջել է տնտեսական ակտիվության աճին: Մատուցված ծառա</w:t>
      </w:r>
      <w:r w:rsidRPr="00A67B4D">
        <w:rPr>
          <w:rFonts w:ascii="GHEA Grapalat" w:hAnsi="GHEA Grapalat"/>
          <w:sz w:val="22"/>
          <w:szCs w:val="22"/>
          <w:lang w:val="hy-AM"/>
        </w:rPr>
        <w:softHyphen/>
        <w:t>յու</w:t>
      </w:r>
      <w:r w:rsidRPr="00A67B4D">
        <w:rPr>
          <w:rFonts w:ascii="GHEA Grapalat" w:hAnsi="GHEA Grapalat"/>
          <w:sz w:val="22"/>
          <w:szCs w:val="22"/>
          <w:lang w:val="hy-AM"/>
        </w:rPr>
        <w:softHyphen/>
        <w:t>թյունների ծավալը նախորդ տարվա նույն ժամանակահատվածի նկատմամբ իրական ար</w:t>
      </w:r>
      <w:r w:rsidRPr="00A67B4D">
        <w:rPr>
          <w:rFonts w:ascii="GHEA Grapalat" w:hAnsi="GHEA Grapalat"/>
          <w:sz w:val="22"/>
          <w:szCs w:val="22"/>
          <w:lang w:val="hy-AM"/>
        </w:rPr>
        <w:softHyphen/>
        <w:t>տա</w:t>
      </w:r>
      <w:r w:rsidRPr="00A67B4D">
        <w:rPr>
          <w:rFonts w:ascii="GHEA Grapalat" w:hAnsi="GHEA Grapalat"/>
          <w:sz w:val="22"/>
          <w:szCs w:val="22"/>
          <w:lang w:val="hy-AM"/>
        </w:rPr>
        <w:softHyphen/>
        <w:t>հայտությամբ աճել է 3.3%-ով, որին հիմնականում նպաստել են մշակույթի, զվարճու</w:t>
      </w:r>
      <w:r w:rsidRPr="00A67B4D">
        <w:rPr>
          <w:rFonts w:ascii="GHEA Grapalat" w:hAnsi="GHEA Grapalat"/>
          <w:sz w:val="22"/>
          <w:szCs w:val="22"/>
          <w:lang w:val="hy-AM"/>
        </w:rPr>
        <w:softHyphen/>
        <w:t>թյուն</w:t>
      </w:r>
      <w:r w:rsidRPr="00A67B4D">
        <w:rPr>
          <w:rFonts w:ascii="GHEA Grapalat" w:hAnsi="GHEA Grapalat"/>
          <w:sz w:val="22"/>
          <w:szCs w:val="22"/>
          <w:lang w:val="hy-AM"/>
        </w:rPr>
        <w:softHyphen/>
        <w:t>ների և հանգստի (72</w:t>
      </w:r>
      <w:r w:rsidR="004A3D77" w:rsidRPr="00D76CE2">
        <w:rPr>
          <w:rFonts w:ascii="GHEA Grapalat" w:hAnsi="GHEA Grapalat"/>
          <w:sz w:val="22"/>
          <w:szCs w:val="22"/>
          <w:lang w:val="hy-AM"/>
        </w:rPr>
        <w:t>.</w:t>
      </w:r>
      <w:r w:rsidRPr="00A67B4D">
        <w:rPr>
          <w:rFonts w:ascii="GHEA Grapalat" w:hAnsi="GHEA Grapalat"/>
          <w:sz w:val="22"/>
          <w:szCs w:val="22"/>
          <w:lang w:val="hy-AM"/>
        </w:rPr>
        <w:t>9%) և ֆինանսական և ապահովագրական գործունեության (5</w:t>
      </w:r>
      <w:r w:rsidR="004A3D77" w:rsidRPr="00D76CE2">
        <w:rPr>
          <w:rFonts w:ascii="GHEA Grapalat" w:hAnsi="GHEA Grapalat"/>
          <w:sz w:val="22"/>
          <w:szCs w:val="22"/>
          <w:lang w:val="hy-AM"/>
        </w:rPr>
        <w:t>.</w:t>
      </w:r>
      <w:r w:rsidRPr="00A67B4D">
        <w:rPr>
          <w:rFonts w:ascii="GHEA Grapalat" w:hAnsi="GHEA Grapalat"/>
          <w:sz w:val="22"/>
          <w:szCs w:val="22"/>
          <w:lang w:val="hy-AM"/>
        </w:rPr>
        <w:t xml:space="preserve">8%) աճերը: </w:t>
      </w:r>
    </w:p>
    <w:p w:rsidR="00A67B4D" w:rsidRPr="00A67B4D" w:rsidRDefault="00A67B4D" w:rsidP="00A67B4D">
      <w:pPr>
        <w:tabs>
          <w:tab w:val="right" w:pos="8640"/>
        </w:tabs>
        <w:spacing w:line="360" w:lineRule="auto"/>
        <w:ind w:firstLine="540"/>
        <w:jc w:val="both"/>
        <w:rPr>
          <w:rFonts w:ascii="GHEA Grapalat" w:hAnsi="GHEA Grapalat"/>
          <w:sz w:val="22"/>
          <w:szCs w:val="22"/>
          <w:lang w:val="hy-AM"/>
        </w:rPr>
      </w:pPr>
      <w:r w:rsidRPr="00A67B4D">
        <w:rPr>
          <w:rFonts w:ascii="GHEA Grapalat" w:hAnsi="GHEA Grapalat"/>
          <w:sz w:val="22"/>
          <w:szCs w:val="22"/>
          <w:lang w:val="hy-AM"/>
        </w:rPr>
        <w:t>Ծառայությունների աճին բացասա</w:t>
      </w:r>
      <w:r w:rsidR="004A3D77" w:rsidRPr="00D76CE2">
        <w:rPr>
          <w:rFonts w:ascii="GHEA Grapalat" w:hAnsi="GHEA Grapalat"/>
          <w:sz w:val="22"/>
          <w:szCs w:val="22"/>
          <w:lang w:val="hy-AM"/>
        </w:rPr>
        <w:t>բար</w:t>
      </w:r>
      <w:r w:rsidRPr="00A67B4D">
        <w:rPr>
          <w:rFonts w:ascii="GHEA Grapalat" w:hAnsi="GHEA Grapalat"/>
          <w:sz w:val="22"/>
          <w:szCs w:val="22"/>
          <w:lang w:val="hy-AM"/>
        </w:rPr>
        <w:t xml:space="preserve"> են նպաստել հիմնականում տեղեկատվության ու կապի (-5</w:t>
      </w:r>
      <w:r w:rsidR="000B6CA6" w:rsidRPr="00D76CE2">
        <w:rPr>
          <w:rFonts w:ascii="GHEA Grapalat" w:hAnsi="GHEA Grapalat"/>
          <w:sz w:val="22"/>
          <w:szCs w:val="22"/>
          <w:lang w:val="hy-AM"/>
        </w:rPr>
        <w:t>.</w:t>
      </w:r>
      <w:r w:rsidRPr="00A67B4D">
        <w:rPr>
          <w:rFonts w:ascii="GHEA Grapalat" w:hAnsi="GHEA Grapalat"/>
          <w:sz w:val="22"/>
          <w:szCs w:val="22"/>
          <w:lang w:val="hy-AM"/>
        </w:rPr>
        <w:t xml:space="preserve">1%), վարչարարական օժանդակ գործունեության (-26.4%), ինչպես նաև տրանսպորտի ենթաճյուղերը (-1.9%): </w:t>
      </w:r>
    </w:p>
    <w:p w:rsidR="00A67B4D" w:rsidRPr="00A67B4D" w:rsidRDefault="00A67B4D" w:rsidP="00A67B4D">
      <w:pPr>
        <w:tabs>
          <w:tab w:val="right" w:pos="8640"/>
        </w:tabs>
        <w:spacing w:line="360" w:lineRule="auto"/>
        <w:ind w:firstLine="540"/>
        <w:jc w:val="both"/>
        <w:rPr>
          <w:rFonts w:ascii="GHEA Grapalat" w:hAnsi="GHEA Grapalat"/>
          <w:sz w:val="22"/>
          <w:szCs w:val="22"/>
          <w:lang w:val="hy-AM"/>
        </w:rPr>
      </w:pPr>
      <w:r w:rsidRPr="000B6CA6">
        <w:rPr>
          <w:rFonts w:ascii="GHEA Grapalat" w:hAnsi="GHEA Grapalat"/>
          <w:sz w:val="22"/>
          <w:szCs w:val="22"/>
          <w:lang w:val="hy-AM"/>
        </w:rPr>
        <w:lastRenderedPageBreak/>
        <w:t>201</w:t>
      </w:r>
      <w:r w:rsidR="000B6CA6" w:rsidRPr="00D76CE2">
        <w:rPr>
          <w:rFonts w:ascii="GHEA Grapalat" w:hAnsi="GHEA Grapalat"/>
          <w:sz w:val="22"/>
          <w:szCs w:val="22"/>
          <w:lang w:val="hy-AM"/>
        </w:rPr>
        <w:t>5</w:t>
      </w:r>
      <w:r w:rsidRPr="000B6CA6">
        <w:rPr>
          <w:rFonts w:ascii="GHEA Grapalat" w:hAnsi="GHEA Grapalat"/>
          <w:sz w:val="22"/>
          <w:szCs w:val="22"/>
          <w:lang w:val="hy-AM"/>
        </w:rPr>
        <w:t xml:space="preserve"> թվականի հունվար-հունիս ամիսներին առևտրի շրջանառություն</w:t>
      </w:r>
      <w:r w:rsidR="000B6CA6" w:rsidRPr="00D76CE2">
        <w:rPr>
          <w:rFonts w:ascii="GHEA Grapalat" w:hAnsi="GHEA Grapalat"/>
          <w:sz w:val="22"/>
          <w:szCs w:val="22"/>
          <w:lang w:val="hy-AM"/>
        </w:rPr>
        <w:t>ը</w:t>
      </w:r>
      <w:r w:rsidRPr="000B6CA6">
        <w:rPr>
          <w:rFonts w:ascii="GHEA Grapalat" w:hAnsi="GHEA Grapalat"/>
          <w:sz w:val="22"/>
          <w:szCs w:val="22"/>
          <w:lang w:val="hy-AM"/>
        </w:rPr>
        <w:t xml:space="preserve"> նախորդ տարվա նույն</w:t>
      </w:r>
      <w:r w:rsidRPr="00A67B4D">
        <w:rPr>
          <w:rFonts w:ascii="GHEA Grapalat" w:hAnsi="GHEA Grapalat"/>
          <w:sz w:val="22"/>
          <w:szCs w:val="22"/>
          <w:lang w:val="hy-AM"/>
        </w:rPr>
        <w:t xml:space="preserve"> ժամանակաշրջանի համեմատ հա</w:t>
      </w:r>
      <w:r w:rsidRPr="00A67B4D">
        <w:rPr>
          <w:rFonts w:ascii="GHEA Grapalat" w:hAnsi="GHEA Grapalat"/>
          <w:sz w:val="22"/>
          <w:szCs w:val="22"/>
          <w:lang w:val="hy-AM"/>
        </w:rPr>
        <w:softHyphen/>
        <w:t>մա</w:t>
      </w:r>
      <w:r w:rsidRPr="00A67B4D">
        <w:rPr>
          <w:rFonts w:ascii="GHEA Grapalat" w:hAnsi="GHEA Grapalat"/>
          <w:sz w:val="22"/>
          <w:szCs w:val="22"/>
          <w:lang w:val="hy-AM"/>
        </w:rPr>
        <w:softHyphen/>
        <w:t xml:space="preserve">դրելի գներով նվազել է 5.1%-ով: Առևտրի անկումը պայմանավորվել է մանրածախ, մեծածախ և ավտոմեքենաների առևտրի շրջանառության ծավալների համապատասխանաբար 6.7%, 2.4% և 6.0% նվազմամբ: </w:t>
      </w:r>
    </w:p>
    <w:p w:rsidR="00A67B4D" w:rsidRPr="00A67B4D" w:rsidRDefault="00A67B4D" w:rsidP="00A67B4D">
      <w:pPr>
        <w:tabs>
          <w:tab w:val="right" w:pos="8640"/>
        </w:tabs>
        <w:spacing w:line="360" w:lineRule="auto"/>
        <w:ind w:firstLine="540"/>
        <w:jc w:val="both"/>
        <w:rPr>
          <w:rFonts w:ascii="GHEA Grapalat" w:hAnsi="GHEA Grapalat"/>
          <w:sz w:val="22"/>
          <w:szCs w:val="22"/>
          <w:lang w:val="hy-AM"/>
        </w:rPr>
      </w:pPr>
      <w:r w:rsidRPr="00A67B4D">
        <w:rPr>
          <w:rFonts w:ascii="GHEA Grapalat" w:hAnsi="GHEA Grapalat"/>
          <w:sz w:val="22"/>
          <w:szCs w:val="22"/>
          <w:lang w:val="hy-AM"/>
        </w:rPr>
        <w:t>Առևտրի նվազումը և ծառայությունների դանդաղ աճը հիմնականում արտերկրից դրամական փոխանցումներից զուտ ներհոսքի կտրուկ նվազման արդյունքում բնակչության իրական տնօրինվող եկամուտների կրճատման, ինչպես նաև վարկավորման ծավալների իրական նվազման հետևանք են:</w:t>
      </w:r>
    </w:p>
    <w:p w:rsidR="00A67B4D" w:rsidRPr="00A67B4D" w:rsidRDefault="00A67B4D" w:rsidP="00A67B4D">
      <w:pPr>
        <w:tabs>
          <w:tab w:val="right" w:pos="8640"/>
        </w:tabs>
        <w:spacing w:line="360" w:lineRule="auto"/>
        <w:ind w:firstLine="540"/>
        <w:jc w:val="both"/>
        <w:rPr>
          <w:rFonts w:ascii="GHEA Grapalat" w:hAnsi="GHEA Grapalat"/>
          <w:sz w:val="22"/>
          <w:szCs w:val="22"/>
          <w:lang w:val="hy-AM"/>
        </w:rPr>
      </w:pPr>
      <w:r w:rsidRPr="00A67B4D">
        <w:rPr>
          <w:rFonts w:ascii="GHEA Grapalat" w:hAnsi="GHEA Grapalat"/>
          <w:b/>
          <w:sz w:val="22"/>
          <w:szCs w:val="22"/>
          <w:lang w:val="hy-AM"/>
        </w:rPr>
        <w:t>Տրանսպորտ և կապ:</w:t>
      </w:r>
      <w:r w:rsidRPr="00A67B4D">
        <w:rPr>
          <w:rFonts w:ascii="GHEA Grapalat" w:hAnsi="GHEA Grapalat"/>
          <w:sz w:val="22"/>
          <w:szCs w:val="22"/>
          <w:lang w:val="hy-AM"/>
        </w:rPr>
        <w:t xml:space="preserve"> 2015 թվականի հունվար-հունիսին հանրապետությունում ընդհանուր օգտագործման տրանսպորտով բեռնափոխադրումների ծավալը</w:t>
      </w:r>
      <w:r w:rsidR="004A3D77" w:rsidRPr="00D76CE2">
        <w:rPr>
          <w:rFonts w:ascii="GHEA Grapalat" w:hAnsi="GHEA Grapalat"/>
          <w:sz w:val="22"/>
          <w:szCs w:val="22"/>
          <w:lang w:val="hy-AM"/>
        </w:rPr>
        <w:t>՝</w:t>
      </w:r>
      <w:r w:rsidRPr="00A67B4D">
        <w:rPr>
          <w:rFonts w:ascii="GHEA Grapalat" w:hAnsi="GHEA Grapalat"/>
          <w:sz w:val="22"/>
          <w:szCs w:val="22"/>
          <w:lang w:val="hy-AM"/>
        </w:rPr>
        <w:t xml:space="preserve"> դանդաղ աճի, իսկ ուղևորափոխադրումների ծավալը նվազման միտում </w:t>
      </w:r>
      <w:r w:rsidR="000C1E9E" w:rsidRPr="00D76CE2">
        <w:rPr>
          <w:rFonts w:ascii="GHEA Grapalat" w:hAnsi="GHEA Grapalat"/>
          <w:sz w:val="22"/>
          <w:szCs w:val="22"/>
          <w:lang w:val="hy-AM"/>
        </w:rPr>
        <w:t>է</w:t>
      </w:r>
      <w:r w:rsidRPr="00A67B4D">
        <w:rPr>
          <w:rFonts w:ascii="GHEA Grapalat" w:hAnsi="GHEA Grapalat"/>
          <w:sz w:val="22"/>
          <w:szCs w:val="22"/>
          <w:lang w:val="hy-AM"/>
        </w:rPr>
        <w:t xml:space="preserve"> դրսևորել:</w:t>
      </w:r>
    </w:p>
    <w:p w:rsidR="00A67B4D" w:rsidRPr="00A67B4D" w:rsidRDefault="00A67B4D" w:rsidP="00A67B4D">
      <w:pPr>
        <w:tabs>
          <w:tab w:val="right" w:pos="8640"/>
        </w:tabs>
        <w:spacing w:line="360" w:lineRule="auto"/>
        <w:ind w:firstLine="540"/>
        <w:jc w:val="both"/>
        <w:rPr>
          <w:rFonts w:ascii="GHEA Grapalat" w:hAnsi="GHEA Grapalat"/>
          <w:sz w:val="22"/>
          <w:szCs w:val="22"/>
          <w:lang w:val="hy-AM"/>
        </w:rPr>
      </w:pPr>
      <w:r w:rsidRPr="00A67B4D">
        <w:rPr>
          <w:rFonts w:ascii="GHEA Grapalat" w:hAnsi="GHEA Grapalat"/>
          <w:sz w:val="22"/>
          <w:szCs w:val="22"/>
          <w:lang w:val="hy-AM"/>
        </w:rPr>
        <w:t>Ընդհանուր օգտագործման տրանսպորտով բեռնափոխադրումների ծավալն աճել է հիմնականում ավտոմոբիլային տրանսպորտի հաշվին: Արձանագրվել է 2014 թվականի նույն ժամանակաշրջանի համեմատ բեռնափոխադրումների ծավալի 3</w:t>
      </w:r>
      <w:r w:rsidR="000C1E9E" w:rsidRPr="00D76CE2">
        <w:rPr>
          <w:rFonts w:ascii="GHEA Grapalat" w:hAnsi="GHEA Grapalat"/>
          <w:sz w:val="22"/>
          <w:szCs w:val="22"/>
          <w:lang w:val="hy-AM"/>
        </w:rPr>
        <w:t>.</w:t>
      </w:r>
      <w:r w:rsidRPr="00A67B4D">
        <w:rPr>
          <w:rFonts w:ascii="GHEA Grapalat" w:hAnsi="GHEA Grapalat"/>
          <w:sz w:val="22"/>
          <w:szCs w:val="22"/>
          <w:lang w:val="hy-AM"/>
        </w:rPr>
        <w:t xml:space="preserve">6% աճ: Այն պայմանավորված էր ավտոմոբիլային տրանսպորտով բեռնափոխադրումների 18.1% աճով: Ընդհանուր օգտագործման տրանսպորտի մյուս բոլոր տեսակներով բեռնափոխադրումների նվազում է </w:t>
      </w:r>
      <w:r w:rsidR="000C1E9E">
        <w:rPr>
          <w:rFonts w:ascii="GHEA Grapalat" w:hAnsi="GHEA Grapalat"/>
          <w:sz w:val="22"/>
          <w:szCs w:val="22"/>
          <w:lang w:val="hy-AM"/>
        </w:rPr>
        <w:t>արձանագրվել: Այսպես</w:t>
      </w:r>
      <w:r w:rsidR="000C1E9E" w:rsidRPr="00D76CE2">
        <w:rPr>
          <w:rFonts w:ascii="GHEA Grapalat" w:hAnsi="GHEA Grapalat"/>
          <w:sz w:val="22"/>
          <w:szCs w:val="22"/>
          <w:lang w:val="hy-AM"/>
        </w:rPr>
        <w:t>,</w:t>
      </w:r>
      <w:r w:rsidRPr="00A67B4D">
        <w:rPr>
          <w:rFonts w:ascii="GHEA Grapalat" w:hAnsi="GHEA Grapalat"/>
          <w:sz w:val="22"/>
          <w:szCs w:val="22"/>
          <w:lang w:val="hy-AM"/>
        </w:rPr>
        <w:t xml:space="preserve"> բեռնափոխադրումներին էական բացասական նպաստում է ունեցել երկաթուղային տրանսպորտի 11.9%-ով նվազումը, որը պայմանավորված է ներհանրապետական բեռնափոխադրումների 21.6% նվազմամբ: Օդային տրանսպորտով</w:t>
      </w:r>
      <w:r w:rsidRPr="00A67B4D">
        <w:rPr>
          <w:sz w:val="22"/>
          <w:szCs w:val="22"/>
          <w:vertAlign w:val="superscript"/>
          <w:lang w:val="hy-AM"/>
        </w:rPr>
        <w:footnoteReference w:id="2"/>
      </w:r>
      <w:r w:rsidRPr="00A67B4D">
        <w:rPr>
          <w:rFonts w:ascii="GHEA Grapalat" w:hAnsi="GHEA Grapalat"/>
          <w:sz w:val="22"/>
          <w:szCs w:val="22"/>
          <w:lang w:val="hy-AM"/>
        </w:rPr>
        <w:t xml:space="preserve"> և մայրուղային խողովակաշարային տրանսպորտով բեռնափոխադրումները նույնպես նվազել են</w:t>
      </w:r>
      <w:r w:rsidR="000C1E9E" w:rsidRPr="00D76CE2">
        <w:rPr>
          <w:rFonts w:ascii="GHEA Grapalat" w:hAnsi="GHEA Grapalat"/>
          <w:sz w:val="22"/>
          <w:szCs w:val="22"/>
          <w:lang w:val="hy-AM"/>
        </w:rPr>
        <w:t>՝</w:t>
      </w:r>
      <w:r w:rsidRPr="00A67B4D">
        <w:rPr>
          <w:rFonts w:ascii="GHEA Grapalat" w:hAnsi="GHEA Grapalat"/>
          <w:sz w:val="22"/>
          <w:szCs w:val="22"/>
          <w:lang w:val="hy-AM"/>
        </w:rPr>
        <w:t xml:space="preserve"> համապատասխանաբար 15.1%</w:t>
      </w:r>
      <w:r w:rsidR="000C1E9E" w:rsidRPr="00D76CE2">
        <w:rPr>
          <w:rFonts w:ascii="GHEA Grapalat" w:hAnsi="GHEA Grapalat"/>
          <w:sz w:val="22"/>
          <w:szCs w:val="22"/>
          <w:lang w:val="hy-AM"/>
        </w:rPr>
        <w:t>-ով</w:t>
      </w:r>
      <w:r w:rsidRPr="00A67B4D">
        <w:rPr>
          <w:rFonts w:ascii="GHEA Grapalat" w:hAnsi="GHEA Grapalat"/>
          <w:sz w:val="22"/>
          <w:szCs w:val="22"/>
          <w:lang w:val="hy-AM"/>
        </w:rPr>
        <w:t xml:space="preserve"> և 8.8%-ով: </w:t>
      </w:r>
    </w:p>
    <w:p w:rsidR="00A67B4D" w:rsidRPr="00A67B4D" w:rsidRDefault="00A67B4D" w:rsidP="00A67B4D">
      <w:pPr>
        <w:tabs>
          <w:tab w:val="right" w:pos="8640"/>
        </w:tabs>
        <w:spacing w:line="360" w:lineRule="auto"/>
        <w:ind w:firstLine="540"/>
        <w:jc w:val="both"/>
        <w:rPr>
          <w:rFonts w:ascii="GHEA Grapalat" w:hAnsi="GHEA Grapalat"/>
          <w:sz w:val="22"/>
          <w:szCs w:val="22"/>
          <w:lang w:val="hy-AM"/>
        </w:rPr>
      </w:pPr>
      <w:r w:rsidRPr="00A67B4D">
        <w:rPr>
          <w:rFonts w:ascii="GHEA Grapalat" w:hAnsi="GHEA Grapalat"/>
          <w:sz w:val="22"/>
          <w:szCs w:val="22"/>
          <w:lang w:val="hy-AM"/>
        </w:rPr>
        <w:t>Ընդհանուր օգտագործման տրանսպորտով ուղևորափոխադրումների ծավալը նվազել է հիմնականում ավտոմոբիլային տրանսպորտի հաշվին: 2015 թվականի հունվար-հունիսին ուղևորափոխադրումների ծավալը նվազել է 6.6%-ով: Ուղևորափոխադրումների նվազմանը գերակշիռ մասնակցություն է ունեցել ավտոմոբիլային տրանսպորտով ուղևորափոխադրումների 7.4% նվազումը: Երկաթուղային և օդային տրանսպորտով ուղևորափոխադրումները նույնպես նվազել են` համապատասխանաբար 6.8%</w:t>
      </w:r>
      <w:r w:rsidR="000C1E9E" w:rsidRPr="00D76CE2">
        <w:rPr>
          <w:rFonts w:ascii="GHEA Grapalat" w:hAnsi="GHEA Grapalat"/>
          <w:sz w:val="22"/>
          <w:szCs w:val="22"/>
          <w:lang w:val="hy-AM"/>
        </w:rPr>
        <w:t>-ով</w:t>
      </w:r>
      <w:r w:rsidRPr="00A67B4D">
        <w:rPr>
          <w:rFonts w:ascii="GHEA Grapalat" w:hAnsi="GHEA Grapalat"/>
          <w:sz w:val="22"/>
          <w:szCs w:val="22"/>
          <w:lang w:val="hy-AM"/>
        </w:rPr>
        <w:t xml:space="preserve"> և 4.8%-ով: Աննշան՝ 1% աճ է արձանագրվել միայն էլեկտրատրանսպոտով ուղևորափոխադրումների մասով:</w:t>
      </w:r>
    </w:p>
    <w:p w:rsidR="00A67B4D" w:rsidRPr="00A67B4D" w:rsidRDefault="00A67B4D" w:rsidP="00A67B4D">
      <w:pPr>
        <w:spacing w:line="360" w:lineRule="auto"/>
        <w:ind w:firstLine="540"/>
        <w:contextualSpacing/>
        <w:jc w:val="both"/>
        <w:rPr>
          <w:rFonts w:ascii="GHEA Grapalat" w:hAnsi="GHEA Grapalat"/>
          <w:sz w:val="22"/>
          <w:szCs w:val="22"/>
          <w:lang w:val="hy-AM"/>
        </w:rPr>
      </w:pPr>
      <w:r w:rsidRPr="00A67B4D">
        <w:rPr>
          <w:rFonts w:ascii="GHEA Grapalat" w:hAnsi="GHEA Grapalat"/>
          <w:sz w:val="22"/>
          <w:szCs w:val="22"/>
          <w:lang w:val="hy-AM"/>
        </w:rPr>
        <w:t>2015 թվականի հունվար-հունիսին կապի ծառայությունները նվազման միտում են դրսևորել: Կապի ծառայություններից ստացված հասույթը նախորդ տարվա նույն ժամանակաշրջանի նկատմամբ նվազել է 5.4%-ով, ինչը հիմնականում պայմանավորված է հեռահաղորդակցման ծառայությունների 6.0%-ով կրճատմամբ, որը հիմնականում հեռախոսային (լարային) հեռահաղորդակցման ծառայությունների 12,3% նվազման արդյունք է:</w:t>
      </w:r>
    </w:p>
    <w:p w:rsidR="00A67B4D" w:rsidRPr="00A67B4D" w:rsidRDefault="00A67B4D" w:rsidP="00A67B4D">
      <w:pPr>
        <w:spacing w:line="360" w:lineRule="auto"/>
        <w:ind w:firstLine="540"/>
        <w:jc w:val="both"/>
        <w:rPr>
          <w:rFonts w:ascii="GHEA Grapalat" w:hAnsi="GHEA Grapalat"/>
          <w:sz w:val="22"/>
          <w:szCs w:val="22"/>
          <w:lang w:val="hy-AM"/>
        </w:rPr>
      </w:pPr>
    </w:p>
    <w:p w:rsidR="00A67B4D" w:rsidRPr="00D76CE2" w:rsidRDefault="00A67B4D" w:rsidP="00A67B4D">
      <w:pPr>
        <w:spacing w:line="360" w:lineRule="auto"/>
        <w:ind w:firstLine="540"/>
        <w:jc w:val="both"/>
        <w:rPr>
          <w:rFonts w:ascii="GHEA Grapalat" w:hAnsi="GHEA Grapalat" w:cs="Arial LatArm"/>
          <w:b/>
          <w:sz w:val="22"/>
          <w:szCs w:val="22"/>
          <w:lang w:val="hy-AM"/>
        </w:rPr>
      </w:pPr>
      <w:r w:rsidRPr="00D76CE2">
        <w:rPr>
          <w:rFonts w:ascii="GHEA Grapalat" w:hAnsi="GHEA Grapalat" w:cs="Sylfaen"/>
          <w:b/>
          <w:sz w:val="22"/>
          <w:szCs w:val="22"/>
          <w:u w:val="single"/>
          <w:lang w:val="hy-AM"/>
        </w:rPr>
        <w:t>Աշխատանքի</w:t>
      </w:r>
      <w:r w:rsidRPr="00D76CE2">
        <w:rPr>
          <w:rFonts w:ascii="GHEA Grapalat" w:hAnsi="GHEA Grapalat" w:cs="Arial LatArm"/>
          <w:b/>
          <w:sz w:val="22"/>
          <w:szCs w:val="22"/>
          <w:u w:val="single"/>
          <w:lang w:val="hy-AM"/>
        </w:rPr>
        <w:t xml:space="preserve"> </w:t>
      </w:r>
      <w:r w:rsidRPr="00D76CE2">
        <w:rPr>
          <w:rFonts w:ascii="GHEA Grapalat" w:hAnsi="GHEA Grapalat" w:cs="Sylfaen"/>
          <w:b/>
          <w:sz w:val="22"/>
          <w:szCs w:val="22"/>
          <w:u w:val="single"/>
          <w:lang w:val="hy-AM"/>
        </w:rPr>
        <w:t>շուկա</w:t>
      </w:r>
    </w:p>
    <w:p w:rsidR="00A67B4D" w:rsidRPr="00A67B4D" w:rsidRDefault="00A67B4D" w:rsidP="00A67B4D">
      <w:pPr>
        <w:spacing w:line="360" w:lineRule="auto"/>
        <w:ind w:firstLine="540"/>
        <w:contextualSpacing/>
        <w:jc w:val="both"/>
        <w:rPr>
          <w:rFonts w:ascii="GHEA Grapalat" w:hAnsi="GHEA Grapalat"/>
          <w:sz w:val="22"/>
          <w:szCs w:val="22"/>
          <w:lang w:val="hy-AM"/>
        </w:rPr>
      </w:pPr>
      <w:r w:rsidRPr="00A67B4D">
        <w:rPr>
          <w:rFonts w:ascii="GHEA Grapalat" w:hAnsi="GHEA Grapalat"/>
          <w:sz w:val="22"/>
          <w:szCs w:val="22"/>
          <w:lang w:val="hy-AM"/>
        </w:rPr>
        <w:t>Իրական և անվանական աշխատավարձերն աճել են՝ գերազանցելով վերջին տարիներին դրսևորած միտումները: 2015 հունվար-հունիսին միջին ամսական անվանական աշխատավարձը 2014 թվականի նույն ժամանակահատվածում գրանցված ցուցանիշի նկատմամբ աճել է 10.8%-ով` կազմելով 178391 դրամ: Միջին ամսական անվանական աշխատավարձի ցուցանիշները պետական և ոչ պետական հատվածներում աճել են 13.9%</w:t>
      </w:r>
      <w:r w:rsidR="000C1E9E" w:rsidRPr="00D76CE2">
        <w:rPr>
          <w:rFonts w:ascii="GHEA Grapalat" w:hAnsi="GHEA Grapalat"/>
          <w:sz w:val="22"/>
          <w:szCs w:val="22"/>
          <w:lang w:val="hy-AM"/>
        </w:rPr>
        <w:t>-ով</w:t>
      </w:r>
      <w:r w:rsidRPr="00A67B4D">
        <w:rPr>
          <w:rFonts w:ascii="GHEA Grapalat" w:hAnsi="GHEA Grapalat"/>
          <w:sz w:val="22"/>
          <w:szCs w:val="22"/>
          <w:lang w:val="hy-AM"/>
        </w:rPr>
        <w:t xml:space="preserve"> և 7.4</w:t>
      </w:r>
      <w:r w:rsidR="000C1E9E">
        <w:rPr>
          <w:rFonts w:ascii="GHEA Grapalat" w:hAnsi="GHEA Grapalat"/>
          <w:sz w:val="22"/>
          <w:szCs w:val="22"/>
          <w:lang w:val="hy-AM"/>
        </w:rPr>
        <w:t>%-ով` կազմելով համապատասխանաբար</w:t>
      </w:r>
      <w:r w:rsidRPr="00A67B4D">
        <w:rPr>
          <w:rFonts w:ascii="GHEA Grapalat" w:hAnsi="GHEA Grapalat"/>
          <w:sz w:val="22"/>
          <w:szCs w:val="22"/>
          <w:lang w:val="hy-AM"/>
        </w:rPr>
        <w:t xml:space="preserve"> 158358</w:t>
      </w:r>
      <w:r w:rsidR="000C1E9E" w:rsidRPr="00D76CE2">
        <w:rPr>
          <w:rFonts w:ascii="GHEA Grapalat" w:hAnsi="GHEA Grapalat"/>
          <w:sz w:val="22"/>
          <w:szCs w:val="22"/>
          <w:lang w:val="hy-AM"/>
        </w:rPr>
        <w:t xml:space="preserve"> դրամ</w:t>
      </w:r>
      <w:r w:rsidRPr="00A67B4D">
        <w:rPr>
          <w:rFonts w:ascii="GHEA Grapalat" w:hAnsi="GHEA Grapalat"/>
          <w:sz w:val="22"/>
          <w:szCs w:val="22"/>
          <w:lang w:val="hy-AM"/>
        </w:rPr>
        <w:t xml:space="preserve"> և 206816 դրամ: Իրական աշխատավարձը 2014 թվականի նույն ժամանակահատվածի համեմատ աճել է 5.4%-ով: 2015 առաջին կիսամյակում աշխատավարձերի աճը կրել է 2014</w:t>
      </w:r>
      <w:r w:rsidR="000C1E9E" w:rsidRPr="00D76CE2">
        <w:rPr>
          <w:rFonts w:ascii="GHEA Grapalat" w:hAnsi="GHEA Grapalat"/>
          <w:sz w:val="22"/>
          <w:szCs w:val="22"/>
          <w:lang w:val="hy-AM"/>
        </w:rPr>
        <w:t xml:space="preserve"> </w:t>
      </w:r>
      <w:r w:rsidRPr="00A67B4D">
        <w:rPr>
          <w:rFonts w:ascii="GHEA Grapalat" w:hAnsi="GHEA Grapalat"/>
          <w:sz w:val="22"/>
          <w:szCs w:val="22"/>
          <w:lang w:val="hy-AM"/>
        </w:rPr>
        <w:t>թ</w:t>
      </w:r>
      <w:r w:rsidR="000C1E9E" w:rsidRPr="00D76CE2">
        <w:rPr>
          <w:rFonts w:ascii="GHEA Grapalat" w:hAnsi="GHEA Grapalat"/>
          <w:sz w:val="22"/>
          <w:szCs w:val="22"/>
          <w:lang w:val="hy-AM"/>
        </w:rPr>
        <w:t>վականին</w:t>
      </w:r>
      <w:r w:rsidRPr="00A67B4D">
        <w:rPr>
          <w:rFonts w:ascii="GHEA Grapalat" w:hAnsi="GHEA Grapalat"/>
          <w:sz w:val="22"/>
          <w:szCs w:val="22"/>
          <w:lang w:val="hy-AM"/>
        </w:rPr>
        <w:t xml:space="preserve"> պետական հատվածում աշխատավարձերի բարձրացման և նվազագույն աշխատավարձի բարձրացման ազդեցությունը:</w:t>
      </w:r>
    </w:p>
    <w:p w:rsidR="00A67B4D" w:rsidRPr="00A67B4D" w:rsidRDefault="00A67B4D" w:rsidP="00A67B4D">
      <w:pPr>
        <w:spacing w:line="360" w:lineRule="auto"/>
        <w:ind w:firstLine="540"/>
        <w:contextualSpacing/>
        <w:jc w:val="both"/>
        <w:rPr>
          <w:rFonts w:ascii="GHEA Grapalat" w:hAnsi="GHEA Grapalat"/>
          <w:sz w:val="22"/>
          <w:szCs w:val="22"/>
          <w:lang w:val="hy-AM"/>
        </w:rPr>
      </w:pPr>
      <w:r w:rsidRPr="00A67B4D">
        <w:rPr>
          <w:rFonts w:ascii="GHEA Grapalat" w:hAnsi="GHEA Grapalat"/>
          <w:sz w:val="22"/>
          <w:szCs w:val="22"/>
          <w:lang w:val="hy-AM"/>
        </w:rPr>
        <w:t>2015 թվականին գործազուրկների թվաքանակն աճում է: 2015 թվականի հունվար-հունիսին պաշտոնապես գրանցված գործազուրկների թվաքանակը հանրապետությունում նախորդ տարվա նույն ժամանակահատվածի նկատմամբ աճել է 20.3</w:t>
      </w:r>
      <w:r w:rsidR="0033256F">
        <w:rPr>
          <w:rFonts w:ascii="GHEA Grapalat" w:hAnsi="GHEA Grapalat"/>
          <w:sz w:val="22"/>
          <w:szCs w:val="22"/>
          <w:lang w:val="hy-AM"/>
        </w:rPr>
        <w:t>%-ով</w:t>
      </w:r>
      <w:r w:rsidRPr="00A67B4D">
        <w:rPr>
          <w:rFonts w:ascii="GHEA Grapalat" w:hAnsi="GHEA Grapalat"/>
          <w:sz w:val="22"/>
          <w:szCs w:val="22"/>
          <w:lang w:val="hy-AM"/>
        </w:rPr>
        <w:t>՝ կազմելով 71.4 հազար մարդ: Միևնույն ժամանակ 2015 թվականի հունվար-մարտին գործազրկության մակարդակը կազմել է 19.1%</w:t>
      </w:r>
      <w:r w:rsidRPr="00A67B4D">
        <w:rPr>
          <w:sz w:val="22"/>
          <w:szCs w:val="22"/>
          <w:vertAlign w:val="superscript"/>
          <w:lang w:val="hy-AM"/>
        </w:rPr>
        <w:footnoteReference w:id="3"/>
      </w:r>
      <w:r w:rsidRPr="00A67B4D">
        <w:rPr>
          <w:rFonts w:ascii="GHEA Grapalat" w:hAnsi="GHEA Grapalat"/>
          <w:sz w:val="22"/>
          <w:szCs w:val="22"/>
          <w:lang w:val="hy-AM"/>
        </w:rPr>
        <w:t>, որը նախորդ տարվա նկատմամբ աճել է 1.4 տոկոսային կետով: Գործազուրկների թվաքանակի աճը կրում է ոլորտում մի շարք օրենսդրական և մեթոդաբանական փոփոխությունների ազդեցությունը, մասնավորապես</w:t>
      </w:r>
      <w:r w:rsidR="000C1E9E" w:rsidRPr="00D76CE2">
        <w:rPr>
          <w:rFonts w:ascii="GHEA Grapalat" w:hAnsi="GHEA Grapalat"/>
          <w:sz w:val="22"/>
          <w:szCs w:val="22"/>
          <w:lang w:val="hy-AM"/>
        </w:rPr>
        <w:t>՝</w:t>
      </w:r>
      <w:r w:rsidRPr="00A67B4D">
        <w:rPr>
          <w:rFonts w:ascii="GHEA Grapalat" w:hAnsi="GHEA Grapalat"/>
          <w:sz w:val="22"/>
          <w:szCs w:val="22"/>
          <w:lang w:val="hy-AM"/>
        </w:rPr>
        <w:t xml:space="preserve"> գործազուրկ են համարվում նաև հաշմանդամները և այն հողի սեփականատերերը, որոնք իրականում զբաղված չեն:</w:t>
      </w:r>
    </w:p>
    <w:p w:rsidR="00A67B4D" w:rsidRPr="00A67B4D" w:rsidRDefault="00A67B4D" w:rsidP="00A67B4D">
      <w:pPr>
        <w:spacing w:line="360" w:lineRule="auto"/>
        <w:ind w:firstLine="540"/>
        <w:contextualSpacing/>
        <w:jc w:val="both"/>
        <w:rPr>
          <w:rFonts w:ascii="GHEA Grapalat" w:hAnsi="GHEA Grapalat"/>
          <w:sz w:val="22"/>
          <w:szCs w:val="22"/>
          <w:lang w:val="hy-AM"/>
        </w:rPr>
      </w:pPr>
    </w:p>
    <w:p w:rsidR="00A67B4D" w:rsidRPr="00D76CE2" w:rsidRDefault="00A67B4D" w:rsidP="00A67B4D">
      <w:pPr>
        <w:autoSpaceDE w:val="0"/>
        <w:autoSpaceDN w:val="0"/>
        <w:adjustRightInd w:val="0"/>
        <w:spacing w:line="336" w:lineRule="auto"/>
        <w:ind w:firstLine="540"/>
        <w:jc w:val="both"/>
        <w:rPr>
          <w:rFonts w:ascii="GHEA Grapalat" w:hAnsi="GHEA Grapalat" w:cs="Arial LatArm"/>
          <w:sz w:val="22"/>
          <w:szCs w:val="22"/>
          <w:lang w:val="hy-AM"/>
        </w:rPr>
      </w:pPr>
      <w:r w:rsidRPr="00D76CE2">
        <w:rPr>
          <w:rFonts w:ascii="GHEA Grapalat" w:hAnsi="GHEA Grapalat" w:cs="Sylfaen"/>
          <w:b/>
          <w:sz w:val="22"/>
          <w:szCs w:val="22"/>
          <w:u w:val="single"/>
          <w:lang w:val="hy-AM"/>
        </w:rPr>
        <w:t>Համախառն պահանջարկ</w:t>
      </w:r>
      <w:r w:rsidRPr="00A67B4D">
        <w:rPr>
          <w:rStyle w:val="aa"/>
          <w:rFonts w:ascii="GHEA Grapalat" w:hAnsi="GHEA Grapalat"/>
          <w:b/>
          <w:sz w:val="22"/>
          <w:szCs w:val="22"/>
        </w:rPr>
        <w:footnoteReference w:id="4"/>
      </w:r>
    </w:p>
    <w:p w:rsidR="00A67B4D" w:rsidRPr="00A67B4D" w:rsidRDefault="00A67B4D" w:rsidP="00A67B4D">
      <w:pPr>
        <w:spacing w:line="360" w:lineRule="auto"/>
        <w:ind w:firstLine="540"/>
        <w:contextualSpacing/>
        <w:jc w:val="both"/>
        <w:rPr>
          <w:rFonts w:ascii="GHEA Grapalat" w:hAnsi="GHEA Grapalat"/>
          <w:sz w:val="22"/>
          <w:szCs w:val="22"/>
          <w:lang w:val="hy-AM"/>
        </w:rPr>
      </w:pPr>
      <w:r w:rsidRPr="00A67B4D">
        <w:rPr>
          <w:rFonts w:ascii="GHEA Grapalat" w:hAnsi="GHEA Grapalat"/>
          <w:sz w:val="22"/>
          <w:szCs w:val="22"/>
          <w:lang w:val="hy-AM"/>
        </w:rPr>
        <w:t xml:space="preserve">2015 թվականի առաջին կիսամյակում տնտեսական աճն ուղեկցվել է ներքին պահանջարկի նվազմամբ և զուտ արտահանման բարելավմամբ: </w:t>
      </w:r>
    </w:p>
    <w:p w:rsidR="00A67B4D" w:rsidRPr="00A67B4D" w:rsidRDefault="00A67B4D" w:rsidP="00A67B4D">
      <w:pPr>
        <w:spacing w:line="360" w:lineRule="auto"/>
        <w:ind w:firstLine="540"/>
        <w:contextualSpacing/>
        <w:jc w:val="both"/>
        <w:rPr>
          <w:rFonts w:ascii="GHEA Grapalat" w:hAnsi="GHEA Grapalat"/>
          <w:sz w:val="22"/>
          <w:szCs w:val="22"/>
          <w:lang w:val="hy-AM"/>
        </w:rPr>
      </w:pPr>
      <w:r w:rsidRPr="00A67B4D">
        <w:rPr>
          <w:rFonts w:ascii="GHEA Grapalat" w:hAnsi="GHEA Grapalat"/>
          <w:b/>
          <w:i/>
          <w:sz w:val="22"/>
          <w:szCs w:val="22"/>
          <w:lang w:val="hy-AM"/>
        </w:rPr>
        <w:t>Սպառում:</w:t>
      </w:r>
      <w:r w:rsidRPr="00A67B4D">
        <w:rPr>
          <w:rFonts w:ascii="GHEA Grapalat" w:hAnsi="GHEA Grapalat"/>
          <w:sz w:val="22"/>
          <w:szCs w:val="22"/>
          <w:lang w:val="hy-AM"/>
        </w:rPr>
        <w:t xml:space="preserve"> Վերջնական սպառումը նվազել է՝ պայմանավորված մասնավոր հատվածի սպառման ծախսերի նվազմամբ, որի ազդեցությունը տնտեսության վրա մեղմվել է խթանող հարկաբյուջետային քաղաքականության միջոցով: 2015 թվականի առաջին կիսամյակում վերջնական սպառումը նախորդ տարվա նույն ժամանակահատվածի նկատմամբ իրական արտահայտությամբ նվազել է 2.2%-ով: Վերջնական սպառման կառուցվածքում պետական և մասնավոր սպառման տեսակարար կշիռները 2015 թվականի հունվար-հունիսին կազմել են համապատասխանաբար 14.7% և 85.3%, ընդ որում խթանող հարկաբյուջետային քաղաքականության արդյունքում պետական սպառումը նախորդ տարվա համեմատ իրական արտահայտությամբ աճել է շուրջ 2.7%-ով, իսկ ներհոսող դրամական փոխանցումների նվազմամբ </w:t>
      </w:r>
      <w:r w:rsidRPr="00A67B4D">
        <w:rPr>
          <w:rFonts w:ascii="GHEA Grapalat" w:hAnsi="GHEA Grapalat"/>
          <w:sz w:val="22"/>
          <w:szCs w:val="22"/>
          <w:lang w:val="hy-AM"/>
        </w:rPr>
        <w:lastRenderedPageBreak/>
        <w:t>պայմանավորված մասնավոր հատվածի տնօրինվող եկամտի նվազման և վարկավորման ծավալների իրական նվա</w:t>
      </w:r>
      <w:r w:rsidR="005B7CA5">
        <w:rPr>
          <w:rFonts w:ascii="GHEA Grapalat" w:hAnsi="GHEA Grapalat"/>
          <w:sz w:val="22"/>
          <w:szCs w:val="22"/>
          <w:lang w:val="hy-AM"/>
        </w:rPr>
        <w:t>զման հետևանքով մասնավոր սպառում</w:t>
      </w:r>
      <w:r w:rsidR="005B7CA5" w:rsidRPr="00D76CE2">
        <w:rPr>
          <w:rFonts w:ascii="GHEA Grapalat" w:hAnsi="GHEA Grapalat"/>
          <w:sz w:val="22"/>
          <w:szCs w:val="22"/>
          <w:lang w:val="hy-AM"/>
        </w:rPr>
        <w:t>ն</w:t>
      </w:r>
      <w:r w:rsidRPr="00A67B4D">
        <w:rPr>
          <w:rFonts w:ascii="GHEA Grapalat" w:hAnsi="GHEA Grapalat"/>
          <w:sz w:val="22"/>
          <w:szCs w:val="22"/>
          <w:lang w:val="hy-AM"/>
        </w:rPr>
        <w:t xml:space="preserve"> իրական արտահայտությամբ նվազել է 3%-ով: </w:t>
      </w:r>
    </w:p>
    <w:p w:rsidR="00A67B4D" w:rsidRPr="00A67B4D" w:rsidRDefault="00A67B4D" w:rsidP="00A67B4D">
      <w:pPr>
        <w:spacing w:line="360" w:lineRule="auto"/>
        <w:ind w:firstLine="540"/>
        <w:contextualSpacing/>
        <w:jc w:val="both"/>
        <w:rPr>
          <w:rFonts w:ascii="GHEA Grapalat" w:hAnsi="GHEA Grapalat"/>
          <w:sz w:val="22"/>
          <w:szCs w:val="22"/>
          <w:lang w:val="hy-AM"/>
        </w:rPr>
      </w:pPr>
      <w:r w:rsidRPr="00A67B4D">
        <w:rPr>
          <w:rFonts w:ascii="GHEA Grapalat" w:hAnsi="GHEA Grapalat"/>
          <w:b/>
          <w:i/>
          <w:sz w:val="22"/>
          <w:szCs w:val="22"/>
          <w:lang w:val="hy-AM"/>
        </w:rPr>
        <w:t>Ներդրումներ:</w:t>
      </w:r>
      <w:r w:rsidRPr="00A67B4D">
        <w:rPr>
          <w:rFonts w:ascii="GHEA Grapalat" w:hAnsi="GHEA Grapalat"/>
          <w:sz w:val="22"/>
          <w:szCs w:val="22"/>
          <w:lang w:val="hy-AM"/>
        </w:rPr>
        <w:t xml:space="preserve"> Կապիտալ ներդրումները նվազել են՝ պայմանավորված մասնավոր ներդրումների նվազմամբ: 2015 թվականի առաջին կիսամյակում կապիտալ ներդրումները նախորդ տարվա նույն ժամանակահատվածի նկատմամբ իրական արտահայտությամբ նվազել են 2.8%-ով` պայմանավորված մասնավոր ներդրումների շուրջ 5.6% իրական նվազմամբ: Մասնավոր ներդրումների նվազմանը նպաստել են շինարարության աճի տեմպերի դանդաղումը, տնտեսության իրական հատվածի վարկավորման աճի տեմպերի դանդաղումը և օտարերկրյա ուղղակի ներդրումների նվազումը: Մասնավոր ներդրումների թույլ ակտիվության բացասական հետևանքները մեղմելու նպատակով իրականացվել է խթանող հարկաբյուջետային քաղաքականություն, որի արդյունքում 2015 թվականի հունվար-հունիս ամիսներին պետական ներդրումներն իրական արտահայտությամբ աճել են 16.9%-ով: </w:t>
      </w:r>
    </w:p>
    <w:p w:rsidR="00A67B4D" w:rsidRPr="00A67B4D" w:rsidRDefault="00A67B4D" w:rsidP="00A67B4D">
      <w:pPr>
        <w:spacing w:line="360" w:lineRule="auto"/>
        <w:ind w:firstLine="540"/>
        <w:contextualSpacing/>
        <w:jc w:val="both"/>
        <w:rPr>
          <w:rFonts w:ascii="GHEA Grapalat" w:hAnsi="GHEA Grapalat"/>
          <w:sz w:val="22"/>
          <w:szCs w:val="22"/>
          <w:lang w:val="hy-AM"/>
        </w:rPr>
      </w:pPr>
      <w:r w:rsidRPr="00A67B4D">
        <w:rPr>
          <w:rFonts w:ascii="GHEA Grapalat" w:hAnsi="GHEA Grapalat"/>
          <w:sz w:val="22"/>
          <w:szCs w:val="22"/>
          <w:lang w:val="hy-AM"/>
        </w:rPr>
        <w:t>Ներդրումների փոփոխությանը դրական</w:t>
      </w:r>
      <w:r w:rsidR="005B7CA5" w:rsidRPr="00D76CE2">
        <w:rPr>
          <w:rFonts w:ascii="GHEA Grapalat" w:hAnsi="GHEA Grapalat"/>
          <w:sz w:val="22"/>
          <w:szCs w:val="22"/>
          <w:lang w:val="hy-AM"/>
        </w:rPr>
        <w:t>որեն</w:t>
      </w:r>
      <w:r w:rsidRPr="00A67B4D">
        <w:rPr>
          <w:rFonts w:ascii="GHEA Grapalat" w:hAnsi="GHEA Grapalat"/>
          <w:sz w:val="22"/>
          <w:szCs w:val="22"/>
          <w:lang w:val="hy-AM"/>
        </w:rPr>
        <w:t xml:space="preserve"> </w:t>
      </w:r>
      <w:r w:rsidR="005B7CA5" w:rsidRPr="00D76CE2">
        <w:rPr>
          <w:rFonts w:ascii="GHEA Grapalat" w:hAnsi="GHEA Grapalat"/>
          <w:sz w:val="22"/>
          <w:szCs w:val="22"/>
          <w:lang w:val="hy-AM"/>
        </w:rPr>
        <w:t>է</w:t>
      </w:r>
      <w:r w:rsidRPr="00A67B4D">
        <w:rPr>
          <w:rFonts w:ascii="GHEA Grapalat" w:hAnsi="GHEA Grapalat"/>
          <w:sz w:val="22"/>
          <w:szCs w:val="22"/>
          <w:lang w:val="hy-AM"/>
        </w:rPr>
        <w:t xml:space="preserve"> նպաստել ծառայությունների և գյուղատնտեսության ճյուղում կատարված ներդրումների աճը, բացասական նպաստում </w:t>
      </w:r>
      <w:r w:rsidR="005B7CA5" w:rsidRPr="00D76CE2">
        <w:rPr>
          <w:rFonts w:ascii="GHEA Grapalat" w:hAnsi="GHEA Grapalat"/>
          <w:sz w:val="22"/>
          <w:szCs w:val="22"/>
          <w:lang w:val="hy-AM"/>
        </w:rPr>
        <w:t>է</w:t>
      </w:r>
      <w:r w:rsidRPr="00A67B4D">
        <w:rPr>
          <w:rFonts w:ascii="GHEA Grapalat" w:hAnsi="GHEA Grapalat"/>
          <w:sz w:val="22"/>
          <w:szCs w:val="22"/>
          <w:lang w:val="hy-AM"/>
        </w:rPr>
        <w:t xml:space="preserve"> ունեցել արդյունաբերության ճյուղում կատարված ներդրումների նվազումը</w:t>
      </w:r>
      <w:r w:rsidRPr="00A67B4D">
        <w:rPr>
          <w:sz w:val="22"/>
          <w:szCs w:val="22"/>
          <w:lang w:val="hy-AM"/>
        </w:rPr>
        <w:t xml:space="preserve"> </w:t>
      </w:r>
      <w:r w:rsidRPr="00B005C2">
        <w:rPr>
          <w:sz w:val="22"/>
          <w:szCs w:val="22"/>
          <w:vertAlign w:val="superscript"/>
          <w:lang w:val="hy-AM"/>
        </w:rPr>
        <w:footnoteReference w:id="5"/>
      </w:r>
      <w:r w:rsidRPr="00A67B4D">
        <w:rPr>
          <w:rFonts w:ascii="GHEA Grapalat" w:hAnsi="GHEA Grapalat"/>
          <w:sz w:val="22"/>
          <w:szCs w:val="22"/>
          <w:lang w:val="hy-AM"/>
        </w:rPr>
        <w:t xml:space="preserve">: </w:t>
      </w:r>
    </w:p>
    <w:p w:rsidR="00A67B4D" w:rsidRPr="00B005C2" w:rsidRDefault="00A67B4D" w:rsidP="00B005C2">
      <w:pPr>
        <w:spacing w:line="360" w:lineRule="auto"/>
        <w:ind w:firstLine="540"/>
        <w:contextualSpacing/>
        <w:jc w:val="both"/>
        <w:rPr>
          <w:rFonts w:ascii="GHEA Grapalat" w:hAnsi="GHEA Grapalat"/>
          <w:sz w:val="22"/>
          <w:szCs w:val="22"/>
          <w:lang w:val="hy-AM"/>
        </w:rPr>
      </w:pPr>
      <w:r w:rsidRPr="00B005C2">
        <w:rPr>
          <w:rFonts w:ascii="GHEA Grapalat" w:hAnsi="GHEA Grapalat"/>
          <w:b/>
          <w:i/>
          <w:sz w:val="22"/>
          <w:szCs w:val="22"/>
          <w:lang w:val="hy-AM"/>
        </w:rPr>
        <w:t>Զուտ արտահանում:</w:t>
      </w:r>
      <w:r w:rsidRPr="00B005C2">
        <w:rPr>
          <w:rFonts w:ascii="GHEA Grapalat" w:hAnsi="GHEA Grapalat"/>
          <w:sz w:val="22"/>
          <w:szCs w:val="22"/>
          <w:lang w:val="hy-AM"/>
        </w:rPr>
        <w:t xml:space="preserve"> Զուտ արտահանումը բարելավվել է՝ հիմնականում պայմանավորված ներմուծման նվազմամբ: 2015 թվականի հունվար-հունիսին ապրանքների և ծառայությունների արտահանման իրական ծավալները նախորդ տարվա նույն ժամանակահատվածի համեմատ դրամային </w:t>
      </w:r>
      <w:r w:rsidRPr="00EB2231">
        <w:rPr>
          <w:rFonts w:ascii="GHEA Grapalat" w:hAnsi="GHEA Grapalat"/>
          <w:sz w:val="22"/>
          <w:szCs w:val="22"/>
          <w:lang w:val="hy-AM"/>
        </w:rPr>
        <w:t>արտահայտությամբ աճել են 0.7%-ով</w:t>
      </w:r>
      <w:r w:rsidR="00EB2231" w:rsidRPr="00D76CE2">
        <w:rPr>
          <w:rFonts w:ascii="GHEA Grapalat" w:hAnsi="GHEA Grapalat"/>
          <w:sz w:val="22"/>
          <w:szCs w:val="22"/>
          <w:lang w:val="hy-AM"/>
        </w:rPr>
        <w:t>: Արտահանման ցածր աճը</w:t>
      </w:r>
      <w:r w:rsidRPr="00EB2231">
        <w:rPr>
          <w:rFonts w:ascii="GHEA Grapalat" w:hAnsi="GHEA Grapalat"/>
          <w:sz w:val="22"/>
          <w:szCs w:val="22"/>
          <w:lang w:val="hy-AM"/>
        </w:rPr>
        <w:t xml:space="preserve"> պայմանավորված </w:t>
      </w:r>
      <w:r w:rsidR="00EB2231" w:rsidRPr="00D76CE2">
        <w:rPr>
          <w:rFonts w:ascii="GHEA Grapalat" w:hAnsi="GHEA Grapalat"/>
          <w:sz w:val="22"/>
          <w:szCs w:val="22"/>
          <w:lang w:val="hy-AM"/>
        </w:rPr>
        <w:t xml:space="preserve">է </w:t>
      </w:r>
      <w:r w:rsidRPr="00EB2231">
        <w:rPr>
          <w:rFonts w:ascii="GHEA Grapalat" w:hAnsi="GHEA Grapalat"/>
          <w:sz w:val="22"/>
          <w:szCs w:val="22"/>
          <w:lang w:val="hy-AM"/>
        </w:rPr>
        <w:t>արտաքին պահանջարկի նվազմամբ, արտաքին շուկաներում արտահանողների գնային մրցունակության թուլացմամբ և դոլարի նկատմամբ դրամի փոխարժեքի արժեզրկմամբ: Մյուս</w:t>
      </w:r>
      <w:r w:rsidRPr="00B005C2">
        <w:rPr>
          <w:rFonts w:ascii="GHEA Grapalat" w:hAnsi="GHEA Grapalat"/>
          <w:sz w:val="22"/>
          <w:szCs w:val="22"/>
          <w:lang w:val="hy-AM"/>
        </w:rPr>
        <w:t xml:space="preserve"> կողմից, ապրանքների և ծառայությունների ներմուծում</w:t>
      </w:r>
      <w:r w:rsidR="005B7CA5" w:rsidRPr="00D76CE2">
        <w:rPr>
          <w:rFonts w:ascii="GHEA Grapalat" w:hAnsi="GHEA Grapalat"/>
          <w:sz w:val="22"/>
          <w:szCs w:val="22"/>
          <w:lang w:val="hy-AM"/>
        </w:rPr>
        <w:t>ն</w:t>
      </w:r>
      <w:r w:rsidRPr="00B005C2">
        <w:rPr>
          <w:rFonts w:ascii="GHEA Grapalat" w:hAnsi="GHEA Grapalat"/>
          <w:sz w:val="22"/>
          <w:szCs w:val="22"/>
          <w:lang w:val="hy-AM"/>
        </w:rPr>
        <w:t xml:space="preserve"> իրական արտահայտությամբ նվազել է 20%-ով, ինչը պայմանավորված է եղել բնակչության տնօրինվող եկամտի իրական նվազմամբ և տնտեսական ակտիվության ցածր մակարդակով: </w:t>
      </w:r>
    </w:p>
    <w:p w:rsidR="00A67B4D" w:rsidRPr="00B005C2" w:rsidRDefault="00A67B4D" w:rsidP="00A67B4D">
      <w:pPr>
        <w:spacing w:line="360" w:lineRule="auto"/>
        <w:ind w:firstLine="540"/>
        <w:contextualSpacing/>
        <w:jc w:val="both"/>
        <w:rPr>
          <w:rFonts w:ascii="GHEA Grapalat" w:hAnsi="GHEA Grapalat"/>
          <w:sz w:val="22"/>
          <w:szCs w:val="22"/>
          <w:lang w:val="hy-AM"/>
        </w:rPr>
      </w:pPr>
    </w:p>
    <w:p w:rsidR="00A67B4D" w:rsidRPr="00D76CE2" w:rsidRDefault="00A67B4D" w:rsidP="00A67B4D">
      <w:pPr>
        <w:spacing w:line="360" w:lineRule="auto"/>
        <w:ind w:firstLine="540"/>
        <w:jc w:val="both"/>
        <w:rPr>
          <w:rFonts w:ascii="GHEA Grapalat" w:hAnsi="GHEA Grapalat" w:cs="Sylfaen"/>
          <w:sz w:val="22"/>
          <w:szCs w:val="22"/>
          <w:u w:val="single"/>
          <w:lang w:val="hy-AM"/>
        </w:rPr>
      </w:pPr>
      <w:r w:rsidRPr="00D76CE2">
        <w:rPr>
          <w:rFonts w:ascii="GHEA Grapalat" w:hAnsi="GHEA Grapalat" w:cs="Sylfaen"/>
          <w:b/>
          <w:sz w:val="22"/>
          <w:szCs w:val="22"/>
          <w:u w:val="single"/>
          <w:lang w:val="hy-AM"/>
        </w:rPr>
        <w:t>Գներ և սակագներ</w:t>
      </w:r>
    </w:p>
    <w:p w:rsidR="00A67B4D" w:rsidRPr="00B005C2" w:rsidRDefault="00A67B4D" w:rsidP="00A67B4D">
      <w:pPr>
        <w:spacing w:line="360" w:lineRule="auto"/>
        <w:ind w:firstLine="540"/>
        <w:contextualSpacing/>
        <w:jc w:val="both"/>
        <w:rPr>
          <w:rFonts w:ascii="GHEA Grapalat" w:hAnsi="GHEA Grapalat"/>
          <w:sz w:val="22"/>
          <w:szCs w:val="22"/>
          <w:lang w:val="hy-AM"/>
        </w:rPr>
      </w:pPr>
      <w:r w:rsidRPr="00B005C2">
        <w:rPr>
          <w:rFonts w:ascii="GHEA Grapalat" w:hAnsi="GHEA Grapalat"/>
          <w:sz w:val="22"/>
          <w:szCs w:val="22"/>
          <w:lang w:val="hy-AM"/>
        </w:rPr>
        <w:t xml:space="preserve">2015 թվականի երկրորդ եռամսյակում ՀՀ սպառողական շուկայում դեռևս պահպանվել է թիրախից բարձր գնաճային միջավայրը: </w:t>
      </w:r>
      <w:r w:rsidR="00F32A9D" w:rsidRPr="00D76CE2">
        <w:rPr>
          <w:rFonts w:ascii="GHEA Grapalat" w:hAnsi="GHEA Grapalat"/>
          <w:sz w:val="22"/>
          <w:szCs w:val="22"/>
          <w:lang w:val="hy-AM"/>
        </w:rPr>
        <w:t>Հունվար-հունիսին մ</w:t>
      </w:r>
      <w:r w:rsidRPr="00B005C2">
        <w:rPr>
          <w:rFonts w:ascii="GHEA Grapalat" w:hAnsi="GHEA Grapalat"/>
          <w:sz w:val="22"/>
          <w:szCs w:val="22"/>
          <w:lang w:val="hy-AM"/>
        </w:rPr>
        <w:t>իջին գնաճը կազմել է 5.1%, ինչը հիմնականում պայմանավորվել է պարենային ապրանքների (ներառյալ</w:t>
      </w:r>
      <w:r w:rsidR="005B7CA5" w:rsidRPr="00D76CE2">
        <w:rPr>
          <w:rFonts w:ascii="GHEA Grapalat" w:hAnsi="GHEA Grapalat"/>
          <w:sz w:val="22"/>
          <w:szCs w:val="22"/>
          <w:lang w:val="hy-AM"/>
        </w:rPr>
        <w:t>՝</w:t>
      </w:r>
      <w:r w:rsidRPr="00B005C2">
        <w:rPr>
          <w:rFonts w:ascii="GHEA Grapalat" w:hAnsi="GHEA Grapalat"/>
          <w:sz w:val="22"/>
          <w:szCs w:val="22"/>
          <w:lang w:val="hy-AM"/>
        </w:rPr>
        <w:t xml:space="preserve"> ոգելից խմիչք և ծխախոտ) գների 5.6% աճով, ոչ պարենային ապրանքների գների</w:t>
      </w:r>
      <w:r w:rsidR="005B7CA5" w:rsidRPr="00D76CE2">
        <w:rPr>
          <w:rFonts w:ascii="GHEA Grapalat" w:hAnsi="GHEA Grapalat"/>
          <w:sz w:val="22"/>
          <w:szCs w:val="22"/>
          <w:lang w:val="hy-AM"/>
        </w:rPr>
        <w:t>՝</w:t>
      </w:r>
      <w:r w:rsidRPr="00B005C2">
        <w:rPr>
          <w:rFonts w:ascii="GHEA Grapalat" w:hAnsi="GHEA Grapalat"/>
          <w:sz w:val="22"/>
          <w:szCs w:val="22"/>
          <w:lang w:val="hy-AM"/>
        </w:rPr>
        <w:t xml:space="preserve"> 5.7% և ծառայությունների սակագների</w:t>
      </w:r>
      <w:r w:rsidR="005B7CA5" w:rsidRPr="00D76CE2">
        <w:rPr>
          <w:rFonts w:ascii="GHEA Grapalat" w:hAnsi="GHEA Grapalat"/>
          <w:sz w:val="22"/>
          <w:szCs w:val="22"/>
          <w:lang w:val="hy-AM"/>
        </w:rPr>
        <w:t>՝</w:t>
      </w:r>
      <w:r w:rsidRPr="00B005C2">
        <w:rPr>
          <w:rFonts w:ascii="GHEA Grapalat" w:hAnsi="GHEA Grapalat"/>
          <w:sz w:val="22"/>
          <w:szCs w:val="22"/>
          <w:lang w:val="hy-AM"/>
        </w:rPr>
        <w:t xml:space="preserve"> 3.7% աճով:</w:t>
      </w:r>
    </w:p>
    <w:p w:rsidR="00A67B4D" w:rsidRPr="00B005C2" w:rsidRDefault="00A67B4D" w:rsidP="00B005C2">
      <w:pPr>
        <w:spacing w:line="360" w:lineRule="auto"/>
        <w:ind w:firstLine="540"/>
        <w:contextualSpacing/>
        <w:jc w:val="both"/>
        <w:rPr>
          <w:rFonts w:ascii="GHEA Grapalat" w:hAnsi="GHEA Grapalat"/>
          <w:sz w:val="22"/>
          <w:szCs w:val="22"/>
          <w:lang w:val="hy-AM"/>
        </w:rPr>
      </w:pPr>
      <w:r w:rsidRPr="00B005C2">
        <w:rPr>
          <w:rFonts w:ascii="GHEA Grapalat" w:hAnsi="GHEA Grapalat"/>
          <w:sz w:val="22"/>
          <w:szCs w:val="22"/>
          <w:lang w:val="hy-AM"/>
        </w:rPr>
        <w:lastRenderedPageBreak/>
        <w:t>ՀՀ սպառողական շուկայում արձանագրված 5.5% 12-ամսյա գնաճ</w:t>
      </w:r>
      <w:r w:rsidR="005B7CA5" w:rsidRPr="00D76CE2">
        <w:rPr>
          <w:rFonts w:ascii="GHEA Grapalat" w:hAnsi="GHEA Grapalat"/>
          <w:sz w:val="22"/>
          <w:szCs w:val="22"/>
          <w:lang w:val="hy-AM"/>
        </w:rPr>
        <w:t>ն</w:t>
      </w:r>
      <w:r w:rsidRPr="00B005C2">
        <w:rPr>
          <w:rFonts w:ascii="GHEA Grapalat" w:hAnsi="GHEA Grapalat"/>
          <w:sz w:val="22"/>
          <w:szCs w:val="22"/>
          <w:lang w:val="hy-AM"/>
        </w:rPr>
        <w:t xml:space="preserve"> առավելապես պայմանավորվել է պարենային ապրանքների (ներառյալ</w:t>
      </w:r>
      <w:r w:rsidR="005B7CA5" w:rsidRPr="00D76CE2">
        <w:rPr>
          <w:rFonts w:ascii="GHEA Grapalat" w:hAnsi="GHEA Grapalat"/>
          <w:sz w:val="22"/>
          <w:szCs w:val="22"/>
          <w:lang w:val="hy-AM"/>
        </w:rPr>
        <w:t>՝</w:t>
      </w:r>
      <w:r w:rsidRPr="00B005C2">
        <w:rPr>
          <w:rFonts w:ascii="GHEA Grapalat" w:hAnsi="GHEA Grapalat"/>
          <w:sz w:val="22"/>
          <w:szCs w:val="22"/>
          <w:lang w:val="hy-AM"/>
        </w:rPr>
        <w:t xml:space="preserve"> ոգելից խմիչքը և ծխախոտը) ապրանքախմբում արձանագրված 5.2% գնաճով, ոչ պարենային ապրանքների խմբում արձանագրվել է 7.0% գնաճ և բնակչությանը մատուցված ծառայությունների ոլորտում արձանագրվել է 4.1% սակագների հավելաճ:</w:t>
      </w:r>
    </w:p>
    <w:p w:rsidR="00A67B4D" w:rsidRPr="00B005C2" w:rsidRDefault="00A67B4D" w:rsidP="00B005C2">
      <w:pPr>
        <w:spacing w:line="360" w:lineRule="auto"/>
        <w:ind w:firstLine="540"/>
        <w:contextualSpacing/>
        <w:jc w:val="both"/>
        <w:rPr>
          <w:rFonts w:ascii="GHEA Grapalat" w:hAnsi="GHEA Grapalat"/>
          <w:sz w:val="22"/>
          <w:szCs w:val="22"/>
          <w:lang w:val="hy-AM"/>
        </w:rPr>
      </w:pPr>
    </w:p>
    <w:p w:rsidR="00A67B4D" w:rsidRPr="005B7CA5" w:rsidRDefault="00A67B4D" w:rsidP="005B7CA5">
      <w:pPr>
        <w:spacing w:line="360" w:lineRule="auto"/>
        <w:ind w:firstLine="540"/>
        <w:contextualSpacing/>
        <w:jc w:val="both"/>
        <w:rPr>
          <w:rFonts w:ascii="GHEA Grapalat" w:hAnsi="GHEA Grapalat"/>
          <w:b/>
          <w:sz w:val="22"/>
          <w:szCs w:val="22"/>
          <w:u w:val="single"/>
          <w:lang w:val="hy-AM"/>
        </w:rPr>
      </w:pPr>
      <w:r w:rsidRPr="005B7CA5">
        <w:rPr>
          <w:rFonts w:ascii="GHEA Grapalat" w:hAnsi="GHEA Grapalat"/>
          <w:b/>
          <w:sz w:val="22"/>
          <w:szCs w:val="22"/>
          <w:u w:val="single"/>
          <w:lang w:val="hy-AM"/>
        </w:rPr>
        <w:t>Արտաքին հատված</w:t>
      </w:r>
    </w:p>
    <w:p w:rsidR="00A67B4D" w:rsidRPr="00B005C2" w:rsidRDefault="00A67B4D" w:rsidP="00B005C2">
      <w:pPr>
        <w:spacing w:line="360" w:lineRule="auto"/>
        <w:ind w:firstLine="540"/>
        <w:contextualSpacing/>
        <w:jc w:val="both"/>
        <w:rPr>
          <w:rFonts w:ascii="GHEA Grapalat" w:hAnsi="GHEA Grapalat"/>
          <w:sz w:val="22"/>
          <w:szCs w:val="22"/>
          <w:lang w:val="hy-AM"/>
        </w:rPr>
      </w:pPr>
      <w:r w:rsidRPr="00B005C2">
        <w:rPr>
          <w:rFonts w:ascii="GHEA Grapalat" w:hAnsi="GHEA Grapalat"/>
          <w:sz w:val="22"/>
          <w:szCs w:val="22"/>
          <w:lang w:val="hy-AM"/>
        </w:rPr>
        <w:t>Արտաքին հատվածի ցուցանիշների ստորև ներկայացված գնահատականները նախնական են և հիմնված են ընթացիկ տարվա վեց ամիսների ճշգրտված պաշտոնական տվյալների վրա, որոնք դեռևս ենթակա են լրացուցիչ վերանայման (կապված ՀՀ և ԵԱՏՄ երկրների միջև փոխադարձ առևտրի վերաբերյալ մաքսային մարմիններին ներկայացվող նոր վիճակագրական ձևի</w:t>
      </w:r>
      <w:r w:rsidR="005B7CA5" w:rsidRPr="00D76CE2">
        <w:rPr>
          <w:rFonts w:ascii="GHEA Grapalat" w:hAnsi="GHEA Grapalat"/>
          <w:sz w:val="22"/>
          <w:szCs w:val="22"/>
          <w:lang w:val="hy-AM"/>
        </w:rPr>
        <w:t>՝</w:t>
      </w:r>
      <w:r w:rsidRPr="00B005C2">
        <w:rPr>
          <w:rFonts w:ascii="GHEA Grapalat" w:hAnsi="GHEA Grapalat"/>
          <w:sz w:val="22"/>
          <w:szCs w:val="22"/>
          <w:lang w:val="hy-AM"/>
        </w:rPr>
        <w:t xml:space="preserve"> ոչ բոլոր ռեսպոնդենտների կողմից ներկայացմամբ): </w:t>
      </w:r>
    </w:p>
    <w:p w:rsidR="00A67B4D" w:rsidRPr="00B005C2" w:rsidRDefault="00A67B4D" w:rsidP="00B005C2">
      <w:pPr>
        <w:spacing w:line="360" w:lineRule="auto"/>
        <w:ind w:firstLine="540"/>
        <w:contextualSpacing/>
        <w:jc w:val="both"/>
        <w:rPr>
          <w:rFonts w:ascii="GHEA Grapalat" w:hAnsi="GHEA Grapalat"/>
          <w:sz w:val="22"/>
          <w:szCs w:val="22"/>
          <w:lang w:val="hy-AM"/>
        </w:rPr>
      </w:pPr>
      <w:r w:rsidRPr="00B005C2">
        <w:rPr>
          <w:rFonts w:ascii="GHEA Grapalat" w:hAnsi="GHEA Grapalat"/>
          <w:sz w:val="22"/>
          <w:szCs w:val="22"/>
          <w:lang w:val="hy-AM"/>
        </w:rPr>
        <w:t xml:space="preserve"> 2015 թվականի առաջին կիսամյակում ձևավորվել է տնտեսության արտաքին հատվածը բնութագրող ցուցանիշների վատթարացում: Արտահանման նվազմանը զուգընթաց տարեսկզբի համեմատ նվազել են նաև Հայաստան ներհոսող տրանսֆերտները և գործոնային եկամուտները, ինչը</w:t>
      </w:r>
      <w:r w:rsidR="005B7CA5" w:rsidRPr="00D76CE2">
        <w:rPr>
          <w:rFonts w:ascii="GHEA Grapalat" w:hAnsi="GHEA Grapalat"/>
          <w:sz w:val="22"/>
          <w:szCs w:val="22"/>
          <w:lang w:val="hy-AM"/>
        </w:rPr>
        <w:t>,</w:t>
      </w:r>
      <w:r w:rsidRPr="00B005C2">
        <w:rPr>
          <w:rFonts w:ascii="GHEA Grapalat" w:hAnsi="GHEA Grapalat"/>
          <w:sz w:val="22"/>
          <w:szCs w:val="22"/>
          <w:lang w:val="hy-AM"/>
        </w:rPr>
        <w:t xml:space="preserve"> սակայն</w:t>
      </w:r>
      <w:r w:rsidR="005B7CA5" w:rsidRPr="00D76CE2">
        <w:rPr>
          <w:rFonts w:ascii="GHEA Grapalat" w:hAnsi="GHEA Grapalat"/>
          <w:sz w:val="22"/>
          <w:szCs w:val="22"/>
          <w:lang w:val="hy-AM"/>
        </w:rPr>
        <w:t>,</w:t>
      </w:r>
      <w:r w:rsidRPr="00B005C2">
        <w:rPr>
          <w:rFonts w:ascii="GHEA Grapalat" w:hAnsi="GHEA Grapalat"/>
          <w:sz w:val="22"/>
          <w:szCs w:val="22"/>
          <w:lang w:val="hy-AM"/>
        </w:rPr>
        <w:t xml:space="preserve"> ներմուծման առաջանցիկ նվազման պայմաններում չի նպաստել ընթացիկ հաշվի պակասուրդի ավելացմանը: </w:t>
      </w:r>
    </w:p>
    <w:p w:rsidR="00A67B4D" w:rsidRPr="00B005C2" w:rsidRDefault="00A67B4D" w:rsidP="00B005C2">
      <w:pPr>
        <w:spacing w:line="360" w:lineRule="auto"/>
        <w:ind w:firstLine="540"/>
        <w:contextualSpacing/>
        <w:jc w:val="both"/>
        <w:rPr>
          <w:rFonts w:ascii="GHEA Grapalat" w:hAnsi="GHEA Grapalat"/>
          <w:sz w:val="22"/>
          <w:szCs w:val="22"/>
          <w:lang w:val="hy-AM"/>
        </w:rPr>
      </w:pPr>
      <w:r w:rsidRPr="005B7CA5">
        <w:rPr>
          <w:rFonts w:ascii="GHEA Grapalat" w:hAnsi="GHEA Grapalat"/>
          <w:b/>
          <w:i/>
          <w:sz w:val="22"/>
          <w:szCs w:val="22"/>
          <w:lang w:val="hy-AM"/>
        </w:rPr>
        <w:t>Արտաքին առևտուր (դոլարային արտահայտությամբ)</w:t>
      </w:r>
      <w:r w:rsidRPr="005B7CA5">
        <w:rPr>
          <w:b/>
          <w:i/>
          <w:sz w:val="22"/>
          <w:szCs w:val="22"/>
          <w:vertAlign w:val="superscript"/>
          <w:lang w:val="hy-AM"/>
        </w:rPr>
        <w:footnoteReference w:id="6"/>
      </w:r>
      <w:r w:rsidRPr="005B7CA5">
        <w:rPr>
          <w:rFonts w:ascii="GHEA Grapalat" w:hAnsi="GHEA Grapalat"/>
          <w:b/>
          <w:i/>
          <w:sz w:val="22"/>
          <w:szCs w:val="22"/>
          <w:lang w:val="hy-AM"/>
        </w:rPr>
        <w:t>:</w:t>
      </w:r>
      <w:r w:rsidRPr="00B005C2">
        <w:rPr>
          <w:rFonts w:ascii="GHEA Grapalat" w:hAnsi="GHEA Grapalat"/>
          <w:sz w:val="22"/>
          <w:szCs w:val="22"/>
          <w:lang w:val="hy-AM"/>
        </w:rPr>
        <w:t xml:space="preserve"> 2015 թվականի առաջին վեց ամիսներին կրճատվել են և՛ արտաքին առևտրաջրջանառությունը և՛ առևտրային հաշվեկշռի բացասական մնացորդը: 2015 թվականի առաջին վեց ամիսներին ապրանքների գծով արտաքին առևտրի բացասական մնացորդը (տե</w:t>
      </w:r>
      <w:r w:rsidR="00B005C2" w:rsidRPr="00B005C2">
        <w:rPr>
          <w:rFonts w:ascii="GHEA Grapalat" w:hAnsi="GHEA Grapalat"/>
          <w:sz w:val="22"/>
          <w:szCs w:val="22"/>
          <w:lang w:val="hy-AM"/>
        </w:rPr>
        <w:t>՛</w:t>
      </w:r>
      <w:r w:rsidRPr="00B005C2">
        <w:rPr>
          <w:rFonts w:ascii="GHEA Grapalat" w:hAnsi="GHEA Grapalat"/>
          <w:sz w:val="22"/>
          <w:szCs w:val="22"/>
          <w:lang w:val="hy-AM"/>
        </w:rPr>
        <w:t>ս Գծապատկեր 3) կազմել է 797.3 մլն ԱՄՆ դոլար` նախորդ տարվա նույն ժամանակաշրջանի նկատմամբ բարելա</w:t>
      </w:r>
      <w:r w:rsidR="00380DCB" w:rsidRPr="00D76CE2">
        <w:rPr>
          <w:rFonts w:ascii="GHEA Grapalat" w:hAnsi="GHEA Grapalat"/>
          <w:sz w:val="22"/>
          <w:szCs w:val="22"/>
          <w:lang w:val="hy-AM"/>
        </w:rPr>
        <w:t>վ</w:t>
      </w:r>
      <w:r w:rsidRPr="00B005C2">
        <w:rPr>
          <w:rFonts w:ascii="GHEA Grapalat" w:hAnsi="GHEA Grapalat"/>
          <w:sz w:val="22"/>
          <w:szCs w:val="22"/>
          <w:lang w:val="hy-AM"/>
        </w:rPr>
        <w:t>վելով 40.7%-ով (հիմնականում պայմանավորված արտահանման նվազման համեմատ ներմուծման առաջանցիկ կրճատմամբ)</w:t>
      </w:r>
      <w:r w:rsidRPr="00B005C2">
        <w:rPr>
          <w:sz w:val="22"/>
          <w:szCs w:val="22"/>
          <w:vertAlign w:val="superscript"/>
          <w:lang w:val="hy-AM"/>
        </w:rPr>
        <w:footnoteReference w:id="7"/>
      </w:r>
      <w:r w:rsidRPr="00B005C2">
        <w:rPr>
          <w:rFonts w:ascii="GHEA Grapalat" w:hAnsi="GHEA Grapalat"/>
          <w:sz w:val="22"/>
          <w:szCs w:val="22"/>
          <w:lang w:val="hy-AM"/>
        </w:rPr>
        <w:t xml:space="preserve">: </w:t>
      </w:r>
    </w:p>
    <w:p w:rsidR="00A67B4D" w:rsidRPr="00B005C2" w:rsidRDefault="00A67B4D" w:rsidP="00B005C2">
      <w:pPr>
        <w:spacing w:line="360" w:lineRule="auto"/>
        <w:ind w:firstLine="540"/>
        <w:contextualSpacing/>
        <w:jc w:val="both"/>
        <w:rPr>
          <w:rFonts w:ascii="GHEA Grapalat" w:hAnsi="GHEA Grapalat"/>
          <w:sz w:val="22"/>
          <w:szCs w:val="22"/>
          <w:lang w:val="hy-AM"/>
        </w:rPr>
      </w:pPr>
    </w:p>
    <w:p w:rsidR="00A67B4D" w:rsidRPr="00D76CE2" w:rsidRDefault="00A67B4D" w:rsidP="00B005C2">
      <w:pPr>
        <w:spacing w:line="360" w:lineRule="auto"/>
        <w:ind w:firstLine="540"/>
        <w:contextualSpacing/>
        <w:jc w:val="both"/>
        <w:rPr>
          <w:rFonts w:ascii="GHEA Grapalat" w:hAnsi="GHEA Grapalat"/>
          <w:sz w:val="22"/>
          <w:szCs w:val="22"/>
          <w:lang w:val="hy-AM"/>
        </w:rPr>
      </w:pPr>
    </w:p>
    <w:p w:rsidR="00380DCB" w:rsidRPr="00D76CE2" w:rsidRDefault="00380DCB" w:rsidP="00B005C2">
      <w:pPr>
        <w:spacing w:line="360" w:lineRule="auto"/>
        <w:ind w:firstLine="540"/>
        <w:contextualSpacing/>
        <w:jc w:val="both"/>
        <w:rPr>
          <w:rFonts w:ascii="GHEA Grapalat" w:hAnsi="GHEA Grapalat"/>
          <w:sz w:val="22"/>
          <w:szCs w:val="22"/>
          <w:lang w:val="hy-AM"/>
        </w:rPr>
      </w:pPr>
    </w:p>
    <w:p w:rsidR="00380DCB" w:rsidRPr="00D76CE2" w:rsidRDefault="00380DCB" w:rsidP="00B005C2">
      <w:pPr>
        <w:spacing w:line="360" w:lineRule="auto"/>
        <w:ind w:firstLine="540"/>
        <w:contextualSpacing/>
        <w:jc w:val="both"/>
        <w:rPr>
          <w:rFonts w:ascii="GHEA Grapalat" w:hAnsi="GHEA Grapalat"/>
          <w:sz w:val="22"/>
          <w:szCs w:val="22"/>
          <w:lang w:val="hy-AM"/>
        </w:rPr>
      </w:pPr>
    </w:p>
    <w:p w:rsidR="00380DCB" w:rsidRPr="00D76CE2" w:rsidRDefault="00380DCB" w:rsidP="00B005C2">
      <w:pPr>
        <w:spacing w:line="360" w:lineRule="auto"/>
        <w:ind w:firstLine="540"/>
        <w:contextualSpacing/>
        <w:jc w:val="both"/>
        <w:rPr>
          <w:rFonts w:ascii="GHEA Grapalat" w:hAnsi="GHEA Grapalat"/>
          <w:sz w:val="22"/>
          <w:szCs w:val="22"/>
          <w:lang w:val="hy-AM"/>
        </w:rPr>
      </w:pPr>
    </w:p>
    <w:p w:rsidR="00380DCB" w:rsidRPr="00D76CE2" w:rsidRDefault="00380DCB" w:rsidP="00B005C2">
      <w:pPr>
        <w:spacing w:line="360" w:lineRule="auto"/>
        <w:ind w:firstLine="540"/>
        <w:contextualSpacing/>
        <w:jc w:val="both"/>
        <w:rPr>
          <w:rFonts w:ascii="GHEA Grapalat" w:hAnsi="GHEA Grapalat"/>
          <w:sz w:val="22"/>
          <w:szCs w:val="22"/>
          <w:lang w:val="hy-AM"/>
        </w:rPr>
      </w:pPr>
    </w:p>
    <w:p w:rsidR="00380DCB" w:rsidRPr="00D76CE2" w:rsidRDefault="00380DCB" w:rsidP="00B005C2">
      <w:pPr>
        <w:spacing w:line="360" w:lineRule="auto"/>
        <w:ind w:firstLine="540"/>
        <w:contextualSpacing/>
        <w:jc w:val="both"/>
        <w:rPr>
          <w:rFonts w:ascii="GHEA Grapalat" w:hAnsi="GHEA Grapalat"/>
          <w:sz w:val="22"/>
          <w:szCs w:val="22"/>
          <w:lang w:val="hy-AM"/>
        </w:rPr>
      </w:pPr>
    </w:p>
    <w:p w:rsidR="00A67B4D" w:rsidRPr="00B005C2" w:rsidRDefault="00A67B4D" w:rsidP="00B005C2">
      <w:pPr>
        <w:spacing w:line="360" w:lineRule="auto"/>
        <w:ind w:firstLine="540"/>
        <w:contextualSpacing/>
        <w:jc w:val="both"/>
        <w:rPr>
          <w:rFonts w:ascii="GHEA Grapalat" w:hAnsi="GHEA Grapalat"/>
          <w:sz w:val="22"/>
          <w:szCs w:val="22"/>
          <w:lang w:val="hy-AM"/>
        </w:rPr>
      </w:pPr>
      <w:r w:rsidRPr="0071197C">
        <w:rPr>
          <w:rFonts w:ascii="GHEA Grapalat" w:hAnsi="GHEA Grapalat"/>
          <w:b/>
          <w:sz w:val="22"/>
          <w:szCs w:val="22"/>
          <w:lang w:val="hy-AM"/>
        </w:rPr>
        <w:lastRenderedPageBreak/>
        <w:t>Գծապատկեր 3.</w:t>
      </w:r>
      <w:r w:rsidRPr="0071197C">
        <w:rPr>
          <w:rFonts w:ascii="GHEA Grapalat" w:hAnsi="GHEA Grapalat"/>
          <w:sz w:val="22"/>
          <w:szCs w:val="22"/>
          <w:lang w:val="hy-AM"/>
        </w:rPr>
        <w:t xml:space="preserve"> Առևտրային հաշվեկշռի դինամիկան հունվար-հունիս ամիսներին (մլն ԱՄՆ</w:t>
      </w:r>
      <w:r w:rsidRPr="00B005C2">
        <w:rPr>
          <w:rFonts w:ascii="GHEA Grapalat" w:hAnsi="GHEA Grapalat"/>
          <w:sz w:val="22"/>
          <w:szCs w:val="22"/>
          <w:lang w:val="hy-AM"/>
        </w:rPr>
        <w:t xml:space="preserve"> դոլար)</w:t>
      </w:r>
    </w:p>
    <w:p w:rsidR="00A67B4D" w:rsidRDefault="00A67B4D" w:rsidP="00A67B4D">
      <w:pPr>
        <w:tabs>
          <w:tab w:val="num" w:pos="720"/>
        </w:tabs>
        <w:spacing w:line="360" w:lineRule="auto"/>
        <w:jc w:val="center"/>
        <w:rPr>
          <w:rFonts w:ascii="GHEA Grapalat" w:hAnsi="GHEA Grapalat" w:cs="Sylfaen"/>
        </w:rPr>
      </w:pPr>
      <w:r>
        <w:rPr>
          <w:rFonts w:ascii="GHEA Grapalat" w:hAnsi="GHEA Grapalat" w:cs="Sylfaen"/>
          <w:noProof/>
          <w:lang w:val="ru-RU" w:eastAsia="ru-RU"/>
        </w:rPr>
        <w:drawing>
          <wp:inline distT="0" distB="0" distL="0" distR="0" wp14:anchorId="6B7F1E6A" wp14:editId="06BEAE6A">
            <wp:extent cx="5429250" cy="264795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80DCB" w:rsidRDefault="00380DCB" w:rsidP="00B005C2">
      <w:pPr>
        <w:spacing w:line="360" w:lineRule="auto"/>
        <w:ind w:firstLine="540"/>
        <w:contextualSpacing/>
        <w:jc w:val="both"/>
        <w:rPr>
          <w:rFonts w:ascii="GHEA Grapalat" w:hAnsi="GHEA Grapalat"/>
          <w:sz w:val="22"/>
          <w:szCs w:val="22"/>
        </w:rPr>
      </w:pPr>
    </w:p>
    <w:p w:rsidR="00A67B4D" w:rsidRPr="00B005C2" w:rsidRDefault="00A67B4D" w:rsidP="00B005C2">
      <w:pPr>
        <w:spacing w:line="360" w:lineRule="auto"/>
        <w:ind w:firstLine="540"/>
        <w:contextualSpacing/>
        <w:jc w:val="both"/>
        <w:rPr>
          <w:rFonts w:ascii="GHEA Grapalat" w:hAnsi="GHEA Grapalat"/>
          <w:sz w:val="22"/>
          <w:szCs w:val="22"/>
          <w:lang w:val="hy-AM"/>
        </w:rPr>
      </w:pPr>
      <w:r w:rsidRPr="00AB6086">
        <w:rPr>
          <w:rFonts w:ascii="GHEA Grapalat" w:hAnsi="GHEA Grapalat"/>
          <w:sz w:val="22"/>
          <w:szCs w:val="22"/>
          <w:lang w:val="hy-AM"/>
        </w:rPr>
        <w:t>Արտաքին ապրանքաշրջանառությունը 2015 թվականի առաջին վեց ամիսների արդյունքներով</w:t>
      </w:r>
      <w:r w:rsidRPr="00B005C2">
        <w:rPr>
          <w:rFonts w:ascii="GHEA Grapalat" w:hAnsi="GHEA Grapalat"/>
          <w:sz w:val="22"/>
          <w:szCs w:val="22"/>
          <w:lang w:val="hy-AM"/>
        </w:rPr>
        <w:t xml:space="preserve"> կազմել է 2186.1 մլն ԱՄՆ դոլար` նախորդ տարվա համեմատ նվազելով շուրջ 20.6%-ով: Հաշվետու ժամանակահատվածում տեղի է ունեցել դոլարային արտահայտությամբ արտահանման և ներմուծման ծավալների նվազում. արտահանումը նվազել է 1.3%-ով` կազմելով 694.4 մլն ԱՄՆ դոլար, իսկ ներմուծումը` 27.2%-ով և կազմել է 1491.7 մլն ԱՄՆ դոլար:</w:t>
      </w:r>
    </w:p>
    <w:p w:rsidR="00A67B4D" w:rsidRPr="00B005C2" w:rsidRDefault="00A67B4D" w:rsidP="00B005C2">
      <w:pPr>
        <w:spacing w:line="360" w:lineRule="auto"/>
        <w:ind w:firstLine="540"/>
        <w:contextualSpacing/>
        <w:jc w:val="both"/>
        <w:rPr>
          <w:rFonts w:ascii="GHEA Grapalat" w:hAnsi="GHEA Grapalat"/>
          <w:sz w:val="22"/>
          <w:szCs w:val="22"/>
          <w:lang w:val="hy-AM"/>
        </w:rPr>
      </w:pPr>
      <w:r w:rsidRPr="00B005C2">
        <w:rPr>
          <w:rFonts w:ascii="GHEA Grapalat" w:hAnsi="GHEA Grapalat"/>
          <w:b/>
          <w:i/>
          <w:sz w:val="22"/>
          <w:szCs w:val="22"/>
          <w:lang w:val="hy-AM"/>
        </w:rPr>
        <w:t>Ներմուծում:</w:t>
      </w:r>
      <w:r w:rsidRPr="00B005C2">
        <w:rPr>
          <w:rFonts w:ascii="GHEA Grapalat" w:hAnsi="GHEA Grapalat"/>
          <w:sz w:val="22"/>
          <w:szCs w:val="22"/>
          <w:lang w:val="hy-AM"/>
        </w:rPr>
        <w:t xml:space="preserve"> Տեղի է ունեցել ներմուծման զգալի կրճատում` պայմանավորված տնօրինվող եկամուտների նվազմամբ և ներմուծման գների աճով, ընդ որում` ներմուծման անկումը տեղի է ունեցել բոլոր ապրանքախմբերով: Ընթացիկ տարվա հունվար-հունիսին ներմուծումը կրճատվել է 27.2%</w:t>
      </w:r>
      <w:r w:rsidR="00AB6086" w:rsidRPr="00D76CE2">
        <w:rPr>
          <w:rFonts w:ascii="GHEA Grapalat" w:hAnsi="GHEA Grapalat"/>
          <w:sz w:val="22"/>
          <w:szCs w:val="22"/>
          <w:lang w:val="hy-AM"/>
        </w:rPr>
        <w:t>-ով</w:t>
      </w:r>
      <w:r w:rsidRPr="00B005C2">
        <w:rPr>
          <w:rFonts w:ascii="GHEA Grapalat" w:hAnsi="GHEA Grapalat"/>
          <w:sz w:val="22"/>
          <w:szCs w:val="22"/>
          <w:lang w:val="hy-AM"/>
        </w:rPr>
        <w:t>, ինչը հիմնականում պայմանավորված էր ոչ ԵԱՏՄ երկ</w:t>
      </w:r>
      <w:r w:rsidR="00AB6086" w:rsidRPr="00D76CE2">
        <w:rPr>
          <w:rFonts w:ascii="GHEA Grapalat" w:hAnsi="GHEA Grapalat"/>
          <w:sz w:val="22"/>
          <w:szCs w:val="22"/>
          <w:lang w:val="hy-AM"/>
        </w:rPr>
        <w:t>ր</w:t>
      </w:r>
      <w:r w:rsidRPr="00B005C2">
        <w:rPr>
          <w:rFonts w:ascii="GHEA Grapalat" w:hAnsi="GHEA Grapalat"/>
          <w:sz w:val="22"/>
          <w:szCs w:val="22"/>
          <w:lang w:val="hy-AM"/>
        </w:rPr>
        <w:t xml:space="preserve">ներից ներմուծվող ապրանքների մաքսային դրույքաչափերի բարձրացման հետևանքով այդ երկրներից ներմուծվող ապրանքների գների աճով, ինչպես նաև բնակչության իրական տնօրինվող եկամուտների նվազման հանգամանքով: </w:t>
      </w:r>
    </w:p>
    <w:p w:rsidR="00A67B4D" w:rsidRPr="00B005C2" w:rsidRDefault="00A67B4D" w:rsidP="00B005C2">
      <w:pPr>
        <w:spacing w:line="360" w:lineRule="auto"/>
        <w:ind w:firstLine="540"/>
        <w:contextualSpacing/>
        <w:jc w:val="both"/>
        <w:rPr>
          <w:rFonts w:ascii="GHEA Grapalat" w:hAnsi="GHEA Grapalat"/>
          <w:sz w:val="22"/>
          <w:szCs w:val="22"/>
          <w:lang w:val="hy-AM"/>
        </w:rPr>
      </w:pPr>
      <w:r w:rsidRPr="00B005C2">
        <w:rPr>
          <w:rFonts w:ascii="GHEA Grapalat" w:hAnsi="GHEA Grapalat"/>
          <w:sz w:val="22"/>
          <w:szCs w:val="22"/>
          <w:lang w:val="hy-AM"/>
        </w:rPr>
        <w:t>2015 թվականի առաջին վեց ամիսներին արձանագրվել է ներմուծման անկում բոլոր ապրանքախմբերով: Նվազման ամենաբարձր` 5.5 տոկոսային կետը պայմանավորվել է «Թանկարժեք և կիսաթանկարժեք քարեր, թանկարժեք մետաղներ և դրանցից իրեր» ապրաքախմբով: Ներմուծման կառուցվածքում ամենամեծ` 21.4</w:t>
      </w:r>
      <w:r w:rsidR="00AB6086" w:rsidRPr="00D76CE2">
        <w:rPr>
          <w:rFonts w:ascii="GHEA Grapalat" w:hAnsi="GHEA Grapalat"/>
          <w:sz w:val="22"/>
          <w:szCs w:val="22"/>
          <w:lang w:val="hy-AM"/>
        </w:rPr>
        <w:t>%</w:t>
      </w:r>
      <w:r w:rsidRPr="00B005C2">
        <w:rPr>
          <w:rFonts w:ascii="GHEA Grapalat" w:hAnsi="GHEA Grapalat"/>
          <w:sz w:val="22"/>
          <w:szCs w:val="22"/>
          <w:lang w:val="hy-AM"/>
        </w:rPr>
        <w:t xml:space="preserve"> կշիռ ունեցող «Հանքահումքային արտադրանք» ապրանքախումբը ներմուծման նվազմանը նպաստել է 5.2 տոկոսային կետով` շարունակելով 2013 թվականին սկիզբ առած բացասական նպաստման միտումը, ինչը հիմնականում պայմանավորված է ներքին պահանջարկի կրճատ</w:t>
      </w:r>
      <w:r w:rsidR="00AB6086" w:rsidRPr="00D76CE2">
        <w:rPr>
          <w:rFonts w:ascii="GHEA Grapalat" w:hAnsi="GHEA Grapalat"/>
          <w:sz w:val="22"/>
          <w:szCs w:val="22"/>
          <w:lang w:val="hy-AM"/>
        </w:rPr>
        <w:t>մամբ</w:t>
      </w:r>
      <w:r w:rsidRPr="00B005C2">
        <w:rPr>
          <w:rFonts w:ascii="GHEA Grapalat" w:hAnsi="GHEA Grapalat"/>
          <w:sz w:val="22"/>
          <w:szCs w:val="22"/>
          <w:lang w:val="hy-AM"/>
        </w:rPr>
        <w:t>: Ներմուծման նվազմանը 4.4 տոկոսային կետով նպաստել է նաև «Վերգետնյա օդային և ջրային տրանսպորտի միջոցներ» ապրանքախմբի նվազումը, մյուս բոլոր ապրանքախմբերը փոքր բացասական նպաստումներ են ցուցաբերել:</w:t>
      </w:r>
    </w:p>
    <w:p w:rsidR="00A67B4D" w:rsidRPr="00B005C2" w:rsidRDefault="00EB2231" w:rsidP="00B005C2">
      <w:pPr>
        <w:spacing w:line="360" w:lineRule="auto"/>
        <w:ind w:firstLine="540"/>
        <w:contextualSpacing/>
        <w:jc w:val="both"/>
        <w:rPr>
          <w:rFonts w:ascii="GHEA Grapalat" w:hAnsi="GHEA Grapalat"/>
          <w:sz w:val="22"/>
          <w:szCs w:val="22"/>
          <w:lang w:val="hy-AM"/>
        </w:rPr>
      </w:pPr>
      <w:r w:rsidRPr="00D76CE2">
        <w:rPr>
          <w:rFonts w:ascii="GHEA Grapalat" w:hAnsi="GHEA Grapalat"/>
          <w:sz w:val="22"/>
          <w:szCs w:val="22"/>
          <w:lang w:val="hy-AM"/>
        </w:rPr>
        <w:lastRenderedPageBreak/>
        <w:t>Հաշվետու տարվա</w:t>
      </w:r>
      <w:r w:rsidR="00A67B4D" w:rsidRPr="00B005C2">
        <w:rPr>
          <w:rFonts w:ascii="GHEA Grapalat" w:hAnsi="GHEA Grapalat"/>
          <w:sz w:val="22"/>
          <w:szCs w:val="22"/>
          <w:lang w:val="hy-AM"/>
        </w:rPr>
        <w:t xml:space="preserve"> վեց ամիսների ընթացքում արձանագրվել է ներդրումային բնույթի</w:t>
      </w:r>
      <w:r w:rsidR="00A67B4D" w:rsidRPr="00B005C2">
        <w:rPr>
          <w:sz w:val="22"/>
          <w:szCs w:val="22"/>
          <w:vertAlign w:val="superscript"/>
          <w:lang w:val="hy-AM"/>
        </w:rPr>
        <w:footnoteReference w:id="8"/>
      </w:r>
      <w:r w:rsidR="00AB6086">
        <w:rPr>
          <w:rFonts w:ascii="GHEA Grapalat" w:hAnsi="GHEA Grapalat"/>
          <w:sz w:val="22"/>
          <w:szCs w:val="22"/>
          <w:lang w:val="hy-AM"/>
        </w:rPr>
        <w:t xml:space="preserve"> ապրանքների ներմուծման 24.3</w:t>
      </w:r>
      <w:r w:rsidR="00AB6086" w:rsidRPr="00D76CE2">
        <w:rPr>
          <w:rFonts w:ascii="GHEA Grapalat" w:hAnsi="GHEA Grapalat"/>
          <w:sz w:val="22"/>
          <w:szCs w:val="22"/>
          <w:lang w:val="hy-AM"/>
        </w:rPr>
        <w:t>%</w:t>
      </w:r>
      <w:r w:rsidR="00A67B4D" w:rsidRPr="00B005C2">
        <w:rPr>
          <w:rFonts w:ascii="GHEA Grapalat" w:hAnsi="GHEA Grapalat"/>
          <w:sz w:val="22"/>
          <w:szCs w:val="22"/>
          <w:lang w:val="hy-AM"/>
        </w:rPr>
        <w:t xml:space="preserve"> անկում, որը 3.9 տոկոսային կետով նպաստել է ներմուծման անկմանը: Սպառողական բնույթի</w:t>
      </w:r>
      <w:r w:rsidR="00AB6086">
        <w:rPr>
          <w:rFonts w:ascii="GHEA Grapalat" w:hAnsi="GHEA Grapalat"/>
          <w:sz w:val="22"/>
          <w:szCs w:val="22"/>
          <w:lang w:val="hy-AM"/>
        </w:rPr>
        <w:t xml:space="preserve"> ապրանքների ներմուծման մոտ 13</w:t>
      </w:r>
      <w:r w:rsidR="00AB6086" w:rsidRPr="00D76CE2">
        <w:rPr>
          <w:rFonts w:ascii="GHEA Grapalat" w:hAnsi="GHEA Grapalat"/>
          <w:sz w:val="22"/>
          <w:szCs w:val="22"/>
          <w:lang w:val="hy-AM"/>
        </w:rPr>
        <w:t>%</w:t>
      </w:r>
      <w:r w:rsidR="00A67B4D" w:rsidRPr="00B005C2">
        <w:rPr>
          <w:rFonts w:ascii="GHEA Grapalat" w:hAnsi="GHEA Grapalat"/>
          <w:sz w:val="22"/>
          <w:szCs w:val="22"/>
          <w:lang w:val="hy-AM"/>
        </w:rPr>
        <w:t xml:space="preserve"> անկումը 2.2 տոկոսային կետով բացասական նպաստում է ունեցել, իսկ հումքային ապրանքների (այդ թվում բնական գազը և նավթը) ներմուծման մոտ 25% նվազումը ներմուծման անկմանը նպաստել է 11.3%-ով:</w:t>
      </w:r>
    </w:p>
    <w:p w:rsidR="00A67B4D" w:rsidRPr="00B005C2" w:rsidRDefault="00A67B4D" w:rsidP="00B005C2">
      <w:pPr>
        <w:spacing w:line="360" w:lineRule="auto"/>
        <w:ind w:firstLine="540"/>
        <w:contextualSpacing/>
        <w:jc w:val="both"/>
        <w:rPr>
          <w:rFonts w:ascii="GHEA Grapalat" w:hAnsi="GHEA Grapalat"/>
          <w:sz w:val="22"/>
          <w:szCs w:val="22"/>
          <w:lang w:val="hy-AM"/>
        </w:rPr>
      </w:pPr>
      <w:r w:rsidRPr="00B005C2">
        <w:rPr>
          <w:rFonts w:ascii="GHEA Grapalat" w:hAnsi="GHEA Grapalat"/>
          <w:b/>
          <w:i/>
          <w:sz w:val="22"/>
          <w:szCs w:val="22"/>
          <w:lang w:val="hy-AM"/>
        </w:rPr>
        <w:t>Արտահանում:</w:t>
      </w:r>
      <w:r w:rsidRPr="00B005C2">
        <w:rPr>
          <w:rFonts w:ascii="GHEA Grapalat" w:hAnsi="GHEA Grapalat"/>
          <w:sz w:val="22"/>
          <w:szCs w:val="22"/>
          <w:lang w:val="hy-AM"/>
        </w:rPr>
        <w:t xml:space="preserve"> 2015 թվականի առաջին վեց ամիսների արդյունքներով արտահանումը նվազել է 1.3%-ով` հիմնականում պայմանավորված արտաքին պահանջարկի նվազմամբ: Արտահանման անկման ուղղությամբ նշանակալի նպաստում են ունեցել «Ոչ թանկարժեք մետաղներ և դրանցից պատրաստված իրեր» (3.9 տոկոսային կետ) և «Պատրաստի սննդի արտադրանք» (3.0 տոկոսային կետ) ապրանքախմբերը: Մյուս կողմից արտահանման անկմանը հակազդել են հիմնականում «Հանքահումքային արտադրանք» (7.1 տոկոսային կետ), «Բուսական ծագման արտադրանք» (1.2 տոկոսային կետ), «Տարբեր արդյունաբերական ապրանքներ» (0.8 տոկոսային կետ) և «Մանածագործական իրեր» (0.6 տոկոսային կետ) ապրանքախմբերը: Հայրենական ապրանքների նկատմամբ արտաքին պահանջարկի նվազումը մասամբ պայմանավորված է գործընկեր երկրների ազգային արժույթների</w:t>
      </w:r>
      <w:r w:rsidR="00AB6086" w:rsidRPr="00D76CE2">
        <w:rPr>
          <w:rFonts w:ascii="GHEA Grapalat" w:hAnsi="GHEA Grapalat"/>
          <w:sz w:val="22"/>
          <w:szCs w:val="22"/>
          <w:lang w:val="hy-AM"/>
        </w:rPr>
        <w:t>՝</w:t>
      </w:r>
      <w:r w:rsidRPr="00B005C2">
        <w:rPr>
          <w:rFonts w:ascii="GHEA Grapalat" w:hAnsi="GHEA Grapalat"/>
          <w:sz w:val="22"/>
          <w:szCs w:val="22"/>
          <w:lang w:val="hy-AM"/>
        </w:rPr>
        <w:t xml:space="preserve"> դոլարի նկատմամբ ավելի խորը արժեզրկմամբ, ինչը հանգեցրել է ՀՀ դրամի իրական արդյունավետ փոխարժեքի արժևորմանը և դրա հետևանքով արտահանվող ապրանքների մրցունակության անկմանը:</w:t>
      </w:r>
    </w:p>
    <w:p w:rsidR="00A67B4D" w:rsidRPr="00B005C2" w:rsidRDefault="00A67B4D" w:rsidP="00B005C2">
      <w:pPr>
        <w:spacing w:line="360" w:lineRule="auto"/>
        <w:ind w:firstLine="540"/>
        <w:contextualSpacing/>
        <w:jc w:val="both"/>
        <w:rPr>
          <w:rFonts w:ascii="GHEA Grapalat" w:hAnsi="GHEA Grapalat"/>
          <w:sz w:val="22"/>
          <w:szCs w:val="22"/>
          <w:lang w:val="hy-AM"/>
        </w:rPr>
      </w:pPr>
      <w:r w:rsidRPr="00B005C2">
        <w:rPr>
          <w:rFonts w:ascii="GHEA Grapalat" w:hAnsi="GHEA Grapalat"/>
          <w:b/>
          <w:i/>
          <w:sz w:val="22"/>
          <w:szCs w:val="22"/>
          <w:lang w:val="hy-AM"/>
        </w:rPr>
        <w:t>Նորմալացված առևտրային հաշվեկշիռ</w:t>
      </w:r>
      <w:r w:rsidRPr="00B005C2">
        <w:rPr>
          <w:b/>
          <w:i/>
          <w:sz w:val="22"/>
          <w:szCs w:val="22"/>
          <w:vertAlign w:val="superscript"/>
          <w:lang w:val="hy-AM"/>
        </w:rPr>
        <w:footnoteReference w:id="9"/>
      </w:r>
      <w:r w:rsidRPr="00B005C2">
        <w:rPr>
          <w:rFonts w:ascii="GHEA Grapalat" w:hAnsi="GHEA Grapalat"/>
          <w:b/>
          <w:i/>
          <w:sz w:val="22"/>
          <w:szCs w:val="22"/>
          <w:lang w:val="hy-AM"/>
        </w:rPr>
        <w:t>:</w:t>
      </w:r>
      <w:r w:rsidRPr="00B005C2">
        <w:rPr>
          <w:rFonts w:ascii="GHEA Grapalat" w:hAnsi="GHEA Grapalat"/>
          <w:sz w:val="22"/>
          <w:szCs w:val="22"/>
          <w:lang w:val="hy-AM"/>
        </w:rPr>
        <w:t xml:space="preserve"> Հետճգնաժամային տարիներին նորմալացված առևտրային հաշվեկշռի գործակիցը շարունակաբար բարելավվել է: Տնտեսական անվտանգությունը բնութագրող ցուցանիշներից է նորմալացված առևտրային հաշվեկշռի գործակիցը, որը հիմնականում պայմանավորված դոլարային արտահայտությամբ արտահանման առաջանցիկ աճով (ներմուծման առաջանցիկ անկմամբ)</w:t>
      </w:r>
      <w:r w:rsidRPr="00B005C2">
        <w:rPr>
          <w:sz w:val="22"/>
          <w:szCs w:val="22"/>
          <w:vertAlign w:val="superscript"/>
          <w:lang w:val="hy-AM"/>
        </w:rPr>
        <w:footnoteReference w:id="10"/>
      </w:r>
      <w:r w:rsidR="00AB6086" w:rsidRPr="00D76CE2">
        <w:rPr>
          <w:rFonts w:ascii="GHEA Grapalat" w:hAnsi="GHEA Grapalat"/>
          <w:sz w:val="22"/>
          <w:szCs w:val="22"/>
          <w:lang w:val="hy-AM"/>
        </w:rPr>
        <w:t>՝</w:t>
      </w:r>
      <w:r w:rsidRPr="00B005C2">
        <w:rPr>
          <w:rFonts w:ascii="GHEA Grapalat" w:hAnsi="GHEA Grapalat"/>
          <w:sz w:val="22"/>
          <w:szCs w:val="22"/>
          <w:lang w:val="hy-AM"/>
        </w:rPr>
        <w:t>, հետճգնաժամային տարիներին բարելավվել է` 2015 թվականի առաջին կիսամյակում կազմելով -0.36 և շարունակելով նախորդ տարիներին ձևավորված բարելավման միտումը (տե</w:t>
      </w:r>
      <w:r w:rsidR="00B005C2" w:rsidRPr="00B005C2">
        <w:rPr>
          <w:rFonts w:ascii="GHEA Grapalat" w:hAnsi="GHEA Grapalat"/>
          <w:sz w:val="22"/>
          <w:szCs w:val="22"/>
          <w:lang w:val="hy-AM"/>
        </w:rPr>
        <w:t>՛</w:t>
      </w:r>
      <w:r w:rsidRPr="00B005C2">
        <w:rPr>
          <w:rFonts w:ascii="GHEA Grapalat" w:hAnsi="GHEA Grapalat"/>
          <w:sz w:val="22"/>
          <w:szCs w:val="22"/>
          <w:lang w:val="hy-AM"/>
        </w:rPr>
        <w:t>ս Գծապատկեր 4):</w:t>
      </w:r>
    </w:p>
    <w:p w:rsidR="00A67B4D" w:rsidRPr="00D76CE2" w:rsidRDefault="00A67B4D" w:rsidP="00B005C2">
      <w:pPr>
        <w:spacing w:line="360" w:lineRule="auto"/>
        <w:ind w:firstLine="540"/>
        <w:contextualSpacing/>
        <w:jc w:val="both"/>
        <w:rPr>
          <w:rFonts w:ascii="GHEA Grapalat" w:hAnsi="GHEA Grapalat"/>
          <w:sz w:val="22"/>
          <w:szCs w:val="22"/>
          <w:lang w:val="hy-AM"/>
        </w:rPr>
      </w:pPr>
    </w:p>
    <w:p w:rsidR="00AB6086" w:rsidRPr="00D76CE2" w:rsidRDefault="00AB6086" w:rsidP="00B005C2">
      <w:pPr>
        <w:spacing w:line="360" w:lineRule="auto"/>
        <w:ind w:firstLine="540"/>
        <w:contextualSpacing/>
        <w:jc w:val="both"/>
        <w:rPr>
          <w:rFonts w:ascii="GHEA Grapalat" w:hAnsi="GHEA Grapalat"/>
          <w:sz w:val="22"/>
          <w:szCs w:val="22"/>
          <w:lang w:val="hy-AM"/>
        </w:rPr>
      </w:pPr>
    </w:p>
    <w:p w:rsidR="00AB6086" w:rsidRPr="00D76CE2" w:rsidRDefault="00AB6086" w:rsidP="00B005C2">
      <w:pPr>
        <w:spacing w:line="360" w:lineRule="auto"/>
        <w:ind w:firstLine="540"/>
        <w:contextualSpacing/>
        <w:jc w:val="both"/>
        <w:rPr>
          <w:rFonts w:ascii="GHEA Grapalat" w:hAnsi="GHEA Grapalat"/>
          <w:sz w:val="22"/>
          <w:szCs w:val="22"/>
          <w:lang w:val="hy-AM"/>
        </w:rPr>
      </w:pPr>
    </w:p>
    <w:p w:rsidR="00AB6086" w:rsidRPr="00D76CE2" w:rsidRDefault="00AB6086" w:rsidP="00B005C2">
      <w:pPr>
        <w:spacing w:line="360" w:lineRule="auto"/>
        <w:ind w:firstLine="540"/>
        <w:contextualSpacing/>
        <w:jc w:val="both"/>
        <w:rPr>
          <w:rFonts w:ascii="GHEA Grapalat" w:hAnsi="GHEA Grapalat"/>
          <w:sz w:val="22"/>
          <w:szCs w:val="22"/>
          <w:lang w:val="hy-AM"/>
        </w:rPr>
      </w:pPr>
    </w:p>
    <w:p w:rsidR="00AB6086" w:rsidRPr="00D76CE2" w:rsidRDefault="00AB6086" w:rsidP="00B005C2">
      <w:pPr>
        <w:spacing w:line="360" w:lineRule="auto"/>
        <w:ind w:firstLine="540"/>
        <w:contextualSpacing/>
        <w:jc w:val="both"/>
        <w:rPr>
          <w:rFonts w:ascii="GHEA Grapalat" w:hAnsi="GHEA Grapalat"/>
          <w:sz w:val="22"/>
          <w:szCs w:val="22"/>
          <w:lang w:val="hy-AM"/>
        </w:rPr>
      </w:pPr>
    </w:p>
    <w:p w:rsidR="00A67B4D" w:rsidRPr="00B005C2" w:rsidRDefault="00A67B4D" w:rsidP="00B005C2">
      <w:pPr>
        <w:spacing w:line="360" w:lineRule="auto"/>
        <w:ind w:firstLine="540"/>
        <w:contextualSpacing/>
        <w:jc w:val="both"/>
        <w:rPr>
          <w:rFonts w:ascii="GHEA Grapalat" w:hAnsi="GHEA Grapalat"/>
          <w:sz w:val="22"/>
          <w:szCs w:val="22"/>
          <w:lang w:val="hy-AM"/>
        </w:rPr>
      </w:pPr>
      <w:r w:rsidRPr="0071197C">
        <w:rPr>
          <w:rFonts w:ascii="GHEA Grapalat" w:hAnsi="GHEA Grapalat"/>
          <w:b/>
          <w:sz w:val="22"/>
          <w:szCs w:val="22"/>
          <w:lang w:val="hy-AM"/>
        </w:rPr>
        <w:lastRenderedPageBreak/>
        <w:t>Գծապատկեր 4.</w:t>
      </w:r>
      <w:r w:rsidRPr="0071197C">
        <w:rPr>
          <w:rFonts w:ascii="GHEA Grapalat" w:hAnsi="GHEA Grapalat"/>
          <w:sz w:val="22"/>
          <w:szCs w:val="22"/>
          <w:lang w:val="hy-AM"/>
        </w:rPr>
        <w:t xml:space="preserve"> Նորմալացված առևտրային հաշվեկշռի գործակիցը (տարվա առաջին</w:t>
      </w:r>
      <w:r w:rsidRPr="00B005C2">
        <w:rPr>
          <w:rFonts w:ascii="GHEA Grapalat" w:hAnsi="GHEA Grapalat"/>
          <w:sz w:val="22"/>
          <w:szCs w:val="22"/>
          <w:lang w:val="hy-AM"/>
        </w:rPr>
        <w:t xml:space="preserve"> կիսամյակներ) </w:t>
      </w:r>
    </w:p>
    <w:p w:rsidR="00A67B4D" w:rsidRDefault="00A67B4D" w:rsidP="00A67B4D">
      <w:pPr>
        <w:tabs>
          <w:tab w:val="num" w:pos="720"/>
        </w:tabs>
        <w:spacing w:line="360" w:lineRule="auto"/>
        <w:ind w:firstLine="540"/>
        <w:jc w:val="center"/>
        <w:rPr>
          <w:rFonts w:ascii="GHEA Grapalat" w:hAnsi="GHEA Grapalat"/>
          <w:lang w:val="it-IT"/>
        </w:rPr>
      </w:pPr>
      <w:r>
        <w:rPr>
          <w:rFonts w:ascii="GHEA Grapalat" w:hAnsi="GHEA Grapalat"/>
          <w:noProof/>
          <w:lang w:val="ru-RU" w:eastAsia="ru-RU"/>
        </w:rPr>
        <w:drawing>
          <wp:inline distT="0" distB="0" distL="0" distR="0" wp14:anchorId="5C35CD2E" wp14:editId="170D5227">
            <wp:extent cx="5791200" cy="27717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67B4D" w:rsidRPr="00B005C2" w:rsidRDefault="00A67B4D" w:rsidP="00B005C2">
      <w:pPr>
        <w:spacing w:line="360" w:lineRule="auto"/>
        <w:ind w:firstLine="540"/>
        <w:contextualSpacing/>
        <w:jc w:val="both"/>
        <w:rPr>
          <w:rFonts w:ascii="GHEA Grapalat" w:hAnsi="GHEA Grapalat"/>
          <w:sz w:val="22"/>
          <w:szCs w:val="22"/>
          <w:lang w:val="hy-AM"/>
        </w:rPr>
      </w:pPr>
      <w:r w:rsidRPr="00B005C2">
        <w:rPr>
          <w:rFonts w:ascii="GHEA Grapalat" w:hAnsi="GHEA Grapalat"/>
          <w:sz w:val="22"/>
          <w:szCs w:val="22"/>
          <w:lang w:val="hy-AM"/>
        </w:rPr>
        <w:tab/>
      </w:r>
    </w:p>
    <w:p w:rsidR="00A67B4D" w:rsidRPr="00B005C2" w:rsidRDefault="00A67B4D" w:rsidP="00B005C2">
      <w:pPr>
        <w:spacing w:line="360" w:lineRule="auto"/>
        <w:ind w:firstLine="540"/>
        <w:contextualSpacing/>
        <w:jc w:val="both"/>
        <w:rPr>
          <w:rFonts w:ascii="GHEA Grapalat" w:hAnsi="GHEA Grapalat"/>
          <w:sz w:val="22"/>
          <w:szCs w:val="22"/>
          <w:lang w:val="hy-AM"/>
        </w:rPr>
      </w:pPr>
      <w:r w:rsidRPr="00B005C2">
        <w:rPr>
          <w:rFonts w:ascii="GHEA Grapalat" w:hAnsi="GHEA Grapalat"/>
          <w:b/>
          <w:i/>
          <w:sz w:val="22"/>
          <w:szCs w:val="22"/>
          <w:lang w:val="hy-AM"/>
        </w:rPr>
        <w:t>Ներմուծման ծածկման գործակից:</w:t>
      </w:r>
      <w:r w:rsidRPr="00B005C2">
        <w:rPr>
          <w:rFonts w:ascii="GHEA Grapalat" w:hAnsi="GHEA Grapalat"/>
          <w:sz w:val="22"/>
          <w:szCs w:val="22"/>
          <w:lang w:val="hy-AM"/>
        </w:rPr>
        <w:t xml:space="preserve"> Ներմուծման ծածկման գործակիցը շարունակում է բարելավվել` հիմնականում պայմանավորված ներմուծման զգալի անկմամբ: Ընթացիկ տարվա առաջին կիսամյակի ընթացքում ներմուծման ծածկման գործակիցը նախորդ տարվա համեմատ աճել է 11.4 տոկոսային կետով` արտահանման հաշվին ֆինանսավորվել է ներմուծման 55%</w:t>
      </w:r>
      <w:r w:rsidR="00AB6086" w:rsidRPr="00D76CE2">
        <w:rPr>
          <w:rFonts w:ascii="GHEA Grapalat" w:hAnsi="GHEA Grapalat"/>
          <w:sz w:val="22"/>
          <w:szCs w:val="22"/>
          <w:lang w:val="hy-AM"/>
        </w:rPr>
        <w:t>-ը</w:t>
      </w:r>
      <w:r w:rsidRPr="00B005C2">
        <w:rPr>
          <w:rFonts w:ascii="GHEA Grapalat" w:hAnsi="GHEA Grapalat"/>
          <w:sz w:val="22"/>
          <w:szCs w:val="22"/>
          <w:lang w:val="hy-AM"/>
        </w:rPr>
        <w:t xml:space="preserve"> (տե</w:t>
      </w:r>
      <w:r w:rsidR="003F75AB" w:rsidRPr="00B005C2">
        <w:rPr>
          <w:rFonts w:ascii="GHEA Grapalat" w:hAnsi="GHEA Grapalat"/>
          <w:sz w:val="22"/>
          <w:szCs w:val="22"/>
          <w:lang w:val="hy-AM"/>
        </w:rPr>
        <w:t>՛</w:t>
      </w:r>
      <w:r w:rsidRPr="00B005C2">
        <w:rPr>
          <w:rFonts w:ascii="GHEA Grapalat" w:hAnsi="GHEA Grapalat"/>
          <w:sz w:val="22"/>
          <w:szCs w:val="22"/>
          <w:lang w:val="hy-AM"/>
        </w:rPr>
        <w:t>ս Գծապատկեր 5):</w:t>
      </w:r>
    </w:p>
    <w:p w:rsidR="00A67B4D" w:rsidRPr="00B005C2" w:rsidRDefault="00A67B4D" w:rsidP="00AB6086">
      <w:pPr>
        <w:ind w:firstLine="540"/>
        <w:contextualSpacing/>
        <w:jc w:val="both"/>
        <w:rPr>
          <w:rFonts w:ascii="GHEA Grapalat" w:hAnsi="GHEA Grapalat"/>
          <w:sz w:val="22"/>
          <w:szCs w:val="22"/>
          <w:lang w:val="hy-AM"/>
        </w:rPr>
      </w:pPr>
    </w:p>
    <w:p w:rsidR="00A67B4D" w:rsidRPr="00D76CE2" w:rsidRDefault="00A67B4D" w:rsidP="00B005C2">
      <w:pPr>
        <w:spacing w:line="360" w:lineRule="auto"/>
        <w:ind w:firstLine="540"/>
        <w:contextualSpacing/>
        <w:jc w:val="both"/>
        <w:rPr>
          <w:rFonts w:ascii="GHEA Grapalat" w:hAnsi="GHEA Grapalat"/>
          <w:sz w:val="22"/>
          <w:szCs w:val="22"/>
          <w:lang w:val="hy-AM"/>
        </w:rPr>
      </w:pPr>
      <w:r w:rsidRPr="0071197C">
        <w:rPr>
          <w:rFonts w:ascii="GHEA Grapalat" w:hAnsi="GHEA Grapalat"/>
          <w:b/>
          <w:sz w:val="22"/>
          <w:szCs w:val="22"/>
          <w:lang w:val="hy-AM"/>
        </w:rPr>
        <w:t>Գծապատկեր 5.</w:t>
      </w:r>
      <w:r w:rsidRPr="0071197C">
        <w:rPr>
          <w:rFonts w:ascii="GHEA Grapalat" w:hAnsi="GHEA Grapalat"/>
          <w:sz w:val="22"/>
          <w:szCs w:val="22"/>
          <w:lang w:val="hy-AM"/>
        </w:rPr>
        <w:t xml:space="preserve"> Ներմուծման ծածկման գործակիցը</w:t>
      </w:r>
      <w:r w:rsidRPr="0071197C">
        <w:rPr>
          <w:rFonts w:ascii="GHEA Grapalat" w:hAnsi="GHEA Grapalat"/>
          <w:sz w:val="22"/>
          <w:szCs w:val="22"/>
          <w:vertAlign w:val="superscript"/>
          <w:lang w:val="hy-AM"/>
        </w:rPr>
        <w:footnoteReference w:id="11"/>
      </w:r>
      <w:r w:rsidRPr="0071197C">
        <w:rPr>
          <w:rFonts w:ascii="GHEA Grapalat" w:hAnsi="GHEA Grapalat"/>
          <w:sz w:val="22"/>
          <w:szCs w:val="22"/>
          <w:lang w:val="hy-AM"/>
        </w:rPr>
        <w:t>, տոկոսներով (առաջին կիսամյակներ)</w:t>
      </w:r>
    </w:p>
    <w:p w:rsidR="00B005C2" w:rsidRPr="00D76CE2" w:rsidRDefault="00B005C2" w:rsidP="00AB6086">
      <w:pPr>
        <w:ind w:firstLine="540"/>
        <w:contextualSpacing/>
        <w:jc w:val="both"/>
        <w:rPr>
          <w:rFonts w:ascii="GHEA Grapalat" w:hAnsi="GHEA Grapalat"/>
          <w:sz w:val="22"/>
          <w:szCs w:val="22"/>
          <w:lang w:val="hy-AM"/>
        </w:rPr>
      </w:pPr>
    </w:p>
    <w:p w:rsidR="00A67B4D" w:rsidRDefault="00A67B4D" w:rsidP="00A67B4D">
      <w:pPr>
        <w:pStyle w:val="32"/>
        <w:jc w:val="center"/>
        <w:rPr>
          <w:rFonts w:ascii="GHEA Grapalat" w:hAnsi="GHEA Grapalat"/>
          <w:i w:val="0"/>
          <w:szCs w:val="22"/>
        </w:rPr>
      </w:pPr>
      <w:r>
        <w:rPr>
          <w:rFonts w:ascii="GHEA Grapalat" w:hAnsi="GHEA Grapalat"/>
          <w:i w:val="0"/>
          <w:noProof/>
          <w:szCs w:val="22"/>
          <w:lang w:val="ru-RU" w:eastAsia="ru-RU"/>
        </w:rPr>
        <w:drawing>
          <wp:inline distT="0" distB="0" distL="0" distR="0" wp14:anchorId="75155FFB" wp14:editId="50101AC4">
            <wp:extent cx="5486400" cy="30099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67B4D" w:rsidRPr="003F75AB" w:rsidRDefault="00A67B4D" w:rsidP="003F75AB">
      <w:pPr>
        <w:spacing w:line="360" w:lineRule="auto"/>
        <w:ind w:firstLine="540"/>
        <w:contextualSpacing/>
        <w:jc w:val="both"/>
        <w:rPr>
          <w:rFonts w:ascii="GHEA Grapalat" w:hAnsi="GHEA Grapalat"/>
          <w:sz w:val="22"/>
          <w:szCs w:val="22"/>
          <w:lang w:val="hy-AM"/>
        </w:rPr>
      </w:pPr>
      <w:r w:rsidRPr="003F75AB">
        <w:rPr>
          <w:rFonts w:ascii="GHEA Grapalat" w:hAnsi="GHEA Grapalat"/>
          <w:b/>
          <w:i/>
          <w:sz w:val="22"/>
          <w:szCs w:val="22"/>
          <w:lang w:val="hy-AM"/>
        </w:rPr>
        <w:lastRenderedPageBreak/>
        <w:t>Ներճյուղային</w:t>
      </w:r>
      <w:r w:rsidRPr="003F75AB">
        <w:rPr>
          <w:b/>
          <w:i/>
          <w:sz w:val="22"/>
          <w:szCs w:val="22"/>
          <w:vertAlign w:val="superscript"/>
          <w:lang w:val="hy-AM"/>
        </w:rPr>
        <w:footnoteReference w:id="12"/>
      </w:r>
      <w:r w:rsidRPr="003F75AB">
        <w:rPr>
          <w:rFonts w:ascii="GHEA Grapalat" w:hAnsi="GHEA Grapalat"/>
          <w:b/>
          <w:i/>
          <w:sz w:val="22"/>
          <w:szCs w:val="22"/>
          <w:lang w:val="hy-AM"/>
        </w:rPr>
        <w:t xml:space="preserve"> առևտուր:</w:t>
      </w:r>
      <w:r w:rsidRPr="003F75AB">
        <w:rPr>
          <w:rFonts w:ascii="GHEA Grapalat" w:hAnsi="GHEA Grapalat"/>
          <w:sz w:val="22"/>
          <w:szCs w:val="22"/>
          <w:lang w:val="hy-AM"/>
        </w:rPr>
        <w:t xml:space="preserve"> Պատրաստի սննդի արտադրանքը ՀՀ ներճյուղային առևտրի տեսանկյունից ամենամեծ երկկողմանի արտաքին առևտրի ապրանքախումբն է: 2015 թվականի առաջին կիսամյակի ՀՀ ներճյուղային առևտրի մակարդակի վերլուծությունը վկայում է «Պատրաստի սննդի արտադրանք», «Ոչ թանկարժեք մետաղներ և դրանցից պատրաստված իրեր», «Թանկարժեք ու կիսաթանկարժեք քարեր, թանկարժեք մետաղներ և դրանցից իրեր», «Հանքահումքային արտադրանք», «Կաշվի հումք, կաշի, մորթի և դրանցից պատրաստված իրեր» և «Արվեստի ստեղծագործություններ» ապրանքախմբերի գծով երկկողմանի արտաքին առևտրի մասին (տե</w:t>
      </w:r>
      <w:r w:rsidR="003F75AB" w:rsidRPr="00B005C2">
        <w:rPr>
          <w:rFonts w:ascii="GHEA Grapalat" w:hAnsi="GHEA Grapalat"/>
          <w:sz w:val="22"/>
          <w:szCs w:val="22"/>
          <w:lang w:val="hy-AM"/>
        </w:rPr>
        <w:t>՛</w:t>
      </w:r>
      <w:r w:rsidRPr="003F75AB">
        <w:rPr>
          <w:rFonts w:ascii="GHEA Grapalat" w:hAnsi="GHEA Grapalat"/>
          <w:sz w:val="22"/>
          <w:szCs w:val="22"/>
          <w:lang w:val="hy-AM"/>
        </w:rPr>
        <w:t xml:space="preserve">ս Գծապատկեր 6): Ընդ որում, նշված առաջին երեք խմբերի երկկողմանի արտաքին առևտուրը վերջին տարիներին համեմատաբար կայուն է: </w:t>
      </w:r>
    </w:p>
    <w:p w:rsidR="00A67B4D" w:rsidRPr="003F75AB" w:rsidRDefault="00A67B4D" w:rsidP="003F75AB">
      <w:pPr>
        <w:spacing w:line="360" w:lineRule="auto"/>
        <w:ind w:firstLine="540"/>
        <w:contextualSpacing/>
        <w:jc w:val="both"/>
        <w:rPr>
          <w:rFonts w:ascii="GHEA Grapalat" w:hAnsi="GHEA Grapalat"/>
          <w:sz w:val="22"/>
          <w:szCs w:val="22"/>
          <w:lang w:val="hy-AM"/>
        </w:rPr>
      </w:pPr>
    </w:p>
    <w:p w:rsidR="00A67B4D" w:rsidRPr="0071197C" w:rsidRDefault="00A67B4D" w:rsidP="003F75AB">
      <w:pPr>
        <w:spacing w:line="360" w:lineRule="auto"/>
        <w:ind w:firstLine="540"/>
        <w:contextualSpacing/>
        <w:jc w:val="both"/>
        <w:rPr>
          <w:rFonts w:ascii="GHEA Grapalat" w:hAnsi="GHEA Grapalat"/>
          <w:sz w:val="22"/>
          <w:szCs w:val="22"/>
          <w:lang w:val="hy-AM"/>
        </w:rPr>
      </w:pPr>
      <w:r w:rsidRPr="0071197C">
        <w:rPr>
          <w:rFonts w:ascii="GHEA Grapalat" w:hAnsi="GHEA Grapalat"/>
          <w:b/>
          <w:sz w:val="22"/>
          <w:szCs w:val="22"/>
          <w:lang w:val="hy-AM"/>
        </w:rPr>
        <w:t>Գծապատկեր 6.</w:t>
      </w:r>
      <w:r w:rsidRPr="0071197C">
        <w:rPr>
          <w:rFonts w:ascii="GHEA Grapalat" w:hAnsi="GHEA Grapalat"/>
          <w:sz w:val="22"/>
          <w:szCs w:val="22"/>
          <w:lang w:val="hy-AM"/>
        </w:rPr>
        <w:t xml:space="preserve"> 2015 թվականի առաջին կիսամյակի ներճյուղային առևտուրը </w:t>
      </w:r>
    </w:p>
    <w:p w:rsidR="00A67B4D" w:rsidRDefault="00A67B4D" w:rsidP="003F75AB">
      <w:pPr>
        <w:tabs>
          <w:tab w:val="num" w:pos="720"/>
        </w:tabs>
        <w:spacing w:line="360" w:lineRule="auto"/>
        <w:jc w:val="both"/>
        <w:rPr>
          <w:rFonts w:ascii="GHEA Grapalat" w:hAnsi="GHEA Grapalat"/>
        </w:rPr>
      </w:pPr>
      <w:r>
        <w:rPr>
          <w:noProof/>
          <w:lang w:val="ru-RU" w:eastAsia="ru-RU"/>
        </w:rPr>
        <mc:AlternateContent>
          <mc:Choice Requires="wps">
            <w:drawing>
              <wp:anchor distT="0" distB="0" distL="114300" distR="114300" simplePos="0" relativeHeight="251659264" behindDoc="0" locked="0" layoutInCell="1" allowOverlap="1" wp14:anchorId="14DFB157" wp14:editId="64A30BCD">
                <wp:simplePos x="0" y="0"/>
                <wp:positionH relativeFrom="column">
                  <wp:posOffset>2345055</wp:posOffset>
                </wp:positionH>
                <wp:positionV relativeFrom="paragraph">
                  <wp:posOffset>432435</wp:posOffset>
                </wp:positionV>
                <wp:extent cx="0" cy="1500505"/>
                <wp:effectExtent l="0" t="0" r="1905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05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2CA3D"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5pt,34.05pt" to="184.65pt,1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nNGwIAADkEAAAOAAAAZHJzL2Uyb0RvYy54bWysU8GO2jAQvVfqP1i5QxIaW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" strokeweight="1.5pt"/>
            </w:pict>
          </mc:Fallback>
        </mc:AlternateContent>
      </w:r>
      <w:r>
        <w:rPr>
          <w:rFonts w:ascii="GHEA Grapalat" w:hAnsi="GHEA Grapalat"/>
          <w:i/>
          <w:noProof/>
          <w:sz w:val="22"/>
          <w:szCs w:val="22"/>
          <w:lang w:val="ru-RU" w:eastAsia="ru-RU"/>
        </w:rPr>
        <w:drawing>
          <wp:inline distT="0" distB="0" distL="0" distR="0" wp14:anchorId="5E08B653" wp14:editId="0F477BDA">
            <wp:extent cx="6477000" cy="3448050"/>
            <wp:effectExtent l="0" t="0" r="19050" b="19050"/>
            <wp:docPr id="13" name="Char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67B4D" w:rsidRPr="003F75AB" w:rsidRDefault="00A67B4D" w:rsidP="003F75AB">
      <w:pPr>
        <w:spacing w:line="360" w:lineRule="auto"/>
        <w:ind w:firstLine="540"/>
        <w:contextualSpacing/>
        <w:jc w:val="both"/>
        <w:rPr>
          <w:rFonts w:ascii="GHEA Grapalat" w:hAnsi="GHEA Grapalat"/>
          <w:sz w:val="22"/>
          <w:szCs w:val="22"/>
          <w:lang w:val="hy-AM"/>
        </w:rPr>
      </w:pPr>
      <w:r w:rsidRPr="003F75AB">
        <w:rPr>
          <w:rFonts w:ascii="GHEA Grapalat" w:hAnsi="GHEA Grapalat"/>
          <w:sz w:val="22"/>
          <w:szCs w:val="22"/>
          <w:lang w:val="hy-AM"/>
        </w:rPr>
        <w:t>Գծապատկերում դրական և բացասական նշանները տրամադրում են լրացուցիչ տեղեկատվություն և պայմանավորված են համապատասխան ապրանքախմբերի արտաքին առևտրային հաշվեկշռի դրական կամ բացասական մնացորդով: «Ոչ թանկարժեք մետաղներ և դրանցից պատրաստված իրեր» և «Թանկարժեք ու կիսաթանկարժեք քարեր, թանկարժեք մետաղներ և դրանցից իրեր» (լրիվ երկկողմանի առևտուր) ապրանքախմբերի դրական առևտրային մնացորդները վկայում են մեր երկրի կողմից այդ ապրանքատեսակների գծով արտաքին աշխարհի պահանջարկը բավարարելու մասին:</w:t>
      </w:r>
    </w:p>
    <w:p w:rsidR="00A67B4D" w:rsidRPr="003F75AB" w:rsidRDefault="00A67B4D" w:rsidP="003F75AB">
      <w:pPr>
        <w:spacing w:line="360" w:lineRule="auto"/>
        <w:ind w:firstLine="540"/>
        <w:contextualSpacing/>
        <w:jc w:val="both"/>
        <w:rPr>
          <w:rFonts w:ascii="GHEA Grapalat" w:hAnsi="GHEA Grapalat"/>
          <w:sz w:val="22"/>
          <w:szCs w:val="22"/>
          <w:lang w:val="hy-AM"/>
        </w:rPr>
      </w:pPr>
      <w:r w:rsidRPr="003F75AB">
        <w:rPr>
          <w:rFonts w:ascii="GHEA Grapalat" w:hAnsi="GHEA Grapalat"/>
          <w:sz w:val="22"/>
          <w:szCs w:val="22"/>
          <w:lang w:val="hy-AM"/>
        </w:rPr>
        <w:lastRenderedPageBreak/>
        <w:t xml:space="preserve">Մնացած ապրանքախմբերով տեղի է ունեցել մեծ մասամբ միակողմանի առևտուր` ներքին պահանջարկը բավարարելու ուղղությամբ (բացասական առևտրային մնացորդ): </w:t>
      </w:r>
    </w:p>
    <w:p w:rsidR="00A67B4D" w:rsidRPr="003F75AB" w:rsidRDefault="00A67B4D" w:rsidP="003F75AB">
      <w:pPr>
        <w:spacing w:line="360" w:lineRule="auto"/>
        <w:ind w:firstLine="540"/>
        <w:contextualSpacing/>
        <w:jc w:val="both"/>
        <w:rPr>
          <w:rFonts w:ascii="GHEA Grapalat" w:hAnsi="GHEA Grapalat"/>
          <w:sz w:val="22"/>
          <w:szCs w:val="22"/>
          <w:lang w:val="hy-AM"/>
        </w:rPr>
      </w:pPr>
      <w:r w:rsidRPr="003F75AB">
        <w:rPr>
          <w:rFonts w:ascii="GHEA Grapalat" w:hAnsi="GHEA Grapalat"/>
          <w:b/>
          <w:i/>
          <w:sz w:val="22"/>
          <w:szCs w:val="22"/>
          <w:lang w:val="hy-AM"/>
        </w:rPr>
        <w:t>Բացահայտված համեմատական առավելության գործակից</w:t>
      </w:r>
      <w:r w:rsidRPr="003F75AB">
        <w:rPr>
          <w:rFonts w:ascii="GHEA Grapalat" w:hAnsi="GHEA Grapalat"/>
          <w:b/>
          <w:i/>
          <w:sz w:val="22"/>
          <w:szCs w:val="22"/>
          <w:vertAlign w:val="superscript"/>
          <w:lang w:val="hy-AM"/>
        </w:rPr>
        <w:footnoteReference w:id="13"/>
      </w:r>
      <w:r w:rsidRPr="003F75AB">
        <w:rPr>
          <w:rFonts w:ascii="GHEA Grapalat" w:hAnsi="GHEA Grapalat"/>
          <w:b/>
          <w:i/>
          <w:sz w:val="22"/>
          <w:szCs w:val="22"/>
          <w:lang w:val="hy-AM"/>
        </w:rPr>
        <w:t>:</w:t>
      </w:r>
      <w:r w:rsidRPr="003F75AB">
        <w:rPr>
          <w:rFonts w:ascii="GHEA Grapalat" w:hAnsi="GHEA Grapalat"/>
          <w:sz w:val="22"/>
          <w:szCs w:val="22"/>
          <w:lang w:val="hy-AM"/>
        </w:rPr>
        <w:t xml:space="preserve"> Մի քանի ապրանքատեսակների գծով Հայաստանը համաշխարհային արտահանման մեջ ունի բացահայտված համեմատական առավելություն: Բացահայտված համեմատական առավելության գործակցի վերլուծությունը վկայում է որոշ ապրանքատեսակների գծով համաշխարհային շուկայում Հայաստանի համեմատական առավելության մասին (տե</w:t>
      </w:r>
      <w:r w:rsidR="003F75AB" w:rsidRPr="00B005C2">
        <w:rPr>
          <w:rFonts w:ascii="GHEA Grapalat" w:hAnsi="GHEA Grapalat"/>
          <w:sz w:val="22"/>
          <w:szCs w:val="22"/>
          <w:lang w:val="hy-AM"/>
        </w:rPr>
        <w:t>՛</w:t>
      </w:r>
      <w:r w:rsidRPr="003F75AB">
        <w:rPr>
          <w:rFonts w:ascii="GHEA Grapalat" w:hAnsi="GHEA Grapalat"/>
          <w:sz w:val="22"/>
          <w:szCs w:val="22"/>
          <w:lang w:val="hy-AM"/>
        </w:rPr>
        <w:t xml:space="preserve">ս Գծապատկեր 7): Նշված ապրանքատեսակներից են Հայաստանից արտահանվող հետևյալ ապրանքները. ոգելից խմիչքներ և ծխախոտ («Պատրաստի սննդի արտադրանք» ապրանքախումբ), անմշակ ոսկի («Թանկարժեք ու կիսաթանկարժեք քարեր, թանկարժեք մետաղներ և դրանցից իրեր»), պղնձե ոլորված լարեր, հաղորդալարեր և պղնձյա գամեր («Ոչ թանկարժեք մետաղներ և դրանցից պատրաստված իրեր»), բնական մեղր («Կենդանի կենդանիներ և կենդանական ծագման արտադրանք»), քար` մշակած հուշարձանների կամ շինարարության համար </w:t>
      </w:r>
      <w:r w:rsidR="003F75AB" w:rsidRPr="00D76CE2">
        <w:rPr>
          <w:rFonts w:ascii="GHEA Grapalat" w:hAnsi="GHEA Grapalat"/>
          <w:sz w:val="22"/>
          <w:szCs w:val="22"/>
          <w:lang w:val="hy-AM"/>
        </w:rPr>
        <w:t>և</w:t>
      </w:r>
      <w:r w:rsidRPr="003F75AB">
        <w:rPr>
          <w:rFonts w:ascii="GHEA Grapalat" w:hAnsi="GHEA Grapalat"/>
          <w:sz w:val="22"/>
          <w:szCs w:val="22"/>
          <w:lang w:val="hy-AM"/>
        </w:rPr>
        <w:t xml:space="preserve"> ապրանքներ քարից («Իրեր քարից, գիպսից, ցեմենտից»), կարբիդ («Հանքահումքային արտադրանք») և այլ ապրանքատեսակներ:</w:t>
      </w:r>
    </w:p>
    <w:p w:rsidR="00A67B4D" w:rsidRPr="00D76CE2" w:rsidRDefault="00A67B4D" w:rsidP="00A67B4D">
      <w:pPr>
        <w:spacing w:line="360" w:lineRule="auto"/>
        <w:ind w:firstLine="720"/>
        <w:jc w:val="both"/>
        <w:rPr>
          <w:rFonts w:ascii="GHEA Grapalat" w:hAnsi="GHEA Grapalat" w:cs="Sylfaen"/>
          <w:lang w:val="hy-AM"/>
        </w:rPr>
      </w:pPr>
    </w:p>
    <w:p w:rsidR="00A67B4D" w:rsidRPr="00D76CE2" w:rsidRDefault="00A67B4D" w:rsidP="003F75AB">
      <w:pPr>
        <w:spacing w:line="360" w:lineRule="auto"/>
        <w:ind w:firstLine="720"/>
        <w:rPr>
          <w:rFonts w:ascii="GHEA Grapalat" w:hAnsi="GHEA Grapalat" w:cs="Arial LatArm"/>
          <w:lang w:val="hy-AM"/>
        </w:rPr>
      </w:pPr>
      <w:r w:rsidRPr="0071197C">
        <w:rPr>
          <w:rFonts w:ascii="GHEA Grapalat" w:hAnsi="GHEA Grapalat"/>
          <w:b/>
          <w:sz w:val="22"/>
          <w:szCs w:val="22"/>
          <w:lang w:val="hy-AM"/>
        </w:rPr>
        <w:t>Գծապատկեր 7.</w:t>
      </w:r>
      <w:r w:rsidRPr="0071197C">
        <w:rPr>
          <w:rFonts w:ascii="GHEA Grapalat" w:hAnsi="GHEA Grapalat"/>
          <w:sz w:val="22"/>
          <w:szCs w:val="22"/>
          <w:lang w:val="hy-AM"/>
        </w:rPr>
        <w:t xml:space="preserve"> Բացահայտված համեմատական առավելության գործակից</w:t>
      </w:r>
      <w:r w:rsidRPr="00D76CE2">
        <w:rPr>
          <w:rFonts w:ascii="GHEA Grapalat" w:hAnsi="GHEA Grapalat" w:cs="Sylfaen"/>
          <w:lang w:val="hy-AM"/>
        </w:rPr>
        <w:t xml:space="preserve"> </w:t>
      </w:r>
      <w:r>
        <w:rPr>
          <w:noProof/>
          <w:lang w:val="ru-RU" w:eastAsia="ru-RU"/>
        </w:rPr>
        <w:drawing>
          <wp:inline distT="0" distB="0" distL="0" distR="0" wp14:anchorId="44670AAD" wp14:editId="40115654">
            <wp:extent cx="6448425" cy="355282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67B4D" w:rsidRPr="003F75AB" w:rsidRDefault="00A67B4D" w:rsidP="003F75AB">
      <w:pPr>
        <w:spacing w:line="360" w:lineRule="auto"/>
        <w:ind w:firstLine="540"/>
        <w:contextualSpacing/>
        <w:jc w:val="both"/>
        <w:rPr>
          <w:rFonts w:ascii="GHEA Grapalat" w:hAnsi="GHEA Grapalat"/>
          <w:sz w:val="22"/>
          <w:szCs w:val="22"/>
          <w:lang w:val="hy-AM"/>
        </w:rPr>
      </w:pPr>
    </w:p>
    <w:p w:rsidR="00A67B4D" w:rsidRPr="003F75AB" w:rsidRDefault="00A67B4D" w:rsidP="003F75AB">
      <w:pPr>
        <w:spacing w:line="360" w:lineRule="auto"/>
        <w:ind w:firstLine="540"/>
        <w:contextualSpacing/>
        <w:jc w:val="both"/>
        <w:rPr>
          <w:rFonts w:ascii="GHEA Grapalat" w:hAnsi="GHEA Grapalat"/>
          <w:sz w:val="22"/>
          <w:szCs w:val="22"/>
          <w:lang w:val="hy-AM"/>
        </w:rPr>
      </w:pPr>
      <w:r w:rsidRPr="003F75AB">
        <w:rPr>
          <w:rFonts w:ascii="GHEA Grapalat" w:hAnsi="GHEA Grapalat"/>
          <w:b/>
          <w:i/>
          <w:sz w:val="22"/>
          <w:szCs w:val="22"/>
          <w:lang w:val="hy-AM"/>
        </w:rPr>
        <w:lastRenderedPageBreak/>
        <w:t xml:space="preserve">Արտաքին առևտուրն ըստ գործընկեր երկրների: </w:t>
      </w:r>
      <w:r w:rsidRPr="003F75AB">
        <w:rPr>
          <w:rFonts w:ascii="GHEA Grapalat" w:hAnsi="GHEA Grapalat"/>
          <w:sz w:val="22"/>
          <w:szCs w:val="22"/>
          <w:lang w:val="hy-AM"/>
        </w:rPr>
        <w:t>Գործընկեր երկրների կազմը գրեթե չի փոփոխվել, մինչդեռ արտաքին առևտրաշրջանառության աշխարհագրական կառուցվածքում տեղի են ունեցել որոշակի փոփոխություններ: Ընթացիկ տարվա վեց ամիսներին արտաքին առևտրաշրջանառության 26.7%-ը բաժին է ընկել ԱՊՀ, 26.6%-ը` ԵՄ և 46.7%-ը</w:t>
      </w:r>
      <w:r w:rsidR="003B1AD1" w:rsidRPr="00D76CE2">
        <w:rPr>
          <w:rFonts w:ascii="GHEA Grapalat" w:hAnsi="GHEA Grapalat"/>
          <w:sz w:val="22"/>
          <w:szCs w:val="22"/>
          <w:lang w:val="hy-AM"/>
        </w:rPr>
        <w:t>՝</w:t>
      </w:r>
      <w:r w:rsidRPr="003F75AB">
        <w:rPr>
          <w:rFonts w:ascii="GHEA Grapalat" w:hAnsi="GHEA Grapalat"/>
          <w:sz w:val="22"/>
          <w:szCs w:val="22"/>
          <w:lang w:val="hy-AM"/>
        </w:rPr>
        <w:t xml:space="preserve"> այլ երկրներին` նախորդ տարվա հանապատասխանաբար 27.3%</w:t>
      </w:r>
      <w:r w:rsidR="003B1AD1" w:rsidRPr="00D76CE2">
        <w:rPr>
          <w:rFonts w:ascii="GHEA Grapalat" w:hAnsi="GHEA Grapalat"/>
          <w:sz w:val="22"/>
          <w:szCs w:val="22"/>
          <w:lang w:val="hy-AM"/>
        </w:rPr>
        <w:t>-ի</w:t>
      </w:r>
      <w:r w:rsidRPr="003F75AB">
        <w:rPr>
          <w:rFonts w:ascii="GHEA Grapalat" w:hAnsi="GHEA Grapalat"/>
          <w:sz w:val="22"/>
          <w:szCs w:val="22"/>
          <w:lang w:val="hy-AM"/>
        </w:rPr>
        <w:t>, 28%</w:t>
      </w:r>
      <w:r w:rsidR="003B1AD1" w:rsidRPr="00D76CE2">
        <w:rPr>
          <w:rFonts w:ascii="GHEA Grapalat" w:hAnsi="GHEA Grapalat"/>
          <w:sz w:val="22"/>
          <w:szCs w:val="22"/>
          <w:lang w:val="hy-AM"/>
        </w:rPr>
        <w:t>-ի</w:t>
      </w:r>
      <w:r w:rsidRPr="003F75AB">
        <w:rPr>
          <w:rFonts w:ascii="GHEA Grapalat" w:hAnsi="GHEA Grapalat"/>
          <w:sz w:val="22"/>
          <w:szCs w:val="22"/>
          <w:lang w:val="hy-AM"/>
        </w:rPr>
        <w:t xml:space="preserve"> և 44.7%-ի դիմաց: Չնայած այլ երկրների կշիռը ՀՀ արտաքին առևտրաշրջանառության մեջ աճել է, այնուհանդերձ վերջինիս ծավալները նախորդ տարվա վեց ամիսների համեմատ նույնպես կրճատվել են (13.9%-ով), ինչը հիմնականում պայմանավորվել է այդ երկրներից ներմուծման ծավալների կրճատմամբ (նպաստումը` 22.1 տոկոսային կետ), մինչդեռ արտահանման ծավալներ</w:t>
      </w:r>
      <w:r w:rsidR="003B1AD1" w:rsidRPr="00D76CE2">
        <w:rPr>
          <w:rFonts w:ascii="GHEA Grapalat" w:hAnsi="GHEA Grapalat"/>
          <w:sz w:val="22"/>
          <w:szCs w:val="22"/>
          <w:lang w:val="hy-AM"/>
        </w:rPr>
        <w:t>ն</w:t>
      </w:r>
      <w:r w:rsidRPr="003F75AB">
        <w:rPr>
          <w:rFonts w:ascii="GHEA Grapalat" w:hAnsi="GHEA Grapalat"/>
          <w:sz w:val="22"/>
          <w:szCs w:val="22"/>
          <w:lang w:val="hy-AM"/>
        </w:rPr>
        <w:t xml:space="preserve"> աճել են` հակազդելով այդ երկրների հետ առևտրաշրջանառության նվազմանը (նպաստումը` 5.2 տոկոսային կետ): </w:t>
      </w:r>
    </w:p>
    <w:p w:rsidR="00A67B4D" w:rsidRPr="003F75AB" w:rsidRDefault="00A67B4D" w:rsidP="003F75AB">
      <w:pPr>
        <w:spacing w:line="360" w:lineRule="auto"/>
        <w:ind w:firstLine="540"/>
        <w:contextualSpacing/>
        <w:jc w:val="both"/>
        <w:rPr>
          <w:rFonts w:ascii="GHEA Grapalat" w:hAnsi="GHEA Grapalat"/>
          <w:sz w:val="22"/>
          <w:szCs w:val="22"/>
          <w:lang w:val="hy-AM"/>
        </w:rPr>
      </w:pPr>
      <w:r w:rsidRPr="003F75AB">
        <w:rPr>
          <w:rFonts w:ascii="GHEA Grapalat" w:hAnsi="GHEA Grapalat"/>
          <w:sz w:val="22"/>
          <w:szCs w:val="22"/>
          <w:lang w:val="hy-AM"/>
        </w:rPr>
        <w:t xml:space="preserve"> 2015 թվականի առաջին կիսամյակում ՀՀ խոշոր առևտրային գործընկեր-երկրների շրջանակում ընդգրկված էին Չինաստանը (առևտրաշրջանառության 10.6%, նախորդ տարվա 9.3%-ի դիմաց), Գերմանիան (համապատասխանաբար` 7.5% և 7.8%), Իրանը (6.1% և 4.8%), ԱՄՆ-ն (4% և 3.9%), Իտալիան (4.5% և 3.8%), Վրաստանը (3.3% և 2.7%), Կանադան (2.9% և 1.8%), Թուրքիան (2.9% և 3.9%), Բուլղարիան (2.5% և 2.5%), Իրաքը (2.5% և 1.9%), ինչպես նաև ԱՊՀ երկրներից` Ռուսաստանը (22.5% և 22.9%) և Ուկրաինան (2.8% և 3.3%): Վերջիններիս բաժին է ընկել ՀՀ և ԱՊՀ երկրների միջև տարվա առաջին վեց ամիսների ընթացքում կատարված ապրանքաշրջանառության շուրջ 94.9</w:t>
      </w:r>
      <w:r w:rsidR="0033256F">
        <w:rPr>
          <w:rFonts w:ascii="GHEA Grapalat" w:hAnsi="GHEA Grapalat"/>
          <w:sz w:val="22"/>
          <w:szCs w:val="22"/>
          <w:lang w:val="hy-AM"/>
        </w:rPr>
        <w:t>%-ը</w:t>
      </w:r>
      <w:r w:rsidRPr="003F75AB">
        <w:rPr>
          <w:rFonts w:ascii="GHEA Grapalat" w:hAnsi="GHEA Grapalat"/>
          <w:sz w:val="22"/>
          <w:szCs w:val="22"/>
          <w:lang w:val="hy-AM"/>
        </w:rPr>
        <w:t>: Հանրապետության թվով 38 հիմնական գործընկեր երկրները մեծամասամբ (մոտ 80</w:t>
      </w:r>
      <w:r w:rsidR="0033256F">
        <w:rPr>
          <w:rFonts w:ascii="GHEA Grapalat" w:hAnsi="GHEA Grapalat"/>
          <w:sz w:val="22"/>
          <w:szCs w:val="22"/>
          <w:lang w:val="hy-AM"/>
        </w:rPr>
        <w:t>%-ը</w:t>
      </w:r>
      <w:r w:rsidRPr="003F75AB">
        <w:rPr>
          <w:rFonts w:ascii="GHEA Grapalat" w:hAnsi="GHEA Grapalat"/>
          <w:sz w:val="22"/>
          <w:szCs w:val="22"/>
          <w:lang w:val="hy-AM"/>
        </w:rPr>
        <w:t>) հանդիսանում են ԱՀԿ անդամ պետություններ:</w:t>
      </w:r>
    </w:p>
    <w:p w:rsidR="00A67B4D" w:rsidRPr="003F75AB" w:rsidRDefault="00A67B4D" w:rsidP="003F75AB">
      <w:pPr>
        <w:spacing w:line="360" w:lineRule="auto"/>
        <w:ind w:firstLine="540"/>
        <w:contextualSpacing/>
        <w:jc w:val="both"/>
        <w:rPr>
          <w:rFonts w:ascii="GHEA Grapalat" w:hAnsi="GHEA Grapalat"/>
          <w:sz w:val="22"/>
          <w:szCs w:val="22"/>
          <w:lang w:val="hy-AM"/>
        </w:rPr>
      </w:pPr>
      <w:r w:rsidRPr="00502523">
        <w:rPr>
          <w:rFonts w:ascii="GHEA Grapalat" w:hAnsi="GHEA Grapalat"/>
          <w:b/>
          <w:i/>
          <w:sz w:val="22"/>
          <w:szCs w:val="22"/>
          <w:lang w:val="hy-AM"/>
        </w:rPr>
        <w:t xml:space="preserve">Երկկողմանի փոխարժեք: </w:t>
      </w:r>
      <w:r w:rsidRPr="003F75AB">
        <w:rPr>
          <w:rFonts w:ascii="GHEA Grapalat" w:hAnsi="GHEA Grapalat"/>
          <w:sz w:val="22"/>
          <w:szCs w:val="22"/>
          <w:lang w:val="hy-AM"/>
        </w:rPr>
        <w:t xml:space="preserve">ՀՀ դրամի փոխարժեքը ԱՄՆ դոլարի նկատմամբ, չնայած հարաբերական կայունացմանը, դեռևս պահպանում է արժեզրկման միտումը: Անցյալ տարվա վերջին ԱՄՆ դոլարի նկատմամբ ՀՀ դրամի փոխարժեքի արագ տեմպերով արժեզրկումից հետո թեև ընթացիկ տարվա առաջին կիսամյակում փոխարժեքը հարաբերականորեն կայունացել է, այնուամենայնիվ անցյալ տարվա համապատասխան ժամանակահատվածի նկատմամբ այն դեռևս շարունակում է արժեզրկված մնալ: </w:t>
      </w:r>
    </w:p>
    <w:p w:rsidR="00A67B4D" w:rsidRPr="00D76CE2" w:rsidRDefault="00A67B4D" w:rsidP="003F75AB">
      <w:pPr>
        <w:spacing w:line="360" w:lineRule="auto"/>
        <w:ind w:firstLine="540"/>
        <w:contextualSpacing/>
        <w:jc w:val="both"/>
        <w:rPr>
          <w:rFonts w:ascii="GHEA Grapalat" w:hAnsi="GHEA Grapalat"/>
          <w:sz w:val="22"/>
          <w:szCs w:val="22"/>
          <w:lang w:val="hy-AM"/>
        </w:rPr>
      </w:pPr>
      <w:r w:rsidRPr="003F75AB">
        <w:rPr>
          <w:rFonts w:ascii="GHEA Grapalat" w:hAnsi="GHEA Grapalat"/>
          <w:sz w:val="22"/>
          <w:szCs w:val="22"/>
          <w:lang w:val="hy-AM"/>
        </w:rPr>
        <w:t>Այսպես, 2015 թվականի առաջին կիսամյակի վերջի՝ հունիս ամսվա միջին փոխարժեքը կազմել է 475.12 դրամ մեկ ԱՄՆ դոլարի դիմաց, որը նախորդ տարվա հունիս ամսին ձևավորված միջինի (410.9) նկատմամբ արժեզրկվել է 13.5</w:t>
      </w:r>
      <w:r w:rsidR="0033256F">
        <w:rPr>
          <w:rFonts w:ascii="GHEA Grapalat" w:hAnsi="GHEA Grapalat"/>
          <w:sz w:val="22"/>
          <w:szCs w:val="22"/>
          <w:lang w:val="hy-AM"/>
        </w:rPr>
        <w:t>%-ով</w:t>
      </w:r>
      <w:r w:rsidRPr="003F75AB">
        <w:rPr>
          <w:rFonts w:ascii="GHEA Grapalat" w:hAnsi="GHEA Grapalat"/>
          <w:sz w:val="22"/>
          <w:szCs w:val="22"/>
          <w:lang w:val="hy-AM"/>
        </w:rPr>
        <w:t>: Իսկ ընթացիկ տարվա հունվար-հունիս ամիսների միջին փոխարժեքը կազմել է 476.9 դրամ մեկ ԱՄՆ դոլարի դիմաց` նախորդ տարվա համապատասխան ժամանակահատվածի (411.9) նկատմամբ արժեզրկվելով 13.62</w:t>
      </w:r>
      <w:r w:rsidR="0033256F">
        <w:rPr>
          <w:rFonts w:ascii="GHEA Grapalat" w:hAnsi="GHEA Grapalat"/>
          <w:sz w:val="22"/>
          <w:szCs w:val="22"/>
          <w:lang w:val="hy-AM"/>
        </w:rPr>
        <w:t>%-ով</w:t>
      </w:r>
      <w:r w:rsidRPr="003F75AB">
        <w:rPr>
          <w:rFonts w:ascii="GHEA Grapalat" w:hAnsi="GHEA Grapalat"/>
          <w:sz w:val="22"/>
          <w:szCs w:val="22"/>
          <w:lang w:val="hy-AM"/>
        </w:rPr>
        <w:t>՝ 2014 թվականի համապատասխան ցուցանիշի 0.06</w:t>
      </w:r>
      <w:r w:rsidR="00EC36C8" w:rsidRPr="00D76CE2">
        <w:rPr>
          <w:rFonts w:ascii="GHEA Grapalat" w:hAnsi="GHEA Grapalat"/>
          <w:sz w:val="22"/>
          <w:szCs w:val="22"/>
          <w:lang w:val="hy-AM"/>
        </w:rPr>
        <w:t>%</w:t>
      </w:r>
      <w:r w:rsidRPr="003F75AB">
        <w:rPr>
          <w:rFonts w:ascii="GHEA Grapalat" w:hAnsi="GHEA Grapalat"/>
          <w:sz w:val="22"/>
          <w:szCs w:val="22"/>
          <w:lang w:val="hy-AM"/>
        </w:rPr>
        <w:t xml:space="preserve"> արժևորման դիմաց: Ըստ էության, փոխարժեքի նման վարքագիծը համաշխարհային տնտեսության և տարածաշրջանային զարգացումների արդյունք է: Ընդ որում տարվա անցած ամիսներին դրամի արժեզրկմանը մասամբ նպաստել է նաև նախորդ </w:t>
      </w:r>
      <w:r w:rsidRPr="003F75AB">
        <w:rPr>
          <w:rFonts w:ascii="GHEA Grapalat" w:hAnsi="GHEA Grapalat"/>
          <w:sz w:val="22"/>
          <w:szCs w:val="22"/>
          <w:lang w:val="hy-AM"/>
        </w:rPr>
        <w:lastRenderedPageBreak/>
        <w:t xml:space="preserve">տարվանից դիտարկվող կապիտալի ներհոսքի (հիմնականում ոչ առևտրային բնույթի փոխանցումների տեսքով) զգալի դանդաղումը: </w:t>
      </w:r>
    </w:p>
    <w:p w:rsidR="003F75AB" w:rsidRPr="00D76CE2" w:rsidRDefault="003F75AB" w:rsidP="003F75AB">
      <w:pPr>
        <w:spacing w:line="360" w:lineRule="auto"/>
        <w:ind w:firstLine="540"/>
        <w:contextualSpacing/>
        <w:jc w:val="both"/>
        <w:rPr>
          <w:rFonts w:ascii="GHEA Grapalat" w:hAnsi="GHEA Grapalat"/>
          <w:sz w:val="22"/>
          <w:szCs w:val="22"/>
          <w:lang w:val="hy-AM"/>
        </w:rPr>
      </w:pPr>
    </w:p>
    <w:p w:rsidR="00A67B4D" w:rsidRPr="003F75AB" w:rsidRDefault="00A67B4D" w:rsidP="003F75AB">
      <w:pPr>
        <w:spacing w:line="360" w:lineRule="auto"/>
        <w:ind w:firstLine="540"/>
        <w:contextualSpacing/>
        <w:jc w:val="both"/>
        <w:rPr>
          <w:rFonts w:ascii="GHEA Grapalat" w:hAnsi="GHEA Grapalat"/>
          <w:sz w:val="22"/>
          <w:szCs w:val="22"/>
          <w:lang w:val="hy-AM"/>
        </w:rPr>
      </w:pPr>
      <w:r w:rsidRPr="0071197C">
        <w:rPr>
          <w:rFonts w:ascii="GHEA Grapalat" w:hAnsi="GHEA Grapalat"/>
          <w:b/>
          <w:sz w:val="22"/>
          <w:szCs w:val="22"/>
          <w:lang w:val="hy-AM"/>
        </w:rPr>
        <w:t>Գծապատկեր 8.</w:t>
      </w:r>
      <w:r w:rsidRPr="0071197C">
        <w:rPr>
          <w:rFonts w:ascii="GHEA Grapalat" w:hAnsi="GHEA Grapalat"/>
          <w:sz w:val="22"/>
          <w:szCs w:val="22"/>
          <w:lang w:val="hy-AM"/>
        </w:rPr>
        <w:t xml:space="preserve"> Դրամ/ԱՄՆ դոլար միջին (կուտակային) փոխարժեքի փոփոխության</w:t>
      </w:r>
      <w:r w:rsidRPr="003F75AB">
        <w:rPr>
          <w:rFonts w:ascii="GHEA Grapalat" w:hAnsi="GHEA Grapalat"/>
          <w:sz w:val="22"/>
          <w:szCs w:val="22"/>
          <w:lang w:val="hy-AM"/>
        </w:rPr>
        <w:t xml:space="preserve"> դինամիկան (նախորդ տարվա նույն ժամանակահատվածի համեմատ, %)</w:t>
      </w:r>
    </w:p>
    <w:p w:rsidR="00A67B4D" w:rsidRDefault="00A67B4D" w:rsidP="00A67B4D">
      <w:pPr>
        <w:spacing w:line="360" w:lineRule="auto"/>
        <w:jc w:val="center"/>
        <w:rPr>
          <w:rFonts w:ascii="GHEA Grapalat" w:hAnsi="GHEA Grapalat" w:cs="Sylfaen"/>
        </w:rPr>
      </w:pPr>
      <w:r>
        <w:rPr>
          <w:rFonts w:ascii="GHEA Grapalat" w:hAnsi="GHEA Grapalat" w:cs="Sylfaen"/>
          <w:noProof/>
          <w:lang w:val="ru-RU" w:eastAsia="ru-RU"/>
        </w:rPr>
        <w:drawing>
          <wp:inline distT="0" distB="0" distL="0" distR="0" wp14:anchorId="7429B94B" wp14:editId="7FB657D8">
            <wp:extent cx="5486400" cy="3200400"/>
            <wp:effectExtent l="0" t="0" r="1905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67B4D" w:rsidRDefault="00A67B4D" w:rsidP="00A67B4D">
      <w:pPr>
        <w:spacing w:line="360" w:lineRule="auto"/>
        <w:ind w:firstLine="547"/>
        <w:jc w:val="both"/>
        <w:rPr>
          <w:rFonts w:ascii="GHEA Grapalat" w:hAnsi="GHEA Grapalat" w:cs="Sylfaen"/>
        </w:rPr>
      </w:pPr>
    </w:p>
    <w:p w:rsidR="00A67B4D" w:rsidRPr="00502523" w:rsidRDefault="00A67B4D" w:rsidP="00502523">
      <w:pPr>
        <w:spacing w:line="360" w:lineRule="auto"/>
        <w:ind w:firstLine="540"/>
        <w:contextualSpacing/>
        <w:jc w:val="both"/>
        <w:rPr>
          <w:rFonts w:ascii="GHEA Grapalat" w:hAnsi="GHEA Grapalat"/>
          <w:sz w:val="22"/>
          <w:szCs w:val="22"/>
          <w:lang w:val="hy-AM"/>
        </w:rPr>
      </w:pPr>
      <w:r w:rsidRPr="00502523">
        <w:rPr>
          <w:rFonts w:ascii="GHEA Grapalat" w:hAnsi="GHEA Grapalat"/>
          <w:sz w:val="22"/>
          <w:szCs w:val="22"/>
          <w:lang w:val="hy-AM"/>
        </w:rPr>
        <w:t>2015 թվականի առաջին կիսամյակում ՀՀ դրամի փոխարժեքը Եվրոյի նկատմամբ հիմնականում դրսևորել է արժևորման միտում՝ ընթացիկ տարվա հունվար-հունիս ամ</w:t>
      </w:r>
      <w:r w:rsidR="0033256F">
        <w:rPr>
          <w:rFonts w:ascii="GHEA Grapalat" w:hAnsi="GHEA Grapalat"/>
          <w:sz w:val="22"/>
          <w:szCs w:val="22"/>
        </w:rPr>
        <w:t>ի</w:t>
      </w:r>
      <w:r w:rsidRPr="00502523">
        <w:rPr>
          <w:rFonts w:ascii="GHEA Grapalat" w:hAnsi="GHEA Grapalat"/>
          <w:sz w:val="22"/>
          <w:szCs w:val="22"/>
          <w:lang w:val="hy-AM"/>
        </w:rPr>
        <w:t>սներին միջին արժեքով նախորդ տարվա նույն ժամանակահատվածի համեմատությամբ արժևորվելով 5.98</w:t>
      </w:r>
      <w:r w:rsidR="00502523">
        <w:rPr>
          <w:rFonts w:ascii="GHEA Grapalat" w:hAnsi="GHEA Grapalat"/>
          <w:sz w:val="22"/>
          <w:szCs w:val="22"/>
        </w:rPr>
        <w:t>%-</w:t>
      </w:r>
      <w:r w:rsidRPr="00502523">
        <w:rPr>
          <w:rFonts w:ascii="GHEA Grapalat" w:hAnsi="GHEA Grapalat"/>
          <w:sz w:val="22"/>
          <w:szCs w:val="22"/>
          <w:lang w:val="hy-AM"/>
        </w:rPr>
        <w:t>ով: Իսկ ՌԴ ռուբլու նկատմամբ նշված ժամանակահատվածում ՀՀ դրամի փոխարժեքը թեև հետևողականորեն դրսևորել է արժևորման տեմպերի նվազման միտում, այնուամենայնիվ նախորդ տարվա նույն ժամանակահատվածի համեմատությամբ այն դեռևս շարունակում է մնալ էականորեն արժևորված. ընթացիկ տարվա հունվար-հունիս ամիսներին ՀՀ դրամի միջին փոխարժեքը ՌԴ ռուբլու նկատմամբ նախորդ տարվա նույն ժամանակահատված</w:t>
      </w:r>
      <w:r w:rsidR="00502523">
        <w:rPr>
          <w:rFonts w:ascii="GHEA Grapalat" w:hAnsi="GHEA Grapalat"/>
          <w:sz w:val="22"/>
          <w:szCs w:val="22"/>
          <w:lang w:val="hy-AM"/>
        </w:rPr>
        <w:t>ի համեմատությամբ արժևորվել է 41</w:t>
      </w:r>
      <w:r w:rsidR="00502523">
        <w:rPr>
          <w:rFonts w:ascii="GHEA Grapalat" w:hAnsi="GHEA Grapalat"/>
          <w:sz w:val="22"/>
          <w:szCs w:val="22"/>
        </w:rPr>
        <w:t>%-</w:t>
      </w:r>
      <w:r w:rsidRPr="00502523">
        <w:rPr>
          <w:rFonts w:ascii="GHEA Grapalat" w:hAnsi="GHEA Grapalat"/>
          <w:sz w:val="22"/>
          <w:szCs w:val="22"/>
          <w:lang w:val="hy-AM"/>
        </w:rPr>
        <w:t xml:space="preserve">ով: </w:t>
      </w:r>
    </w:p>
    <w:p w:rsidR="00A67B4D" w:rsidRPr="00502523" w:rsidRDefault="00A67B4D" w:rsidP="00A67B4D">
      <w:pPr>
        <w:spacing w:line="360" w:lineRule="auto"/>
        <w:ind w:firstLine="540"/>
        <w:contextualSpacing/>
        <w:jc w:val="both"/>
        <w:rPr>
          <w:rFonts w:ascii="GHEA Grapalat" w:hAnsi="GHEA Grapalat"/>
          <w:sz w:val="22"/>
          <w:szCs w:val="22"/>
          <w:lang w:val="hy-AM"/>
        </w:rPr>
      </w:pPr>
      <w:r w:rsidRPr="00502523">
        <w:rPr>
          <w:rFonts w:ascii="GHEA Grapalat" w:hAnsi="GHEA Grapalat"/>
          <w:b/>
          <w:i/>
          <w:sz w:val="22"/>
          <w:szCs w:val="22"/>
          <w:lang w:val="hy-AM"/>
        </w:rPr>
        <w:t>Արդյունավետ փոխարժեք:</w:t>
      </w:r>
      <w:r w:rsidRPr="00502523">
        <w:rPr>
          <w:rFonts w:ascii="GHEA Grapalat" w:hAnsi="GHEA Grapalat"/>
          <w:sz w:val="22"/>
          <w:szCs w:val="22"/>
          <w:lang w:val="hy-AM"/>
        </w:rPr>
        <w:t xml:space="preserve"> Իրական արդյունավետ փոխարժեքը շարունակում է մնալ զգալի արժևորված` իր բացասական ազդեցությունը թողնելով հայրենական ապրանքների արտահանման վրա: Արտաքին առևտրի տեսանկյունից առավել կարևոր արժույթներից բաղկացած «զամբյուղի» նկատմամբ ՀՀ ազգային արժույթը (անվանական արդյունավետ փոխարժեք) միջին արժեքով 2015 թվականի հունվար-մայիս ամիսներին նախորդ տարվա նույն ժամանակահատվածի համեմատ </w:t>
      </w:r>
      <w:r w:rsidRPr="00502523">
        <w:rPr>
          <w:rFonts w:ascii="GHEA Grapalat" w:hAnsi="GHEA Grapalat"/>
          <w:sz w:val="22"/>
          <w:szCs w:val="22"/>
          <w:lang w:val="hy-AM"/>
        </w:rPr>
        <w:lastRenderedPageBreak/>
        <w:t>արժևորվել է 12.1</w:t>
      </w:r>
      <w:r w:rsidR="0033256F">
        <w:rPr>
          <w:rFonts w:ascii="GHEA Grapalat" w:hAnsi="GHEA Grapalat"/>
          <w:sz w:val="22"/>
          <w:szCs w:val="22"/>
          <w:lang w:val="hy-AM"/>
        </w:rPr>
        <w:t>%-ով</w:t>
      </w:r>
      <w:r w:rsidRPr="009C6730">
        <w:rPr>
          <w:rFonts w:ascii="GHEA Grapalat" w:hAnsi="GHEA Grapalat"/>
          <w:sz w:val="22"/>
          <w:szCs w:val="22"/>
          <w:vertAlign w:val="superscript"/>
          <w:lang w:val="hy-AM"/>
        </w:rPr>
        <w:footnoteReference w:id="14"/>
      </w:r>
      <w:r w:rsidR="00EC36C8">
        <w:rPr>
          <w:rFonts w:ascii="GHEA Grapalat" w:hAnsi="GHEA Grapalat"/>
          <w:sz w:val="22"/>
          <w:szCs w:val="22"/>
          <w:lang w:val="hy-AM"/>
        </w:rPr>
        <w:t>, ինչը նշանակում է, որ ՀՀ դրամ</w:t>
      </w:r>
      <w:r w:rsidR="00EC36C8" w:rsidRPr="00D76CE2">
        <w:rPr>
          <w:rFonts w:ascii="GHEA Grapalat" w:hAnsi="GHEA Grapalat"/>
          <w:sz w:val="22"/>
          <w:szCs w:val="22"/>
          <w:lang w:val="hy-AM"/>
        </w:rPr>
        <w:t>ն</w:t>
      </w:r>
      <w:r w:rsidRPr="00502523">
        <w:rPr>
          <w:rFonts w:ascii="GHEA Grapalat" w:hAnsi="GHEA Grapalat"/>
          <w:sz w:val="22"/>
          <w:szCs w:val="22"/>
          <w:lang w:val="hy-AM"/>
        </w:rPr>
        <w:t xml:space="preserve"> արժևորվել է (դրամի դիրքերը ուժեղացել են) հիմնական արժույթների միավորված գնի համեմատ, քանի որ վերոնշյալ «զամբյուղում» ընդգրկված մնացած երկրների արժույթները միջին հաշվով դոլարի նկատմամբ արժեզրկվել են ավելի շատ (մոտ 26</w:t>
      </w:r>
      <w:r w:rsidR="0033256F">
        <w:rPr>
          <w:rFonts w:ascii="GHEA Grapalat" w:hAnsi="GHEA Grapalat"/>
          <w:sz w:val="22"/>
          <w:szCs w:val="22"/>
          <w:lang w:val="hy-AM"/>
        </w:rPr>
        <w:t>%-ով</w:t>
      </w:r>
      <w:r w:rsidRPr="00502523">
        <w:rPr>
          <w:rFonts w:ascii="GHEA Grapalat" w:hAnsi="GHEA Grapalat"/>
          <w:sz w:val="22"/>
          <w:szCs w:val="22"/>
          <w:lang w:val="hy-AM"/>
        </w:rPr>
        <w:t>), քան ՀՀ դրամը: Հիմնականում պայմանավորված անվանական արդյունավետ փոխարժեքի վարքագծով` իրական արդյունավետ փոխարժեքը միջին արժեքով նշված ժամանակահատվածում արժևորվել է 9.4</w:t>
      </w:r>
      <w:r w:rsidR="0033256F">
        <w:rPr>
          <w:rFonts w:ascii="GHEA Grapalat" w:hAnsi="GHEA Grapalat"/>
          <w:sz w:val="22"/>
          <w:szCs w:val="22"/>
          <w:lang w:val="hy-AM"/>
        </w:rPr>
        <w:t>%-ով</w:t>
      </w:r>
      <w:r w:rsidRPr="00502523">
        <w:rPr>
          <w:rFonts w:ascii="GHEA Grapalat" w:hAnsi="GHEA Grapalat"/>
          <w:sz w:val="22"/>
          <w:szCs w:val="22"/>
          <w:lang w:val="hy-AM"/>
        </w:rPr>
        <w:t xml:space="preserve"> (տե՛ս գծապատկեր 9): </w:t>
      </w:r>
    </w:p>
    <w:p w:rsidR="00A67B4D" w:rsidRPr="00502523" w:rsidRDefault="00A67B4D" w:rsidP="00502523">
      <w:pPr>
        <w:spacing w:line="360" w:lineRule="auto"/>
        <w:ind w:firstLine="540"/>
        <w:contextualSpacing/>
        <w:jc w:val="both"/>
        <w:rPr>
          <w:rFonts w:ascii="GHEA Grapalat" w:hAnsi="GHEA Grapalat"/>
          <w:sz w:val="22"/>
          <w:szCs w:val="22"/>
          <w:lang w:val="hy-AM"/>
        </w:rPr>
      </w:pPr>
    </w:p>
    <w:p w:rsidR="00A67B4D" w:rsidRPr="0071197C" w:rsidRDefault="00A67B4D" w:rsidP="00502523">
      <w:pPr>
        <w:spacing w:line="360" w:lineRule="auto"/>
        <w:ind w:firstLine="540"/>
        <w:contextualSpacing/>
        <w:jc w:val="both"/>
        <w:rPr>
          <w:rFonts w:ascii="GHEA Grapalat" w:hAnsi="GHEA Grapalat"/>
          <w:sz w:val="22"/>
          <w:szCs w:val="22"/>
          <w:lang w:val="hy-AM"/>
        </w:rPr>
      </w:pPr>
      <w:r w:rsidRPr="0071197C">
        <w:rPr>
          <w:rFonts w:ascii="GHEA Grapalat" w:hAnsi="GHEA Grapalat"/>
          <w:b/>
          <w:sz w:val="22"/>
          <w:szCs w:val="22"/>
          <w:lang w:val="hy-AM"/>
        </w:rPr>
        <w:t>Գծապատկեր 9.</w:t>
      </w:r>
      <w:r w:rsidRPr="0071197C">
        <w:rPr>
          <w:rFonts w:ascii="GHEA Grapalat" w:hAnsi="GHEA Grapalat"/>
          <w:sz w:val="22"/>
          <w:szCs w:val="22"/>
          <w:lang w:val="hy-AM"/>
        </w:rPr>
        <w:t xml:space="preserve"> Իրական արդյունավետ փոխարժեքի (կուտակային) ամսական միջին շարժընթացը (նախորդ տարվա նույն ժամանակահատվածի նկատմամբ, %)</w:t>
      </w:r>
    </w:p>
    <w:p w:rsidR="00A67B4D" w:rsidRPr="00D76CE2" w:rsidRDefault="00A67B4D" w:rsidP="00A67B4D">
      <w:pPr>
        <w:tabs>
          <w:tab w:val="left" w:pos="540"/>
        </w:tabs>
        <w:spacing w:line="360" w:lineRule="auto"/>
        <w:ind w:firstLine="547"/>
        <w:jc w:val="both"/>
        <w:rPr>
          <w:rFonts w:ascii="GHEA Grapalat" w:hAnsi="GHEA Grapalat" w:cs="Sylfaen"/>
          <w:i/>
          <w:lang w:val="hy-AM"/>
        </w:rPr>
      </w:pPr>
    </w:p>
    <w:p w:rsidR="00A67B4D" w:rsidRDefault="00A67B4D" w:rsidP="00A67B4D">
      <w:pPr>
        <w:tabs>
          <w:tab w:val="left" w:pos="0"/>
          <w:tab w:val="left" w:pos="540"/>
        </w:tabs>
        <w:spacing w:line="360" w:lineRule="auto"/>
        <w:jc w:val="center"/>
        <w:rPr>
          <w:rFonts w:ascii="GHEA Grapalat" w:hAnsi="GHEA Grapalat" w:cs="Sylfaen"/>
          <w:i/>
        </w:rPr>
      </w:pPr>
      <w:r>
        <w:rPr>
          <w:rFonts w:ascii="GHEA Grapalat" w:hAnsi="GHEA Grapalat"/>
        </w:rPr>
        <w:object w:dxaOrig="9000" w:dyaOrig="4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224.25pt" o:ole="">
            <v:imagedata r:id="rId16" o:title=""/>
          </v:shape>
          <o:OLEObject Type="Embed" ProgID="MSGraph.Chart.8" ShapeID="_x0000_i1025" DrawAspect="Content" ObjectID="_1575793745" r:id="rId17">
            <o:FieldCodes>\s</o:FieldCodes>
          </o:OLEObject>
        </w:object>
      </w:r>
    </w:p>
    <w:p w:rsidR="00A67B4D" w:rsidRDefault="00A67B4D" w:rsidP="00A67B4D">
      <w:pPr>
        <w:tabs>
          <w:tab w:val="num" w:pos="720"/>
        </w:tabs>
        <w:spacing w:line="360" w:lineRule="auto"/>
        <w:ind w:firstLine="720"/>
        <w:jc w:val="both"/>
        <w:rPr>
          <w:rFonts w:ascii="GHEA Grapalat" w:hAnsi="GHEA Grapalat" w:cs="Sylfaen"/>
          <w:b/>
        </w:rPr>
      </w:pPr>
    </w:p>
    <w:p w:rsidR="00A67B4D" w:rsidRPr="009C6730" w:rsidRDefault="00A67B4D" w:rsidP="00A67B4D">
      <w:pPr>
        <w:spacing w:line="360" w:lineRule="auto"/>
        <w:ind w:firstLine="540"/>
        <w:contextualSpacing/>
        <w:jc w:val="both"/>
        <w:rPr>
          <w:rFonts w:ascii="GHEA Grapalat" w:hAnsi="GHEA Grapalat"/>
          <w:sz w:val="22"/>
          <w:szCs w:val="22"/>
          <w:lang w:val="hy-AM"/>
        </w:rPr>
      </w:pPr>
      <w:r w:rsidRPr="009C6730">
        <w:rPr>
          <w:rFonts w:ascii="GHEA Grapalat" w:hAnsi="GHEA Grapalat"/>
          <w:b/>
          <w:i/>
          <w:sz w:val="22"/>
          <w:szCs w:val="22"/>
          <w:lang w:val="hy-AM"/>
        </w:rPr>
        <w:t>Ֆինանսական շուկա և փողի ագրեգատներ:</w:t>
      </w:r>
      <w:r w:rsidRPr="009C6730">
        <w:rPr>
          <w:rFonts w:ascii="GHEA Grapalat" w:hAnsi="GHEA Grapalat"/>
          <w:sz w:val="22"/>
          <w:szCs w:val="22"/>
          <w:lang w:val="hy-AM"/>
        </w:rPr>
        <w:t xml:space="preserve"> ՀՀ ֆինանսական շուկայում 2015 թվականի երկրորդ եռամսյակում նկատելի է 2014 թվականի տարեվերջի լարվածության զգալի թուլացում: 2015 թվականի հունիսին փողի բազան կազմել է շուրջ 818 մլրդ դրամ` նախորդ տարվա նույն ամսվա նկատմամբ աճելով ընդամենը 14.7%-ով: Ընդ որում, զուտ արտաքին ակտիվներ</w:t>
      </w:r>
      <w:r w:rsidR="00EC36C8">
        <w:rPr>
          <w:rFonts w:ascii="GHEA Grapalat" w:hAnsi="GHEA Grapalat"/>
          <w:sz w:val="22"/>
          <w:szCs w:val="22"/>
        </w:rPr>
        <w:t>ը</w:t>
      </w:r>
      <w:r w:rsidR="00EC36C8">
        <w:rPr>
          <w:rFonts w:ascii="GHEA Grapalat" w:hAnsi="GHEA Grapalat"/>
          <w:sz w:val="22"/>
          <w:szCs w:val="22"/>
          <w:lang w:val="hy-AM"/>
        </w:rPr>
        <w:t xml:space="preserve"> նվազել են 10.7%</w:t>
      </w:r>
      <w:r w:rsidR="00EC36C8">
        <w:rPr>
          <w:rFonts w:ascii="GHEA Grapalat" w:hAnsi="GHEA Grapalat"/>
          <w:sz w:val="22"/>
          <w:szCs w:val="22"/>
        </w:rPr>
        <w:noBreakHyphen/>
      </w:r>
      <w:r w:rsidRPr="009C6730">
        <w:rPr>
          <w:rFonts w:ascii="GHEA Grapalat" w:hAnsi="GHEA Grapalat"/>
          <w:sz w:val="22"/>
          <w:szCs w:val="22"/>
          <w:lang w:val="hy-AM"/>
        </w:rPr>
        <w:t>ով, իսկ զուտ ներքին ակտիվերն աճել են 65.2%-ով:</w:t>
      </w:r>
    </w:p>
    <w:p w:rsidR="00A67B4D" w:rsidRPr="009C6730" w:rsidRDefault="00A67B4D" w:rsidP="00A67B4D">
      <w:pPr>
        <w:spacing w:line="360" w:lineRule="auto"/>
        <w:ind w:firstLine="540"/>
        <w:contextualSpacing/>
        <w:jc w:val="both"/>
        <w:rPr>
          <w:rFonts w:ascii="GHEA Grapalat" w:hAnsi="GHEA Grapalat"/>
          <w:sz w:val="22"/>
          <w:szCs w:val="22"/>
          <w:lang w:val="hy-AM"/>
        </w:rPr>
      </w:pPr>
      <w:r w:rsidRPr="009C6730">
        <w:rPr>
          <w:rFonts w:ascii="GHEA Grapalat" w:hAnsi="GHEA Grapalat"/>
          <w:sz w:val="22"/>
          <w:szCs w:val="22"/>
          <w:lang w:val="hy-AM"/>
        </w:rPr>
        <w:t>Նույն ժամանակահատվածում փողի բազայում ԿԲ-ից դուրս կանխիկը նվազել է 7%-ով (տեսակարար կշիռը փողի բազայում կազմել է շուրջ 45.9%), իսկ պարտադիր պահուստները դրամով և արտարժույթով</w:t>
      </w:r>
      <w:r w:rsidR="00EC36C8" w:rsidRPr="00D76CE2">
        <w:rPr>
          <w:rFonts w:ascii="GHEA Grapalat" w:hAnsi="GHEA Grapalat"/>
          <w:sz w:val="22"/>
          <w:szCs w:val="22"/>
          <w:lang w:val="hy-AM"/>
        </w:rPr>
        <w:t>՝</w:t>
      </w:r>
      <w:r w:rsidR="00EC36C8">
        <w:rPr>
          <w:rFonts w:ascii="GHEA Grapalat" w:hAnsi="GHEA Grapalat"/>
          <w:sz w:val="22"/>
          <w:szCs w:val="22"/>
          <w:lang w:val="hy-AM"/>
        </w:rPr>
        <w:t xml:space="preserve"> աճել</w:t>
      </w:r>
      <w:r w:rsidRPr="009C6730">
        <w:rPr>
          <w:rFonts w:ascii="GHEA Grapalat" w:hAnsi="GHEA Grapalat"/>
          <w:sz w:val="22"/>
          <w:szCs w:val="22"/>
          <w:lang w:val="hy-AM"/>
        </w:rPr>
        <w:t xml:space="preserve"> 44%-ով (տեսակարար կշիռը փողի բազայում կազմել է շուրջ 53.7%):</w:t>
      </w:r>
    </w:p>
    <w:p w:rsidR="00A67B4D" w:rsidRPr="009C6730" w:rsidRDefault="00A67B4D" w:rsidP="00A67B4D">
      <w:pPr>
        <w:spacing w:line="360" w:lineRule="auto"/>
        <w:ind w:firstLine="540"/>
        <w:contextualSpacing/>
        <w:jc w:val="both"/>
        <w:rPr>
          <w:rFonts w:ascii="GHEA Grapalat" w:hAnsi="GHEA Grapalat"/>
          <w:sz w:val="22"/>
          <w:szCs w:val="22"/>
          <w:lang w:val="hy-AM"/>
        </w:rPr>
      </w:pPr>
      <w:r w:rsidRPr="009C6730">
        <w:rPr>
          <w:rFonts w:ascii="GHEA Grapalat" w:hAnsi="GHEA Grapalat"/>
          <w:sz w:val="22"/>
          <w:szCs w:val="22"/>
          <w:lang w:val="hy-AM"/>
        </w:rPr>
        <w:t>2015 թվականի հունիսին փողի զանգվածը կազմել է 1687 մլրդ դրամ` նախորդ տարվա նույն ժամանակահատվածի նկատմամբ աճելով 6.3%-ով: Ընդ որում, զուտ արտաքին ակտիվներն աճել են 57.7%-ով, իսկ զուտ ներքին ակտիվերը` 12.5%-ով:</w:t>
      </w:r>
    </w:p>
    <w:p w:rsidR="00A67B4D" w:rsidRPr="009C6730" w:rsidRDefault="00A67B4D" w:rsidP="00A67B4D">
      <w:pPr>
        <w:spacing w:line="360" w:lineRule="auto"/>
        <w:ind w:firstLine="540"/>
        <w:contextualSpacing/>
        <w:jc w:val="both"/>
        <w:rPr>
          <w:rFonts w:ascii="GHEA Grapalat" w:hAnsi="GHEA Grapalat"/>
          <w:sz w:val="22"/>
          <w:szCs w:val="22"/>
          <w:lang w:val="hy-AM"/>
        </w:rPr>
      </w:pPr>
      <w:r w:rsidRPr="009C6730">
        <w:rPr>
          <w:rFonts w:ascii="GHEA Grapalat" w:hAnsi="GHEA Grapalat"/>
          <w:sz w:val="22"/>
          <w:szCs w:val="22"/>
          <w:lang w:val="hy-AM"/>
        </w:rPr>
        <w:lastRenderedPageBreak/>
        <w:t>Փողի զանգվածում բանկային համակարգից դուրս կանխիկը նվազել է 6.7%-ով, դրամային ավանդների բացասական նպաստումը փողի զանգվածի աճին կազմել է` 0.8 տոկոսային կետ, իսկ արտարժութով ավանդների դրական նպաստումը` 8.5 տոկոսային կետ</w:t>
      </w:r>
      <w:r w:rsidRPr="009C6730">
        <w:rPr>
          <w:sz w:val="22"/>
          <w:szCs w:val="22"/>
          <w:vertAlign w:val="superscript"/>
          <w:lang w:val="hy-AM"/>
        </w:rPr>
        <w:footnoteReference w:id="15"/>
      </w:r>
      <w:r w:rsidRPr="009C6730">
        <w:rPr>
          <w:rFonts w:ascii="GHEA Grapalat" w:hAnsi="GHEA Grapalat"/>
          <w:sz w:val="22"/>
          <w:szCs w:val="22"/>
          <w:lang w:val="hy-AM"/>
        </w:rPr>
        <w:t>:</w:t>
      </w:r>
    </w:p>
    <w:p w:rsidR="00A67B4D" w:rsidRPr="009C6730" w:rsidRDefault="00A67B4D" w:rsidP="009C6730">
      <w:pPr>
        <w:spacing w:line="360" w:lineRule="auto"/>
        <w:ind w:firstLine="540"/>
        <w:contextualSpacing/>
        <w:jc w:val="both"/>
        <w:rPr>
          <w:rFonts w:ascii="GHEA Grapalat" w:hAnsi="GHEA Grapalat"/>
          <w:sz w:val="22"/>
          <w:szCs w:val="22"/>
          <w:lang w:val="hy-AM"/>
        </w:rPr>
      </w:pPr>
      <w:r w:rsidRPr="009C6730">
        <w:rPr>
          <w:rFonts w:ascii="GHEA Grapalat" w:hAnsi="GHEA Grapalat"/>
          <w:sz w:val="22"/>
          <w:szCs w:val="22"/>
          <w:lang w:val="hy-AM"/>
        </w:rPr>
        <w:t>2015 թվականի հունիսին արտարժույթով ավանդների կշիռը փողի զանգվածում կազմել է 52.6</w:t>
      </w:r>
      <w:r w:rsidR="00EC36C8">
        <w:rPr>
          <w:rFonts w:ascii="GHEA Grapalat" w:hAnsi="GHEA Grapalat"/>
          <w:sz w:val="22"/>
          <w:szCs w:val="22"/>
          <w:lang w:val="hy-AM"/>
        </w:rPr>
        <w:t>%</w:t>
      </w:r>
      <w:r w:rsidR="00EC36C8" w:rsidRPr="00D76CE2">
        <w:rPr>
          <w:rFonts w:ascii="GHEA Grapalat" w:hAnsi="GHEA Grapalat"/>
          <w:sz w:val="22"/>
          <w:szCs w:val="22"/>
          <w:lang w:val="hy-AM"/>
        </w:rPr>
        <w:t>՝</w:t>
      </w:r>
      <w:r w:rsidRPr="009C6730">
        <w:rPr>
          <w:rFonts w:ascii="GHEA Grapalat" w:hAnsi="GHEA Grapalat"/>
          <w:sz w:val="22"/>
          <w:szCs w:val="22"/>
          <w:lang w:val="hy-AM"/>
        </w:rPr>
        <w:t xml:space="preserve"> նախորդ տարվա նույն </w:t>
      </w:r>
      <w:r w:rsidR="00EC36C8">
        <w:rPr>
          <w:rFonts w:ascii="GHEA Grapalat" w:hAnsi="GHEA Grapalat"/>
          <w:sz w:val="22"/>
          <w:szCs w:val="22"/>
          <w:lang w:val="hy-AM"/>
        </w:rPr>
        <w:t>ժամանակահատվածի նկատմամբ աճելով</w:t>
      </w:r>
      <w:r w:rsidRPr="009C6730">
        <w:rPr>
          <w:rFonts w:ascii="GHEA Grapalat" w:hAnsi="GHEA Grapalat"/>
          <w:sz w:val="22"/>
          <w:szCs w:val="22"/>
          <w:lang w:val="hy-AM"/>
        </w:rPr>
        <w:t xml:space="preserve"> 5.2 տոկոսային կետով, իսկ արտարժույթով ավանդների կշիռն ընդհանո</w:t>
      </w:r>
      <w:r w:rsidR="00EC36C8">
        <w:rPr>
          <w:rFonts w:ascii="GHEA Grapalat" w:hAnsi="GHEA Grapalat"/>
          <w:sz w:val="22"/>
          <w:szCs w:val="22"/>
          <w:lang w:val="hy-AM"/>
        </w:rPr>
        <w:t>ւր ավանդների մեջ կազմել է 65.1%</w:t>
      </w:r>
      <w:r w:rsidR="00EC36C8" w:rsidRPr="00D76CE2">
        <w:rPr>
          <w:rFonts w:ascii="GHEA Grapalat" w:hAnsi="GHEA Grapalat"/>
          <w:sz w:val="22"/>
          <w:szCs w:val="22"/>
          <w:lang w:val="hy-AM"/>
        </w:rPr>
        <w:t>՝</w:t>
      </w:r>
      <w:r w:rsidRPr="009C6730">
        <w:rPr>
          <w:rFonts w:ascii="GHEA Grapalat" w:hAnsi="GHEA Grapalat"/>
          <w:sz w:val="22"/>
          <w:szCs w:val="22"/>
          <w:lang w:val="hy-AM"/>
        </w:rPr>
        <w:t xml:space="preserve"> աճելով 4.4 տոկոսային կետով: </w:t>
      </w:r>
    </w:p>
    <w:p w:rsidR="00A67B4D" w:rsidRPr="009C6730" w:rsidRDefault="00A67B4D" w:rsidP="00A67B4D">
      <w:pPr>
        <w:spacing w:line="360" w:lineRule="auto"/>
        <w:ind w:firstLine="540"/>
        <w:contextualSpacing/>
        <w:jc w:val="both"/>
        <w:rPr>
          <w:rFonts w:ascii="GHEA Grapalat" w:hAnsi="GHEA Grapalat"/>
          <w:sz w:val="22"/>
          <w:szCs w:val="22"/>
          <w:lang w:val="hy-AM"/>
        </w:rPr>
      </w:pPr>
      <w:r w:rsidRPr="009C6730">
        <w:rPr>
          <w:rFonts w:ascii="GHEA Grapalat" w:hAnsi="GHEA Grapalat"/>
          <w:sz w:val="22"/>
          <w:szCs w:val="22"/>
          <w:lang w:val="hy-AM"/>
        </w:rPr>
        <w:t>2015 թվականի երկրորդ եռամսյակի ընթացքում նկատվել է 2014 թվականի տարեվերջից արձանագրված ներգրավված միջոցների ծավալների աճի դանդաղման միտում թե</w:t>
      </w:r>
      <w:r w:rsidR="009C6730" w:rsidRPr="00B005C2">
        <w:rPr>
          <w:rFonts w:ascii="GHEA Grapalat" w:hAnsi="GHEA Grapalat"/>
          <w:sz w:val="22"/>
          <w:szCs w:val="22"/>
          <w:lang w:val="hy-AM"/>
        </w:rPr>
        <w:t>՛</w:t>
      </w:r>
      <w:r w:rsidRPr="009C6730">
        <w:rPr>
          <w:rFonts w:ascii="GHEA Grapalat" w:hAnsi="GHEA Grapalat"/>
          <w:sz w:val="22"/>
          <w:szCs w:val="22"/>
          <w:lang w:val="hy-AM"/>
        </w:rPr>
        <w:t xml:space="preserve"> արտարժույթով և թե</w:t>
      </w:r>
      <w:r w:rsidR="009C6730" w:rsidRPr="00B005C2">
        <w:rPr>
          <w:rFonts w:ascii="GHEA Grapalat" w:hAnsi="GHEA Grapalat"/>
          <w:sz w:val="22"/>
          <w:szCs w:val="22"/>
          <w:lang w:val="hy-AM"/>
        </w:rPr>
        <w:t>՛</w:t>
      </w:r>
      <w:r w:rsidRPr="009C6730">
        <w:rPr>
          <w:rFonts w:ascii="GHEA Grapalat" w:hAnsi="GHEA Grapalat"/>
          <w:sz w:val="22"/>
          <w:szCs w:val="22"/>
          <w:lang w:val="hy-AM"/>
        </w:rPr>
        <w:t xml:space="preserve"> դրամով ավանդների համար: Առևտրային բանկերի կողմից ռեզիդենտներից և ոչ ռեզիդենտներից ներգրավված ավանդները 2015 թվականի հունիսին նախորդ տարվա նույն ամսվա նկատմամբ աճել են ընդամենը 7.2%-ով</w:t>
      </w:r>
      <w:r w:rsidRPr="009C6730">
        <w:rPr>
          <w:sz w:val="22"/>
          <w:szCs w:val="22"/>
          <w:vertAlign w:val="superscript"/>
          <w:lang w:val="hy-AM"/>
        </w:rPr>
        <w:footnoteReference w:id="16"/>
      </w:r>
      <w:r w:rsidRPr="009C6730">
        <w:rPr>
          <w:rFonts w:ascii="GHEA Grapalat" w:hAnsi="GHEA Grapalat"/>
          <w:sz w:val="22"/>
          <w:szCs w:val="22"/>
          <w:lang w:val="hy-AM"/>
        </w:rPr>
        <w:t xml:space="preserve">: Արտարժույթով ավանդների կշիռը կազմում է 69.7%, նախորդ տարվա նույն ժամանակահատվածի 68.7%-ի համեմատ: Անհրաժեշտ է նշել, որ դրամով ներգրավված ավանդների աճը (3.7%) զիջում է արտարժույթով ավանդների աճին (8.7%): Նույն ժամանակահատվածում դրամային ավանդների տոկոսադրույքների միջին ամսական մակարդակը կազմել է 14.85%, 2014 թվականի 10.64%-ի համեմատ (մինչև մեկ տարի ժամկետով ներգրավված): </w:t>
      </w:r>
    </w:p>
    <w:p w:rsidR="00A67B4D" w:rsidRPr="009C6730" w:rsidRDefault="00A67B4D" w:rsidP="00A67B4D">
      <w:pPr>
        <w:spacing w:line="360" w:lineRule="auto"/>
        <w:ind w:firstLine="540"/>
        <w:contextualSpacing/>
        <w:jc w:val="both"/>
        <w:rPr>
          <w:rFonts w:ascii="GHEA Grapalat" w:hAnsi="GHEA Grapalat"/>
          <w:sz w:val="22"/>
          <w:szCs w:val="22"/>
          <w:lang w:val="hy-AM"/>
        </w:rPr>
      </w:pPr>
      <w:r w:rsidRPr="009C6730">
        <w:rPr>
          <w:rFonts w:ascii="GHEA Grapalat" w:hAnsi="GHEA Grapalat"/>
          <w:sz w:val="22"/>
          <w:szCs w:val="22"/>
          <w:lang w:val="hy-AM"/>
        </w:rPr>
        <w:t>Վարկավորման աճը իրականում նշանակալի չէ, հատկապես դրամային: Առևտրային բանկերի կողմից ռեզիդենտներին և ոչ ռեզիդենտներին տրված վարկերը 2015 թվականի հունիսին նախորդ տարվա նույն ամսվա նկատմամբ աճել են 10.4%-ով</w:t>
      </w:r>
      <w:r w:rsidRPr="009C6730">
        <w:rPr>
          <w:rFonts w:ascii="GHEA Grapalat" w:hAnsi="GHEA Grapalat"/>
          <w:sz w:val="22"/>
          <w:szCs w:val="22"/>
          <w:vertAlign w:val="superscript"/>
          <w:lang w:val="hy-AM"/>
        </w:rPr>
        <w:footnoteReference w:id="17"/>
      </w:r>
      <w:r w:rsidRPr="009C6730">
        <w:rPr>
          <w:rFonts w:ascii="GHEA Grapalat" w:hAnsi="GHEA Grapalat"/>
          <w:sz w:val="22"/>
          <w:szCs w:val="22"/>
          <w:lang w:val="hy-AM"/>
        </w:rPr>
        <w:t>: Արտաժույթով վարկերի աճը կազմել է 16.4%, իսկ դրամով վարկավորման աճը` 0.4%, իսկ փոխ</w:t>
      </w:r>
      <w:r w:rsidR="0071197C">
        <w:rPr>
          <w:rFonts w:ascii="GHEA Grapalat" w:hAnsi="GHEA Grapalat"/>
          <w:sz w:val="22"/>
          <w:szCs w:val="22"/>
          <w:lang w:val="hy-AM"/>
        </w:rPr>
        <w:t>արժեքի անփոփոխության պարագայում հաշվետու ժամանակահատվածի համար</w:t>
      </w:r>
      <w:r w:rsidRPr="009C6730">
        <w:rPr>
          <w:rFonts w:ascii="GHEA Grapalat" w:hAnsi="GHEA Grapalat"/>
          <w:sz w:val="22"/>
          <w:szCs w:val="22"/>
          <w:lang w:val="hy-AM"/>
        </w:rPr>
        <w:t xml:space="preserve"> արտարժույթով վարկերի աճը կազմում է շուրջ 1%: Նշենք</w:t>
      </w:r>
      <w:r w:rsidR="0071197C" w:rsidRPr="00D76CE2">
        <w:rPr>
          <w:rFonts w:ascii="GHEA Grapalat" w:hAnsi="GHEA Grapalat"/>
          <w:sz w:val="22"/>
          <w:szCs w:val="22"/>
          <w:lang w:val="hy-AM"/>
        </w:rPr>
        <w:t>,</w:t>
      </w:r>
      <w:r w:rsidRPr="009C6730">
        <w:rPr>
          <w:rFonts w:ascii="GHEA Grapalat" w:hAnsi="GHEA Grapalat"/>
          <w:sz w:val="22"/>
          <w:szCs w:val="22"/>
          <w:lang w:val="hy-AM"/>
        </w:rPr>
        <w:t xml:space="preserve"> որ վարկերի 66%-ը կազմում են արտարժույթով վարկերը</w:t>
      </w:r>
      <w:r w:rsidR="0071197C" w:rsidRPr="00D76CE2">
        <w:rPr>
          <w:rFonts w:ascii="GHEA Grapalat" w:hAnsi="GHEA Grapalat"/>
          <w:sz w:val="22"/>
          <w:szCs w:val="22"/>
          <w:lang w:val="hy-AM"/>
        </w:rPr>
        <w:t>,</w:t>
      </w:r>
      <w:r w:rsidRPr="009C6730">
        <w:rPr>
          <w:rFonts w:ascii="GHEA Grapalat" w:hAnsi="GHEA Grapalat"/>
          <w:sz w:val="22"/>
          <w:szCs w:val="22"/>
          <w:lang w:val="hy-AM"/>
        </w:rPr>
        <w:t xml:space="preserve"> և աճը նախորդ տարվա նույն ժամանակահատվածի նկատմամբ կազմել է 3.4 տոկոսային կետ: ՀՀ դրամով վարկավորման միջին ամսական տոկոսադրույքը 2015</w:t>
      </w:r>
      <w:r w:rsidR="0071197C">
        <w:rPr>
          <w:rFonts w:ascii="GHEA Grapalat" w:hAnsi="GHEA Grapalat"/>
          <w:sz w:val="22"/>
          <w:szCs w:val="22"/>
          <w:lang w:val="hy-AM"/>
        </w:rPr>
        <w:t xml:space="preserve"> թվականի մարտին կազմել է 17.35%</w:t>
      </w:r>
      <w:r w:rsidR="0071197C" w:rsidRPr="00D76CE2">
        <w:rPr>
          <w:rFonts w:ascii="GHEA Grapalat" w:hAnsi="GHEA Grapalat"/>
          <w:sz w:val="22"/>
          <w:szCs w:val="22"/>
          <w:lang w:val="hy-AM"/>
        </w:rPr>
        <w:t>՝</w:t>
      </w:r>
      <w:r w:rsidRPr="009C6730">
        <w:rPr>
          <w:rFonts w:ascii="GHEA Grapalat" w:hAnsi="GHEA Grapalat"/>
          <w:sz w:val="22"/>
          <w:szCs w:val="22"/>
          <w:lang w:val="hy-AM"/>
        </w:rPr>
        <w:t xml:space="preserve"> 2014 թվականի նույն ամսում արձանագրված 16.46%-ի համեմատ:</w:t>
      </w:r>
    </w:p>
    <w:p w:rsidR="00A67B4D" w:rsidRPr="009C6730" w:rsidRDefault="00A67B4D" w:rsidP="00A67B4D">
      <w:pPr>
        <w:spacing w:line="360" w:lineRule="auto"/>
        <w:ind w:firstLine="540"/>
        <w:contextualSpacing/>
        <w:jc w:val="both"/>
        <w:rPr>
          <w:rFonts w:ascii="GHEA Grapalat" w:hAnsi="GHEA Grapalat"/>
          <w:sz w:val="22"/>
          <w:szCs w:val="22"/>
          <w:lang w:val="hy-AM"/>
        </w:rPr>
      </w:pPr>
      <w:r w:rsidRPr="009C6730">
        <w:rPr>
          <w:rFonts w:ascii="GHEA Grapalat" w:hAnsi="GHEA Grapalat"/>
          <w:sz w:val="22"/>
          <w:szCs w:val="22"/>
          <w:lang w:val="hy-AM"/>
        </w:rPr>
        <w:t>2015 թվականի երկրորդ եռամսյակում առևտրային բանկերի</w:t>
      </w:r>
      <w:r w:rsidR="0071197C" w:rsidRPr="00D76CE2">
        <w:rPr>
          <w:rFonts w:ascii="GHEA Grapalat" w:hAnsi="GHEA Grapalat"/>
          <w:sz w:val="22"/>
          <w:szCs w:val="22"/>
          <w:lang w:val="hy-AM"/>
        </w:rPr>
        <w:t>՝</w:t>
      </w:r>
      <w:r w:rsidRPr="009C6730">
        <w:rPr>
          <w:rFonts w:ascii="GHEA Grapalat" w:hAnsi="GHEA Grapalat"/>
          <w:sz w:val="22"/>
          <w:szCs w:val="22"/>
          <w:lang w:val="hy-AM"/>
        </w:rPr>
        <w:t xml:space="preserve"> մինչև մեկ տարի ժամկետով ՀՀ դրամով ներգրավված ավանդների և վարկերի տոկոսադրույքների տարբերության միջև նվազման միտում է արձանագրվել, ի տարբերություն նախորդ տարվա նույն ժամանակահատվածում արձանագրված ցուցանիշի: Միջին եռամսյակային ցուցանիշը (սպրեդ) նախորդ տարվա նույն եռամսյակի համեմ</w:t>
      </w:r>
      <w:r w:rsidR="0071197C">
        <w:rPr>
          <w:rFonts w:ascii="GHEA Grapalat" w:hAnsi="GHEA Grapalat"/>
          <w:sz w:val="22"/>
          <w:szCs w:val="22"/>
          <w:lang w:val="hy-AM"/>
        </w:rPr>
        <w:t>ատ նվազել է 3.2 տոկոսային կետով</w:t>
      </w:r>
      <w:r w:rsidR="0071197C" w:rsidRPr="00D76CE2">
        <w:rPr>
          <w:rFonts w:ascii="GHEA Grapalat" w:hAnsi="GHEA Grapalat"/>
          <w:sz w:val="22"/>
          <w:szCs w:val="22"/>
          <w:lang w:val="hy-AM"/>
        </w:rPr>
        <w:t>՝</w:t>
      </w:r>
      <w:r w:rsidRPr="009C6730">
        <w:rPr>
          <w:rFonts w:ascii="GHEA Grapalat" w:hAnsi="GHEA Grapalat"/>
          <w:sz w:val="22"/>
          <w:szCs w:val="22"/>
          <w:lang w:val="hy-AM"/>
        </w:rPr>
        <w:t xml:space="preserve"> կազմելով 2.9 տոկոսային կետ:</w:t>
      </w:r>
    </w:p>
    <w:p w:rsidR="00A67B4D" w:rsidRPr="009C6730" w:rsidRDefault="00A67B4D" w:rsidP="00A67B4D">
      <w:pPr>
        <w:spacing w:line="360" w:lineRule="auto"/>
        <w:ind w:firstLine="540"/>
        <w:contextualSpacing/>
        <w:jc w:val="both"/>
        <w:rPr>
          <w:rFonts w:ascii="GHEA Grapalat" w:hAnsi="GHEA Grapalat"/>
          <w:sz w:val="22"/>
          <w:szCs w:val="22"/>
          <w:lang w:val="hy-AM"/>
        </w:rPr>
      </w:pPr>
      <w:r w:rsidRPr="009C6730">
        <w:rPr>
          <w:rFonts w:ascii="GHEA Grapalat" w:hAnsi="GHEA Grapalat"/>
          <w:sz w:val="22"/>
          <w:szCs w:val="22"/>
          <w:lang w:val="hy-AM"/>
        </w:rPr>
        <w:lastRenderedPageBreak/>
        <w:t>2015 թվականի երկրորդ եռամսյակում ՀՀ պետական պարտատոմսերի շուկայում պահպանվել է տոկոսադրույքների բարձր մակարդակը: Այսպես, եթե 2014 թվականի նույն ժամանակահատվածում տեղաբաշխված պետական արժեթղթերի միջին եկամտաբերությունը կազմել է 10.04%, ապա հաշվետու ժամանակահատվածում այն կազմել է 14.47%: Նույն ժամանակահատվածում տեղաբաշխված պետական արժեթղթերի ծավալը կազմել է 34.5 մլրդ դրամ</w:t>
      </w:r>
      <w:r w:rsidR="0071197C" w:rsidRPr="00D76CE2">
        <w:rPr>
          <w:rFonts w:ascii="GHEA Grapalat" w:hAnsi="GHEA Grapalat"/>
          <w:sz w:val="22"/>
          <w:szCs w:val="22"/>
          <w:lang w:val="hy-AM"/>
        </w:rPr>
        <w:t>՝</w:t>
      </w:r>
      <w:r w:rsidRPr="009C6730">
        <w:rPr>
          <w:rFonts w:ascii="GHEA Grapalat" w:hAnsi="GHEA Grapalat"/>
          <w:sz w:val="22"/>
          <w:szCs w:val="22"/>
          <w:lang w:val="hy-AM"/>
        </w:rPr>
        <w:t xml:space="preserve"> նախ</w:t>
      </w:r>
      <w:r w:rsidR="0071197C">
        <w:rPr>
          <w:rFonts w:ascii="GHEA Grapalat" w:hAnsi="GHEA Grapalat"/>
          <w:sz w:val="22"/>
          <w:szCs w:val="22"/>
          <w:lang w:val="hy-AM"/>
        </w:rPr>
        <w:t>որդ տարվա նույն ժամանակահատվածի</w:t>
      </w:r>
      <w:r w:rsidRPr="009C6730">
        <w:rPr>
          <w:rFonts w:ascii="GHEA Grapalat" w:hAnsi="GHEA Grapalat"/>
          <w:sz w:val="22"/>
          <w:szCs w:val="22"/>
          <w:lang w:val="hy-AM"/>
        </w:rPr>
        <w:t xml:space="preserve"> 24.1 մլրդ դրամի համեմատ, իսկ միջին ժամկետայնությունը կազմել է 2105 օր</w:t>
      </w:r>
      <w:r w:rsidR="0071197C" w:rsidRPr="00D76CE2">
        <w:rPr>
          <w:rFonts w:ascii="GHEA Grapalat" w:hAnsi="GHEA Grapalat"/>
          <w:sz w:val="22"/>
          <w:szCs w:val="22"/>
          <w:lang w:val="hy-AM"/>
        </w:rPr>
        <w:t>՝</w:t>
      </w:r>
      <w:r w:rsidRPr="009C6730">
        <w:rPr>
          <w:rFonts w:ascii="GHEA Grapalat" w:hAnsi="GHEA Grapalat"/>
          <w:sz w:val="22"/>
          <w:szCs w:val="22"/>
          <w:lang w:val="hy-AM"/>
        </w:rPr>
        <w:t xml:space="preserve"> նախորդ տարվա նույն ժամանակահատվածի 2369 օրվա համեմատ:</w:t>
      </w:r>
    </w:p>
    <w:p w:rsidR="00A67B4D" w:rsidRPr="00D76CE2" w:rsidRDefault="00A67B4D" w:rsidP="00A67B4D">
      <w:pPr>
        <w:spacing w:line="360" w:lineRule="auto"/>
        <w:ind w:firstLine="540"/>
        <w:contextualSpacing/>
        <w:jc w:val="both"/>
        <w:rPr>
          <w:rFonts w:ascii="GHEA Grapalat" w:hAnsi="GHEA Grapalat"/>
          <w:sz w:val="22"/>
          <w:szCs w:val="22"/>
          <w:lang w:val="hy-AM"/>
        </w:rPr>
      </w:pPr>
      <w:r w:rsidRPr="009C6730">
        <w:rPr>
          <w:rFonts w:ascii="GHEA Grapalat" w:hAnsi="GHEA Grapalat"/>
          <w:sz w:val="22"/>
          <w:szCs w:val="22"/>
          <w:lang w:val="hy-AM"/>
        </w:rPr>
        <w:t xml:space="preserve"> 2015 թվականի </w:t>
      </w:r>
      <w:r w:rsidR="00AB5575" w:rsidRPr="00D76CE2">
        <w:rPr>
          <w:rFonts w:ascii="GHEA Grapalat" w:hAnsi="GHEA Grapalat"/>
          <w:sz w:val="22"/>
          <w:szCs w:val="22"/>
          <w:lang w:val="hy-AM"/>
        </w:rPr>
        <w:t>երկրորդ</w:t>
      </w:r>
      <w:r w:rsidRPr="009C6730">
        <w:rPr>
          <w:rFonts w:ascii="GHEA Grapalat" w:hAnsi="GHEA Grapalat"/>
          <w:sz w:val="22"/>
          <w:szCs w:val="22"/>
          <w:lang w:val="hy-AM"/>
        </w:rPr>
        <w:t xml:space="preserve"> եռամսյակում պետական (շուկայական) պարտատոմսերի նկատմամբ պահանջարկը գերազանցել է թողարկման ցուցանիշը 1.72 անգամ, իսկ տեղաբաշխում/թողարկում հարաբերակցության միջին մեծությունը կազմել է 0.91: </w:t>
      </w:r>
    </w:p>
    <w:p w:rsidR="009C6730" w:rsidRPr="00D76CE2" w:rsidRDefault="009C6730" w:rsidP="00A67B4D">
      <w:pPr>
        <w:spacing w:line="360" w:lineRule="auto"/>
        <w:ind w:firstLine="540"/>
        <w:contextualSpacing/>
        <w:jc w:val="both"/>
        <w:rPr>
          <w:rFonts w:ascii="GHEA Grapalat" w:hAnsi="GHEA Grapalat"/>
          <w:sz w:val="22"/>
          <w:szCs w:val="22"/>
          <w:lang w:val="hy-AM"/>
        </w:rPr>
      </w:pPr>
    </w:p>
    <w:p w:rsidR="00A67B4D" w:rsidRPr="009C6730" w:rsidRDefault="00A67B4D" w:rsidP="009C6730">
      <w:pPr>
        <w:spacing w:line="360" w:lineRule="auto"/>
        <w:ind w:firstLine="540"/>
        <w:contextualSpacing/>
        <w:jc w:val="both"/>
        <w:rPr>
          <w:rFonts w:ascii="GHEA Grapalat" w:hAnsi="GHEA Grapalat"/>
          <w:sz w:val="22"/>
          <w:szCs w:val="22"/>
          <w:lang w:val="hy-AM"/>
        </w:rPr>
      </w:pPr>
      <w:r w:rsidRPr="009C6730">
        <w:rPr>
          <w:rFonts w:ascii="GHEA Grapalat" w:hAnsi="GHEA Grapalat"/>
          <w:b/>
          <w:sz w:val="22"/>
          <w:szCs w:val="22"/>
          <w:lang w:val="hy-AM"/>
        </w:rPr>
        <w:t>Աղյուսակ 1.</w:t>
      </w:r>
      <w:r w:rsidRPr="009C6730">
        <w:rPr>
          <w:rFonts w:ascii="GHEA Grapalat" w:hAnsi="GHEA Grapalat"/>
          <w:sz w:val="22"/>
          <w:szCs w:val="22"/>
          <w:lang w:val="hy-AM"/>
        </w:rPr>
        <w:t xml:space="preserve"> Ֆինանսական շուկայի տոկոսադրույքները 2015 թվականի հունվար-հունիս ամիսների ընթացքում</w:t>
      </w:r>
    </w:p>
    <w:tbl>
      <w:tblPr>
        <w:tblW w:w="9409" w:type="dxa"/>
        <w:jc w:val="center"/>
        <w:tblLook w:val="04A0" w:firstRow="1" w:lastRow="0" w:firstColumn="1" w:lastColumn="0" w:noHBand="0" w:noVBand="1"/>
      </w:tblPr>
      <w:tblGrid>
        <w:gridCol w:w="3157"/>
        <w:gridCol w:w="1042"/>
        <w:gridCol w:w="1042"/>
        <w:gridCol w:w="1042"/>
        <w:gridCol w:w="1042"/>
        <w:gridCol w:w="1042"/>
        <w:gridCol w:w="1042"/>
      </w:tblGrid>
      <w:tr w:rsidR="00A67B4D" w:rsidRPr="003C5D05" w:rsidTr="00A67B4D">
        <w:trPr>
          <w:trHeight w:val="225"/>
          <w:jc w:val="center"/>
        </w:trPr>
        <w:tc>
          <w:tcPr>
            <w:tcW w:w="3157" w:type="dxa"/>
            <w:tcBorders>
              <w:top w:val="single" w:sz="8" w:space="0" w:color="auto"/>
              <w:left w:val="single" w:sz="8" w:space="0" w:color="auto"/>
              <w:bottom w:val="dashed" w:sz="8" w:space="0" w:color="auto"/>
              <w:right w:val="dashed" w:sz="8" w:space="0" w:color="auto"/>
            </w:tcBorders>
            <w:shd w:val="clear" w:color="auto" w:fill="auto"/>
            <w:vAlign w:val="center"/>
            <w:hideMark/>
          </w:tcPr>
          <w:p w:rsidR="00A67B4D" w:rsidRPr="003C5D05" w:rsidRDefault="00A67B4D" w:rsidP="00A67B4D">
            <w:pPr>
              <w:jc w:val="center"/>
              <w:rPr>
                <w:rFonts w:ascii="GHEA Grapalat" w:hAnsi="GHEA Grapalat"/>
                <w:sz w:val="20"/>
                <w:szCs w:val="20"/>
              </w:rPr>
            </w:pPr>
            <w:r w:rsidRPr="003C5D05">
              <w:rPr>
                <w:rFonts w:ascii="GHEA Grapalat" w:hAnsi="GHEA Grapalat" w:cs="Sylfaen"/>
                <w:sz w:val="20"/>
                <w:szCs w:val="20"/>
              </w:rPr>
              <w:t>Ամիսներ</w:t>
            </w:r>
          </w:p>
        </w:tc>
        <w:tc>
          <w:tcPr>
            <w:tcW w:w="1042" w:type="dxa"/>
            <w:tcBorders>
              <w:top w:val="single" w:sz="8" w:space="0" w:color="auto"/>
              <w:left w:val="nil"/>
              <w:bottom w:val="dashed" w:sz="8" w:space="0" w:color="auto"/>
              <w:right w:val="dashed" w:sz="8" w:space="0" w:color="auto"/>
            </w:tcBorders>
            <w:shd w:val="clear" w:color="auto" w:fill="auto"/>
            <w:vAlign w:val="center"/>
            <w:hideMark/>
          </w:tcPr>
          <w:p w:rsidR="00A67B4D" w:rsidRPr="003C5D05" w:rsidRDefault="00A67B4D" w:rsidP="00A67B4D">
            <w:pPr>
              <w:jc w:val="center"/>
              <w:rPr>
                <w:rFonts w:ascii="GHEA Grapalat" w:hAnsi="GHEA Grapalat"/>
                <w:b/>
                <w:bCs/>
                <w:sz w:val="20"/>
                <w:szCs w:val="20"/>
              </w:rPr>
            </w:pPr>
            <w:r w:rsidRPr="003C5D05">
              <w:rPr>
                <w:rFonts w:ascii="GHEA Grapalat" w:hAnsi="GHEA Grapalat"/>
                <w:b/>
                <w:bCs/>
                <w:sz w:val="20"/>
                <w:szCs w:val="20"/>
              </w:rPr>
              <w:t>I</w:t>
            </w:r>
          </w:p>
        </w:tc>
        <w:tc>
          <w:tcPr>
            <w:tcW w:w="1042" w:type="dxa"/>
            <w:tcBorders>
              <w:top w:val="single" w:sz="8" w:space="0" w:color="auto"/>
              <w:left w:val="nil"/>
              <w:bottom w:val="dashed" w:sz="8" w:space="0" w:color="auto"/>
              <w:right w:val="dashed" w:sz="8" w:space="0" w:color="auto"/>
            </w:tcBorders>
            <w:shd w:val="clear" w:color="auto" w:fill="auto"/>
            <w:vAlign w:val="center"/>
            <w:hideMark/>
          </w:tcPr>
          <w:p w:rsidR="00A67B4D" w:rsidRPr="003C5D05" w:rsidRDefault="00A67B4D" w:rsidP="00A67B4D">
            <w:pPr>
              <w:jc w:val="center"/>
              <w:rPr>
                <w:rFonts w:ascii="GHEA Grapalat" w:hAnsi="GHEA Grapalat"/>
                <w:b/>
                <w:bCs/>
                <w:sz w:val="20"/>
                <w:szCs w:val="20"/>
              </w:rPr>
            </w:pPr>
            <w:r w:rsidRPr="003C5D05">
              <w:rPr>
                <w:rFonts w:ascii="GHEA Grapalat" w:hAnsi="GHEA Grapalat"/>
                <w:b/>
                <w:bCs/>
                <w:sz w:val="20"/>
                <w:szCs w:val="20"/>
              </w:rPr>
              <w:t>II</w:t>
            </w:r>
          </w:p>
        </w:tc>
        <w:tc>
          <w:tcPr>
            <w:tcW w:w="1042" w:type="dxa"/>
            <w:tcBorders>
              <w:top w:val="single" w:sz="8" w:space="0" w:color="auto"/>
              <w:left w:val="nil"/>
              <w:bottom w:val="dashed" w:sz="8" w:space="0" w:color="auto"/>
              <w:right w:val="dashed" w:sz="8" w:space="0" w:color="auto"/>
            </w:tcBorders>
            <w:shd w:val="clear" w:color="auto" w:fill="auto"/>
            <w:vAlign w:val="center"/>
            <w:hideMark/>
          </w:tcPr>
          <w:p w:rsidR="00A67B4D" w:rsidRPr="003C5D05" w:rsidRDefault="00A67B4D" w:rsidP="00A67B4D">
            <w:pPr>
              <w:jc w:val="center"/>
              <w:rPr>
                <w:rFonts w:ascii="GHEA Grapalat" w:hAnsi="GHEA Grapalat"/>
                <w:b/>
                <w:bCs/>
                <w:sz w:val="20"/>
                <w:szCs w:val="20"/>
              </w:rPr>
            </w:pPr>
            <w:r w:rsidRPr="003C5D05">
              <w:rPr>
                <w:rFonts w:ascii="GHEA Grapalat" w:hAnsi="GHEA Grapalat"/>
                <w:b/>
                <w:bCs/>
                <w:sz w:val="20"/>
                <w:szCs w:val="20"/>
              </w:rPr>
              <w:t>III</w:t>
            </w:r>
          </w:p>
        </w:tc>
        <w:tc>
          <w:tcPr>
            <w:tcW w:w="1042" w:type="dxa"/>
            <w:tcBorders>
              <w:top w:val="single" w:sz="8" w:space="0" w:color="auto"/>
              <w:left w:val="nil"/>
              <w:bottom w:val="dashed" w:sz="8" w:space="0" w:color="auto"/>
              <w:right w:val="dashed" w:sz="8" w:space="0" w:color="auto"/>
            </w:tcBorders>
            <w:shd w:val="clear" w:color="auto" w:fill="auto"/>
            <w:vAlign w:val="center"/>
            <w:hideMark/>
          </w:tcPr>
          <w:p w:rsidR="00A67B4D" w:rsidRPr="003C5D05" w:rsidRDefault="00A67B4D" w:rsidP="00A67B4D">
            <w:pPr>
              <w:jc w:val="center"/>
              <w:rPr>
                <w:rFonts w:ascii="GHEA Grapalat" w:hAnsi="GHEA Grapalat"/>
                <w:b/>
                <w:bCs/>
                <w:sz w:val="20"/>
                <w:szCs w:val="20"/>
              </w:rPr>
            </w:pPr>
            <w:r w:rsidRPr="003C5D05">
              <w:rPr>
                <w:rFonts w:ascii="GHEA Grapalat" w:hAnsi="GHEA Grapalat"/>
                <w:b/>
                <w:bCs/>
                <w:sz w:val="20"/>
                <w:szCs w:val="20"/>
              </w:rPr>
              <w:t>IV</w:t>
            </w:r>
          </w:p>
        </w:tc>
        <w:tc>
          <w:tcPr>
            <w:tcW w:w="1042" w:type="dxa"/>
            <w:tcBorders>
              <w:top w:val="single" w:sz="8" w:space="0" w:color="auto"/>
              <w:left w:val="nil"/>
              <w:bottom w:val="dashed" w:sz="8" w:space="0" w:color="auto"/>
              <w:right w:val="dashed" w:sz="8" w:space="0" w:color="auto"/>
            </w:tcBorders>
            <w:shd w:val="clear" w:color="auto" w:fill="auto"/>
            <w:vAlign w:val="center"/>
            <w:hideMark/>
          </w:tcPr>
          <w:p w:rsidR="00A67B4D" w:rsidRPr="003C5D05" w:rsidRDefault="00A67B4D" w:rsidP="00A67B4D">
            <w:pPr>
              <w:jc w:val="center"/>
              <w:rPr>
                <w:rFonts w:ascii="GHEA Grapalat" w:hAnsi="GHEA Grapalat"/>
                <w:b/>
                <w:bCs/>
                <w:sz w:val="20"/>
                <w:szCs w:val="20"/>
              </w:rPr>
            </w:pPr>
            <w:r w:rsidRPr="003C5D05">
              <w:rPr>
                <w:rFonts w:ascii="GHEA Grapalat" w:hAnsi="GHEA Grapalat"/>
                <w:b/>
                <w:bCs/>
                <w:sz w:val="20"/>
                <w:szCs w:val="20"/>
              </w:rPr>
              <w:t>V</w:t>
            </w:r>
          </w:p>
        </w:tc>
        <w:tc>
          <w:tcPr>
            <w:tcW w:w="1042" w:type="dxa"/>
            <w:tcBorders>
              <w:top w:val="single" w:sz="8" w:space="0" w:color="auto"/>
              <w:left w:val="nil"/>
              <w:bottom w:val="dashed" w:sz="8" w:space="0" w:color="auto"/>
              <w:right w:val="single" w:sz="8" w:space="0" w:color="auto"/>
            </w:tcBorders>
            <w:shd w:val="clear" w:color="auto" w:fill="auto"/>
            <w:vAlign w:val="center"/>
            <w:hideMark/>
          </w:tcPr>
          <w:p w:rsidR="00A67B4D" w:rsidRPr="003C5D05" w:rsidRDefault="00A67B4D" w:rsidP="00A67B4D">
            <w:pPr>
              <w:jc w:val="center"/>
              <w:rPr>
                <w:rFonts w:ascii="GHEA Grapalat" w:hAnsi="GHEA Grapalat"/>
                <w:b/>
                <w:bCs/>
                <w:sz w:val="20"/>
                <w:szCs w:val="20"/>
              </w:rPr>
            </w:pPr>
            <w:r w:rsidRPr="003C5D05">
              <w:rPr>
                <w:rFonts w:ascii="GHEA Grapalat" w:hAnsi="GHEA Grapalat"/>
                <w:b/>
                <w:bCs/>
                <w:sz w:val="20"/>
                <w:szCs w:val="20"/>
              </w:rPr>
              <w:t>IV</w:t>
            </w:r>
          </w:p>
        </w:tc>
      </w:tr>
      <w:tr w:rsidR="00A67B4D" w:rsidRPr="003C5D05" w:rsidTr="00A67B4D">
        <w:trPr>
          <w:trHeight w:val="564"/>
          <w:jc w:val="center"/>
        </w:trPr>
        <w:tc>
          <w:tcPr>
            <w:tcW w:w="3157" w:type="dxa"/>
            <w:tcBorders>
              <w:top w:val="nil"/>
              <w:left w:val="single" w:sz="8" w:space="0" w:color="auto"/>
              <w:bottom w:val="dashed" w:sz="8" w:space="0" w:color="auto"/>
              <w:right w:val="dashed" w:sz="8" w:space="0" w:color="auto"/>
            </w:tcBorders>
            <w:shd w:val="clear" w:color="auto" w:fill="auto"/>
            <w:vAlign w:val="center"/>
            <w:hideMark/>
          </w:tcPr>
          <w:p w:rsidR="00A67B4D" w:rsidRPr="003C5D05" w:rsidRDefault="00A67B4D" w:rsidP="00A67B4D">
            <w:pPr>
              <w:rPr>
                <w:rFonts w:ascii="GHEA Grapalat" w:hAnsi="GHEA Grapalat"/>
                <w:sz w:val="20"/>
                <w:szCs w:val="20"/>
              </w:rPr>
            </w:pPr>
            <w:r w:rsidRPr="003C5D05">
              <w:rPr>
                <w:rFonts w:ascii="GHEA Grapalat" w:hAnsi="GHEA Grapalat" w:cs="Sylfaen"/>
                <w:sz w:val="20"/>
                <w:szCs w:val="20"/>
              </w:rPr>
              <w:t>Առևտրային բանկերի վարկեր*</w:t>
            </w:r>
          </w:p>
        </w:tc>
        <w:tc>
          <w:tcPr>
            <w:tcW w:w="1042" w:type="dxa"/>
            <w:tcBorders>
              <w:top w:val="nil"/>
              <w:left w:val="nil"/>
              <w:bottom w:val="dashed" w:sz="8" w:space="0" w:color="auto"/>
              <w:right w:val="dashed" w:sz="8" w:space="0" w:color="auto"/>
            </w:tcBorders>
            <w:shd w:val="clear" w:color="auto" w:fill="auto"/>
            <w:vAlign w:val="center"/>
            <w:hideMark/>
          </w:tcPr>
          <w:p w:rsidR="00A67B4D" w:rsidRPr="003C5D05" w:rsidRDefault="00A67B4D" w:rsidP="00A67B4D">
            <w:pPr>
              <w:jc w:val="center"/>
              <w:rPr>
                <w:rFonts w:ascii="GHEA Grapalat" w:hAnsi="GHEA Grapalat"/>
                <w:sz w:val="20"/>
                <w:szCs w:val="20"/>
              </w:rPr>
            </w:pPr>
            <w:r w:rsidRPr="003C5D05">
              <w:rPr>
                <w:rFonts w:ascii="GHEA Grapalat" w:hAnsi="GHEA Grapalat"/>
                <w:sz w:val="20"/>
                <w:szCs w:val="20"/>
              </w:rPr>
              <w:t>16.77</w:t>
            </w:r>
          </w:p>
        </w:tc>
        <w:tc>
          <w:tcPr>
            <w:tcW w:w="1042" w:type="dxa"/>
            <w:tcBorders>
              <w:top w:val="nil"/>
              <w:left w:val="nil"/>
              <w:bottom w:val="dashed" w:sz="8" w:space="0" w:color="auto"/>
              <w:right w:val="dashed" w:sz="8" w:space="0" w:color="auto"/>
            </w:tcBorders>
            <w:shd w:val="clear" w:color="auto" w:fill="auto"/>
            <w:vAlign w:val="center"/>
            <w:hideMark/>
          </w:tcPr>
          <w:p w:rsidR="00A67B4D" w:rsidRPr="003C5D05" w:rsidRDefault="00A67B4D" w:rsidP="00A67B4D">
            <w:pPr>
              <w:jc w:val="center"/>
              <w:rPr>
                <w:rFonts w:ascii="GHEA Grapalat" w:hAnsi="GHEA Grapalat"/>
                <w:sz w:val="20"/>
                <w:szCs w:val="20"/>
              </w:rPr>
            </w:pPr>
            <w:r w:rsidRPr="003C5D05">
              <w:rPr>
                <w:rFonts w:ascii="GHEA Grapalat" w:hAnsi="GHEA Grapalat"/>
                <w:sz w:val="20"/>
                <w:szCs w:val="20"/>
              </w:rPr>
              <w:t>18.71</w:t>
            </w:r>
          </w:p>
        </w:tc>
        <w:tc>
          <w:tcPr>
            <w:tcW w:w="1042" w:type="dxa"/>
            <w:tcBorders>
              <w:top w:val="nil"/>
              <w:left w:val="nil"/>
              <w:bottom w:val="dashed" w:sz="8" w:space="0" w:color="auto"/>
              <w:right w:val="dashed" w:sz="8" w:space="0" w:color="auto"/>
            </w:tcBorders>
            <w:shd w:val="clear" w:color="auto" w:fill="auto"/>
            <w:vAlign w:val="center"/>
            <w:hideMark/>
          </w:tcPr>
          <w:p w:rsidR="00A67B4D" w:rsidRPr="003C5D05" w:rsidRDefault="00A67B4D" w:rsidP="00A67B4D">
            <w:pPr>
              <w:jc w:val="center"/>
              <w:rPr>
                <w:rFonts w:ascii="GHEA Grapalat" w:hAnsi="GHEA Grapalat"/>
                <w:sz w:val="20"/>
                <w:szCs w:val="20"/>
              </w:rPr>
            </w:pPr>
            <w:r w:rsidRPr="003C5D05">
              <w:rPr>
                <w:rFonts w:ascii="GHEA Grapalat" w:hAnsi="GHEA Grapalat"/>
                <w:sz w:val="20"/>
                <w:szCs w:val="20"/>
              </w:rPr>
              <w:t>19.11</w:t>
            </w:r>
          </w:p>
        </w:tc>
        <w:tc>
          <w:tcPr>
            <w:tcW w:w="1042" w:type="dxa"/>
            <w:tcBorders>
              <w:top w:val="nil"/>
              <w:left w:val="nil"/>
              <w:bottom w:val="dashed" w:sz="8" w:space="0" w:color="auto"/>
              <w:right w:val="dashed" w:sz="8" w:space="0" w:color="auto"/>
            </w:tcBorders>
            <w:shd w:val="clear" w:color="auto" w:fill="auto"/>
            <w:vAlign w:val="center"/>
            <w:hideMark/>
          </w:tcPr>
          <w:p w:rsidR="00A67B4D" w:rsidRPr="003C5D05" w:rsidRDefault="00A67B4D" w:rsidP="00A67B4D">
            <w:pPr>
              <w:jc w:val="center"/>
              <w:rPr>
                <w:rFonts w:ascii="GHEA Grapalat" w:hAnsi="GHEA Grapalat"/>
                <w:sz w:val="20"/>
                <w:szCs w:val="20"/>
              </w:rPr>
            </w:pPr>
            <w:r w:rsidRPr="003C5D05">
              <w:rPr>
                <w:rFonts w:ascii="GHEA Grapalat" w:hAnsi="GHEA Grapalat"/>
                <w:sz w:val="20"/>
                <w:szCs w:val="20"/>
              </w:rPr>
              <w:t>17.05</w:t>
            </w:r>
          </w:p>
        </w:tc>
        <w:tc>
          <w:tcPr>
            <w:tcW w:w="1042" w:type="dxa"/>
            <w:tcBorders>
              <w:top w:val="nil"/>
              <w:left w:val="nil"/>
              <w:bottom w:val="dashed" w:sz="8" w:space="0" w:color="auto"/>
              <w:right w:val="dashed" w:sz="8" w:space="0" w:color="auto"/>
            </w:tcBorders>
            <w:shd w:val="clear" w:color="auto" w:fill="auto"/>
            <w:vAlign w:val="center"/>
            <w:hideMark/>
          </w:tcPr>
          <w:p w:rsidR="00A67B4D" w:rsidRPr="003C5D05" w:rsidRDefault="00A67B4D" w:rsidP="00A67B4D">
            <w:pPr>
              <w:jc w:val="center"/>
              <w:rPr>
                <w:rFonts w:ascii="GHEA Grapalat" w:hAnsi="GHEA Grapalat"/>
                <w:sz w:val="20"/>
                <w:szCs w:val="20"/>
              </w:rPr>
            </w:pPr>
            <w:r w:rsidRPr="003C5D05">
              <w:rPr>
                <w:rFonts w:ascii="GHEA Grapalat" w:hAnsi="GHEA Grapalat"/>
                <w:sz w:val="20"/>
                <w:szCs w:val="20"/>
              </w:rPr>
              <w:t>17.66</w:t>
            </w:r>
          </w:p>
        </w:tc>
        <w:tc>
          <w:tcPr>
            <w:tcW w:w="1042" w:type="dxa"/>
            <w:tcBorders>
              <w:top w:val="nil"/>
              <w:left w:val="nil"/>
              <w:bottom w:val="dashed" w:sz="8" w:space="0" w:color="auto"/>
              <w:right w:val="single" w:sz="8" w:space="0" w:color="auto"/>
            </w:tcBorders>
            <w:shd w:val="clear" w:color="auto" w:fill="auto"/>
            <w:vAlign w:val="center"/>
            <w:hideMark/>
          </w:tcPr>
          <w:p w:rsidR="00A67B4D" w:rsidRPr="003C5D05" w:rsidRDefault="00A67B4D" w:rsidP="00A67B4D">
            <w:pPr>
              <w:jc w:val="center"/>
              <w:rPr>
                <w:rFonts w:ascii="GHEA Grapalat" w:hAnsi="GHEA Grapalat"/>
                <w:sz w:val="20"/>
                <w:szCs w:val="20"/>
              </w:rPr>
            </w:pPr>
            <w:r w:rsidRPr="003C5D05">
              <w:rPr>
                <w:rFonts w:ascii="GHEA Grapalat" w:hAnsi="GHEA Grapalat"/>
                <w:sz w:val="20"/>
                <w:szCs w:val="20"/>
              </w:rPr>
              <w:t>17.35</w:t>
            </w:r>
          </w:p>
        </w:tc>
      </w:tr>
      <w:tr w:rsidR="00A67B4D" w:rsidRPr="003C5D05" w:rsidTr="00A67B4D">
        <w:trPr>
          <w:trHeight w:val="564"/>
          <w:jc w:val="center"/>
        </w:trPr>
        <w:tc>
          <w:tcPr>
            <w:tcW w:w="3157" w:type="dxa"/>
            <w:tcBorders>
              <w:top w:val="nil"/>
              <w:left w:val="single" w:sz="8" w:space="0" w:color="auto"/>
              <w:bottom w:val="dashed" w:sz="8" w:space="0" w:color="auto"/>
              <w:right w:val="dashed" w:sz="8" w:space="0" w:color="auto"/>
            </w:tcBorders>
            <w:shd w:val="clear" w:color="auto" w:fill="auto"/>
            <w:vAlign w:val="center"/>
            <w:hideMark/>
          </w:tcPr>
          <w:p w:rsidR="00A67B4D" w:rsidRPr="003C5D05" w:rsidRDefault="00A67B4D" w:rsidP="00A67B4D">
            <w:pPr>
              <w:rPr>
                <w:rFonts w:ascii="GHEA Grapalat" w:hAnsi="GHEA Grapalat"/>
                <w:sz w:val="20"/>
                <w:szCs w:val="20"/>
              </w:rPr>
            </w:pPr>
            <w:r w:rsidRPr="003C5D05">
              <w:rPr>
                <w:rFonts w:ascii="GHEA Grapalat" w:hAnsi="GHEA Grapalat" w:cs="Sylfaen"/>
                <w:sz w:val="20"/>
                <w:szCs w:val="20"/>
              </w:rPr>
              <w:t>Առևտրային բանկերի ավանդներ*</w:t>
            </w:r>
          </w:p>
        </w:tc>
        <w:tc>
          <w:tcPr>
            <w:tcW w:w="1042" w:type="dxa"/>
            <w:tcBorders>
              <w:top w:val="nil"/>
              <w:left w:val="nil"/>
              <w:bottom w:val="dashed" w:sz="8" w:space="0" w:color="auto"/>
              <w:right w:val="dashed" w:sz="8" w:space="0" w:color="auto"/>
            </w:tcBorders>
            <w:shd w:val="clear" w:color="auto" w:fill="auto"/>
            <w:vAlign w:val="center"/>
            <w:hideMark/>
          </w:tcPr>
          <w:p w:rsidR="00A67B4D" w:rsidRPr="003C5D05" w:rsidRDefault="00A67B4D" w:rsidP="00A67B4D">
            <w:pPr>
              <w:jc w:val="center"/>
              <w:rPr>
                <w:rFonts w:ascii="GHEA Grapalat" w:hAnsi="GHEA Grapalat"/>
                <w:sz w:val="20"/>
                <w:szCs w:val="20"/>
              </w:rPr>
            </w:pPr>
            <w:r w:rsidRPr="003C5D05">
              <w:rPr>
                <w:rFonts w:ascii="GHEA Grapalat" w:hAnsi="GHEA Grapalat"/>
                <w:sz w:val="20"/>
                <w:szCs w:val="20"/>
              </w:rPr>
              <w:t>12.06</w:t>
            </w:r>
          </w:p>
        </w:tc>
        <w:tc>
          <w:tcPr>
            <w:tcW w:w="1042" w:type="dxa"/>
            <w:tcBorders>
              <w:top w:val="nil"/>
              <w:left w:val="nil"/>
              <w:bottom w:val="dashed" w:sz="8" w:space="0" w:color="auto"/>
              <w:right w:val="dashed" w:sz="8" w:space="0" w:color="auto"/>
            </w:tcBorders>
            <w:shd w:val="clear" w:color="auto" w:fill="auto"/>
            <w:vAlign w:val="center"/>
            <w:hideMark/>
          </w:tcPr>
          <w:p w:rsidR="00A67B4D" w:rsidRPr="003C5D05" w:rsidRDefault="00A67B4D" w:rsidP="00A67B4D">
            <w:pPr>
              <w:jc w:val="center"/>
              <w:rPr>
                <w:rFonts w:ascii="GHEA Grapalat" w:hAnsi="GHEA Grapalat"/>
                <w:sz w:val="20"/>
                <w:szCs w:val="20"/>
              </w:rPr>
            </w:pPr>
            <w:r w:rsidRPr="003C5D05">
              <w:rPr>
                <w:rFonts w:ascii="GHEA Grapalat" w:hAnsi="GHEA Grapalat"/>
                <w:sz w:val="20"/>
                <w:szCs w:val="20"/>
              </w:rPr>
              <w:t>13.99</w:t>
            </w:r>
          </w:p>
        </w:tc>
        <w:tc>
          <w:tcPr>
            <w:tcW w:w="1042" w:type="dxa"/>
            <w:tcBorders>
              <w:top w:val="nil"/>
              <w:left w:val="nil"/>
              <w:bottom w:val="dashed" w:sz="8" w:space="0" w:color="auto"/>
              <w:right w:val="dashed" w:sz="8" w:space="0" w:color="auto"/>
            </w:tcBorders>
            <w:shd w:val="clear" w:color="auto" w:fill="auto"/>
            <w:vAlign w:val="center"/>
            <w:hideMark/>
          </w:tcPr>
          <w:p w:rsidR="00A67B4D" w:rsidRPr="003C5D05" w:rsidRDefault="00A67B4D" w:rsidP="00A67B4D">
            <w:pPr>
              <w:jc w:val="center"/>
              <w:rPr>
                <w:rFonts w:ascii="GHEA Grapalat" w:hAnsi="GHEA Grapalat"/>
                <w:sz w:val="20"/>
                <w:szCs w:val="20"/>
              </w:rPr>
            </w:pPr>
            <w:r w:rsidRPr="003C5D05">
              <w:rPr>
                <w:rFonts w:ascii="GHEA Grapalat" w:hAnsi="GHEA Grapalat"/>
                <w:sz w:val="20"/>
                <w:szCs w:val="20"/>
              </w:rPr>
              <w:t>15.21</w:t>
            </w:r>
          </w:p>
        </w:tc>
        <w:tc>
          <w:tcPr>
            <w:tcW w:w="1042" w:type="dxa"/>
            <w:tcBorders>
              <w:top w:val="nil"/>
              <w:left w:val="nil"/>
              <w:bottom w:val="dashed" w:sz="8" w:space="0" w:color="auto"/>
              <w:right w:val="dashed" w:sz="8" w:space="0" w:color="auto"/>
            </w:tcBorders>
            <w:shd w:val="clear" w:color="auto" w:fill="auto"/>
            <w:vAlign w:val="center"/>
            <w:hideMark/>
          </w:tcPr>
          <w:p w:rsidR="00A67B4D" w:rsidRPr="003C5D05" w:rsidRDefault="00A67B4D" w:rsidP="00A67B4D">
            <w:pPr>
              <w:jc w:val="center"/>
              <w:rPr>
                <w:rFonts w:ascii="GHEA Grapalat" w:hAnsi="GHEA Grapalat"/>
                <w:sz w:val="20"/>
                <w:szCs w:val="20"/>
              </w:rPr>
            </w:pPr>
            <w:r w:rsidRPr="003C5D05">
              <w:rPr>
                <w:rFonts w:ascii="GHEA Grapalat" w:hAnsi="GHEA Grapalat"/>
                <w:sz w:val="20"/>
                <w:szCs w:val="20"/>
              </w:rPr>
              <w:t>13.26</w:t>
            </w:r>
          </w:p>
        </w:tc>
        <w:tc>
          <w:tcPr>
            <w:tcW w:w="1042" w:type="dxa"/>
            <w:tcBorders>
              <w:top w:val="nil"/>
              <w:left w:val="nil"/>
              <w:bottom w:val="dashed" w:sz="8" w:space="0" w:color="auto"/>
              <w:right w:val="dashed" w:sz="8" w:space="0" w:color="auto"/>
            </w:tcBorders>
            <w:shd w:val="clear" w:color="auto" w:fill="auto"/>
            <w:vAlign w:val="center"/>
            <w:hideMark/>
          </w:tcPr>
          <w:p w:rsidR="00A67B4D" w:rsidRPr="003C5D05" w:rsidRDefault="00A67B4D" w:rsidP="00A67B4D">
            <w:pPr>
              <w:jc w:val="center"/>
              <w:rPr>
                <w:rFonts w:ascii="GHEA Grapalat" w:hAnsi="GHEA Grapalat"/>
                <w:sz w:val="20"/>
                <w:szCs w:val="20"/>
              </w:rPr>
            </w:pPr>
            <w:r w:rsidRPr="003C5D05">
              <w:rPr>
                <w:rFonts w:ascii="GHEA Grapalat" w:hAnsi="GHEA Grapalat"/>
                <w:sz w:val="20"/>
                <w:szCs w:val="20"/>
              </w:rPr>
              <w:t>15.26</w:t>
            </w:r>
          </w:p>
        </w:tc>
        <w:tc>
          <w:tcPr>
            <w:tcW w:w="1042" w:type="dxa"/>
            <w:tcBorders>
              <w:top w:val="nil"/>
              <w:left w:val="nil"/>
              <w:bottom w:val="dashed" w:sz="8" w:space="0" w:color="auto"/>
              <w:right w:val="single" w:sz="8" w:space="0" w:color="auto"/>
            </w:tcBorders>
            <w:shd w:val="clear" w:color="auto" w:fill="auto"/>
            <w:vAlign w:val="center"/>
            <w:hideMark/>
          </w:tcPr>
          <w:p w:rsidR="00A67B4D" w:rsidRPr="003C5D05" w:rsidRDefault="00A67B4D" w:rsidP="00A67B4D">
            <w:pPr>
              <w:jc w:val="center"/>
              <w:rPr>
                <w:rFonts w:ascii="GHEA Grapalat" w:hAnsi="GHEA Grapalat"/>
                <w:sz w:val="20"/>
                <w:szCs w:val="20"/>
              </w:rPr>
            </w:pPr>
            <w:r w:rsidRPr="003C5D05">
              <w:rPr>
                <w:rFonts w:ascii="GHEA Grapalat" w:hAnsi="GHEA Grapalat"/>
                <w:sz w:val="20"/>
                <w:szCs w:val="20"/>
              </w:rPr>
              <w:t>14.85</w:t>
            </w:r>
          </w:p>
        </w:tc>
      </w:tr>
      <w:tr w:rsidR="00A67B4D" w:rsidRPr="003C5D05" w:rsidTr="00A67B4D">
        <w:trPr>
          <w:trHeight w:val="564"/>
          <w:jc w:val="center"/>
        </w:trPr>
        <w:tc>
          <w:tcPr>
            <w:tcW w:w="3157" w:type="dxa"/>
            <w:tcBorders>
              <w:top w:val="nil"/>
              <w:left w:val="single" w:sz="8" w:space="0" w:color="auto"/>
              <w:bottom w:val="single" w:sz="8" w:space="0" w:color="auto"/>
              <w:right w:val="dashed" w:sz="8" w:space="0" w:color="auto"/>
            </w:tcBorders>
            <w:shd w:val="clear" w:color="auto" w:fill="auto"/>
            <w:vAlign w:val="center"/>
            <w:hideMark/>
          </w:tcPr>
          <w:p w:rsidR="00A67B4D" w:rsidRPr="003C5D05" w:rsidRDefault="00A67B4D" w:rsidP="00A67B4D">
            <w:pPr>
              <w:rPr>
                <w:rFonts w:ascii="GHEA Grapalat" w:hAnsi="GHEA Grapalat"/>
                <w:sz w:val="20"/>
                <w:szCs w:val="20"/>
              </w:rPr>
            </w:pPr>
            <w:r w:rsidRPr="003C5D05">
              <w:rPr>
                <w:rFonts w:ascii="GHEA Grapalat" w:hAnsi="GHEA Grapalat" w:cs="Sylfaen"/>
                <w:sz w:val="20"/>
                <w:szCs w:val="20"/>
              </w:rPr>
              <w:t xml:space="preserve">ՀՀ ԿԲ ռեպո գործառնություններ </w:t>
            </w:r>
          </w:p>
        </w:tc>
        <w:tc>
          <w:tcPr>
            <w:tcW w:w="1042" w:type="dxa"/>
            <w:tcBorders>
              <w:top w:val="nil"/>
              <w:left w:val="nil"/>
              <w:bottom w:val="single" w:sz="8" w:space="0" w:color="auto"/>
              <w:right w:val="dashed" w:sz="8" w:space="0" w:color="auto"/>
            </w:tcBorders>
            <w:shd w:val="clear" w:color="auto" w:fill="auto"/>
            <w:vAlign w:val="center"/>
            <w:hideMark/>
          </w:tcPr>
          <w:p w:rsidR="00A67B4D" w:rsidRPr="003C5D05" w:rsidRDefault="00A67B4D" w:rsidP="00A67B4D">
            <w:pPr>
              <w:jc w:val="center"/>
              <w:rPr>
                <w:rFonts w:ascii="GHEA Grapalat" w:hAnsi="GHEA Grapalat"/>
                <w:sz w:val="20"/>
                <w:szCs w:val="20"/>
              </w:rPr>
            </w:pPr>
            <w:r w:rsidRPr="003C5D05">
              <w:rPr>
                <w:rFonts w:ascii="GHEA Grapalat" w:hAnsi="GHEA Grapalat"/>
                <w:sz w:val="20"/>
                <w:szCs w:val="20"/>
              </w:rPr>
              <w:t>9.5</w:t>
            </w:r>
          </w:p>
        </w:tc>
        <w:tc>
          <w:tcPr>
            <w:tcW w:w="1042" w:type="dxa"/>
            <w:tcBorders>
              <w:top w:val="nil"/>
              <w:left w:val="nil"/>
              <w:bottom w:val="single" w:sz="8" w:space="0" w:color="auto"/>
              <w:right w:val="dashed" w:sz="8" w:space="0" w:color="auto"/>
            </w:tcBorders>
            <w:shd w:val="clear" w:color="auto" w:fill="auto"/>
            <w:vAlign w:val="center"/>
            <w:hideMark/>
          </w:tcPr>
          <w:p w:rsidR="00A67B4D" w:rsidRPr="003C5D05" w:rsidRDefault="00A67B4D" w:rsidP="00A67B4D">
            <w:pPr>
              <w:jc w:val="center"/>
              <w:rPr>
                <w:rFonts w:ascii="GHEA Grapalat" w:hAnsi="GHEA Grapalat"/>
                <w:sz w:val="20"/>
                <w:szCs w:val="20"/>
              </w:rPr>
            </w:pPr>
            <w:r w:rsidRPr="003C5D05">
              <w:rPr>
                <w:rFonts w:ascii="GHEA Grapalat" w:hAnsi="GHEA Grapalat"/>
                <w:sz w:val="20"/>
                <w:szCs w:val="20"/>
              </w:rPr>
              <w:t>10.5</w:t>
            </w:r>
          </w:p>
        </w:tc>
        <w:tc>
          <w:tcPr>
            <w:tcW w:w="1042" w:type="dxa"/>
            <w:tcBorders>
              <w:top w:val="nil"/>
              <w:left w:val="nil"/>
              <w:bottom w:val="single" w:sz="8" w:space="0" w:color="auto"/>
              <w:right w:val="dashed" w:sz="8" w:space="0" w:color="auto"/>
            </w:tcBorders>
            <w:shd w:val="clear" w:color="auto" w:fill="auto"/>
            <w:vAlign w:val="center"/>
            <w:hideMark/>
          </w:tcPr>
          <w:p w:rsidR="00A67B4D" w:rsidRPr="003C5D05" w:rsidRDefault="00A67B4D" w:rsidP="00A67B4D">
            <w:pPr>
              <w:jc w:val="center"/>
              <w:rPr>
                <w:rFonts w:ascii="GHEA Grapalat" w:hAnsi="GHEA Grapalat"/>
                <w:sz w:val="20"/>
                <w:szCs w:val="20"/>
              </w:rPr>
            </w:pPr>
            <w:r w:rsidRPr="003C5D05">
              <w:rPr>
                <w:rFonts w:ascii="GHEA Grapalat" w:hAnsi="GHEA Grapalat"/>
                <w:sz w:val="20"/>
                <w:szCs w:val="20"/>
              </w:rPr>
              <w:t>10.5</w:t>
            </w:r>
          </w:p>
        </w:tc>
        <w:tc>
          <w:tcPr>
            <w:tcW w:w="1042" w:type="dxa"/>
            <w:tcBorders>
              <w:top w:val="nil"/>
              <w:left w:val="nil"/>
              <w:bottom w:val="single" w:sz="8" w:space="0" w:color="auto"/>
              <w:right w:val="dashed" w:sz="8" w:space="0" w:color="auto"/>
            </w:tcBorders>
            <w:shd w:val="clear" w:color="auto" w:fill="auto"/>
            <w:vAlign w:val="center"/>
            <w:hideMark/>
          </w:tcPr>
          <w:p w:rsidR="00A67B4D" w:rsidRPr="003C5D05" w:rsidRDefault="00A67B4D" w:rsidP="00A67B4D">
            <w:pPr>
              <w:jc w:val="center"/>
              <w:rPr>
                <w:rFonts w:ascii="GHEA Grapalat" w:hAnsi="GHEA Grapalat"/>
                <w:sz w:val="20"/>
                <w:szCs w:val="20"/>
              </w:rPr>
            </w:pPr>
            <w:r w:rsidRPr="003C5D05">
              <w:rPr>
                <w:rFonts w:ascii="GHEA Grapalat" w:hAnsi="GHEA Grapalat"/>
                <w:sz w:val="20"/>
                <w:szCs w:val="20"/>
              </w:rPr>
              <w:t>10.5</w:t>
            </w:r>
          </w:p>
        </w:tc>
        <w:tc>
          <w:tcPr>
            <w:tcW w:w="1042" w:type="dxa"/>
            <w:tcBorders>
              <w:top w:val="nil"/>
              <w:left w:val="nil"/>
              <w:bottom w:val="single" w:sz="8" w:space="0" w:color="auto"/>
              <w:right w:val="dashed" w:sz="8" w:space="0" w:color="auto"/>
            </w:tcBorders>
            <w:shd w:val="clear" w:color="auto" w:fill="auto"/>
            <w:vAlign w:val="center"/>
            <w:hideMark/>
          </w:tcPr>
          <w:p w:rsidR="00A67B4D" w:rsidRPr="003C5D05" w:rsidRDefault="00A67B4D" w:rsidP="00A67B4D">
            <w:pPr>
              <w:jc w:val="center"/>
              <w:rPr>
                <w:rFonts w:ascii="GHEA Grapalat" w:hAnsi="GHEA Grapalat"/>
                <w:sz w:val="20"/>
                <w:szCs w:val="20"/>
              </w:rPr>
            </w:pPr>
            <w:r w:rsidRPr="003C5D05">
              <w:rPr>
                <w:rFonts w:ascii="GHEA Grapalat" w:hAnsi="GHEA Grapalat"/>
                <w:sz w:val="20"/>
                <w:szCs w:val="20"/>
              </w:rPr>
              <w:t>10.5</w:t>
            </w:r>
          </w:p>
        </w:tc>
        <w:tc>
          <w:tcPr>
            <w:tcW w:w="1042" w:type="dxa"/>
            <w:tcBorders>
              <w:top w:val="nil"/>
              <w:left w:val="nil"/>
              <w:bottom w:val="single" w:sz="8" w:space="0" w:color="auto"/>
              <w:right w:val="single" w:sz="8" w:space="0" w:color="auto"/>
            </w:tcBorders>
            <w:shd w:val="clear" w:color="auto" w:fill="auto"/>
            <w:vAlign w:val="center"/>
            <w:hideMark/>
          </w:tcPr>
          <w:p w:rsidR="00A67B4D" w:rsidRPr="003C5D05" w:rsidRDefault="00A67B4D" w:rsidP="00A67B4D">
            <w:pPr>
              <w:jc w:val="center"/>
              <w:rPr>
                <w:rFonts w:ascii="GHEA Grapalat" w:hAnsi="GHEA Grapalat"/>
                <w:sz w:val="20"/>
                <w:szCs w:val="20"/>
              </w:rPr>
            </w:pPr>
            <w:r w:rsidRPr="003C5D05">
              <w:rPr>
                <w:rFonts w:ascii="GHEA Grapalat" w:hAnsi="GHEA Grapalat"/>
                <w:sz w:val="20"/>
                <w:szCs w:val="20"/>
              </w:rPr>
              <w:t>10.5</w:t>
            </w:r>
          </w:p>
        </w:tc>
      </w:tr>
    </w:tbl>
    <w:p w:rsidR="00A67B4D" w:rsidRPr="006157B5" w:rsidRDefault="00A67B4D" w:rsidP="00A67B4D">
      <w:pPr>
        <w:pStyle w:val="a8"/>
        <w:ind w:left="540"/>
        <w:rPr>
          <w:rFonts w:ascii="GHEA Grapalat" w:hAnsi="GHEA Grapalat" w:cs="Times Armenian"/>
          <w:sz w:val="18"/>
          <w:szCs w:val="18"/>
        </w:rPr>
      </w:pPr>
      <w:r w:rsidRPr="00687EF3">
        <w:rPr>
          <w:rFonts w:ascii="GHEA Grapalat" w:hAnsi="GHEA Grapalat" w:cs="Sylfaen"/>
          <w:sz w:val="18"/>
          <w:szCs w:val="18"/>
        </w:rPr>
        <w:t>* Հաշվարկված</w:t>
      </w:r>
      <w:r w:rsidRPr="00FF330B">
        <w:rPr>
          <w:rFonts w:ascii="GHEA Grapalat" w:hAnsi="GHEA Grapalat" w:cs="Times Armenian"/>
          <w:sz w:val="18"/>
          <w:szCs w:val="18"/>
        </w:rPr>
        <w:t xml:space="preserve"> </w:t>
      </w:r>
      <w:r w:rsidRPr="00FF330B">
        <w:rPr>
          <w:rFonts w:ascii="GHEA Grapalat" w:hAnsi="GHEA Grapalat" w:cs="Sylfaen"/>
          <w:sz w:val="18"/>
          <w:szCs w:val="18"/>
        </w:rPr>
        <w:t>է</w:t>
      </w:r>
      <w:r w:rsidRPr="00FF330B">
        <w:rPr>
          <w:rFonts w:ascii="GHEA Grapalat" w:hAnsi="GHEA Grapalat" w:cs="Times Armenian"/>
          <w:sz w:val="18"/>
          <w:szCs w:val="18"/>
        </w:rPr>
        <w:t xml:space="preserve"> 16 </w:t>
      </w:r>
      <w:r w:rsidRPr="00FF330B">
        <w:rPr>
          <w:rFonts w:ascii="GHEA Grapalat" w:hAnsi="GHEA Grapalat" w:cs="Sylfaen"/>
          <w:sz w:val="18"/>
          <w:szCs w:val="18"/>
        </w:rPr>
        <w:t>օրից</w:t>
      </w:r>
      <w:r w:rsidRPr="00FF330B">
        <w:rPr>
          <w:rFonts w:ascii="GHEA Grapalat" w:hAnsi="GHEA Grapalat" w:cs="Times Armenian"/>
          <w:sz w:val="18"/>
          <w:szCs w:val="18"/>
        </w:rPr>
        <w:t xml:space="preserve"> </w:t>
      </w:r>
      <w:r w:rsidRPr="00FF330B">
        <w:rPr>
          <w:rFonts w:ascii="GHEA Grapalat" w:hAnsi="GHEA Grapalat" w:cs="Sylfaen"/>
          <w:sz w:val="18"/>
          <w:szCs w:val="18"/>
        </w:rPr>
        <w:t>մինչև</w:t>
      </w:r>
      <w:r w:rsidRPr="00FF330B">
        <w:rPr>
          <w:rFonts w:ascii="GHEA Grapalat" w:hAnsi="GHEA Grapalat" w:cs="Times Armenian"/>
          <w:sz w:val="18"/>
          <w:szCs w:val="18"/>
        </w:rPr>
        <w:t xml:space="preserve"> </w:t>
      </w:r>
      <w:r w:rsidRPr="00FF330B">
        <w:rPr>
          <w:rFonts w:ascii="GHEA Grapalat" w:hAnsi="GHEA Grapalat" w:cs="Sylfaen"/>
          <w:sz w:val="18"/>
          <w:szCs w:val="18"/>
        </w:rPr>
        <w:t>մեկ</w:t>
      </w:r>
      <w:r w:rsidRPr="00FF330B">
        <w:rPr>
          <w:rFonts w:ascii="GHEA Grapalat" w:hAnsi="GHEA Grapalat" w:cs="Times Armenian"/>
          <w:sz w:val="18"/>
          <w:szCs w:val="18"/>
        </w:rPr>
        <w:t xml:space="preserve"> </w:t>
      </w:r>
      <w:r w:rsidRPr="00FF330B">
        <w:rPr>
          <w:rFonts w:ascii="GHEA Grapalat" w:hAnsi="GHEA Grapalat" w:cs="Sylfaen"/>
          <w:sz w:val="18"/>
          <w:szCs w:val="18"/>
        </w:rPr>
        <w:t>տարի</w:t>
      </w:r>
      <w:r w:rsidRPr="00FF330B">
        <w:rPr>
          <w:rFonts w:ascii="GHEA Grapalat" w:hAnsi="GHEA Grapalat" w:cs="Times Armenian"/>
          <w:sz w:val="18"/>
          <w:szCs w:val="18"/>
        </w:rPr>
        <w:t xml:space="preserve"> </w:t>
      </w:r>
      <w:r w:rsidRPr="00FF330B">
        <w:rPr>
          <w:rFonts w:ascii="GHEA Grapalat" w:hAnsi="GHEA Grapalat" w:cs="Sylfaen"/>
          <w:sz w:val="18"/>
          <w:szCs w:val="18"/>
        </w:rPr>
        <w:t>ժամկետով</w:t>
      </w:r>
      <w:r w:rsidRPr="005E6183">
        <w:rPr>
          <w:rFonts w:ascii="GHEA Grapalat" w:hAnsi="GHEA Grapalat" w:cs="Times Armenian"/>
          <w:sz w:val="18"/>
          <w:szCs w:val="18"/>
        </w:rPr>
        <w:t xml:space="preserve">, </w:t>
      </w:r>
      <w:r w:rsidRPr="005E6183">
        <w:rPr>
          <w:rFonts w:ascii="GHEA Grapalat" w:hAnsi="GHEA Grapalat" w:cs="Sylfaen"/>
          <w:sz w:val="18"/>
          <w:szCs w:val="18"/>
        </w:rPr>
        <w:t>միայն</w:t>
      </w:r>
      <w:r w:rsidRPr="005E6183">
        <w:rPr>
          <w:rFonts w:ascii="GHEA Grapalat" w:hAnsi="GHEA Grapalat" w:cs="Times Armenian"/>
          <w:sz w:val="18"/>
          <w:szCs w:val="18"/>
        </w:rPr>
        <w:t xml:space="preserve"> </w:t>
      </w:r>
      <w:r w:rsidRPr="005E6183">
        <w:rPr>
          <w:rFonts w:ascii="GHEA Grapalat" w:hAnsi="GHEA Grapalat" w:cs="Sylfaen"/>
          <w:sz w:val="18"/>
          <w:szCs w:val="18"/>
        </w:rPr>
        <w:t>դրամով</w:t>
      </w:r>
      <w:r w:rsidRPr="006732C3">
        <w:rPr>
          <w:rFonts w:ascii="GHEA Grapalat" w:hAnsi="GHEA Grapalat" w:cs="Times Armenian"/>
          <w:sz w:val="18"/>
          <w:szCs w:val="18"/>
        </w:rPr>
        <w:t xml:space="preserve"> </w:t>
      </w:r>
      <w:r w:rsidRPr="006732C3">
        <w:rPr>
          <w:rFonts w:ascii="GHEA Grapalat" w:hAnsi="GHEA Grapalat" w:cs="Sylfaen"/>
          <w:sz w:val="18"/>
          <w:szCs w:val="18"/>
        </w:rPr>
        <w:t>տրամադրված</w:t>
      </w:r>
      <w:r w:rsidRPr="006732C3">
        <w:rPr>
          <w:rFonts w:ascii="GHEA Grapalat" w:hAnsi="GHEA Grapalat" w:cs="Times Armenian"/>
          <w:sz w:val="18"/>
          <w:szCs w:val="18"/>
        </w:rPr>
        <w:t xml:space="preserve"> </w:t>
      </w:r>
      <w:r w:rsidRPr="006732C3">
        <w:rPr>
          <w:rFonts w:ascii="GHEA Grapalat" w:hAnsi="GHEA Grapalat" w:cs="Sylfaen"/>
          <w:sz w:val="18"/>
          <w:szCs w:val="18"/>
        </w:rPr>
        <w:t>վարկերի</w:t>
      </w:r>
      <w:r w:rsidRPr="006732C3">
        <w:rPr>
          <w:rFonts w:ascii="GHEA Grapalat" w:hAnsi="GHEA Grapalat" w:cs="Times Armenian"/>
          <w:sz w:val="18"/>
          <w:szCs w:val="18"/>
        </w:rPr>
        <w:t xml:space="preserve"> </w:t>
      </w:r>
      <w:r w:rsidRPr="007B71E7">
        <w:rPr>
          <w:rFonts w:ascii="GHEA Grapalat" w:hAnsi="GHEA Grapalat" w:cs="Sylfaen"/>
          <w:sz w:val="18"/>
          <w:szCs w:val="18"/>
        </w:rPr>
        <w:t>և</w:t>
      </w:r>
      <w:r w:rsidRPr="00F00D97">
        <w:rPr>
          <w:rFonts w:ascii="GHEA Grapalat" w:hAnsi="GHEA Grapalat" w:cs="Times Armenian"/>
          <w:sz w:val="18"/>
          <w:szCs w:val="18"/>
        </w:rPr>
        <w:t xml:space="preserve"> </w:t>
      </w:r>
      <w:r w:rsidRPr="0087390C">
        <w:rPr>
          <w:rFonts w:ascii="GHEA Grapalat" w:hAnsi="GHEA Grapalat" w:cs="Sylfaen"/>
          <w:sz w:val="18"/>
          <w:szCs w:val="18"/>
        </w:rPr>
        <w:t>ներ</w:t>
      </w:r>
      <w:r w:rsidRPr="0087390C">
        <w:rPr>
          <w:rFonts w:ascii="GHEA Grapalat" w:hAnsi="GHEA Grapalat" w:cs="Times Armenian"/>
          <w:sz w:val="18"/>
          <w:szCs w:val="18"/>
        </w:rPr>
        <w:t>գ</w:t>
      </w:r>
      <w:r w:rsidRPr="00F917D3">
        <w:rPr>
          <w:rFonts w:ascii="GHEA Grapalat" w:hAnsi="GHEA Grapalat" w:cs="Sylfaen"/>
          <w:sz w:val="18"/>
          <w:szCs w:val="18"/>
        </w:rPr>
        <w:t>րավված</w:t>
      </w:r>
      <w:r w:rsidRPr="006157B5">
        <w:rPr>
          <w:rFonts w:ascii="GHEA Grapalat" w:hAnsi="GHEA Grapalat" w:cs="Times Armenian"/>
          <w:sz w:val="18"/>
          <w:szCs w:val="18"/>
        </w:rPr>
        <w:t xml:space="preserve"> </w:t>
      </w:r>
      <w:r w:rsidRPr="006157B5">
        <w:rPr>
          <w:rFonts w:ascii="GHEA Grapalat" w:hAnsi="GHEA Grapalat" w:cs="Sylfaen"/>
          <w:sz w:val="18"/>
          <w:szCs w:val="18"/>
        </w:rPr>
        <w:t>ավանդների</w:t>
      </w:r>
      <w:r w:rsidRPr="006157B5">
        <w:rPr>
          <w:rFonts w:ascii="GHEA Grapalat" w:hAnsi="GHEA Grapalat" w:cs="Times Armenian"/>
          <w:sz w:val="18"/>
          <w:szCs w:val="18"/>
        </w:rPr>
        <w:t xml:space="preserve"> </w:t>
      </w:r>
      <w:r w:rsidRPr="0069721A">
        <w:rPr>
          <w:rFonts w:ascii="GHEA Grapalat" w:hAnsi="GHEA Grapalat" w:cs="Sylfaen"/>
          <w:sz w:val="18"/>
          <w:szCs w:val="18"/>
        </w:rPr>
        <w:t>համար</w:t>
      </w:r>
      <w:r w:rsidRPr="006E06FE">
        <w:rPr>
          <w:rFonts w:ascii="GHEA Grapalat" w:hAnsi="GHEA Grapalat" w:cs="Times Armenian"/>
          <w:sz w:val="18"/>
          <w:szCs w:val="18"/>
        </w:rPr>
        <w:t xml:space="preserve"> (</w:t>
      </w:r>
      <w:r w:rsidRPr="006157B5">
        <w:rPr>
          <w:rFonts w:ascii="GHEA Grapalat" w:hAnsi="GHEA Grapalat" w:cs="Sylfaen"/>
          <w:sz w:val="18"/>
          <w:szCs w:val="18"/>
        </w:rPr>
        <w:t>առանց</w:t>
      </w:r>
      <w:r w:rsidRPr="006157B5">
        <w:rPr>
          <w:rFonts w:ascii="GHEA Grapalat" w:hAnsi="GHEA Grapalat" w:cs="Times Armenian"/>
          <w:sz w:val="18"/>
          <w:szCs w:val="18"/>
        </w:rPr>
        <w:t xml:space="preserve"> </w:t>
      </w:r>
      <w:r w:rsidRPr="006157B5">
        <w:rPr>
          <w:rFonts w:ascii="GHEA Grapalat" w:hAnsi="GHEA Grapalat" w:cs="Sylfaen"/>
          <w:sz w:val="18"/>
          <w:szCs w:val="18"/>
        </w:rPr>
        <w:t>միջբանկային</w:t>
      </w:r>
      <w:r w:rsidRPr="006157B5">
        <w:rPr>
          <w:rFonts w:ascii="GHEA Grapalat" w:hAnsi="GHEA Grapalat" w:cs="Times Armenian"/>
          <w:sz w:val="18"/>
          <w:szCs w:val="18"/>
        </w:rPr>
        <w:t xml:space="preserve"> </w:t>
      </w:r>
      <w:r w:rsidRPr="006157B5">
        <w:rPr>
          <w:rFonts w:ascii="GHEA Grapalat" w:hAnsi="GHEA Grapalat" w:cs="Sylfaen"/>
          <w:sz w:val="18"/>
          <w:szCs w:val="18"/>
        </w:rPr>
        <w:t>շուկայի</w:t>
      </w:r>
      <w:r w:rsidRPr="006157B5">
        <w:rPr>
          <w:rFonts w:ascii="GHEA Grapalat" w:hAnsi="GHEA Grapalat" w:cs="Times Armenian"/>
          <w:sz w:val="18"/>
          <w:szCs w:val="18"/>
        </w:rPr>
        <w:t>):</w:t>
      </w:r>
    </w:p>
    <w:p w:rsidR="00A67B4D" w:rsidRPr="009E74C5" w:rsidRDefault="00A67B4D" w:rsidP="00A67B4D">
      <w:pPr>
        <w:spacing w:line="360" w:lineRule="auto"/>
        <w:jc w:val="both"/>
        <w:rPr>
          <w:rFonts w:ascii="GHEA Grapalat" w:hAnsi="GHEA Grapalat" w:cs="Sylfaen"/>
          <w:b/>
        </w:rPr>
      </w:pPr>
    </w:p>
    <w:p w:rsidR="00A67B4D" w:rsidRPr="009C6730" w:rsidRDefault="00A67B4D" w:rsidP="009C6730">
      <w:pPr>
        <w:spacing w:line="360" w:lineRule="auto"/>
        <w:ind w:firstLine="540"/>
        <w:contextualSpacing/>
        <w:jc w:val="both"/>
        <w:rPr>
          <w:rFonts w:ascii="GHEA Grapalat" w:hAnsi="GHEA Grapalat"/>
          <w:sz w:val="22"/>
          <w:szCs w:val="22"/>
          <w:lang w:val="hy-AM"/>
        </w:rPr>
      </w:pPr>
      <w:r w:rsidRPr="009C6730">
        <w:rPr>
          <w:rFonts w:ascii="GHEA Grapalat" w:hAnsi="GHEA Grapalat"/>
          <w:b/>
          <w:i/>
          <w:sz w:val="22"/>
          <w:szCs w:val="22"/>
          <w:lang w:val="hy-AM"/>
        </w:rPr>
        <w:t>Հարկաբյուջետային հատված:</w:t>
      </w:r>
      <w:r w:rsidRPr="009C6730">
        <w:rPr>
          <w:rFonts w:ascii="GHEA Grapalat" w:hAnsi="GHEA Grapalat"/>
          <w:sz w:val="22"/>
          <w:szCs w:val="22"/>
          <w:lang w:val="hy-AM"/>
        </w:rPr>
        <w:t xml:space="preserve"> Հարկաբյուջետային քաղաքականության մոտեցումը եղել է խթանող և միաժամանակ հավասարակշռված: Ընդ որում, նպատակ է դրվել չափավոր նպաստել տնտեսական վերականգնմանը, որի պայմաններում չի խաթարվի մակրոտնտեսական և հարկաբյուջետային կայունությունը: 2015 թվականի առաջին կիսամյակի արդյունքներով պետական բյուջեի ընդհանուր եկամուտները կազմել են 538</w:t>
      </w:r>
      <w:r w:rsidR="0071197C">
        <w:rPr>
          <w:rFonts w:ascii="GHEA Grapalat" w:hAnsi="GHEA Grapalat"/>
          <w:sz w:val="22"/>
          <w:szCs w:val="22"/>
        </w:rPr>
        <w:t>.</w:t>
      </w:r>
      <w:r w:rsidRPr="009C6730">
        <w:rPr>
          <w:rFonts w:ascii="GHEA Grapalat" w:hAnsi="GHEA Grapalat"/>
          <w:sz w:val="22"/>
          <w:szCs w:val="22"/>
          <w:lang w:val="hy-AM"/>
        </w:rPr>
        <w:t xml:space="preserve">5 </w:t>
      </w:r>
      <w:r w:rsidR="009C6730">
        <w:rPr>
          <w:rFonts w:ascii="GHEA Grapalat" w:hAnsi="GHEA Grapalat"/>
          <w:sz w:val="22"/>
          <w:szCs w:val="22"/>
          <w:lang w:val="hy-AM"/>
        </w:rPr>
        <w:t>մլրդ</w:t>
      </w:r>
      <w:r w:rsidRPr="009C6730">
        <w:rPr>
          <w:rFonts w:ascii="GHEA Grapalat" w:hAnsi="GHEA Grapalat"/>
          <w:sz w:val="22"/>
          <w:szCs w:val="22"/>
          <w:lang w:val="hy-AM"/>
        </w:rPr>
        <w:t xml:space="preserve"> դրամ՝ </w:t>
      </w:r>
      <w:bookmarkStart w:id="0" w:name="OLE_LINK4"/>
      <w:r w:rsidRPr="009C6730">
        <w:rPr>
          <w:rFonts w:ascii="GHEA Grapalat" w:hAnsi="GHEA Grapalat"/>
          <w:sz w:val="22"/>
          <w:szCs w:val="22"/>
          <w:lang w:val="hy-AM"/>
        </w:rPr>
        <w:t xml:space="preserve">նախորդ տարվա </w:t>
      </w:r>
      <w:bookmarkEnd w:id="0"/>
      <w:r w:rsidRPr="009C6730">
        <w:rPr>
          <w:rFonts w:ascii="GHEA Grapalat" w:hAnsi="GHEA Grapalat"/>
          <w:sz w:val="22"/>
          <w:szCs w:val="22"/>
          <w:lang w:val="hy-AM"/>
        </w:rPr>
        <w:t>նույն ժամանակահատվածի համեմատ աճելով 0.3</w:t>
      </w:r>
      <w:r w:rsidR="0033256F">
        <w:rPr>
          <w:rFonts w:ascii="GHEA Grapalat" w:hAnsi="GHEA Grapalat"/>
          <w:sz w:val="22"/>
          <w:szCs w:val="22"/>
          <w:lang w:val="hy-AM"/>
        </w:rPr>
        <w:t>%-ով</w:t>
      </w:r>
      <w:r w:rsidRPr="009C6730">
        <w:rPr>
          <w:rFonts w:ascii="GHEA Grapalat" w:hAnsi="GHEA Grapalat"/>
          <w:sz w:val="22"/>
          <w:szCs w:val="22"/>
          <w:lang w:val="hy-AM"/>
        </w:rPr>
        <w:t xml:space="preserve">, իսկ հարկային եկամուտները կազմել են 501.5 </w:t>
      </w:r>
      <w:r w:rsidR="009C6730">
        <w:rPr>
          <w:rFonts w:ascii="GHEA Grapalat" w:hAnsi="GHEA Grapalat"/>
          <w:sz w:val="22"/>
          <w:szCs w:val="22"/>
          <w:lang w:val="hy-AM"/>
        </w:rPr>
        <w:t>մլրդ</w:t>
      </w:r>
      <w:r w:rsidRPr="009C6730">
        <w:rPr>
          <w:rFonts w:ascii="GHEA Grapalat" w:hAnsi="GHEA Grapalat"/>
          <w:sz w:val="22"/>
          <w:szCs w:val="22"/>
          <w:lang w:val="hy-AM"/>
        </w:rPr>
        <w:t xml:space="preserve"> դրամ՝ </w:t>
      </w:r>
      <w:r w:rsidR="0071197C" w:rsidRPr="009C6730">
        <w:rPr>
          <w:rFonts w:ascii="GHEA Grapalat" w:hAnsi="GHEA Grapalat"/>
          <w:sz w:val="22"/>
          <w:szCs w:val="22"/>
          <w:lang w:val="hy-AM"/>
        </w:rPr>
        <w:t xml:space="preserve">նախորդ տարվա </w:t>
      </w:r>
      <w:r w:rsidRPr="009C6730">
        <w:rPr>
          <w:rFonts w:ascii="GHEA Grapalat" w:hAnsi="GHEA Grapalat"/>
          <w:sz w:val="22"/>
          <w:szCs w:val="22"/>
          <w:lang w:val="hy-AM"/>
        </w:rPr>
        <w:t>նույն ժամանակահատվածի համեմատ աճելով 0.3</w:t>
      </w:r>
      <w:r w:rsidR="0033256F">
        <w:rPr>
          <w:rFonts w:ascii="GHEA Grapalat" w:hAnsi="GHEA Grapalat"/>
          <w:sz w:val="22"/>
          <w:szCs w:val="22"/>
          <w:lang w:val="hy-AM"/>
        </w:rPr>
        <w:t>%-ով</w:t>
      </w:r>
      <w:r w:rsidRPr="009C6730">
        <w:rPr>
          <w:rFonts w:ascii="GHEA Grapalat" w:hAnsi="GHEA Grapalat"/>
          <w:sz w:val="22"/>
          <w:szCs w:val="22"/>
          <w:lang w:val="hy-AM"/>
        </w:rPr>
        <w:t xml:space="preserve">: </w:t>
      </w:r>
    </w:p>
    <w:p w:rsidR="00A67B4D" w:rsidRPr="009C6730" w:rsidRDefault="00A67B4D" w:rsidP="009C6730">
      <w:pPr>
        <w:spacing w:line="360" w:lineRule="auto"/>
        <w:ind w:firstLine="540"/>
        <w:contextualSpacing/>
        <w:jc w:val="both"/>
        <w:rPr>
          <w:rFonts w:ascii="GHEA Grapalat" w:hAnsi="GHEA Grapalat"/>
          <w:sz w:val="22"/>
          <w:szCs w:val="22"/>
          <w:lang w:val="hy-AM"/>
        </w:rPr>
      </w:pPr>
      <w:r w:rsidRPr="009C6730">
        <w:rPr>
          <w:rFonts w:ascii="GHEA Grapalat" w:hAnsi="GHEA Grapalat"/>
          <w:sz w:val="22"/>
          <w:szCs w:val="22"/>
          <w:lang w:val="hy-AM"/>
        </w:rPr>
        <w:t xml:space="preserve">Պետական բյուջեի ծախսերը 2015 թվականի առաջին կիսամյակի արդյունքներով կազմել են 595.1 </w:t>
      </w:r>
      <w:r w:rsidR="009C6730">
        <w:rPr>
          <w:rFonts w:ascii="GHEA Grapalat" w:hAnsi="GHEA Grapalat"/>
          <w:sz w:val="22"/>
          <w:szCs w:val="22"/>
          <w:lang w:val="hy-AM"/>
        </w:rPr>
        <w:t>մլրդ</w:t>
      </w:r>
      <w:r w:rsidRPr="009C6730">
        <w:rPr>
          <w:rFonts w:ascii="GHEA Grapalat" w:hAnsi="GHEA Grapalat"/>
          <w:sz w:val="22"/>
          <w:szCs w:val="22"/>
          <w:lang w:val="hy-AM"/>
        </w:rPr>
        <w:t xml:space="preserve"> դրամ՝ նախորդ տարվա նկատմամբ աճելով 15.7</w:t>
      </w:r>
      <w:r w:rsidR="0033256F">
        <w:rPr>
          <w:rFonts w:ascii="GHEA Grapalat" w:hAnsi="GHEA Grapalat"/>
          <w:sz w:val="22"/>
          <w:szCs w:val="22"/>
          <w:lang w:val="hy-AM"/>
        </w:rPr>
        <w:t>%-ով</w:t>
      </w:r>
      <w:r w:rsidRPr="009C6730">
        <w:rPr>
          <w:rFonts w:ascii="GHEA Grapalat" w:hAnsi="GHEA Grapalat"/>
          <w:sz w:val="22"/>
          <w:szCs w:val="22"/>
          <w:lang w:val="hy-AM"/>
        </w:rPr>
        <w:t xml:space="preserve">: Ընդ որում, ընթացիկ ծախսերը կազմել են 554.0 </w:t>
      </w:r>
      <w:r w:rsidR="009C6730">
        <w:rPr>
          <w:rFonts w:ascii="GHEA Grapalat" w:hAnsi="GHEA Grapalat"/>
          <w:sz w:val="22"/>
          <w:szCs w:val="22"/>
          <w:lang w:val="hy-AM"/>
        </w:rPr>
        <w:t>մլրդ</w:t>
      </w:r>
      <w:r w:rsidRPr="009C6730">
        <w:rPr>
          <w:rFonts w:ascii="GHEA Grapalat" w:hAnsi="GHEA Grapalat"/>
          <w:sz w:val="22"/>
          <w:szCs w:val="22"/>
          <w:lang w:val="hy-AM"/>
        </w:rPr>
        <w:t xml:space="preserve"> դրամ, նախորդ տարվա նույն ժամանակահատվածի համեմատ աճել են 14.9</w:t>
      </w:r>
      <w:r w:rsidR="0071197C">
        <w:rPr>
          <w:rFonts w:ascii="GHEA Grapalat" w:hAnsi="GHEA Grapalat"/>
          <w:sz w:val="22"/>
          <w:szCs w:val="22"/>
          <w:lang w:val="hy-AM"/>
        </w:rPr>
        <w:t>%</w:t>
      </w:r>
      <w:r w:rsidR="0071197C" w:rsidRPr="00D76CE2">
        <w:rPr>
          <w:rFonts w:ascii="GHEA Grapalat" w:hAnsi="GHEA Grapalat"/>
          <w:sz w:val="22"/>
          <w:szCs w:val="22"/>
          <w:lang w:val="hy-AM"/>
        </w:rPr>
        <w:noBreakHyphen/>
      </w:r>
      <w:r w:rsidR="0033256F">
        <w:rPr>
          <w:rFonts w:ascii="GHEA Grapalat" w:hAnsi="GHEA Grapalat"/>
          <w:sz w:val="22"/>
          <w:szCs w:val="22"/>
          <w:lang w:val="hy-AM"/>
        </w:rPr>
        <w:t>ով</w:t>
      </w:r>
      <w:r w:rsidRPr="009C6730">
        <w:rPr>
          <w:rFonts w:ascii="GHEA Grapalat" w:hAnsi="GHEA Grapalat"/>
          <w:sz w:val="22"/>
          <w:szCs w:val="22"/>
          <w:lang w:val="hy-AM"/>
        </w:rPr>
        <w:t>, իսկ ոչ ֆինանսական ակտիվների գծով ծախսերը կազմել են 42.6</w:t>
      </w:r>
      <w:r w:rsidR="009C6730" w:rsidRPr="00D76CE2">
        <w:rPr>
          <w:rFonts w:ascii="GHEA Grapalat" w:hAnsi="GHEA Grapalat"/>
          <w:sz w:val="22"/>
          <w:szCs w:val="22"/>
          <w:lang w:val="hy-AM"/>
        </w:rPr>
        <w:t xml:space="preserve"> </w:t>
      </w:r>
      <w:r w:rsidR="009C6730">
        <w:rPr>
          <w:rFonts w:ascii="GHEA Grapalat" w:hAnsi="GHEA Grapalat"/>
          <w:sz w:val="22"/>
          <w:szCs w:val="22"/>
          <w:lang w:val="hy-AM"/>
        </w:rPr>
        <w:t>մլրդ</w:t>
      </w:r>
      <w:r w:rsidRPr="009C6730">
        <w:rPr>
          <w:rFonts w:ascii="GHEA Grapalat" w:hAnsi="GHEA Grapalat"/>
          <w:sz w:val="22"/>
          <w:szCs w:val="22"/>
          <w:lang w:val="hy-AM"/>
        </w:rPr>
        <w:t xml:space="preserve"> դրամ՝ նախորդ տարվա նույն ժամանակահատվածի 33</w:t>
      </w:r>
      <w:r w:rsidR="009C6730" w:rsidRPr="00D76CE2">
        <w:rPr>
          <w:rFonts w:ascii="GHEA Grapalat" w:hAnsi="GHEA Grapalat"/>
          <w:sz w:val="22"/>
          <w:szCs w:val="22"/>
          <w:lang w:val="hy-AM"/>
        </w:rPr>
        <w:t>.</w:t>
      </w:r>
      <w:r w:rsidRPr="009C6730">
        <w:rPr>
          <w:rFonts w:ascii="GHEA Grapalat" w:hAnsi="GHEA Grapalat"/>
          <w:sz w:val="22"/>
          <w:szCs w:val="22"/>
          <w:lang w:val="hy-AM"/>
        </w:rPr>
        <w:t xml:space="preserve">9 </w:t>
      </w:r>
      <w:r w:rsidR="009C6730">
        <w:rPr>
          <w:rFonts w:ascii="GHEA Grapalat" w:hAnsi="GHEA Grapalat"/>
          <w:sz w:val="22"/>
          <w:szCs w:val="22"/>
          <w:lang w:val="hy-AM"/>
        </w:rPr>
        <w:t>մլրդ</w:t>
      </w:r>
      <w:r w:rsidRPr="009C6730">
        <w:rPr>
          <w:rFonts w:ascii="GHEA Grapalat" w:hAnsi="GHEA Grapalat"/>
          <w:sz w:val="22"/>
          <w:szCs w:val="22"/>
          <w:lang w:val="hy-AM"/>
        </w:rPr>
        <w:t xml:space="preserve"> դրամի դիմաց:</w:t>
      </w:r>
    </w:p>
    <w:p w:rsidR="00A67B4D" w:rsidRPr="009C6730" w:rsidRDefault="00A67B4D" w:rsidP="009C6730">
      <w:pPr>
        <w:spacing w:line="360" w:lineRule="auto"/>
        <w:ind w:firstLine="540"/>
        <w:contextualSpacing/>
        <w:jc w:val="both"/>
        <w:rPr>
          <w:rFonts w:ascii="GHEA Grapalat" w:hAnsi="GHEA Grapalat"/>
          <w:sz w:val="22"/>
          <w:szCs w:val="22"/>
          <w:lang w:val="hy-AM"/>
        </w:rPr>
      </w:pPr>
      <w:r w:rsidRPr="009C6730">
        <w:rPr>
          <w:rFonts w:ascii="GHEA Grapalat" w:hAnsi="GHEA Grapalat"/>
          <w:sz w:val="22"/>
          <w:szCs w:val="22"/>
          <w:lang w:val="hy-AM"/>
        </w:rPr>
        <w:lastRenderedPageBreak/>
        <w:t xml:space="preserve">2015 թվականի առաջին կիսամյակում հավաքագրված եկամուտների և կատարված ծախսերի արդյունքում պետական բյուջեն կատարվել է 56.6 </w:t>
      </w:r>
      <w:r w:rsidR="009C6730">
        <w:rPr>
          <w:rFonts w:ascii="GHEA Grapalat" w:hAnsi="GHEA Grapalat"/>
          <w:sz w:val="22"/>
          <w:szCs w:val="22"/>
          <w:lang w:val="hy-AM"/>
        </w:rPr>
        <w:t>մլրդ</w:t>
      </w:r>
      <w:r w:rsidR="0071197C">
        <w:rPr>
          <w:rFonts w:ascii="GHEA Grapalat" w:hAnsi="GHEA Grapalat"/>
          <w:sz w:val="22"/>
          <w:szCs w:val="22"/>
          <w:lang w:val="hy-AM"/>
        </w:rPr>
        <w:t xml:space="preserve"> դրամ պակասուրդով</w:t>
      </w:r>
      <w:r w:rsidR="0071197C" w:rsidRPr="00D76CE2">
        <w:rPr>
          <w:rFonts w:ascii="GHEA Grapalat" w:hAnsi="GHEA Grapalat"/>
          <w:sz w:val="22"/>
          <w:szCs w:val="22"/>
          <w:lang w:val="hy-AM"/>
        </w:rPr>
        <w:t>՝</w:t>
      </w:r>
      <w:r w:rsidR="0071197C">
        <w:rPr>
          <w:rFonts w:ascii="GHEA Grapalat" w:hAnsi="GHEA Grapalat"/>
          <w:sz w:val="22"/>
          <w:szCs w:val="22"/>
          <w:lang w:val="hy-AM"/>
        </w:rPr>
        <w:t xml:space="preserve"> նախորդ տար</w:t>
      </w:r>
      <w:r w:rsidR="0071197C" w:rsidRPr="00D76CE2">
        <w:rPr>
          <w:rFonts w:ascii="GHEA Grapalat" w:hAnsi="GHEA Grapalat"/>
          <w:sz w:val="22"/>
          <w:szCs w:val="22"/>
          <w:lang w:val="hy-AM"/>
        </w:rPr>
        <w:t>վա</w:t>
      </w:r>
      <w:r w:rsidRPr="009C6730">
        <w:rPr>
          <w:rFonts w:ascii="GHEA Grapalat" w:hAnsi="GHEA Grapalat"/>
          <w:sz w:val="22"/>
          <w:szCs w:val="22"/>
          <w:lang w:val="hy-AM"/>
        </w:rPr>
        <w:t xml:space="preserve"> նո</w:t>
      </w:r>
      <w:r w:rsidR="0071197C">
        <w:rPr>
          <w:rFonts w:ascii="GHEA Grapalat" w:hAnsi="GHEA Grapalat"/>
          <w:sz w:val="22"/>
          <w:szCs w:val="22"/>
          <w:lang w:val="hy-AM"/>
        </w:rPr>
        <w:t>ւյն ժամանակահատվածում ձևավորված</w:t>
      </w:r>
      <w:r w:rsidRPr="009C6730">
        <w:rPr>
          <w:rFonts w:ascii="GHEA Grapalat" w:hAnsi="GHEA Grapalat"/>
          <w:sz w:val="22"/>
          <w:szCs w:val="22"/>
          <w:lang w:val="hy-AM"/>
        </w:rPr>
        <w:t xml:space="preserve"> 22.1 </w:t>
      </w:r>
      <w:r w:rsidR="009C6730">
        <w:rPr>
          <w:rFonts w:ascii="GHEA Grapalat" w:hAnsi="GHEA Grapalat"/>
          <w:sz w:val="22"/>
          <w:szCs w:val="22"/>
          <w:lang w:val="hy-AM"/>
        </w:rPr>
        <w:t>մլրդ</w:t>
      </w:r>
      <w:r w:rsidRPr="009C6730">
        <w:rPr>
          <w:rFonts w:ascii="GHEA Grapalat" w:hAnsi="GHEA Grapalat"/>
          <w:sz w:val="22"/>
          <w:szCs w:val="22"/>
          <w:lang w:val="hy-AM"/>
        </w:rPr>
        <w:t xml:space="preserve"> դրամ հավելուրդի համեմատ: </w:t>
      </w:r>
    </w:p>
    <w:p w:rsidR="00A67B4D" w:rsidRPr="009C6730" w:rsidRDefault="00A67B4D" w:rsidP="00A67B4D">
      <w:pPr>
        <w:spacing w:line="360" w:lineRule="auto"/>
        <w:ind w:firstLine="540"/>
        <w:contextualSpacing/>
        <w:jc w:val="both"/>
        <w:rPr>
          <w:rFonts w:ascii="GHEA Grapalat" w:hAnsi="GHEA Grapalat"/>
          <w:sz w:val="22"/>
          <w:szCs w:val="22"/>
          <w:lang w:val="hy-AM"/>
        </w:rPr>
      </w:pPr>
      <w:r w:rsidRPr="009C6730">
        <w:rPr>
          <w:rFonts w:ascii="GHEA Grapalat" w:hAnsi="GHEA Grapalat"/>
          <w:i/>
          <w:sz w:val="22"/>
          <w:szCs w:val="22"/>
          <w:lang w:val="hy-AM"/>
        </w:rPr>
        <w:t>Հարկաբյուջետային ազդակը:</w:t>
      </w:r>
      <w:r w:rsidRPr="009C6730">
        <w:rPr>
          <w:rFonts w:ascii="GHEA Grapalat" w:hAnsi="GHEA Grapalat"/>
          <w:sz w:val="22"/>
          <w:szCs w:val="22"/>
          <w:lang w:val="hy-AM"/>
        </w:rPr>
        <w:t xml:space="preserve"> 2015 թվականի առաջին կիսամյակի արդյունքներով նախորդ տարվա նույն ժամանակահատվածի նկատմամբ գրանցվել է ընդլայնող հարկաբյուջետային ազդակ:</w:t>
      </w:r>
    </w:p>
    <w:p w:rsidR="009C6730" w:rsidRPr="00D76CE2" w:rsidRDefault="009C6730" w:rsidP="00A67B4D">
      <w:pPr>
        <w:spacing w:line="360" w:lineRule="auto"/>
        <w:ind w:firstLine="540"/>
        <w:jc w:val="both"/>
        <w:rPr>
          <w:rFonts w:ascii="GHEA Grapalat" w:hAnsi="GHEA Grapalat" w:cs="Sylfaen"/>
          <w:b/>
          <w:i/>
          <w:szCs w:val="22"/>
          <w:lang w:val="hy-AM"/>
        </w:rPr>
      </w:pPr>
    </w:p>
    <w:p w:rsidR="00A67B4D" w:rsidRPr="009C6730" w:rsidRDefault="00A67B4D" w:rsidP="00A67B4D">
      <w:pPr>
        <w:spacing w:line="360" w:lineRule="auto"/>
        <w:ind w:firstLine="540"/>
        <w:contextualSpacing/>
        <w:jc w:val="both"/>
        <w:rPr>
          <w:rFonts w:ascii="GHEA Grapalat" w:hAnsi="GHEA Grapalat"/>
          <w:sz w:val="22"/>
          <w:szCs w:val="22"/>
        </w:rPr>
      </w:pPr>
      <w:r w:rsidRPr="0071197C">
        <w:rPr>
          <w:rFonts w:ascii="GHEA Grapalat" w:hAnsi="GHEA Grapalat"/>
          <w:b/>
          <w:sz w:val="22"/>
          <w:szCs w:val="22"/>
          <w:lang w:val="hy-AM"/>
        </w:rPr>
        <w:t>Գծապատկեր 10.</w:t>
      </w:r>
      <w:r w:rsidRPr="009C6730">
        <w:rPr>
          <w:rFonts w:ascii="GHEA Grapalat" w:hAnsi="GHEA Grapalat"/>
          <w:sz w:val="22"/>
          <w:szCs w:val="22"/>
          <w:lang w:val="hy-AM"/>
        </w:rPr>
        <w:t xml:space="preserve"> Հարկաբյուջետային ազդակը 2012 թվականից</w:t>
      </w:r>
      <w:r w:rsidR="009C6730">
        <w:rPr>
          <w:rFonts w:ascii="GHEA Grapalat" w:hAnsi="GHEA Grapalat"/>
          <w:sz w:val="22"/>
          <w:szCs w:val="22"/>
        </w:rPr>
        <w:t>՝</w:t>
      </w:r>
      <w:r w:rsidR="009C6730">
        <w:rPr>
          <w:rFonts w:ascii="GHEA Grapalat" w:hAnsi="GHEA Grapalat"/>
          <w:sz w:val="22"/>
          <w:szCs w:val="22"/>
          <w:lang w:val="hy-AM"/>
        </w:rPr>
        <w:t xml:space="preserve"> եռամսյակներով</w:t>
      </w:r>
    </w:p>
    <w:p w:rsidR="00A67B4D" w:rsidRPr="00687EF3" w:rsidRDefault="00A67B4D" w:rsidP="00A67B4D">
      <w:pPr>
        <w:jc w:val="center"/>
        <w:rPr>
          <w:rFonts w:ascii="GHEA Grapalat" w:hAnsi="GHEA Grapalat"/>
        </w:rPr>
      </w:pPr>
      <w:r>
        <w:rPr>
          <w:noProof/>
          <w:lang w:val="ru-RU" w:eastAsia="ru-RU"/>
        </w:rPr>
        <w:drawing>
          <wp:inline distT="0" distB="0" distL="0" distR="0" wp14:anchorId="305FE661" wp14:editId="6A15EB3B">
            <wp:extent cx="6152515" cy="3698875"/>
            <wp:effectExtent l="0" t="0" r="19685" b="1587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B27A3" w:rsidRDefault="00AB27A3" w:rsidP="00EE3648">
      <w:pPr>
        <w:spacing w:line="480" w:lineRule="auto"/>
        <w:ind w:right="-187" w:firstLine="561"/>
        <w:rPr>
          <w:rFonts w:ascii="GHEA Grapalat" w:hAnsi="GHEA Grapalat" w:cs="Sylfaen"/>
          <w:b/>
          <w:i/>
          <w:sz w:val="22"/>
          <w:szCs w:val="22"/>
        </w:rPr>
      </w:pPr>
    </w:p>
    <w:p w:rsidR="008B21DF" w:rsidRPr="00D76CE2" w:rsidRDefault="008B21DF" w:rsidP="00D76CE2">
      <w:pPr>
        <w:rPr>
          <w:rFonts w:ascii="GHEA Grapalat" w:hAnsi="GHEA Grapalat" w:cs="Sylfaen"/>
          <w:b/>
          <w:i/>
          <w:sz w:val="22"/>
          <w:szCs w:val="22"/>
          <w:lang w:val="hy-AM"/>
        </w:rPr>
      </w:pPr>
      <w:bookmarkStart w:id="1" w:name="_GoBack"/>
      <w:bookmarkEnd w:id="1"/>
    </w:p>
    <w:sectPr w:rsidR="008B21DF" w:rsidRPr="00D76CE2" w:rsidSect="009C41C6">
      <w:footerReference w:type="even" r:id="rId19"/>
      <w:footerReference w:type="default" r:id="rId20"/>
      <w:pgSz w:w="11907" w:h="16840" w:code="9"/>
      <w:pgMar w:top="1134" w:right="567" w:bottom="567" w:left="1134"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606" w:rsidRDefault="00A05606">
      <w:r>
        <w:separator/>
      </w:r>
    </w:p>
  </w:endnote>
  <w:endnote w:type="continuationSeparator" w:id="0">
    <w:p w:rsidR="00A05606" w:rsidRDefault="00A0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EB5" w:rsidRDefault="00405EB5" w:rsidP="003819D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05EB5" w:rsidRDefault="00405EB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EB5" w:rsidRPr="00544C1A" w:rsidRDefault="00405EB5" w:rsidP="003819D4">
    <w:pPr>
      <w:pStyle w:val="a4"/>
      <w:framePr w:wrap="around" w:vAnchor="text" w:hAnchor="margin" w:xAlign="center" w:y="1"/>
      <w:rPr>
        <w:rStyle w:val="a5"/>
        <w:sz w:val="22"/>
        <w:szCs w:val="22"/>
      </w:rPr>
    </w:pPr>
    <w:r w:rsidRPr="00544C1A">
      <w:rPr>
        <w:rStyle w:val="a5"/>
        <w:sz w:val="22"/>
        <w:szCs w:val="22"/>
      </w:rPr>
      <w:fldChar w:fldCharType="begin"/>
    </w:r>
    <w:r w:rsidRPr="00544C1A">
      <w:rPr>
        <w:rStyle w:val="a5"/>
        <w:sz w:val="22"/>
        <w:szCs w:val="22"/>
      </w:rPr>
      <w:instrText xml:space="preserve">PAGE  </w:instrText>
    </w:r>
    <w:r w:rsidRPr="00544C1A">
      <w:rPr>
        <w:rStyle w:val="a5"/>
        <w:sz w:val="22"/>
        <w:szCs w:val="22"/>
      </w:rPr>
      <w:fldChar w:fldCharType="separate"/>
    </w:r>
    <w:r w:rsidR="00D76CE2">
      <w:rPr>
        <w:rStyle w:val="a5"/>
        <w:noProof/>
        <w:sz w:val="22"/>
        <w:szCs w:val="22"/>
      </w:rPr>
      <w:t>1</w:t>
    </w:r>
    <w:r w:rsidRPr="00544C1A">
      <w:rPr>
        <w:rStyle w:val="a5"/>
        <w:sz w:val="22"/>
        <w:szCs w:val="22"/>
      </w:rPr>
      <w:fldChar w:fldCharType="end"/>
    </w:r>
  </w:p>
  <w:p w:rsidR="00405EB5" w:rsidRDefault="00405E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606" w:rsidRDefault="00A05606">
      <w:r>
        <w:separator/>
      </w:r>
    </w:p>
  </w:footnote>
  <w:footnote w:type="continuationSeparator" w:id="0">
    <w:p w:rsidR="00A05606" w:rsidRDefault="00A05606">
      <w:r>
        <w:continuationSeparator/>
      </w:r>
    </w:p>
  </w:footnote>
  <w:footnote w:id="1">
    <w:p w:rsidR="00405EB5" w:rsidRPr="00EC36C8" w:rsidRDefault="00405EB5" w:rsidP="00A67B4D">
      <w:pPr>
        <w:pStyle w:val="a8"/>
        <w:rPr>
          <w:sz w:val="16"/>
          <w:szCs w:val="16"/>
        </w:rPr>
      </w:pPr>
      <w:r w:rsidRPr="00EC36C8">
        <w:rPr>
          <w:rStyle w:val="aa"/>
          <w:sz w:val="16"/>
          <w:szCs w:val="16"/>
        </w:rPr>
        <w:footnoteRef/>
      </w:r>
      <w:r w:rsidRPr="00EC36C8">
        <w:rPr>
          <w:sz w:val="16"/>
          <w:szCs w:val="16"/>
        </w:rPr>
        <w:t xml:space="preserve"> </w:t>
      </w:r>
      <w:r w:rsidRPr="00EC36C8">
        <w:rPr>
          <w:rFonts w:ascii="GHEA Grapalat" w:hAnsi="GHEA Grapalat" w:cs="Sylfaen"/>
          <w:sz w:val="16"/>
          <w:szCs w:val="16"/>
        </w:rPr>
        <w:t>Այսուհետ ներկայացված են ճյուղերի համախառն թողարկումների ցուցանիշները:</w:t>
      </w:r>
    </w:p>
  </w:footnote>
  <w:footnote w:id="2">
    <w:p w:rsidR="00405EB5" w:rsidRPr="00EC36C8" w:rsidRDefault="00405EB5" w:rsidP="00A67B4D">
      <w:pPr>
        <w:pStyle w:val="a8"/>
        <w:jc w:val="both"/>
        <w:rPr>
          <w:sz w:val="16"/>
          <w:szCs w:val="16"/>
        </w:rPr>
      </w:pPr>
      <w:r w:rsidRPr="00EC36C8">
        <w:rPr>
          <w:rStyle w:val="aa"/>
          <w:rFonts w:ascii="GHEA Grapalat" w:hAnsi="GHEA Grapalat"/>
          <w:sz w:val="16"/>
          <w:szCs w:val="16"/>
        </w:rPr>
        <w:footnoteRef/>
      </w:r>
      <w:r w:rsidRPr="00EC36C8">
        <w:rPr>
          <w:rFonts w:ascii="GHEA Grapalat" w:hAnsi="GHEA Grapalat"/>
          <w:sz w:val="16"/>
          <w:szCs w:val="16"/>
        </w:rPr>
        <w:t xml:space="preserve"> այն իր մեջ ներառում է նաև այլ երկրների ավիաընկերությունների ինքնաթիռներով իրականացված բեռնա</w:t>
      </w:r>
      <w:r w:rsidRPr="00EC36C8">
        <w:rPr>
          <w:rFonts w:ascii="GHEA Grapalat" w:hAnsi="GHEA Grapalat"/>
          <w:sz w:val="16"/>
          <w:szCs w:val="16"/>
        </w:rPr>
        <w:softHyphen/>
        <w:t>փո</w:t>
      </w:r>
      <w:r w:rsidRPr="00EC36C8">
        <w:rPr>
          <w:rFonts w:ascii="GHEA Grapalat" w:hAnsi="GHEA Grapalat"/>
          <w:sz w:val="16"/>
          <w:szCs w:val="16"/>
        </w:rPr>
        <w:softHyphen/>
        <w:t>խա</w:t>
      </w:r>
      <w:r w:rsidRPr="00EC36C8">
        <w:rPr>
          <w:rFonts w:ascii="GHEA Grapalat" w:hAnsi="GHEA Grapalat"/>
          <w:sz w:val="16"/>
          <w:szCs w:val="16"/>
        </w:rPr>
        <w:softHyphen/>
        <w:t>դրումները</w:t>
      </w:r>
    </w:p>
  </w:footnote>
  <w:footnote w:id="3">
    <w:p w:rsidR="00405EB5" w:rsidRPr="00EC36C8" w:rsidRDefault="00405EB5" w:rsidP="00A67B4D">
      <w:pPr>
        <w:pStyle w:val="a8"/>
        <w:rPr>
          <w:rFonts w:ascii="GHEA Grapalat" w:hAnsi="GHEA Grapalat"/>
          <w:sz w:val="16"/>
          <w:szCs w:val="16"/>
        </w:rPr>
      </w:pPr>
      <w:r w:rsidRPr="00EC36C8">
        <w:rPr>
          <w:rStyle w:val="aa"/>
          <w:rFonts w:ascii="GHEA Grapalat" w:hAnsi="GHEA Grapalat"/>
          <w:sz w:val="16"/>
          <w:szCs w:val="16"/>
        </w:rPr>
        <w:footnoteRef/>
      </w:r>
      <w:r w:rsidRPr="00EC36C8">
        <w:rPr>
          <w:rFonts w:ascii="GHEA Grapalat" w:hAnsi="GHEA Grapalat"/>
          <w:sz w:val="16"/>
          <w:szCs w:val="16"/>
        </w:rPr>
        <w:t xml:space="preserve"> Ըստ Աշխատուժի հետազոտության տվյալների:</w:t>
      </w:r>
    </w:p>
  </w:footnote>
  <w:footnote w:id="4">
    <w:p w:rsidR="00405EB5" w:rsidRPr="00EC36C8" w:rsidRDefault="00405EB5" w:rsidP="00A67B4D">
      <w:pPr>
        <w:pStyle w:val="a8"/>
        <w:rPr>
          <w:rFonts w:ascii="GHEA Grapalat" w:hAnsi="GHEA Grapalat" w:cs="Sylfaen"/>
          <w:sz w:val="16"/>
          <w:szCs w:val="16"/>
        </w:rPr>
      </w:pPr>
      <w:r w:rsidRPr="00EC36C8">
        <w:rPr>
          <w:rStyle w:val="aa"/>
          <w:rFonts w:ascii="GHEA Grapalat" w:hAnsi="GHEA Grapalat"/>
          <w:sz w:val="16"/>
          <w:szCs w:val="16"/>
        </w:rPr>
        <w:footnoteRef/>
      </w:r>
      <w:r w:rsidRPr="00EC36C8">
        <w:rPr>
          <w:rFonts w:ascii="GHEA Grapalat" w:hAnsi="GHEA Grapalat"/>
          <w:sz w:val="16"/>
          <w:szCs w:val="16"/>
        </w:rPr>
        <w:t xml:space="preserve"> </w:t>
      </w:r>
      <w:r w:rsidRPr="00EC36C8">
        <w:rPr>
          <w:rFonts w:ascii="GHEA Grapalat" w:hAnsi="GHEA Grapalat" w:cs="Sylfaen"/>
          <w:sz w:val="16"/>
          <w:szCs w:val="16"/>
        </w:rPr>
        <w:t>Համախառն պահանջարկի ցուցանիշները ՀՀ Ֆինանսների նախարարության գնահատականներն են:</w:t>
      </w:r>
    </w:p>
  </w:footnote>
  <w:footnote w:id="5">
    <w:p w:rsidR="00405EB5" w:rsidRPr="00EC36C8" w:rsidRDefault="00405EB5" w:rsidP="00A67B4D">
      <w:pPr>
        <w:pStyle w:val="a8"/>
        <w:rPr>
          <w:rFonts w:ascii="GHEA Grapalat" w:hAnsi="GHEA Grapalat" w:cs="Sylfaen"/>
          <w:sz w:val="16"/>
          <w:szCs w:val="16"/>
        </w:rPr>
      </w:pPr>
      <w:r w:rsidRPr="00EC36C8">
        <w:rPr>
          <w:rStyle w:val="aa"/>
          <w:sz w:val="16"/>
          <w:szCs w:val="16"/>
        </w:rPr>
        <w:footnoteRef/>
      </w:r>
      <w:r w:rsidRPr="00EC36C8">
        <w:rPr>
          <w:sz w:val="16"/>
          <w:szCs w:val="16"/>
        </w:rPr>
        <w:t xml:space="preserve"> </w:t>
      </w:r>
      <w:r w:rsidRPr="00EC36C8">
        <w:rPr>
          <w:rFonts w:ascii="GHEA Grapalat" w:hAnsi="GHEA Grapalat" w:cs="Sylfaen"/>
          <w:sz w:val="16"/>
          <w:szCs w:val="16"/>
        </w:rPr>
        <w:t>Ներդրումների ճյուղային կառուցվածքի ցուցանիշները վերաբերում են ներդրումների կապիտալ շինարարությանն ուղղվող մասին: Ավելի մանրամասն տե</w:t>
      </w:r>
      <w:r w:rsidRPr="00EC36C8">
        <w:rPr>
          <w:rFonts w:ascii="GHEA Grapalat" w:hAnsi="GHEA Grapalat"/>
          <w:sz w:val="16"/>
          <w:szCs w:val="16"/>
          <w:lang w:val="hy-AM"/>
        </w:rPr>
        <w:t>՛</w:t>
      </w:r>
      <w:r w:rsidRPr="00EC36C8">
        <w:rPr>
          <w:rFonts w:ascii="GHEA Grapalat" w:hAnsi="GHEA Grapalat" w:cs="Sylfaen"/>
          <w:sz w:val="16"/>
          <w:szCs w:val="16"/>
        </w:rPr>
        <w:t>ս Շինարարություն հատվածում:</w:t>
      </w:r>
    </w:p>
  </w:footnote>
  <w:footnote w:id="6">
    <w:p w:rsidR="00405EB5" w:rsidRPr="00EC36C8" w:rsidRDefault="00405EB5" w:rsidP="00A67B4D">
      <w:pPr>
        <w:pStyle w:val="a8"/>
        <w:rPr>
          <w:rFonts w:ascii="GHEA Grapalat" w:hAnsi="GHEA Grapalat"/>
          <w:sz w:val="16"/>
          <w:szCs w:val="16"/>
        </w:rPr>
      </w:pPr>
      <w:r w:rsidRPr="00EC36C8">
        <w:rPr>
          <w:rStyle w:val="aa"/>
          <w:rFonts w:ascii="GHEA Grapalat" w:hAnsi="GHEA Grapalat"/>
          <w:sz w:val="16"/>
          <w:szCs w:val="16"/>
        </w:rPr>
        <w:footnoteRef/>
      </w:r>
      <w:r w:rsidRPr="00EC36C8">
        <w:rPr>
          <w:rFonts w:ascii="GHEA Grapalat" w:hAnsi="GHEA Grapalat" w:cs="Sylfaen"/>
          <w:sz w:val="16"/>
          <w:szCs w:val="16"/>
        </w:rPr>
        <w:t xml:space="preserve"> Արտանահումը ՖՕԲ, ներմուծումը` ՍԻՖ գներով: </w:t>
      </w:r>
    </w:p>
  </w:footnote>
  <w:footnote w:id="7">
    <w:p w:rsidR="00405EB5" w:rsidRPr="00EC36C8" w:rsidRDefault="00405EB5" w:rsidP="00A67B4D">
      <w:pPr>
        <w:pStyle w:val="a8"/>
        <w:jc w:val="both"/>
        <w:rPr>
          <w:rFonts w:ascii="GHEA Grapalat" w:hAnsi="GHEA Grapalat" w:cs="Sylfaen"/>
          <w:sz w:val="16"/>
          <w:szCs w:val="16"/>
        </w:rPr>
      </w:pPr>
      <w:r w:rsidRPr="00EC36C8">
        <w:rPr>
          <w:rStyle w:val="aa"/>
          <w:rFonts w:ascii="GHEA Grapalat" w:hAnsi="GHEA Grapalat"/>
          <w:sz w:val="16"/>
          <w:szCs w:val="16"/>
        </w:rPr>
        <w:footnoteRef/>
      </w:r>
      <w:r w:rsidRPr="00EC36C8">
        <w:rPr>
          <w:rFonts w:ascii="GHEA Grapalat" w:hAnsi="GHEA Grapalat"/>
          <w:sz w:val="16"/>
          <w:szCs w:val="16"/>
        </w:rPr>
        <w:t xml:space="preserve"> </w:t>
      </w:r>
      <w:r w:rsidRPr="00EC36C8">
        <w:rPr>
          <w:rFonts w:ascii="GHEA Grapalat" w:hAnsi="GHEA Grapalat" w:cs="Sylfaen"/>
          <w:sz w:val="16"/>
          <w:szCs w:val="16"/>
        </w:rPr>
        <w:t>Արտաքին առևտրի հաշվեկշիռը` արտահանումը և ներմուծումը հաշվարկած ՖՕԲ գներով, 2015 թվականի առաջին կիսամյակում կազմել է 567.6 մլն ԱՄՆ դոլար:</w:t>
      </w:r>
    </w:p>
  </w:footnote>
  <w:footnote w:id="8">
    <w:p w:rsidR="00405EB5" w:rsidRPr="00EC36C8" w:rsidRDefault="00405EB5" w:rsidP="00A67B4D">
      <w:pPr>
        <w:pStyle w:val="a8"/>
        <w:jc w:val="both"/>
        <w:rPr>
          <w:rFonts w:ascii="GHEA Grapalat" w:hAnsi="GHEA Grapalat" w:cs="Sylfaen"/>
          <w:sz w:val="16"/>
          <w:szCs w:val="16"/>
        </w:rPr>
      </w:pPr>
      <w:r w:rsidRPr="00EC36C8">
        <w:rPr>
          <w:rStyle w:val="aa"/>
          <w:sz w:val="16"/>
          <w:szCs w:val="16"/>
        </w:rPr>
        <w:footnoteRef/>
      </w:r>
      <w:r w:rsidRPr="00EC36C8">
        <w:rPr>
          <w:rFonts w:cs="Times Armenian"/>
          <w:sz w:val="16"/>
          <w:szCs w:val="16"/>
          <w:lang w:val="sk-SK"/>
        </w:rPr>
        <w:t xml:space="preserve"> </w:t>
      </w:r>
      <w:r w:rsidRPr="00EC36C8">
        <w:rPr>
          <w:rFonts w:ascii="GHEA Grapalat" w:hAnsi="GHEA Grapalat" w:cs="Sylfaen"/>
          <w:sz w:val="16"/>
          <w:szCs w:val="16"/>
        </w:rPr>
        <w:t>Որպես ներդրումային բնույթի դիտարկվել են «Մեքենաներ, սարքավորումներ, մեխանիզմներ», «Սարքեր և ապարատներ» և «Տարբեր արդյունաբերական ապրանքներ» ապրանքային խմբերը:</w:t>
      </w:r>
    </w:p>
  </w:footnote>
  <w:footnote w:id="9">
    <w:p w:rsidR="00405EB5" w:rsidRPr="00EC36C8" w:rsidRDefault="00405EB5" w:rsidP="00A67B4D">
      <w:pPr>
        <w:pStyle w:val="a8"/>
        <w:jc w:val="both"/>
        <w:rPr>
          <w:rFonts w:ascii="GHEA Grapalat" w:hAnsi="GHEA Grapalat" w:cs="Sylfaen"/>
          <w:sz w:val="16"/>
          <w:szCs w:val="16"/>
        </w:rPr>
      </w:pPr>
      <w:r w:rsidRPr="00EC36C8">
        <w:rPr>
          <w:rStyle w:val="aa"/>
          <w:rFonts w:ascii="GHEA Grapalat" w:hAnsi="GHEA Grapalat"/>
          <w:sz w:val="16"/>
          <w:szCs w:val="16"/>
        </w:rPr>
        <w:footnoteRef/>
      </w:r>
      <w:r w:rsidRPr="00EC36C8">
        <w:rPr>
          <w:rFonts w:ascii="GHEA Grapalat" w:hAnsi="GHEA Grapalat"/>
          <w:sz w:val="16"/>
          <w:szCs w:val="16"/>
        </w:rPr>
        <w:t xml:space="preserve"> </w:t>
      </w:r>
      <w:r w:rsidRPr="00EC36C8">
        <w:rPr>
          <w:rFonts w:ascii="GHEA Grapalat" w:hAnsi="GHEA Grapalat" w:cs="Sylfaen"/>
          <w:sz w:val="16"/>
          <w:szCs w:val="16"/>
        </w:rPr>
        <w:t>Նշված ցուցանիշը հաշվարկվում է որպես առևտրային հաշվեկշռի և ապրանքաշրջանառության հարաբերակցություն և ցույց է տալիս, թե միավոր արտաքին ապրանքաշրջանառության մեջ որքան զուտ արտահանված ապրանք կա:</w:t>
      </w:r>
    </w:p>
  </w:footnote>
  <w:footnote w:id="10">
    <w:p w:rsidR="00405EB5" w:rsidRPr="00EC36C8" w:rsidRDefault="00405EB5" w:rsidP="00A67B4D">
      <w:pPr>
        <w:pStyle w:val="a8"/>
        <w:rPr>
          <w:sz w:val="16"/>
          <w:szCs w:val="16"/>
        </w:rPr>
      </w:pPr>
      <w:r w:rsidRPr="00EC36C8">
        <w:rPr>
          <w:rStyle w:val="aa"/>
          <w:sz w:val="16"/>
          <w:szCs w:val="16"/>
        </w:rPr>
        <w:footnoteRef/>
      </w:r>
      <w:r w:rsidRPr="00EC36C8">
        <w:rPr>
          <w:sz w:val="16"/>
          <w:szCs w:val="16"/>
        </w:rPr>
        <w:t xml:space="preserve"> </w:t>
      </w:r>
      <w:r w:rsidRPr="00EC36C8">
        <w:rPr>
          <w:rFonts w:ascii="GHEA Grapalat" w:hAnsi="GHEA Grapalat" w:cs="Sylfaen"/>
          <w:sz w:val="16"/>
          <w:szCs w:val="16"/>
        </w:rPr>
        <w:t>Հետճգնաժամային` 2010-2015 թվականների առաջին կիսամյակների արտահանման միջին աճը կազմել է 18% ներմուծման 2.5% աճի պայմաններում:</w:t>
      </w:r>
    </w:p>
  </w:footnote>
  <w:footnote w:id="11">
    <w:p w:rsidR="00405EB5" w:rsidRPr="00B005C2" w:rsidRDefault="00405EB5" w:rsidP="00A67B4D">
      <w:pPr>
        <w:pStyle w:val="a8"/>
        <w:jc w:val="both"/>
        <w:rPr>
          <w:rFonts w:ascii="GHEA Grapalat" w:hAnsi="GHEA Grapalat" w:cs="Sylfaen"/>
          <w:sz w:val="16"/>
          <w:szCs w:val="16"/>
        </w:rPr>
      </w:pPr>
      <w:r w:rsidRPr="00B005C2">
        <w:rPr>
          <w:rStyle w:val="aa"/>
          <w:rFonts w:ascii="GHEA Grapalat" w:hAnsi="GHEA Grapalat"/>
          <w:sz w:val="16"/>
          <w:szCs w:val="16"/>
        </w:rPr>
        <w:footnoteRef/>
      </w:r>
      <w:r w:rsidRPr="00B005C2">
        <w:rPr>
          <w:rFonts w:ascii="GHEA Grapalat" w:hAnsi="GHEA Grapalat"/>
          <w:sz w:val="16"/>
          <w:szCs w:val="16"/>
        </w:rPr>
        <w:t xml:space="preserve"> Ը</w:t>
      </w:r>
      <w:r w:rsidRPr="00B005C2">
        <w:rPr>
          <w:rFonts w:ascii="GHEA Grapalat" w:hAnsi="GHEA Grapalat" w:cs="Sylfaen"/>
          <w:sz w:val="16"/>
          <w:szCs w:val="16"/>
        </w:rPr>
        <w:t>նթացիկ</w:t>
      </w:r>
      <w:r w:rsidRPr="00B005C2">
        <w:rPr>
          <w:rFonts w:ascii="GHEA Grapalat" w:hAnsi="GHEA Grapalat"/>
          <w:sz w:val="16"/>
          <w:szCs w:val="16"/>
        </w:rPr>
        <w:t xml:space="preserve"> </w:t>
      </w:r>
      <w:r w:rsidRPr="00B005C2">
        <w:rPr>
          <w:rFonts w:ascii="GHEA Grapalat" w:hAnsi="GHEA Grapalat" w:cs="Sylfaen"/>
          <w:sz w:val="16"/>
          <w:szCs w:val="16"/>
        </w:rPr>
        <w:t>տարվա</w:t>
      </w:r>
      <w:r w:rsidRPr="00B005C2">
        <w:rPr>
          <w:rFonts w:ascii="GHEA Grapalat" w:hAnsi="GHEA Grapalat"/>
          <w:sz w:val="16"/>
          <w:szCs w:val="16"/>
        </w:rPr>
        <w:t xml:space="preserve"> </w:t>
      </w:r>
      <w:r w:rsidRPr="00B005C2">
        <w:rPr>
          <w:rFonts w:ascii="GHEA Grapalat" w:hAnsi="GHEA Grapalat" w:cs="Sylfaen"/>
          <w:sz w:val="16"/>
          <w:szCs w:val="16"/>
        </w:rPr>
        <w:t>առաջին</w:t>
      </w:r>
      <w:r w:rsidRPr="00B005C2">
        <w:rPr>
          <w:rFonts w:ascii="GHEA Grapalat" w:hAnsi="GHEA Grapalat"/>
          <w:sz w:val="16"/>
          <w:szCs w:val="16"/>
        </w:rPr>
        <w:t xml:space="preserve"> </w:t>
      </w:r>
      <w:r w:rsidRPr="00B005C2">
        <w:rPr>
          <w:rFonts w:ascii="GHEA Grapalat" w:hAnsi="GHEA Grapalat" w:cs="Sylfaen"/>
          <w:sz w:val="16"/>
          <w:szCs w:val="16"/>
        </w:rPr>
        <w:t>կիսամյակի</w:t>
      </w:r>
      <w:r w:rsidRPr="00B005C2">
        <w:rPr>
          <w:rFonts w:ascii="GHEA Grapalat" w:hAnsi="GHEA Grapalat"/>
          <w:sz w:val="16"/>
          <w:szCs w:val="16"/>
        </w:rPr>
        <w:t xml:space="preserve"> </w:t>
      </w:r>
      <w:r w:rsidRPr="00B005C2">
        <w:rPr>
          <w:rFonts w:ascii="GHEA Grapalat" w:hAnsi="GHEA Grapalat" w:cs="Sylfaen"/>
          <w:sz w:val="16"/>
          <w:szCs w:val="16"/>
        </w:rPr>
        <w:t>ծառայությունների</w:t>
      </w:r>
      <w:r w:rsidRPr="00B005C2">
        <w:rPr>
          <w:rFonts w:ascii="GHEA Grapalat" w:hAnsi="GHEA Grapalat"/>
          <w:sz w:val="16"/>
          <w:szCs w:val="16"/>
        </w:rPr>
        <w:t xml:space="preserve"> </w:t>
      </w:r>
      <w:r w:rsidRPr="00B005C2">
        <w:rPr>
          <w:rFonts w:ascii="GHEA Grapalat" w:hAnsi="GHEA Grapalat" w:cs="Sylfaen"/>
          <w:sz w:val="16"/>
          <w:szCs w:val="16"/>
        </w:rPr>
        <w:t>մասին</w:t>
      </w:r>
      <w:r w:rsidRPr="00B005C2">
        <w:rPr>
          <w:rFonts w:ascii="GHEA Grapalat" w:hAnsi="GHEA Grapalat"/>
          <w:sz w:val="16"/>
          <w:szCs w:val="16"/>
        </w:rPr>
        <w:t xml:space="preserve"> </w:t>
      </w:r>
      <w:r w:rsidRPr="00B005C2">
        <w:rPr>
          <w:rFonts w:ascii="GHEA Grapalat" w:hAnsi="GHEA Grapalat" w:cs="Sylfaen"/>
          <w:sz w:val="16"/>
          <w:szCs w:val="16"/>
        </w:rPr>
        <w:t>տեղեկատվության</w:t>
      </w:r>
      <w:r w:rsidRPr="00B005C2">
        <w:rPr>
          <w:rFonts w:ascii="GHEA Grapalat" w:hAnsi="GHEA Grapalat"/>
          <w:sz w:val="16"/>
          <w:szCs w:val="16"/>
        </w:rPr>
        <w:t xml:space="preserve"> </w:t>
      </w:r>
      <w:r w:rsidRPr="00B005C2">
        <w:rPr>
          <w:rFonts w:ascii="GHEA Grapalat" w:hAnsi="GHEA Grapalat" w:cs="Sylfaen"/>
          <w:sz w:val="16"/>
          <w:szCs w:val="16"/>
        </w:rPr>
        <w:t>բացակայության</w:t>
      </w:r>
      <w:r w:rsidRPr="00B005C2">
        <w:rPr>
          <w:rFonts w:ascii="GHEA Grapalat" w:hAnsi="GHEA Grapalat"/>
          <w:sz w:val="16"/>
          <w:szCs w:val="16"/>
        </w:rPr>
        <w:t xml:space="preserve"> </w:t>
      </w:r>
      <w:r w:rsidRPr="00B005C2">
        <w:rPr>
          <w:rFonts w:ascii="GHEA Grapalat" w:hAnsi="GHEA Grapalat" w:cs="Sylfaen"/>
          <w:sz w:val="16"/>
          <w:szCs w:val="16"/>
        </w:rPr>
        <w:t>պատճառով</w:t>
      </w:r>
      <w:r w:rsidRPr="00B005C2">
        <w:rPr>
          <w:rFonts w:ascii="GHEA Grapalat" w:hAnsi="GHEA Grapalat"/>
          <w:sz w:val="16"/>
          <w:szCs w:val="16"/>
        </w:rPr>
        <w:t xml:space="preserve"> </w:t>
      </w:r>
      <w:r w:rsidRPr="00B005C2">
        <w:rPr>
          <w:rFonts w:ascii="GHEA Grapalat" w:hAnsi="GHEA Grapalat" w:cs="Sylfaen"/>
          <w:sz w:val="16"/>
          <w:szCs w:val="16"/>
        </w:rPr>
        <w:t>ողջ շարքը</w:t>
      </w:r>
      <w:r w:rsidRPr="00B005C2">
        <w:rPr>
          <w:rFonts w:ascii="GHEA Grapalat" w:hAnsi="GHEA Grapalat"/>
          <w:sz w:val="16"/>
          <w:szCs w:val="16"/>
        </w:rPr>
        <w:t xml:space="preserve"> </w:t>
      </w:r>
      <w:r w:rsidRPr="00B005C2">
        <w:rPr>
          <w:rFonts w:ascii="GHEA Grapalat" w:hAnsi="GHEA Grapalat" w:cs="Sylfaen"/>
          <w:sz w:val="16"/>
          <w:szCs w:val="16"/>
        </w:rPr>
        <w:t>ներկայացված</w:t>
      </w:r>
      <w:r w:rsidRPr="00B005C2">
        <w:rPr>
          <w:rFonts w:ascii="GHEA Grapalat" w:hAnsi="GHEA Grapalat"/>
          <w:sz w:val="16"/>
          <w:szCs w:val="16"/>
        </w:rPr>
        <w:t xml:space="preserve"> </w:t>
      </w:r>
      <w:r w:rsidRPr="00B005C2">
        <w:rPr>
          <w:rFonts w:ascii="GHEA Grapalat" w:hAnsi="GHEA Grapalat" w:cs="Sylfaen"/>
          <w:sz w:val="16"/>
          <w:szCs w:val="16"/>
        </w:rPr>
        <w:t>է</w:t>
      </w:r>
      <w:r w:rsidRPr="00B005C2">
        <w:rPr>
          <w:rFonts w:ascii="GHEA Grapalat" w:hAnsi="GHEA Grapalat"/>
          <w:sz w:val="16"/>
          <w:szCs w:val="16"/>
        </w:rPr>
        <w:t xml:space="preserve"> </w:t>
      </w:r>
      <w:r w:rsidRPr="00B005C2">
        <w:rPr>
          <w:rFonts w:ascii="GHEA Grapalat" w:hAnsi="GHEA Grapalat" w:cs="Sylfaen"/>
          <w:sz w:val="16"/>
          <w:szCs w:val="16"/>
        </w:rPr>
        <w:t>ապրանքների</w:t>
      </w:r>
      <w:r w:rsidRPr="00B005C2">
        <w:rPr>
          <w:rFonts w:ascii="GHEA Grapalat" w:hAnsi="GHEA Grapalat"/>
          <w:sz w:val="16"/>
          <w:szCs w:val="16"/>
        </w:rPr>
        <w:t xml:space="preserve"> </w:t>
      </w:r>
      <w:r w:rsidRPr="00B005C2">
        <w:rPr>
          <w:rFonts w:ascii="GHEA Grapalat" w:hAnsi="GHEA Grapalat" w:cs="Sylfaen"/>
          <w:sz w:val="16"/>
          <w:szCs w:val="16"/>
        </w:rPr>
        <w:t>արտահանման</w:t>
      </w:r>
      <w:r w:rsidRPr="00B005C2">
        <w:rPr>
          <w:rFonts w:ascii="GHEA Grapalat" w:hAnsi="GHEA Grapalat"/>
          <w:sz w:val="16"/>
          <w:szCs w:val="16"/>
        </w:rPr>
        <w:t xml:space="preserve"> </w:t>
      </w:r>
      <w:r w:rsidRPr="00B005C2">
        <w:rPr>
          <w:rFonts w:ascii="GHEA Grapalat" w:hAnsi="GHEA Grapalat" w:cs="Sylfaen"/>
          <w:sz w:val="16"/>
          <w:szCs w:val="16"/>
        </w:rPr>
        <w:t>և</w:t>
      </w:r>
      <w:r w:rsidRPr="00B005C2">
        <w:rPr>
          <w:rFonts w:ascii="GHEA Grapalat" w:hAnsi="GHEA Grapalat"/>
          <w:sz w:val="16"/>
          <w:szCs w:val="16"/>
        </w:rPr>
        <w:t xml:space="preserve"> </w:t>
      </w:r>
      <w:r w:rsidRPr="00B005C2">
        <w:rPr>
          <w:rFonts w:ascii="GHEA Grapalat" w:hAnsi="GHEA Grapalat" w:cs="Sylfaen"/>
          <w:sz w:val="16"/>
          <w:szCs w:val="16"/>
        </w:rPr>
        <w:t>ներմուծման</w:t>
      </w:r>
      <w:r w:rsidRPr="00B005C2">
        <w:rPr>
          <w:rFonts w:ascii="GHEA Grapalat" w:hAnsi="GHEA Grapalat"/>
          <w:sz w:val="16"/>
          <w:szCs w:val="16"/>
        </w:rPr>
        <w:t xml:space="preserve"> </w:t>
      </w:r>
      <w:r w:rsidRPr="00B005C2">
        <w:rPr>
          <w:rFonts w:ascii="GHEA Grapalat" w:hAnsi="GHEA Grapalat" w:cs="Sylfaen"/>
          <w:sz w:val="16"/>
          <w:szCs w:val="16"/>
        </w:rPr>
        <w:t xml:space="preserve">հարաբերակցությամբ (ՖՕԲ գներով` Վճարային հաշվեկշիռ_6, </w:t>
      </w:r>
      <w:r w:rsidRPr="00B005C2">
        <w:rPr>
          <w:rFonts w:ascii="GHEA Grapalat" w:hAnsi="GHEA Grapalat"/>
          <w:sz w:val="16"/>
          <w:szCs w:val="16"/>
          <w:lang w:val="hy-AM"/>
        </w:rPr>
        <w:t>«</w:t>
      </w:r>
      <w:r w:rsidRPr="00B005C2">
        <w:rPr>
          <w:rFonts w:ascii="GHEA Grapalat" w:hAnsi="GHEA Grapalat" w:cs="Sylfaen"/>
          <w:sz w:val="16"/>
          <w:szCs w:val="16"/>
        </w:rPr>
        <w:t>Ապրանքների առևտուրն ըստ վճարային հաշվեկշռի հիմքի</w:t>
      </w:r>
      <w:r>
        <w:rPr>
          <w:rFonts w:ascii="GHEA Grapalat" w:hAnsi="GHEA Grapalat" w:cs="Sylfaen"/>
          <w:sz w:val="16"/>
          <w:szCs w:val="16"/>
        </w:rPr>
        <w:t>»</w:t>
      </w:r>
      <w:r w:rsidRPr="00B005C2">
        <w:rPr>
          <w:rFonts w:ascii="GHEA Grapalat" w:hAnsi="GHEA Grapalat" w:cs="Sylfaen"/>
          <w:sz w:val="16"/>
          <w:szCs w:val="16"/>
        </w:rPr>
        <w:t xml:space="preserve"> հոդված): 2015 թվականի ցուցանիշը նախնական գնահատական է:</w:t>
      </w:r>
    </w:p>
  </w:footnote>
  <w:footnote w:id="12">
    <w:p w:rsidR="00405EB5" w:rsidRPr="00EC36C8" w:rsidRDefault="00405EB5" w:rsidP="00A67B4D">
      <w:pPr>
        <w:pStyle w:val="a8"/>
        <w:jc w:val="both"/>
        <w:rPr>
          <w:sz w:val="16"/>
          <w:szCs w:val="16"/>
        </w:rPr>
      </w:pPr>
      <w:r w:rsidRPr="00EC36C8">
        <w:rPr>
          <w:rStyle w:val="aa"/>
          <w:rFonts w:ascii="GHEA Grapalat" w:hAnsi="GHEA Grapalat"/>
          <w:sz w:val="16"/>
          <w:szCs w:val="16"/>
        </w:rPr>
        <w:footnoteRef/>
      </w:r>
      <w:r w:rsidRPr="00EC36C8">
        <w:rPr>
          <w:rFonts w:ascii="GHEA Grapalat" w:hAnsi="GHEA Grapalat"/>
          <w:sz w:val="16"/>
          <w:szCs w:val="16"/>
        </w:rPr>
        <w:t xml:space="preserve"> </w:t>
      </w:r>
      <w:r w:rsidRPr="00EC36C8">
        <w:rPr>
          <w:rFonts w:ascii="GHEA Grapalat" w:hAnsi="GHEA Grapalat" w:cs="Sylfaen"/>
          <w:sz w:val="16"/>
          <w:szCs w:val="16"/>
        </w:rPr>
        <w:t>Ներճյուղային առևտուրը տեղի է ունենում, երբ երկիրը և</w:t>
      </w:r>
      <w:r w:rsidRPr="00EC36C8">
        <w:rPr>
          <w:rFonts w:ascii="GHEA Grapalat" w:hAnsi="GHEA Grapalat"/>
          <w:sz w:val="16"/>
          <w:szCs w:val="16"/>
          <w:lang w:val="hy-AM"/>
        </w:rPr>
        <w:t>՛</w:t>
      </w:r>
      <w:r w:rsidRPr="00EC36C8">
        <w:rPr>
          <w:rFonts w:ascii="GHEA Grapalat" w:hAnsi="GHEA Grapalat" w:cs="Sylfaen"/>
          <w:sz w:val="16"/>
          <w:szCs w:val="16"/>
        </w:rPr>
        <w:t xml:space="preserve"> ներմուծում, և</w:t>
      </w:r>
      <w:r w:rsidRPr="00EC36C8">
        <w:rPr>
          <w:rFonts w:ascii="GHEA Grapalat" w:hAnsi="GHEA Grapalat"/>
          <w:sz w:val="16"/>
          <w:szCs w:val="16"/>
          <w:lang w:val="hy-AM"/>
        </w:rPr>
        <w:t>՛</w:t>
      </w:r>
      <w:r w:rsidRPr="00EC36C8">
        <w:rPr>
          <w:rFonts w:ascii="GHEA Grapalat" w:hAnsi="GHEA Grapalat" w:cs="Sylfaen"/>
          <w:sz w:val="16"/>
          <w:szCs w:val="16"/>
        </w:rPr>
        <w:t xml:space="preserve"> արտահանում է առանձին ճյուղում արտադրվող ապրանքատեսակները: Ներճյուղային առևտրի գործակիցը իրենից ներկայացնում է արտահանման և ներմուծման բացարձակ արժեքով փոքրի հարաբերակցությունը մեծին: </w:t>
      </w:r>
      <w:r w:rsidRPr="00EC36C8">
        <w:rPr>
          <w:rFonts w:ascii="GHEA Grapalat" w:hAnsi="GHEA Grapalat"/>
          <w:sz w:val="16"/>
          <w:szCs w:val="16"/>
          <w:lang w:val="hy-AM"/>
        </w:rPr>
        <w:t>«</w:t>
      </w:r>
      <w:r w:rsidRPr="00EC36C8">
        <w:rPr>
          <w:rFonts w:ascii="GHEA Grapalat" w:hAnsi="GHEA Grapalat" w:cs="Sylfaen"/>
          <w:sz w:val="16"/>
          <w:szCs w:val="16"/>
        </w:rPr>
        <w:t xml:space="preserve">0» նշանակում է լրիվ միակողմանի, իսկ </w:t>
      </w:r>
      <w:r w:rsidRPr="00EC36C8">
        <w:rPr>
          <w:rFonts w:ascii="GHEA Grapalat" w:hAnsi="GHEA Grapalat"/>
          <w:sz w:val="16"/>
          <w:szCs w:val="16"/>
          <w:lang w:val="hy-AM"/>
        </w:rPr>
        <w:t>«</w:t>
      </w:r>
      <w:r w:rsidRPr="00EC36C8">
        <w:rPr>
          <w:rFonts w:ascii="GHEA Grapalat" w:hAnsi="GHEA Grapalat" w:cs="Sylfaen"/>
          <w:sz w:val="16"/>
          <w:szCs w:val="16"/>
        </w:rPr>
        <w:t>1»` լրիվ երկկողմանի առևտուր:</w:t>
      </w:r>
    </w:p>
  </w:footnote>
  <w:footnote w:id="13">
    <w:p w:rsidR="00405EB5" w:rsidRPr="00EC36C8" w:rsidRDefault="00405EB5" w:rsidP="00A67B4D">
      <w:pPr>
        <w:pStyle w:val="a8"/>
        <w:jc w:val="both"/>
        <w:rPr>
          <w:rFonts w:ascii="GHEA Grapalat" w:hAnsi="GHEA Grapalat" w:cs="Sylfaen"/>
          <w:sz w:val="16"/>
          <w:szCs w:val="16"/>
        </w:rPr>
      </w:pPr>
      <w:r w:rsidRPr="00EC36C8">
        <w:rPr>
          <w:rStyle w:val="aa"/>
          <w:sz w:val="16"/>
          <w:szCs w:val="16"/>
        </w:rPr>
        <w:footnoteRef/>
      </w:r>
      <w:r w:rsidRPr="00EC36C8">
        <w:rPr>
          <w:sz w:val="16"/>
          <w:szCs w:val="16"/>
        </w:rPr>
        <w:t xml:space="preserve"> </w:t>
      </w:r>
      <w:r w:rsidRPr="00EC36C8">
        <w:rPr>
          <w:rFonts w:ascii="GHEA Grapalat" w:hAnsi="GHEA Grapalat" w:cs="Sylfaen"/>
          <w:sz w:val="16"/>
          <w:szCs w:val="16"/>
        </w:rPr>
        <w:t xml:space="preserve">Բացահայտված համեմատական առավելության գործակիցը որոշվում է որպես երկու կշիռների հարաբերակցություն. ՀՀ արտահանման մեջ յուրաքանչյուր ապրանքախմբի կշիռը հարաբերած է համաշխարհային տնտեսության արտահանման մեջ համապատասխան ապրանքախմբի կշռին, և եթե այդ հարաբերակցությունը մեծ է 1-ից, ապա նշանակում է, որ տվյալ ապրանքախմբով ՀՀ ունի բացահայտված համեմատական առավելություն: Գծապատկերում ներկայացված են UN Comtrade տվյալների բազայի 2014 թվականի տվյալներով տրված գնահատականները: </w:t>
      </w:r>
    </w:p>
  </w:footnote>
  <w:footnote w:id="14">
    <w:p w:rsidR="00405EB5" w:rsidRPr="00EC36C8" w:rsidRDefault="00405EB5" w:rsidP="00A67B4D">
      <w:pPr>
        <w:pStyle w:val="a8"/>
        <w:jc w:val="both"/>
        <w:rPr>
          <w:rFonts w:ascii="GHEA Grapalat" w:hAnsi="GHEA Grapalat" w:cs="Sylfaen"/>
          <w:sz w:val="16"/>
          <w:szCs w:val="16"/>
        </w:rPr>
      </w:pPr>
      <w:r w:rsidRPr="00EC36C8">
        <w:rPr>
          <w:rStyle w:val="aa"/>
          <w:rFonts w:ascii="GHEA Grapalat" w:hAnsi="GHEA Grapalat"/>
          <w:sz w:val="16"/>
          <w:szCs w:val="16"/>
        </w:rPr>
        <w:footnoteRef/>
      </w:r>
      <w:r w:rsidRPr="00EC36C8">
        <w:rPr>
          <w:sz w:val="16"/>
          <w:szCs w:val="16"/>
        </w:rPr>
        <w:t xml:space="preserve"> </w:t>
      </w:r>
      <w:r w:rsidRPr="00EC36C8">
        <w:rPr>
          <w:rFonts w:ascii="GHEA Grapalat" w:hAnsi="GHEA Grapalat" w:cs="Sylfaen"/>
          <w:sz w:val="16"/>
          <w:szCs w:val="16"/>
        </w:rPr>
        <w:t>Հաշվարկներում օգտագործվել են ՀՀ կենտրոնական բանկի պաշտոնական կայքի 2015 թվականի օգոստոսի 3-ի դրությամբ տվյալները:</w:t>
      </w:r>
    </w:p>
  </w:footnote>
  <w:footnote w:id="15">
    <w:p w:rsidR="00405EB5" w:rsidRPr="00EC36C8" w:rsidRDefault="00405EB5" w:rsidP="00A67B4D">
      <w:pPr>
        <w:pStyle w:val="a8"/>
        <w:jc w:val="both"/>
        <w:rPr>
          <w:rFonts w:ascii="GHEA Grapalat" w:hAnsi="GHEA Grapalat" w:cs="Sylfaen"/>
          <w:sz w:val="16"/>
          <w:szCs w:val="16"/>
        </w:rPr>
      </w:pPr>
      <w:r w:rsidRPr="00EC36C8">
        <w:rPr>
          <w:rStyle w:val="aa"/>
          <w:rFonts w:ascii="GHEA Grapalat" w:hAnsi="GHEA Grapalat"/>
          <w:sz w:val="16"/>
          <w:szCs w:val="16"/>
        </w:rPr>
        <w:footnoteRef/>
      </w:r>
      <w:r w:rsidRPr="00EC36C8">
        <w:rPr>
          <w:rStyle w:val="aa"/>
          <w:rFonts w:ascii="GHEA Grapalat" w:hAnsi="GHEA Grapalat"/>
          <w:sz w:val="16"/>
          <w:szCs w:val="16"/>
        </w:rPr>
        <w:t xml:space="preserve"> </w:t>
      </w:r>
      <w:r w:rsidRPr="00EC36C8">
        <w:rPr>
          <w:rFonts w:ascii="GHEA Grapalat" w:hAnsi="GHEA Grapalat" w:cs="Sylfaen"/>
          <w:sz w:val="16"/>
          <w:szCs w:val="16"/>
        </w:rPr>
        <w:t>Փողի ագրեգատներում ոչ ռեզիդենտների ավանդները չեն ընդգրկվում:</w:t>
      </w:r>
    </w:p>
  </w:footnote>
  <w:footnote w:id="16">
    <w:p w:rsidR="00405EB5" w:rsidRPr="00EC36C8" w:rsidRDefault="00405EB5" w:rsidP="00A67B4D">
      <w:pPr>
        <w:pStyle w:val="a8"/>
        <w:rPr>
          <w:sz w:val="16"/>
          <w:szCs w:val="16"/>
        </w:rPr>
      </w:pPr>
      <w:r w:rsidRPr="00EC36C8">
        <w:rPr>
          <w:rStyle w:val="aa"/>
          <w:sz w:val="16"/>
          <w:szCs w:val="16"/>
        </w:rPr>
        <w:footnoteRef/>
      </w:r>
      <w:r w:rsidRPr="00EC36C8">
        <w:rPr>
          <w:sz w:val="16"/>
          <w:szCs w:val="16"/>
        </w:rPr>
        <w:t xml:space="preserve"> </w:t>
      </w:r>
      <w:r w:rsidRPr="00EC36C8">
        <w:rPr>
          <w:rFonts w:ascii="GHEA Grapalat" w:hAnsi="GHEA Grapalat" w:cs="Sylfaen"/>
          <w:sz w:val="16"/>
          <w:szCs w:val="16"/>
        </w:rPr>
        <w:t>Ընդգրկված են ոչ ռեզիդենտ ձեռնարկությունների, տնային տնտեսությունների, շահույթ չհետապնդող կազմակերպությունների և ոչ բանկ ֆինանսական կազմակերպությունների ցպահանջ (ներառյալ հաշիվները) և ժամկետային ավանդները:</w:t>
      </w:r>
      <w:r w:rsidRPr="00EC36C8">
        <w:rPr>
          <w:sz w:val="16"/>
          <w:szCs w:val="16"/>
        </w:rPr>
        <w:t xml:space="preserve"> </w:t>
      </w:r>
    </w:p>
  </w:footnote>
  <w:footnote w:id="17">
    <w:p w:rsidR="00405EB5" w:rsidRPr="00EC36C8" w:rsidRDefault="00405EB5" w:rsidP="00A67B4D">
      <w:pPr>
        <w:pStyle w:val="a8"/>
        <w:tabs>
          <w:tab w:val="left" w:pos="180"/>
          <w:tab w:val="left" w:pos="360"/>
        </w:tabs>
        <w:jc w:val="both"/>
        <w:rPr>
          <w:rFonts w:ascii="GHEA Grapalat" w:hAnsi="GHEA Grapalat" w:cs="Sylfaen"/>
          <w:sz w:val="16"/>
          <w:szCs w:val="16"/>
        </w:rPr>
      </w:pPr>
      <w:r w:rsidRPr="00EC36C8">
        <w:rPr>
          <w:rStyle w:val="aa"/>
          <w:rFonts w:ascii="GHEA Grapalat" w:hAnsi="GHEA Grapalat"/>
          <w:sz w:val="16"/>
          <w:szCs w:val="16"/>
        </w:rPr>
        <w:footnoteRef/>
      </w:r>
      <w:r w:rsidRPr="00EC36C8">
        <w:rPr>
          <w:rFonts w:ascii="GHEA Grapalat" w:hAnsi="GHEA Grapalat"/>
          <w:sz w:val="16"/>
          <w:szCs w:val="16"/>
        </w:rPr>
        <w:t xml:space="preserve"> </w:t>
      </w:r>
      <w:r w:rsidRPr="00EC36C8">
        <w:rPr>
          <w:rFonts w:ascii="GHEA Grapalat" w:hAnsi="GHEA Grapalat" w:cs="Sylfaen"/>
          <w:sz w:val="16"/>
          <w:szCs w:val="16"/>
        </w:rPr>
        <w:t>Ընդգրկված չեն կուտակված տոկոսները, ներառված են ֆակտորինգային, լիզինգային գործառնությունները և ռեպո համաձայնագրերը: Ընդգրկված են ոչ ռեզիդենտ ձեռնարկություններին, տնային տնտեսություններին և ոչ բանկ ֆինանսական կազմակերպություններին տրամադրված վարկերը: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58A9"/>
    <w:multiLevelType w:val="multilevel"/>
    <w:tmpl w:val="9C7A8AB2"/>
    <w:lvl w:ilvl="0">
      <w:start w:val="1"/>
      <w:numFmt w:val="decimal"/>
      <w:lvlText w:val="%1)"/>
      <w:lvlJc w:val="left"/>
      <w:pPr>
        <w:tabs>
          <w:tab w:val="num" w:pos="1431"/>
        </w:tabs>
        <w:ind w:left="354" w:firstLine="726"/>
      </w:pPr>
      <w:rPr>
        <w:rFonts w:hint="default"/>
      </w:rPr>
    </w:lvl>
    <w:lvl w:ilvl="1">
      <w:start w:val="1"/>
      <w:numFmt w:val="lowerLetter"/>
      <w:lvlText w:val="%2."/>
      <w:lvlJc w:val="left"/>
      <w:pPr>
        <w:tabs>
          <w:tab w:val="num" w:pos="1794"/>
        </w:tabs>
        <w:ind w:left="1794" w:hanging="360"/>
      </w:pPr>
    </w:lvl>
    <w:lvl w:ilvl="2">
      <w:start w:val="1"/>
      <w:numFmt w:val="lowerRoman"/>
      <w:lvlText w:val="%3."/>
      <w:lvlJc w:val="right"/>
      <w:pPr>
        <w:tabs>
          <w:tab w:val="num" w:pos="2514"/>
        </w:tabs>
        <w:ind w:left="2514" w:hanging="180"/>
      </w:pPr>
    </w:lvl>
    <w:lvl w:ilvl="3">
      <w:start w:val="1"/>
      <w:numFmt w:val="decimal"/>
      <w:lvlText w:val="%4."/>
      <w:lvlJc w:val="left"/>
      <w:pPr>
        <w:tabs>
          <w:tab w:val="num" w:pos="3234"/>
        </w:tabs>
        <w:ind w:left="3234" w:hanging="360"/>
      </w:pPr>
    </w:lvl>
    <w:lvl w:ilvl="4">
      <w:start w:val="1"/>
      <w:numFmt w:val="lowerLetter"/>
      <w:lvlText w:val="%5."/>
      <w:lvlJc w:val="left"/>
      <w:pPr>
        <w:tabs>
          <w:tab w:val="num" w:pos="3954"/>
        </w:tabs>
        <w:ind w:left="3954" w:hanging="360"/>
      </w:pPr>
    </w:lvl>
    <w:lvl w:ilvl="5">
      <w:start w:val="1"/>
      <w:numFmt w:val="lowerRoman"/>
      <w:lvlText w:val="%6."/>
      <w:lvlJc w:val="right"/>
      <w:pPr>
        <w:tabs>
          <w:tab w:val="num" w:pos="4674"/>
        </w:tabs>
        <w:ind w:left="4674" w:hanging="180"/>
      </w:pPr>
    </w:lvl>
    <w:lvl w:ilvl="6">
      <w:start w:val="1"/>
      <w:numFmt w:val="decimal"/>
      <w:lvlText w:val="%7."/>
      <w:lvlJc w:val="left"/>
      <w:pPr>
        <w:tabs>
          <w:tab w:val="num" w:pos="5394"/>
        </w:tabs>
        <w:ind w:left="5394" w:hanging="360"/>
      </w:pPr>
    </w:lvl>
    <w:lvl w:ilvl="7">
      <w:start w:val="1"/>
      <w:numFmt w:val="lowerLetter"/>
      <w:lvlText w:val="%8."/>
      <w:lvlJc w:val="left"/>
      <w:pPr>
        <w:tabs>
          <w:tab w:val="num" w:pos="6114"/>
        </w:tabs>
        <w:ind w:left="6114" w:hanging="360"/>
      </w:pPr>
    </w:lvl>
    <w:lvl w:ilvl="8">
      <w:start w:val="1"/>
      <w:numFmt w:val="lowerRoman"/>
      <w:lvlText w:val="%9."/>
      <w:lvlJc w:val="right"/>
      <w:pPr>
        <w:tabs>
          <w:tab w:val="num" w:pos="6834"/>
        </w:tabs>
        <w:ind w:left="6834" w:hanging="180"/>
      </w:pPr>
    </w:lvl>
  </w:abstractNum>
  <w:abstractNum w:abstractNumId="1" w15:restartNumberingAfterBreak="0">
    <w:nsid w:val="05151E95"/>
    <w:multiLevelType w:val="hybridMultilevel"/>
    <w:tmpl w:val="1EBEABC4"/>
    <w:lvl w:ilvl="0" w:tplc="040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5764142"/>
    <w:multiLevelType w:val="hybridMultilevel"/>
    <w:tmpl w:val="9B4414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0C018E"/>
    <w:multiLevelType w:val="hybridMultilevel"/>
    <w:tmpl w:val="97F89AF6"/>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485748"/>
    <w:multiLevelType w:val="hybridMultilevel"/>
    <w:tmpl w:val="4C803EB0"/>
    <w:lvl w:ilvl="0" w:tplc="26D2A334">
      <w:start w:val="1"/>
      <w:numFmt w:val="decimal"/>
      <w:lvlText w:val="%1)"/>
      <w:lvlJc w:val="left"/>
      <w:pPr>
        <w:tabs>
          <w:tab w:val="num" w:pos="1431"/>
        </w:tabs>
        <w:ind w:left="354" w:firstLine="726"/>
      </w:pPr>
      <w:rPr>
        <w:rFonts w:hint="default"/>
      </w:rPr>
    </w:lvl>
    <w:lvl w:ilvl="1" w:tplc="04090019" w:tentative="1">
      <w:start w:val="1"/>
      <w:numFmt w:val="lowerLetter"/>
      <w:lvlText w:val="%2."/>
      <w:lvlJc w:val="left"/>
      <w:pPr>
        <w:tabs>
          <w:tab w:val="num" w:pos="1794"/>
        </w:tabs>
        <w:ind w:left="1794" w:hanging="360"/>
      </w:pPr>
    </w:lvl>
    <w:lvl w:ilvl="2" w:tplc="0409001B" w:tentative="1">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5" w15:restartNumberingAfterBreak="0">
    <w:nsid w:val="0E6B42CA"/>
    <w:multiLevelType w:val="hybridMultilevel"/>
    <w:tmpl w:val="F0521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AF2B34"/>
    <w:multiLevelType w:val="hybridMultilevel"/>
    <w:tmpl w:val="E6C4B22E"/>
    <w:lvl w:ilvl="0" w:tplc="6A2475C8">
      <w:numFmt w:val="bullet"/>
      <w:lvlText w:val=""/>
      <w:lvlJc w:val="left"/>
      <w:pPr>
        <w:ind w:left="1353" w:hanging="360"/>
      </w:pPr>
      <w:rPr>
        <w:rFonts w:ascii="Symbol" w:eastAsia="Times New Roman" w:hAnsi="Symbol" w:cs="Sylfaen" w:hint="default"/>
        <w:color w:val="auto"/>
        <w:sz w:val="24"/>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15:restartNumberingAfterBreak="0">
    <w:nsid w:val="13A95E19"/>
    <w:multiLevelType w:val="multilevel"/>
    <w:tmpl w:val="E9749634"/>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9070BC"/>
    <w:multiLevelType w:val="hybridMultilevel"/>
    <w:tmpl w:val="559258D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91B494E"/>
    <w:multiLevelType w:val="multilevel"/>
    <w:tmpl w:val="E6C00A36"/>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1D841A35"/>
    <w:multiLevelType w:val="hybridMultilevel"/>
    <w:tmpl w:val="B344B1DA"/>
    <w:lvl w:ilvl="0" w:tplc="04090011">
      <w:start w:val="1"/>
      <w:numFmt w:val="decimal"/>
      <w:lvlText w:val="%1)"/>
      <w:lvlJc w:val="left"/>
      <w:pPr>
        <w:tabs>
          <w:tab w:val="num" w:pos="1546"/>
        </w:tabs>
        <w:ind w:left="1546" w:hanging="360"/>
      </w:pPr>
    </w:lvl>
    <w:lvl w:ilvl="1" w:tplc="A634883E">
      <w:start w:val="1"/>
      <w:numFmt w:val="decimal"/>
      <w:lvlText w:val="%2."/>
      <w:lvlJc w:val="left"/>
      <w:pPr>
        <w:tabs>
          <w:tab w:val="num" w:pos="2266"/>
        </w:tabs>
        <w:ind w:left="2266" w:hanging="360"/>
      </w:pPr>
      <w:rPr>
        <w:rFonts w:hint="default"/>
      </w:rPr>
    </w:lvl>
    <w:lvl w:ilvl="2" w:tplc="0409001B" w:tentative="1">
      <w:start w:val="1"/>
      <w:numFmt w:val="lowerRoman"/>
      <w:lvlText w:val="%3."/>
      <w:lvlJc w:val="right"/>
      <w:pPr>
        <w:tabs>
          <w:tab w:val="num" w:pos="2986"/>
        </w:tabs>
        <w:ind w:left="2986" w:hanging="180"/>
      </w:pPr>
    </w:lvl>
    <w:lvl w:ilvl="3" w:tplc="0409000F" w:tentative="1">
      <w:start w:val="1"/>
      <w:numFmt w:val="decimal"/>
      <w:lvlText w:val="%4."/>
      <w:lvlJc w:val="left"/>
      <w:pPr>
        <w:tabs>
          <w:tab w:val="num" w:pos="3706"/>
        </w:tabs>
        <w:ind w:left="3706" w:hanging="360"/>
      </w:pPr>
    </w:lvl>
    <w:lvl w:ilvl="4" w:tplc="04090019" w:tentative="1">
      <w:start w:val="1"/>
      <w:numFmt w:val="lowerLetter"/>
      <w:lvlText w:val="%5."/>
      <w:lvlJc w:val="left"/>
      <w:pPr>
        <w:tabs>
          <w:tab w:val="num" w:pos="4426"/>
        </w:tabs>
        <w:ind w:left="4426" w:hanging="360"/>
      </w:pPr>
    </w:lvl>
    <w:lvl w:ilvl="5" w:tplc="0409001B" w:tentative="1">
      <w:start w:val="1"/>
      <w:numFmt w:val="lowerRoman"/>
      <w:lvlText w:val="%6."/>
      <w:lvlJc w:val="right"/>
      <w:pPr>
        <w:tabs>
          <w:tab w:val="num" w:pos="5146"/>
        </w:tabs>
        <w:ind w:left="5146" w:hanging="180"/>
      </w:pPr>
    </w:lvl>
    <w:lvl w:ilvl="6" w:tplc="0409000F" w:tentative="1">
      <w:start w:val="1"/>
      <w:numFmt w:val="decimal"/>
      <w:lvlText w:val="%7."/>
      <w:lvlJc w:val="left"/>
      <w:pPr>
        <w:tabs>
          <w:tab w:val="num" w:pos="5866"/>
        </w:tabs>
        <w:ind w:left="5866" w:hanging="360"/>
      </w:pPr>
    </w:lvl>
    <w:lvl w:ilvl="7" w:tplc="04090019" w:tentative="1">
      <w:start w:val="1"/>
      <w:numFmt w:val="lowerLetter"/>
      <w:lvlText w:val="%8."/>
      <w:lvlJc w:val="left"/>
      <w:pPr>
        <w:tabs>
          <w:tab w:val="num" w:pos="6586"/>
        </w:tabs>
        <w:ind w:left="6586" w:hanging="360"/>
      </w:pPr>
    </w:lvl>
    <w:lvl w:ilvl="8" w:tplc="0409001B" w:tentative="1">
      <w:start w:val="1"/>
      <w:numFmt w:val="lowerRoman"/>
      <w:lvlText w:val="%9."/>
      <w:lvlJc w:val="right"/>
      <w:pPr>
        <w:tabs>
          <w:tab w:val="num" w:pos="7306"/>
        </w:tabs>
        <w:ind w:left="7306" w:hanging="180"/>
      </w:pPr>
    </w:lvl>
  </w:abstractNum>
  <w:abstractNum w:abstractNumId="11" w15:restartNumberingAfterBreak="0">
    <w:nsid w:val="1F536F98"/>
    <w:multiLevelType w:val="hybridMultilevel"/>
    <w:tmpl w:val="CE6A5C8C"/>
    <w:lvl w:ilvl="0" w:tplc="DECAA61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852D73"/>
    <w:multiLevelType w:val="hybridMultilevel"/>
    <w:tmpl w:val="817E5FC6"/>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240E7182"/>
    <w:multiLevelType w:val="hybridMultilevel"/>
    <w:tmpl w:val="D0D4E2F6"/>
    <w:lvl w:ilvl="0" w:tplc="26D2A334">
      <w:start w:val="1"/>
      <w:numFmt w:val="decimal"/>
      <w:lvlText w:val="%1)"/>
      <w:lvlJc w:val="left"/>
      <w:pPr>
        <w:tabs>
          <w:tab w:val="num" w:pos="1797"/>
        </w:tabs>
        <w:ind w:left="720" w:firstLine="726"/>
      </w:pPr>
      <w:rPr>
        <w:rFonts w:hint="default"/>
      </w:rPr>
    </w:lvl>
    <w:lvl w:ilvl="1" w:tplc="04090019" w:tentative="1">
      <w:start w:val="1"/>
      <w:numFmt w:val="lowerLetter"/>
      <w:lvlText w:val="%2."/>
      <w:lvlJc w:val="left"/>
      <w:pPr>
        <w:tabs>
          <w:tab w:val="num" w:pos="2166"/>
        </w:tabs>
        <w:ind w:left="2166" w:hanging="360"/>
      </w:pPr>
    </w:lvl>
    <w:lvl w:ilvl="2" w:tplc="0409001B" w:tentative="1">
      <w:start w:val="1"/>
      <w:numFmt w:val="lowerRoman"/>
      <w:lvlText w:val="%3."/>
      <w:lvlJc w:val="right"/>
      <w:pPr>
        <w:tabs>
          <w:tab w:val="num" w:pos="2886"/>
        </w:tabs>
        <w:ind w:left="2886" w:hanging="180"/>
      </w:pPr>
    </w:lvl>
    <w:lvl w:ilvl="3" w:tplc="0409000F" w:tentative="1">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14" w15:restartNumberingAfterBreak="0">
    <w:nsid w:val="24550F6D"/>
    <w:multiLevelType w:val="hybridMultilevel"/>
    <w:tmpl w:val="1124D8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6C63ADB"/>
    <w:multiLevelType w:val="hybridMultilevel"/>
    <w:tmpl w:val="371464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48171C"/>
    <w:multiLevelType w:val="hybridMultilevel"/>
    <w:tmpl w:val="FB207E32"/>
    <w:lvl w:ilvl="0" w:tplc="26D2A334">
      <w:start w:val="1"/>
      <w:numFmt w:val="decimal"/>
      <w:lvlText w:val="%1)"/>
      <w:lvlJc w:val="left"/>
      <w:pPr>
        <w:tabs>
          <w:tab w:val="num" w:pos="1077"/>
        </w:tabs>
        <w:ind w:left="0" w:firstLine="7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8A4B9F"/>
    <w:multiLevelType w:val="hybridMultilevel"/>
    <w:tmpl w:val="98463C20"/>
    <w:lvl w:ilvl="0" w:tplc="26D2A334">
      <w:start w:val="1"/>
      <w:numFmt w:val="decimal"/>
      <w:lvlText w:val="%1)"/>
      <w:lvlJc w:val="left"/>
      <w:pPr>
        <w:tabs>
          <w:tab w:val="num" w:pos="1797"/>
        </w:tabs>
        <w:ind w:left="720" w:firstLine="7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665539"/>
    <w:multiLevelType w:val="hybridMultilevel"/>
    <w:tmpl w:val="7F6E180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24C442C"/>
    <w:multiLevelType w:val="hybridMultilevel"/>
    <w:tmpl w:val="3E8A9BE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6C3084A"/>
    <w:multiLevelType w:val="hybridMultilevel"/>
    <w:tmpl w:val="3F46E32C"/>
    <w:lvl w:ilvl="0" w:tplc="26D2A334">
      <w:start w:val="1"/>
      <w:numFmt w:val="decimal"/>
      <w:lvlText w:val="%1)"/>
      <w:lvlJc w:val="left"/>
      <w:pPr>
        <w:tabs>
          <w:tab w:val="num" w:pos="1431"/>
        </w:tabs>
        <w:ind w:left="354" w:firstLine="726"/>
      </w:pPr>
      <w:rPr>
        <w:rFonts w:hint="default"/>
      </w:rPr>
    </w:lvl>
    <w:lvl w:ilvl="1" w:tplc="04090019" w:tentative="1">
      <w:start w:val="1"/>
      <w:numFmt w:val="lowerLetter"/>
      <w:lvlText w:val="%2."/>
      <w:lvlJc w:val="left"/>
      <w:pPr>
        <w:tabs>
          <w:tab w:val="num" w:pos="1794"/>
        </w:tabs>
        <w:ind w:left="1794" w:hanging="360"/>
      </w:pPr>
    </w:lvl>
    <w:lvl w:ilvl="2" w:tplc="0409001B" w:tentative="1">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1" w15:restartNumberingAfterBreak="0">
    <w:nsid w:val="39FC2790"/>
    <w:multiLevelType w:val="hybridMultilevel"/>
    <w:tmpl w:val="ADE24898"/>
    <w:lvl w:ilvl="0" w:tplc="66A8CD2C">
      <w:start w:val="1"/>
      <w:numFmt w:val="decimal"/>
      <w:lvlText w:val="%1)"/>
      <w:lvlJc w:val="left"/>
      <w:pPr>
        <w:ind w:left="1069" w:hanging="36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3B351FFF"/>
    <w:multiLevelType w:val="hybridMultilevel"/>
    <w:tmpl w:val="E0327866"/>
    <w:lvl w:ilvl="0" w:tplc="0409000F">
      <w:start w:val="1"/>
      <w:numFmt w:val="decimal"/>
      <w:lvlText w:val="%1."/>
      <w:lvlJc w:val="left"/>
      <w:pPr>
        <w:ind w:left="1440" w:hanging="360"/>
      </w:pPr>
    </w:lvl>
    <w:lvl w:ilvl="1" w:tplc="6C600DA8">
      <w:start w:val="1"/>
      <w:numFmt w:val="decimal"/>
      <w:lvlText w:val="%2)"/>
      <w:lvlJc w:val="left"/>
      <w:pPr>
        <w:ind w:left="2940" w:hanging="114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3EA90ED7"/>
    <w:multiLevelType w:val="hybridMultilevel"/>
    <w:tmpl w:val="E9CE21A2"/>
    <w:lvl w:ilvl="0" w:tplc="04090011">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43443AE5"/>
    <w:multiLevelType w:val="hybridMultilevel"/>
    <w:tmpl w:val="3AB6DD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7C725D"/>
    <w:multiLevelType w:val="hybridMultilevel"/>
    <w:tmpl w:val="6FC66D56"/>
    <w:lvl w:ilvl="0" w:tplc="F15E51D4">
      <w:start w:val="1"/>
      <w:numFmt w:val="decimal"/>
      <w:lvlText w:val="%1."/>
      <w:lvlJc w:val="left"/>
      <w:pPr>
        <w:tabs>
          <w:tab w:val="num" w:pos="1108"/>
        </w:tabs>
        <w:ind w:left="1108" w:hanging="360"/>
      </w:pPr>
      <w:rPr>
        <w:rFonts w:ascii="GHEA Grapalat" w:hAnsi="GHEA Grapalat" w:hint="default"/>
      </w:rPr>
    </w:lvl>
    <w:lvl w:ilvl="1" w:tplc="04090019" w:tentative="1">
      <w:start w:val="1"/>
      <w:numFmt w:val="lowerLetter"/>
      <w:lvlText w:val="%2."/>
      <w:lvlJc w:val="left"/>
      <w:pPr>
        <w:tabs>
          <w:tab w:val="num" w:pos="2001"/>
        </w:tabs>
        <w:ind w:left="2001" w:hanging="360"/>
      </w:pPr>
    </w:lvl>
    <w:lvl w:ilvl="2" w:tplc="0409001B" w:tentative="1">
      <w:start w:val="1"/>
      <w:numFmt w:val="lowerRoman"/>
      <w:lvlText w:val="%3."/>
      <w:lvlJc w:val="right"/>
      <w:pPr>
        <w:tabs>
          <w:tab w:val="num" w:pos="2721"/>
        </w:tabs>
        <w:ind w:left="2721" w:hanging="180"/>
      </w:p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26" w15:restartNumberingAfterBreak="0">
    <w:nsid w:val="4AF96D59"/>
    <w:multiLevelType w:val="hybridMultilevel"/>
    <w:tmpl w:val="E0327866"/>
    <w:lvl w:ilvl="0" w:tplc="0409000F">
      <w:start w:val="1"/>
      <w:numFmt w:val="decimal"/>
      <w:lvlText w:val="%1."/>
      <w:lvlJc w:val="left"/>
      <w:pPr>
        <w:ind w:left="1440" w:hanging="360"/>
      </w:pPr>
    </w:lvl>
    <w:lvl w:ilvl="1" w:tplc="6C600DA8">
      <w:start w:val="1"/>
      <w:numFmt w:val="decimal"/>
      <w:lvlText w:val="%2)"/>
      <w:lvlJc w:val="left"/>
      <w:pPr>
        <w:ind w:left="2940" w:hanging="114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1D23E91"/>
    <w:multiLevelType w:val="hybridMultilevel"/>
    <w:tmpl w:val="28968C04"/>
    <w:lvl w:ilvl="0" w:tplc="5EFC48BC">
      <w:start w:val="1"/>
      <w:numFmt w:val="decimal"/>
      <w:lvlText w:val="%1)"/>
      <w:lvlJc w:val="left"/>
      <w:pPr>
        <w:ind w:left="1755" w:hanging="10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1C4FCC"/>
    <w:multiLevelType w:val="hybridMultilevel"/>
    <w:tmpl w:val="272650D6"/>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15:restartNumberingAfterBreak="0">
    <w:nsid w:val="5AE4217A"/>
    <w:multiLevelType w:val="hybridMultilevel"/>
    <w:tmpl w:val="060E948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15:restartNumberingAfterBreak="0">
    <w:nsid w:val="60D87728"/>
    <w:multiLevelType w:val="hybridMultilevel"/>
    <w:tmpl w:val="CEC87DBC"/>
    <w:lvl w:ilvl="0" w:tplc="DECAA61E">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1" w15:restartNumberingAfterBreak="0">
    <w:nsid w:val="63CB358B"/>
    <w:multiLevelType w:val="hybridMultilevel"/>
    <w:tmpl w:val="C0B0A8BC"/>
    <w:lvl w:ilvl="0" w:tplc="26D2A334">
      <w:start w:val="1"/>
      <w:numFmt w:val="decimal"/>
      <w:lvlText w:val="%1)"/>
      <w:lvlJc w:val="left"/>
      <w:pPr>
        <w:tabs>
          <w:tab w:val="num" w:pos="1431"/>
        </w:tabs>
        <w:ind w:left="354" w:firstLine="726"/>
      </w:pPr>
      <w:rPr>
        <w:rFonts w:hint="default"/>
      </w:rPr>
    </w:lvl>
    <w:lvl w:ilvl="1" w:tplc="04090019" w:tentative="1">
      <w:start w:val="1"/>
      <w:numFmt w:val="lowerLetter"/>
      <w:lvlText w:val="%2."/>
      <w:lvlJc w:val="left"/>
      <w:pPr>
        <w:tabs>
          <w:tab w:val="num" w:pos="1794"/>
        </w:tabs>
        <w:ind w:left="1794" w:hanging="360"/>
      </w:pPr>
    </w:lvl>
    <w:lvl w:ilvl="2" w:tplc="0409001B" w:tentative="1">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2" w15:restartNumberingAfterBreak="0">
    <w:nsid w:val="680F46E6"/>
    <w:multiLevelType w:val="hybridMultilevel"/>
    <w:tmpl w:val="8EEA2F80"/>
    <w:lvl w:ilvl="0" w:tplc="04090001">
      <w:start w:val="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6309A7"/>
    <w:multiLevelType w:val="hybridMultilevel"/>
    <w:tmpl w:val="E256B99C"/>
    <w:lvl w:ilvl="0" w:tplc="5EFC48BC">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FB6FD5"/>
    <w:multiLevelType w:val="hybridMultilevel"/>
    <w:tmpl w:val="2EEECAF0"/>
    <w:lvl w:ilvl="0" w:tplc="26D2A334">
      <w:start w:val="1"/>
      <w:numFmt w:val="decimal"/>
      <w:lvlText w:val="%1)"/>
      <w:lvlJc w:val="left"/>
      <w:pPr>
        <w:tabs>
          <w:tab w:val="num" w:pos="2337"/>
        </w:tabs>
        <w:ind w:left="1260" w:firstLine="726"/>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15:restartNumberingAfterBreak="0">
    <w:nsid w:val="74DD0A1E"/>
    <w:multiLevelType w:val="hybridMultilevel"/>
    <w:tmpl w:val="947025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725DB7"/>
    <w:multiLevelType w:val="hybridMultilevel"/>
    <w:tmpl w:val="E9749634"/>
    <w:lvl w:ilvl="0" w:tplc="DECAA61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5767AF"/>
    <w:multiLevelType w:val="hybridMultilevel"/>
    <w:tmpl w:val="E47ABC80"/>
    <w:lvl w:ilvl="0" w:tplc="B7C82146">
      <w:start w:val="5"/>
      <w:numFmt w:val="bullet"/>
      <w:lvlText w:val=""/>
      <w:lvlJc w:val="left"/>
      <w:pPr>
        <w:tabs>
          <w:tab w:val="num" w:pos="720"/>
        </w:tabs>
        <w:ind w:left="720" w:hanging="360"/>
      </w:pPr>
      <w:rPr>
        <w:rFonts w:ascii="Symbol" w:eastAsia="Times New Roman" w:hAnsi="Symbol" w:cs="Times New Roman" w:hint="default"/>
        <w:b/>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C703A"/>
    <w:multiLevelType w:val="hybridMultilevel"/>
    <w:tmpl w:val="A34E8CEA"/>
    <w:lvl w:ilvl="0" w:tplc="2556DEA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AE3172D"/>
    <w:multiLevelType w:val="hybridMultilevel"/>
    <w:tmpl w:val="9C7A8AB2"/>
    <w:lvl w:ilvl="0" w:tplc="26D2A334">
      <w:start w:val="1"/>
      <w:numFmt w:val="decimal"/>
      <w:lvlText w:val="%1)"/>
      <w:lvlJc w:val="left"/>
      <w:pPr>
        <w:tabs>
          <w:tab w:val="num" w:pos="1431"/>
        </w:tabs>
        <w:ind w:left="354" w:firstLine="726"/>
      </w:pPr>
      <w:rPr>
        <w:rFonts w:hint="default"/>
      </w:rPr>
    </w:lvl>
    <w:lvl w:ilvl="1" w:tplc="04090019" w:tentative="1">
      <w:start w:val="1"/>
      <w:numFmt w:val="lowerLetter"/>
      <w:lvlText w:val="%2."/>
      <w:lvlJc w:val="left"/>
      <w:pPr>
        <w:tabs>
          <w:tab w:val="num" w:pos="1794"/>
        </w:tabs>
        <w:ind w:left="1794" w:hanging="360"/>
      </w:pPr>
    </w:lvl>
    <w:lvl w:ilvl="2" w:tplc="0409001B" w:tentative="1">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40" w15:restartNumberingAfterBreak="0">
    <w:nsid w:val="7D161651"/>
    <w:multiLevelType w:val="multilevel"/>
    <w:tmpl w:val="E256B99C"/>
    <w:lvl w:ilvl="0">
      <w:start w:val="1"/>
      <w:numFmt w:val="decimal"/>
      <w:lvlText w:val="%1)"/>
      <w:lvlJc w:val="left"/>
      <w:pPr>
        <w:ind w:left="1755" w:hanging="103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6"/>
  </w:num>
  <w:num w:numId="2">
    <w:abstractNumId w:val="4"/>
  </w:num>
  <w:num w:numId="3">
    <w:abstractNumId w:val="20"/>
  </w:num>
  <w:num w:numId="4">
    <w:abstractNumId w:val="31"/>
  </w:num>
  <w:num w:numId="5">
    <w:abstractNumId w:val="19"/>
  </w:num>
  <w:num w:numId="6">
    <w:abstractNumId w:val="13"/>
  </w:num>
  <w:num w:numId="7">
    <w:abstractNumId w:val="17"/>
  </w:num>
  <w:num w:numId="8">
    <w:abstractNumId w:val="34"/>
  </w:num>
  <w:num w:numId="9">
    <w:abstractNumId w:val="25"/>
  </w:num>
  <w:num w:numId="10">
    <w:abstractNumId w:val="37"/>
  </w:num>
  <w:num w:numId="11">
    <w:abstractNumId w:val="32"/>
  </w:num>
  <w:num w:numId="12">
    <w:abstractNumId w:val="21"/>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5"/>
  </w:num>
  <w:num w:numId="16">
    <w:abstractNumId w:val="2"/>
  </w:num>
  <w:num w:numId="17">
    <w:abstractNumId w:val="33"/>
  </w:num>
  <w:num w:numId="18">
    <w:abstractNumId w:val="24"/>
  </w:num>
  <w:num w:numId="19">
    <w:abstractNumId w:val="35"/>
  </w:num>
  <w:num w:numId="20">
    <w:abstractNumId w:val="12"/>
  </w:num>
  <w:num w:numId="21">
    <w:abstractNumId w:val="40"/>
  </w:num>
  <w:num w:numId="22">
    <w:abstractNumId w:val="27"/>
  </w:num>
  <w:num w:numId="23">
    <w:abstractNumId w:val="6"/>
  </w:num>
  <w:num w:numId="24">
    <w:abstractNumId w:val="39"/>
  </w:num>
  <w:num w:numId="25">
    <w:abstractNumId w:val="23"/>
  </w:num>
  <w:num w:numId="26">
    <w:abstractNumId w:val="0"/>
  </w:num>
  <w:num w:numId="27">
    <w:abstractNumId w:val="14"/>
  </w:num>
  <w:num w:numId="28">
    <w:abstractNumId w:val="29"/>
  </w:num>
  <w:num w:numId="29">
    <w:abstractNumId w:val="22"/>
  </w:num>
  <w:num w:numId="30">
    <w:abstractNumId w:val="26"/>
  </w:num>
  <w:num w:numId="31">
    <w:abstractNumId w:val="1"/>
  </w:num>
  <w:num w:numId="32">
    <w:abstractNumId w:val="8"/>
  </w:num>
  <w:num w:numId="33">
    <w:abstractNumId w:val="30"/>
  </w:num>
  <w:num w:numId="34">
    <w:abstractNumId w:val="28"/>
  </w:num>
  <w:num w:numId="35">
    <w:abstractNumId w:val="5"/>
  </w:num>
  <w:num w:numId="36">
    <w:abstractNumId w:val="3"/>
  </w:num>
  <w:num w:numId="37">
    <w:abstractNumId w:val="9"/>
  </w:num>
  <w:num w:numId="38">
    <w:abstractNumId w:val="11"/>
  </w:num>
  <w:num w:numId="39">
    <w:abstractNumId w:val="36"/>
  </w:num>
  <w:num w:numId="40">
    <w:abstractNumId w:val="7"/>
  </w:num>
  <w:num w:numId="41">
    <w:abstractNumId w:val="18"/>
  </w:num>
  <w:num w:numId="42">
    <w:abstractNumId w:val="38"/>
  </w:num>
  <w:num w:numId="4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73C"/>
    <w:rsid w:val="00000B8F"/>
    <w:rsid w:val="00000CC6"/>
    <w:rsid w:val="00000D27"/>
    <w:rsid w:val="00001056"/>
    <w:rsid w:val="000011F1"/>
    <w:rsid w:val="00001662"/>
    <w:rsid w:val="00001FD5"/>
    <w:rsid w:val="000022D8"/>
    <w:rsid w:val="000029AF"/>
    <w:rsid w:val="00003D93"/>
    <w:rsid w:val="00003E0C"/>
    <w:rsid w:val="00003E67"/>
    <w:rsid w:val="000043EC"/>
    <w:rsid w:val="000046DC"/>
    <w:rsid w:val="000046E0"/>
    <w:rsid w:val="00004782"/>
    <w:rsid w:val="0000488C"/>
    <w:rsid w:val="000049ED"/>
    <w:rsid w:val="00004BF5"/>
    <w:rsid w:val="00004EB7"/>
    <w:rsid w:val="000051A1"/>
    <w:rsid w:val="000065C1"/>
    <w:rsid w:val="00006BE1"/>
    <w:rsid w:val="00006C8E"/>
    <w:rsid w:val="00006D44"/>
    <w:rsid w:val="00006F51"/>
    <w:rsid w:val="00007B4C"/>
    <w:rsid w:val="00007D4B"/>
    <w:rsid w:val="00007FBA"/>
    <w:rsid w:val="00011CB7"/>
    <w:rsid w:val="00012BCB"/>
    <w:rsid w:val="00013BAF"/>
    <w:rsid w:val="000158E4"/>
    <w:rsid w:val="00015A48"/>
    <w:rsid w:val="000164D9"/>
    <w:rsid w:val="00017681"/>
    <w:rsid w:val="0002059A"/>
    <w:rsid w:val="00020C2C"/>
    <w:rsid w:val="000217F0"/>
    <w:rsid w:val="00021C51"/>
    <w:rsid w:val="000222C5"/>
    <w:rsid w:val="00024BE3"/>
    <w:rsid w:val="00025C8F"/>
    <w:rsid w:val="00027310"/>
    <w:rsid w:val="000303D1"/>
    <w:rsid w:val="00030471"/>
    <w:rsid w:val="00030A56"/>
    <w:rsid w:val="00032DE1"/>
    <w:rsid w:val="00034CDA"/>
    <w:rsid w:val="00034D2B"/>
    <w:rsid w:val="000354DA"/>
    <w:rsid w:val="000359AB"/>
    <w:rsid w:val="00035AF2"/>
    <w:rsid w:val="00035D8C"/>
    <w:rsid w:val="00035E1E"/>
    <w:rsid w:val="00035EFF"/>
    <w:rsid w:val="00036A8B"/>
    <w:rsid w:val="000373AC"/>
    <w:rsid w:val="00037C39"/>
    <w:rsid w:val="00040A33"/>
    <w:rsid w:val="00040CBC"/>
    <w:rsid w:val="000423AB"/>
    <w:rsid w:val="0004241C"/>
    <w:rsid w:val="00042453"/>
    <w:rsid w:val="00042CB7"/>
    <w:rsid w:val="0004304A"/>
    <w:rsid w:val="00043303"/>
    <w:rsid w:val="0004335C"/>
    <w:rsid w:val="00043415"/>
    <w:rsid w:val="0004424A"/>
    <w:rsid w:val="00044C1D"/>
    <w:rsid w:val="00045922"/>
    <w:rsid w:val="00046182"/>
    <w:rsid w:val="0005023D"/>
    <w:rsid w:val="000506B4"/>
    <w:rsid w:val="00051632"/>
    <w:rsid w:val="00051FE6"/>
    <w:rsid w:val="00051FF3"/>
    <w:rsid w:val="00052132"/>
    <w:rsid w:val="00052F1B"/>
    <w:rsid w:val="000530E1"/>
    <w:rsid w:val="00053338"/>
    <w:rsid w:val="00053A90"/>
    <w:rsid w:val="00055D6A"/>
    <w:rsid w:val="00056A1B"/>
    <w:rsid w:val="00057195"/>
    <w:rsid w:val="0005720C"/>
    <w:rsid w:val="00057592"/>
    <w:rsid w:val="00057EEB"/>
    <w:rsid w:val="0006080B"/>
    <w:rsid w:val="00060974"/>
    <w:rsid w:val="00061ADF"/>
    <w:rsid w:val="00062294"/>
    <w:rsid w:val="00062E70"/>
    <w:rsid w:val="00063FE2"/>
    <w:rsid w:val="000647F8"/>
    <w:rsid w:val="00064CED"/>
    <w:rsid w:val="00064E9F"/>
    <w:rsid w:val="00065ADB"/>
    <w:rsid w:val="000677FB"/>
    <w:rsid w:val="00067916"/>
    <w:rsid w:val="000702B1"/>
    <w:rsid w:val="000710A9"/>
    <w:rsid w:val="00071BFB"/>
    <w:rsid w:val="000722F9"/>
    <w:rsid w:val="00072933"/>
    <w:rsid w:val="00074F9B"/>
    <w:rsid w:val="00075484"/>
    <w:rsid w:val="00075682"/>
    <w:rsid w:val="00075BBB"/>
    <w:rsid w:val="00075D4C"/>
    <w:rsid w:val="000763A2"/>
    <w:rsid w:val="00076548"/>
    <w:rsid w:val="000769F7"/>
    <w:rsid w:val="00077AB6"/>
    <w:rsid w:val="00080A6A"/>
    <w:rsid w:val="0008143C"/>
    <w:rsid w:val="00082E2B"/>
    <w:rsid w:val="000831EF"/>
    <w:rsid w:val="000848DF"/>
    <w:rsid w:val="0008492F"/>
    <w:rsid w:val="0008542D"/>
    <w:rsid w:val="000864B8"/>
    <w:rsid w:val="000869F5"/>
    <w:rsid w:val="00086FAB"/>
    <w:rsid w:val="00087656"/>
    <w:rsid w:val="00087A97"/>
    <w:rsid w:val="00090551"/>
    <w:rsid w:val="00092206"/>
    <w:rsid w:val="00092CDA"/>
    <w:rsid w:val="00092DFE"/>
    <w:rsid w:val="0009304F"/>
    <w:rsid w:val="0009320F"/>
    <w:rsid w:val="00093A0E"/>
    <w:rsid w:val="00093F78"/>
    <w:rsid w:val="0009536E"/>
    <w:rsid w:val="000959EB"/>
    <w:rsid w:val="00096C25"/>
    <w:rsid w:val="00097145"/>
    <w:rsid w:val="000A0910"/>
    <w:rsid w:val="000A0F70"/>
    <w:rsid w:val="000A1454"/>
    <w:rsid w:val="000A1C94"/>
    <w:rsid w:val="000A1EF0"/>
    <w:rsid w:val="000A25DD"/>
    <w:rsid w:val="000A310C"/>
    <w:rsid w:val="000A3D71"/>
    <w:rsid w:val="000A54A3"/>
    <w:rsid w:val="000A5961"/>
    <w:rsid w:val="000A5BEC"/>
    <w:rsid w:val="000A6ACE"/>
    <w:rsid w:val="000A7FD7"/>
    <w:rsid w:val="000B2944"/>
    <w:rsid w:val="000B2B5C"/>
    <w:rsid w:val="000B2CE5"/>
    <w:rsid w:val="000B3BE7"/>
    <w:rsid w:val="000B4CEC"/>
    <w:rsid w:val="000B522D"/>
    <w:rsid w:val="000B67DC"/>
    <w:rsid w:val="000B6CA6"/>
    <w:rsid w:val="000B7B4F"/>
    <w:rsid w:val="000C1290"/>
    <w:rsid w:val="000C1E9E"/>
    <w:rsid w:val="000C210B"/>
    <w:rsid w:val="000C2743"/>
    <w:rsid w:val="000C29A3"/>
    <w:rsid w:val="000C30AD"/>
    <w:rsid w:val="000C3B9A"/>
    <w:rsid w:val="000C3F37"/>
    <w:rsid w:val="000C4A2C"/>
    <w:rsid w:val="000C4F9A"/>
    <w:rsid w:val="000C5213"/>
    <w:rsid w:val="000C59C4"/>
    <w:rsid w:val="000C6364"/>
    <w:rsid w:val="000C779C"/>
    <w:rsid w:val="000D0217"/>
    <w:rsid w:val="000D0331"/>
    <w:rsid w:val="000D0556"/>
    <w:rsid w:val="000D17F2"/>
    <w:rsid w:val="000D1EF9"/>
    <w:rsid w:val="000D28F2"/>
    <w:rsid w:val="000D2B9B"/>
    <w:rsid w:val="000D2BB2"/>
    <w:rsid w:val="000D3122"/>
    <w:rsid w:val="000D4325"/>
    <w:rsid w:val="000D4EA0"/>
    <w:rsid w:val="000D51D6"/>
    <w:rsid w:val="000D5498"/>
    <w:rsid w:val="000D5C17"/>
    <w:rsid w:val="000D6201"/>
    <w:rsid w:val="000D6848"/>
    <w:rsid w:val="000D6918"/>
    <w:rsid w:val="000D7A77"/>
    <w:rsid w:val="000D7D4C"/>
    <w:rsid w:val="000E02B5"/>
    <w:rsid w:val="000E08E0"/>
    <w:rsid w:val="000E1AE6"/>
    <w:rsid w:val="000E2CB0"/>
    <w:rsid w:val="000E3EEF"/>
    <w:rsid w:val="000E440D"/>
    <w:rsid w:val="000E459E"/>
    <w:rsid w:val="000E50D7"/>
    <w:rsid w:val="000E5AAC"/>
    <w:rsid w:val="000E5AC9"/>
    <w:rsid w:val="000E5C00"/>
    <w:rsid w:val="000E5C16"/>
    <w:rsid w:val="000E607C"/>
    <w:rsid w:val="000E6593"/>
    <w:rsid w:val="000E65BD"/>
    <w:rsid w:val="000F010A"/>
    <w:rsid w:val="000F01B4"/>
    <w:rsid w:val="000F04EB"/>
    <w:rsid w:val="000F0A76"/>
    <w:rsid w:val="000F0DD9"/>
    <w:rsid w:val="000F1737"/>
    <w:rsid w:val="000F2986"/>
    <w:rsid w:val="000F3719"/>
    <w:rsid w:val="000F4239"/>
    <w:rsid w:val="000F479F"/>
    <w:rsid w:val="000F47F8"/>
    <w:rsid w:val="000F5481"/>
    <w:rsid w:val="000F5647"/>
    <w:rsid w:val="000F589E"/>
    <w:rsid w:val="000F5F7A"/>
    <w:rsid w:val="0010015A"/>
    <w:rsid w:val="001009B9"/>
    <w:rsid w:val="00101080"/>
    <w:rsid w:val="00101608"/>
    <w:rsid w:val="0010193A"/>
    <w:rsid w:val="001019D8"/>
    <w:rsid w:val="0010292C"/>
    <w:rsid w:val="00102BD7"/>
    <w:rsid w:val="00102FAB"/>
    <w:rsid w:val="00104D90"/>
    <w:rsid w:val="001050B6"/>
    <w:rsid w:val="001068A5"/>
    <w:rsid w:val="00107584"/>
    <w:rsid w:val="00107A4D"/>
    <w:rsid w:val="001103F4"/>
    <w:rsid w:val="00110B8E"/>
    <w:rsid w:val="0011104F"/>
    <w:rsid w:val="00111352"/>
    <w:rsid w:val="001113B4"/>
    <w:rsid w:val="001116D2"/>
    <w:rsid w:val="001127E7"/>
    <w:rsid w:val="00112950"/>
    <w:rsid w:val="00112F5E"/>
    <w:rsid w:val="00113B42"/>
    <w:rsid w:val="00113E7E"/>
    <w:rsid w:val="0011473D"/>
    <w:rsid w:val="00115B85"/>
    <w:rsid w:val="001161C7"/>
    <w:rsid w:val="00120218"/>
    <w:rsid w:val="0012045A"/>
    <w:rsid w:val="00120584"/>
    <w:rsid w:val="00121052"/>
    <w:rsid w:val="00121233"/>
    <w:rsid w:val="001212D0"/>
    <w:rsid w:val="001243F3"/>
    <w:rsid w:val="0012480D"/>
    <w:rsid w:val="00125F18"/>
    <w:rsid w:val="001264B5"/>
    <w:rsid w:val="00126D79"/>
    <w:rsid w:val="001273D3"/>
    <w:rsid w:val="0012784B"/>
    <w:rsid w:val="00127F83"/>
    <w:rsid w:val="0013020B"/>
    <w:rsid w:val="00131D35"/>
    <w:rsid w:val="00131E5E"/>
    <w:rsid w:val="001321BC"/>
    <w:rsid w:val="00132486"/>
    <w:rsid w:val="00132AA0"/>
    <w:rsid w:val="0013434A"/>
    <w:rsid w:val="00134E08"/>
    <w:rsid w:val="00135D72"/>
    <w:rsid w:val="00136E60"/>
    <w:rsid w:val="001402CF"/>
    <w:rsid w:val="0014065D"/>
    <w:rsid w:val="001426C5"/>
    <w:rsid w:val="00142B12"/>
    <w:rsid w:val="00142DA1"/>
    <w:rsid w:val="001430CF"/>
    <w:rsid w:val="00143213"/>
    <w:rsid w:val="00143704"/>
    <w:rsid w:val="00143C1C"/>
    <w:rsid w:val="001445A4"/>
    <w:rsid w:val="00144B31"/>
    <w:rsid w:val="001450E0"/>
    <w:rsid w:val="00146010"/>
    <w:rsid w:val="00146BA8"/>
    <w:rsid w:val="00150057"/>
    <w:rsid w:val="00150F4B"/>
    <w:rsid w:val="00151124"/>
    <w:rsid w:val="001513D7"/>
    <w:rsid w:val="00152F82"/>
    <w:rsid w:val="00154249"/>
    <w:rsid w:val="00154C36"/>
    <w:rsid w:val="00154F69"/>
    <w:rsid w:val="00155FF9"/>
    <w:rsid w:val="0015714D"/>
    <w:rsid w:val="00157776"/>
    <w:rsid w:val="00157941"/>
    <w:rsid w:val="001616B6"/>
    <w:rsid w:val="00161C6D"/>
    <w:rsid w:val="00162E64"/>
    <w:rsid w:val="00166002"/>
    <w:rsid w:val="0016645C"/>
    <w:rsid w:val="001673D8"/>
    <w:rsid w:val="00167518"/>
    <w:rsid w:val="0017111D"/>
    <w:rsid w:val="00171563"/>
    <w:rsid w:val="00171AC0"/>
    <w:rsid w:val="00173196"/>
    <w:rsid w:val="0017386F"/>
    <w:rsid w:val="001739BE"/>
    <w:rsid w:val="001745CE"/>
    <w:rsid w:val="00174654"/>
    <w:rsid w:val="001748EE"/>
    <w:rsid w:val="00174906"/>
    <w:rsid w:val="001764E1"/>
    <w:rsid w:val="0017695C"/>
    <w:rsid w:val="00177725"/>
    <w:rsid w:val="001800AF"/>
    <w:rsid w:val="00180101"/>
    <w:rsid w:val="001807D6"/>
    <w:rsid w:val="00180C80"/>
    <w:rsid w:val="00180ECB"/>
    <w:rsid w:val="001821E6"/>
    <w:rsid w:val="00182384"/>
    <w:rsid w:val="001833C0"/>
    <w:rsid w:val="001841EF"/>
    <w:rsid w:val="00184E74"/>
    <w:rsid w:val="00187045"/>
    <w:rsid w:val="00187CC5"/>
    <w:rsid w:val="00192104"/>
    <w:rsid w:val="001921ED"/>
    <w:rsid w:val="00192CB6"/>
    <w:rsid w:val="00193655"/>
    <w:rsid w:val="00194E77"/>
    <w:rsid w:val="00194E8C"/>
    <w:rsid w:val="00196DAA"/>
    <w:rsid w:val="001970F5"/>
    <w:rsid w:val="001976FC"/>
    <w:rsid w:val="00197719"/>
    <w:rsid w:val="001A0BCE"/>
    <w:rsid w:val="001A207D"/>
    <w:rsid w:val="001A2152"/>
    <w:rsid w:val="001A2504"/>
    <w:rsid w:val="001A2D35"/>
    <w:rsid w:val="001A2D97"/>
    <w:rsid w:val="001A363A"/>
    <w:rsid w:val="001A37FE"/>
    <w:rsid w:val="001A3AED"/>
    <w:rsid w:val="001A418B"/>
    <w:rsid w:val="001A43B3"/>
    <w:rsid w:val="001A4D02"/>
    <w:rsid w:val="001A6EC8"/>
    <w:rsid w:val="001A7942"/>
    <w:rsid w:val="001A7B88"/>
    <w:rsid w:val="001B0247"/>
    <w:rsid w:val="001B105C"/>
    <w:rsid w:val="001B1688"/>
    <w:rsid w:val="001B1890"/>
    <w:rsid w:val="001B262C"/>
    <w:rsid w:val="001B369A"/>
    <w:rsid w:val="001B36B3"/>
    <w:rsid w:val="001B4E84"/>
    <w:rsid w:val="001B59FD"/>
    <w:rsid w:val="001B6CF6"/>
    <w:rsid w:val="001B7566"/>
    <w:rsid w:val="001B7FDA"/>
    <w:rsid w:val="001C05FE"/>
    <w:rsid w:val="001C23EA"/>
    <w:rsid w:val="001C2B59"/>
    <w:rsid w:val="001C3737"/>
    <w:rsid w:val="001C49C9"/>
    <w:rsid w:val="001C4F78"/>
    <w:rsid w:val="001C5318"/>
    <w:rsid w:val="001C5B5A"/>
    <w:rsid w:val="001C5D64"/>
    <w:rsid w:val="001C62A2"/>
    <w:rsid w:val="001C62F7"/>
    <w:rsid w:val="001C7F7C"/>
    <w:rsid w:val="001D086A"/>
    <w:rsid w:val="001D0939"/>
    <w:rsid w:val="001D0C5D"/>
    <w:rsid w:val="001D1571"/>
    <w:rsid w:val="001D17AB"/>
    <w:rsid w:val="001D24CF"/>
    <w:rsid w:val="001D432F"/>
    <w:rsid w:val="001D495D"/>
    <w:rsid w:val="001D4F3B"/>
    <w:rsid w:val="001D57E6"/>
    <w:rsid w:val="001D60A1"/>
    <w:rsid w:val="001D646D"/>
    <w:rsid w:val="001D6865"/>
    <w:rsid w:val="001D7277"/>
    <w:rsid w:val="001D798A"/>
    <w:rsid w:val="001D7A09"/>
    <w:rsid w:val="001E006C"/>
    <w:rsid w:val="001E056A"/>
    <w:rsid w:val="001E13A1"/>
    <w:rsid w:val="001E2410"/>
    <w:rsid w:val="001E27E4"/>
    <w:rsid w:val="001E3392"/>
    <w:rsid w:val="001E33A0"/>
    <w:rsid w:val="001E3944"/>
    <w:rsid w:val="001E3999"/>
    <w:rsid w:val="001E5A18"/>
    <w:rsid w:val="001E6F9F"/>
    <w:rsid w:val="001F1263"/>
    <w:rsid w:val="001F1381"/>
    <w:rsid w:val="001F184A"/>
    <w:rsid w:val="001F1E67"/>
    <w:rsid w:val="001F222D"/>
    <w:rsid w:val="001F2349"/>
    <w:rsid w:val="001F2A93"/>
    <w:rsid w:val="001F349C"/>
    <w:rsid w:val="001F4A87"/>
    <w:rsid w:val="001F58C4"/>
    <w:rsid w:val="001F5A85"/>
    <w:rsid w:val="001F6E53"/>
    <w:rsid w:val="001F6E8C"/>
    <w:rsid w:val="001F76F5"/>
    <w:rsid w:val="001F7839"/>
    <w:rsid w:val="001F7D18"/>
    <w:rsid w:val="00200648"/>
    <w:rsid w:val="00200654"/>
    <w:rsid w:val="00201280"/>
    <w:rsid w:val="002013E5"/>
    <w:rsid w:val="0020317D"/>
    <w:rsid w:val="00204C21"/>
    <w:rsid w:val="002065CF"/>
    <w:rsid w:val="00206803"/>
    <w:rsid w:val="00207AE1"/>
    <w:rsid w:val="00210D0E"/>
    <w:rsid w:val="00211DFB"/>
    <w:rsid w:val="00211E93"/>
    <w:rsid w:val="00211F41"/>
    <w:rsid w:val="00211FB6"/>
    <w:rsid w:val="0021352E"/>
    <w:rsid w:val="00214DD2"/>
    <w:rsid w:val="00216631"/>
    <w:rsid w:val="002174A2"/>
    <w:rsid w:val="0021793B"/>
    <w:rsid w:val="00217FCC"/>
    <w:rsid w:val="002206A9"/>
    <w:rsid w:val="00220A7B"/>
    <w:rsid w:val="002215EF"/>
    <w:rsid w:val="00221717"/>
    <w:rsid w:val="00221B80"/>
    <w:rsid w:val="00222134"/>
    <w:rsid w:val="002222A2"/>
    <w:rsid w:val="002227AD"/>
    <w:rsid w:val="00222A67"/>
    <w:rsid w:val="00222D67"/>
    <w:rsid w:val="00223225"/>
    <w:rsid w:val="002235C9"/>
    <w:rsid w:val="00223B7E"/>
    <w:rsid w:val="00224350"/>
    <w:rsid w:val="002247AB"/>
    <w:rsid w:val="002259F3"/>
    <w:rsid w:val="00226890"/>
    <w:rsid w:val="00226D15"/>
    <w:rsid w:val="002271CE"/>
    <w:rsid w:val="00227FD9"/>
    <w:rsid w:val="00231F4A"/>
    <w:rsid w:val="00232E1C"/>
    <w:rsid w:val="00233363"/>
    <w:rsid w:val="00233522"/>
    <w:rsid w:val="0023358F"/>
    <w:rsid w:val="002337B8"/>
    <w:rsid w:val="002347B4"/>
    <w:rsid w:val="00234F33"/>
    <w:rsid w:val="00234F72"/>
    <w:rsid w:val="002357F2"/>
    <w:rsid w:val="00235F6C"/>
    <w:rsid w:val="00236CD9"/>
    <w:rsid w:val="002374A7"/>
    <w:rsid w:val="00237706"/>
    <w:rsid w:val="00237A24"/>
    <w:rsid w:val="00237E40"/>
    <w:rsid w:val="00240397"/>
    <w:rsid w:val="002406D6"/>
    <w:rsid w:val="0024163D"/>
    <w:rsid w:val="00241BA8"/>
    <w:rsid w:val="00241F1A"/>
    <w:rsid w:val="00242931"/>
    <w:rsid w:val="00243684"/>
    <w:rsid w:val="00244258"/>
    <w:rsid w:val="00245F22"/>
    <w:rsid w:val="00246841"/>
    <w:rsid w:val="00247BE4"/>
    <w:rsid w:val="00250F94"/>
    <w:rsid w:val="002511C4"/>
    <w:rsid w:val="00252B7D"/>
    <w:rsid w:val="00253B05"/>
    <w:rsid w:val="00253D18"/>
    <w:rsid w:val="00255484"/>
    <w:rsid w:val="002564A4"/>
    <w:rsid w:val="00257126"/>
    <w:rsid w:val="00257BB1"/>
    <w:rsid w:val="0026072E"/>
    <w:rsid w:val="002619EC"/>
    <w:rsid w:val="00262564"/>
    <w:rsid w:val="002628D7"/>
    <w:rsid w:val="002631D1"/>
    <w:rsid w:val="002633CA"/>
    <w:rsid w:val="00263F2C"/>
    <w:rsid w:val="00265189"/>
    <w:rsid w:val="002672E0"/>
    <w:rsid w:val="002678A7"/>
    <w:rsid w:val="00267B02"/>
    <w:rsid w:val="00270EC8"/>
    <w:rsid w:val="00270FB6"/>
    <w:rsid w:val="00271241"/>
    <w:rsid w:val="002715B2"/>
    <w:rsid w:val="002716DF"/>
    <w:rsid w:val="00271EC3"/>
    <w:rsid w:val="00272621"/>
    <w:rsid w:val="00272741"/>
    <w:rsid w:val="00272E64"/>
    <w:rsid w:val="00273D89"/>
    <w:rsid w:val="0027412C"/>
    <w:rsid w:val="00274DF0"/>
    <w:rsid w:val="00275B55"/>
    <w:rsid w:val="002768B3"/>
    <w:rsid w:val="00276FC8"/>
    <w:rsid w:val="002770E5"/>
    <w:rsid w:val="002778BF"/>
    <w:rsid w:val="00277BDE"/>
    <w:rsid w:val="002804EF"/>
    <w:rsid w:val="00280B74"/>
    <w:rsid w:val="0028125D"/>
    <w:rsid w:val="0028133F"/>
    <w:rsid w:val="00281A4A"/>
    <w:rsid w:val="00281DDB"/>
    <w:rsid w:val="00281E0E"/>
    <w:rsid w:val="00282F9A"/>
    <w:rsid w:val="002831F0"/>
    <w:rsid w:val="00283369"/>
    <w:rsid w:val="00283A52"/>
    <w:rsid w:val="00283F17"/>
    <w:rsid w:val="00284349"/>
    <w:rsid w:val="00284592"/>
    <w:rsid w:val="00284DD7"/>
    <w:rsid w:val="00284E4E"/>
    <w:rsid w:val="00285209"/>
    <w:rsid w:val="002858E1"/>
    <w:rsid w:val="00285EFB"/>
    <w:rsid w:val="00285F32"/>
    <w:rsid w:val="00285F79"/>
    <w:rsid w:val="00286400"/>
    <w:rsid w:val="00286575"/>
    <w:rsid w:val="00286595"/>
    <w:rsid w:val="002865AD"/>
    <w:rsid w:val="0029065E"/>
    <w:rsid w:val="00290BF8"/>
    <w:rsid w:val="00291387"/>
    <w:rsid w:val="00291511"/>
    <w:rsid w:val="0029266C"/>
    <w:rsid w:val="00294340"/>
    <w:rsid w:val="0029445E"/>
    <w:rsid w:val="00294C3C"/>
    <w:rsid w:val="0029561F"/>
    <w:rsid w:val="00295841"/>
    <w:rsid w:val="00296738"/>
    <w:rsid w:val="0029724A"/>
    <w:rsid w:val="00297E6B"/>
    <w:rsid w:val="002A4FA1"/>
    <w:rsid w:val="002A61CA"/>
    <w:rsid w:val="002A6B26"/>
    <w:rsid w:val="002A76B2"/>
    <w:rsid w:val="002B01D5"/>
    <w:rsid w:val="002B0EC5"/>
    <w:rsid w:val="002B1011"/>
    <w:rsid w:val="002B1082"/>
    <w:rsid w:val="002B11F7"/>
    <w:rsid w:val="002B184F"/>
    <w:rsid w:val="002B2433"/>
    <w:rsid w:val="002B319E"/>
    <w:rsid w:val="002B3603"/>
    <w:rsid w:val="002B3AF3"/>
    <w:rsid w:val="002B53AB"/>
    <w:rsid w:val="002B55EF"/>
    <w:rsid w:val="002B702F"/>
    <w:rsid w:val="002B7718"/>
    <w:rsid w:val="002C00C4"/>
    <w:rsid w:val="002C049B"/>
    <w:rsid w:val="002C07F5"/>
    <w:rsid w:val="002C087B"/>
    <w:rsid w:val="002C0937"/>
    <w:rsid w:val="002C15CF"/>
    <w:rsid w:val="002C1EA7"/>
    <w:rsid w:val="002C2145"/>
    <w:rsid w:val="002C26CD"/>
    <w:rsid w:val="002C3257"/>
    <w:rsid w:val="002C329A"/>
    <w:rsid w:val="002C3C8E"/>
    <w:rsid w:val="002C4C43"/>
    <w:rsid w:val="002D00D1"/>
    <w:rsid w:val="002D12F4"/>
    <w:rsid w:val="002D1D80"/>
    <w:rsid w:val="002D1DC8"/>
    <w:rsid w:val="002D3048"/>
    <w:rsid w:val="002D3E8A"/>
    <w:rsid w:val="002D3F25"/>
    <w:rsid w:val="002D42F2"/>
    <w:rsid w:val="002D46DD"/>
    <w:rsid w:val="002D4BC2"/>
    <w:rsid w:val="002D4BE7"/>
    <w:rsid w:val="002D598D"/>
    <w:rsid w:val="002D5C50"/>
    <w:rsid w:val="002E0C6E"/>
    <w:rsid w:val="002E1A29"/>
    <w:rsid w:val="002E1F67"/>
    <w:rsid w:val="002E2329"/>
    <w:rsid w:val="002E246C"/>
    <w:rsid w:val="002E2FC7"/>
    <w:rsid w:val="002E31E4"/>
    <w:rsid w:val="002E34D6"/>
    <w:rsid w:val="002E41D5"/>
    <w:rsid w:val="002E4BF6"/>
    <w:rsid w:val="002E5BFB"/>
    <w:rsid w:val="002E6E68"/>
    <w:rsid w:val="002E7AA7"/>
    <w:rsid w:val="002E7CA5"/>
    <w:rsid w:val="002F026B"/>
    <w:rsid w:val="002F04E8"/>
    <w:rsid w:val="002F0F92"/>
    <w:rsid w:val="002F11BC"/>
    <w:rsid w:val="002F21A2"/>
    <w:rsid w:val="002F2BED"/>
    <w:rsid w:val="002F3E8F"/>
    <w:rsid w:val="002F41C8"/>
    <w:rsid w:val="002F466B"/>
    <w:rsid w:val="002F492A"/>
    <w:rsid w:val="002F5144"/>
    <w:rsid w:val="002F539E"/>
    <w:rsid w:val="002F5609"/>
    <w:rsid w:val="002F5D4C"/>
    <w:rsid w:val="002F65F6"/>
    <w:rsid w:val="002F6EA7"/>
    <w:rsid w:val="003000D3"/>
    <w:rsid w:val="003014BD"/>
    <w:rsid w:val="0030157D"/>
    <w:rsid w:val="003024DE"/>
    <w:rsid w:val="003027A0"/>
    <w:rsid w:val="00302D5E"/>
    <w:rsid w:val="00302D61"/>
    <w:rsid w:val="003030F2"/>
    <w:rsid w:val="0030428E"/>
    <w:rsid w:val="00304FB6"/>
    <w:rsid w:val="00305D8D"/>
    <w:rsid w:val="0030619A"/>
    <w:rsid w:val="00306C0E"/>
    <w:rsid w:val="003070BE"/>
    <w:rsid w:val="00307C5B"/>
    <w:rsid w:val="0031019C"/>
    <w:rsid w:val="00310801"/>
    <w:rsid w:val="003108EC"/>
    <w:rsid w:val="00311085"/>
    <w:rsid w:val="00311360"/>
    <w:rsid w:val="00311945"/>
    <w:rsid w:val="003123D5"/>
    <w:rsid w:val="00312412"/>
    <w:rsid w:val="00312BF8"/>
    <w:rsid w:val="00313320"/>
    <w:rsid w:val="00313621"/>
    <w:rsid w:val="00314326"/>
    <w:rsid w:val="00315982"/>
    <w:rsid w:val="00315BF4"/>
    <w:rsid w:val="0031686F"/>
    <w:rsid w:val="00316A5B"/>
    <w:rsid w:val="0031750D"/>
    <w:rsid w:val="003178E0"/>
    <w:rsid w:val="00320AA6"/>
    <w:rsid w:val="00320DB1"/>
    <w:rsid w:val="0032103F"/>
    <w:rsid w:val="00322801"/>
    <w:rsid w:val="003229A2"/>
    <w:rsid w:val="00322D2B"/>
    <w:rsid w:val="00322F32"/>
    <w:rsid w:val="0032328F"/>
    <w:rsid w:val="00323771"/>
    <w:rsid w:val="003237A8"/>
    <w:rsid w:val="00323B5A"/>
    <w:rsid w:val="00323CC3"/>
    <w:rsid w:val="0032469C"/>
    <w:rsid w:val="00324F2F"/>
    <w:rsid w:val="00325833"/>
    <w:rsid w:val="00325899"/>
    <w:rsid w:val="00325C2B"/>
    <w:rsid w:val="00326DB4"/>
    <w:rsid w:val="00326DF2"/>
    <w:rsid w:val="00327799"/>
    <w:rsid w:val="00327939"/>
    <w:rsid w:val="00327C5B"/>
    <w:rsid w:val="00327F92"/>
    <w:rsid w:val="0033039D"/>
    <w:rsid w:val="00330D13"/>
    <w:rsid w:val="003319FE"/>
    <w:rsid w:val="00331C5C"/>
    <w:rsid w:val="0033256F"/>
    <w:rsid w:val="00332C58"/>
    <w:rsid w:val="00332FAB"/>
    <w:rsid w:val="00333209"/>
    <w:rsid w:val="003336AF"/>
    <w:rsid w:val="00334C7F"/>
    <w:rsid w:val="00335577"/>
    <w:rsid w:val="00337534"/>
    <w:rsid w:val="0033782A"/>
    <w:rsid w:val="003404D0"/>
    <w:rsid w:val="00340F52"/>
    <w:rsid w:val="003426FA"/>
    <w:rsid w:val="00343315"/>
    <w:rsid w:val="00343BF1"/>
    <w:rsid w:val="00343C2C"/>
    <w:rsid w:val="00343EE1"/>
    <w:rsid w:val="00343FFD"/>
    <w:rsid w:val="00344490"/>
    <w:rsid w:val="00344B7A"/>
    <w:rsid w:val="00345499"/>
    <w:rsid w:val="00345968"/>
    <w:rsid w:val="00345C07"/>
    <w:rsid w:val="00345DAB"/>
    <w:rsid w:val="0034605D"/>
    <w:rsid w:val="003465A4"/>
    <w:rsid w:val="0034665D"/>
    <w:rsid w:val="00347356"/>
    <w:rsid w:val="00347C5F"/>
    <w:rsid w:val="0035068B"/>
    <w:rsid w:val="003516D5"/>
    <w:rsid w:val="00352144"/>
    <w:rsid w:val="00352FB1"/>
    <w:rsid w:val="003536C4"/>
    <w:rsid w:val="003537BD"/>
    <w:rsid w:val="003540AD"/>
    <w:rsid w:val="0035433F"/>
    <w:rsid w:val="00355E0C"/>
    <w:rsid w:val="00355E87"/>
    <w:rsid w:val="00355FFA"/>
    <w:rsid w:val="00356653"/>
    <w:rsid w:val="003602B7"/>
    <w:rsid w:val="00360453"/>
    <w:rsid w:val="00360B35"/>
    <w:rsid w:val="00360B39"/>
    <w:rsid w:val="00360DCB"/>
    <w:rsid w:val="00360E40"/>
    <w:rsid w:val="00361EF0"/>
    <w:rsid w:val="00362895"/>
    <w:rsid w:val="00362B53"/>
    <w:rsid w:val="00363087"/>
    <w:rsid w:val="00363671"/>
    <w:rsid w:val="00363839"/>
    <w:rsid w:val="00363C24"/>
    <w:rsid w:val="00364A58"/>
    <w:rsid w:val="00364F6E"/>
    <w:rsid w:val="00364F97"/>
    <w:rsid w:val="003650D2"/>
    <w:rsid w:val="00365353"/>
    <w:rsid w:val="003654D0"/>
    <w:rsid w:val="00365774"/>
    <w:rsid w:val="00365807"/>
    <w:rsid w:val="00365D66"/>
    <w:rsid w:val="00366436"/>
    <w:rsid w:val="00367CAC"/>
    <w:rsid w:val="00367F81"/>
    <w:rsid w:val="00367FAC"/>
    <w:rsid w:val="00371E28"/>
    <w:rsid w:val="003726F7"/>
    <w:rsid w:val="00373A12"/>
    <w:rsid w:val="00373AAD"/>
    <w:rsid w:val="00373E50"/>
    <w:rsid w:val="00373F7F"/>
    <w:rsid w:val="00374F09"/>
    <w:rsid w:val="00375103"/>
    <w:rsid w:val="0037524F"/>
    <w:rsid w:val="00375DC0"/>
    <w:rsid w:val="0037612B"/>
    <w:rsid w:val="00377A7A"/>
    <w:rsid w:val="00377C21"/>
    <w:rsid w:val="00377D7C"/>
    <w:rsid w:val="00380DCB"/>
    <w:rsid w:val="00381981"/>
    <w:rsid w:val="003819D4"/>
    <w:rsid w:val="003824A7"/>
    <w:rsid w:val="003831C3"/>
    <w:rsid w:val="0038438D"/>
    <w:rsid w:val="0038476B"/>
    <w:rsid w:val="003848F6"/>
    <w:rsid w:val="00384E95"/>
    <w:rsid w:val="0038509A"/>
    <w:rsid w:val="00385FFC"/>
    <w:rsid w:val="003869A8"/>
    <w:rsid w:val="00386B50"/>
    <w:rsid w:val="00386F05"/>
    <w:rsid w:val="00387D69"/>
    <w:rsid w:val="00390539"/>
    <w:rsid w:val="00390C28"/>
    <w:rsid w:val="00391791"/>
    <w:rsid w:val="00391B22"/>
    <w:rsid w:val="00391F84"/>
    <w:rsid w:val="003925E0"/>
    <w:rsid w:val="00392AA3"/>
    <w:rsid w:val="00392E3E"/>
    <w:rsid w:val="0039338A"/>
    <w:rsid w:val="00393496"/>
    <w:rsid w:val="003936F8"/>
    <w:rsid w:val="0039381C"/>
    <w:rsid w:val="003941F1"/>
    <w:rsid w:val="00394337"/>
    <w:rsid w:val="00395C73"/>
    <w:rsid w:val="00395E11"/>
    <w:rsid w:val="003967EF"/>
    <w:rsid w:val="00397535"/>
    <w:rsid w:val="00397FBF"/>
    <w:rsid w:val="003A001A"/>
    <w:rsid w:val="003A0325"/>
    <w:rsid w:val="003A0C66"/>
    <w:rsid w:val="003A0E92"/>
    <w:rsid w:val="003A1950"/>
    <w:rsid w:val="003A274F"/>
    <w:rsid w:val="003A2E35"/>
    <w:rsid w:val="003A410B"/>
    <w:rsid w:val="003A44AE"/>
    <w:rsid w:val="003A52D2"/>
    <w:rsid w:val="003A7A33"/>
    <w:rsid w:val="003B038A"/>
    <w:rsid w:val="003B08D6"/>
    <w:rsid w:val="003B0955"/>
    <w:rsid w:val="003B1019"/>
    <w:rsid w:val="003B1AD1"/>
    <w:rsid w:val="003B2991"/>
    <w:rsid w:val="003B3026"/>
    <w:rsid w:val="003B329B"/>
    <w:rsid w:val="003B36DC"/>
    <w:rsid w:val="003B3BF6"/>
    <w:rsid w:val="003B3C86"/>
    <w:rsid w:val="003B3F16"/>
    <w:rsid w:val="003B476F"/>
    <w:rsid w:val="003B665C"/>
    <w:rsid w:val="003B715A"/>
    <w:rsid w:val="003B7372"/>
    <w:rsid w:val="003B7397"/>
    <w:rsid w:val="003B78FE"/>
    <w:rsid w:val="003C03A2"/>
    <w:rsid w:val="003C090E"/>
    <w:rsid w:val="003C0CEF"/>
    <w:rsid w:val="003C1A13"/>
    <w:rsid w:val="003C1DF7"/>
    <w:rsid w:val="003C25DC"/>
    <w:rsid w:val="003C3FE2"/>
    <w:rsid w:val="003C4063"/>
    <w:rsid w:val="003C4E38"/>
    <w:rsid w:val="003C50A2"/>
    <w:rsid w:val="003C5CD2"/>
    <w:rsid w:val="003C60B1"/>
    <w:rsid w:val="003C6E28"/>
    <w:rsid w:val="003C780E"/>
    <w:rsid w:val="003D081B"/>
    <w:rsid w:val="003D11E4"/>
    <w:rsid w:val="003D13D3"/>
    <w:rsid w:val="003D1F3C"/>
    <w:rsid w:val="003D27F8"/>
    <w:rsid w:val="003D3178"/>
    <w:rsid w:val="003D49D1"/>
    <w:rsid w:val="003D6258"/>
    <w:rsid w:val="003D6274"/>
    <w:rsid w:val="003D6634"/>
    <w:rsid w:val="003D68A0"/>
    <w:rsid w:val="003D690B"/>
    <w:rsid w:val="003D73B3"/>
    <w:rsid w:val="003D7A35"/>
    <w:rsid w:val="003E075A"/>
    <w:rsid w:val="003E240D"/>
    <w:rsid w:val="003E28D9"/>
    <w:rsid w:val="003E2AED"/>
    <w:rsid w:val="003E38FC"/>
    <w:rsid w:val="003E53F2"/>
    <w:rsid w:val="003F018F"/>
    <w:rsid w:val="003F06F3"/>
    <w:rsid w:val="003F07DF"/>
    <w:rsid w:val="003F230E"/>
    <w:rsid w:val="003F3323"/>
    <w:rsid w:val="003F3AF7"/>
    <w:rsid w:val="003F5571"/>
    <w:rsid w:val="003F6C6C"/>
    <w:rsid w:val="003F75AB"/>
    <w:rsid w:val="003F799C"/>
    <w:rsid w:val="003F7F23"/>
    <w:rsid w:val="00400D2A"/>
    <w:rsid w:val="00401083"/>
    <w:rsid w:val="0040218D"/>
    <w:rsid w:val="00402276"/>
    <w:rsid w:val="004025A2"/>
    <w:rsid w:val="00402F55"/>
    <w:rsid w:val="004034E9"/>
    <w:rsid w:val="00403527"/>
    <w:rsid w:val="00403662"/>
    <w:rsid w:val="00404E02"/>
    <w:rsid w:val="00405EB5"/>
    <w:rsid w:val="004062D0"/>
    <w:rsid w:val="0040635D"/>
    <w:rsid w:val="00406C39"/>
    <w:rsid w:val="00407616"/>
    <w:rsid w:val="0040764B"/>
    <w:rsid w:val="0041017A"/>
    <w:rsid w:val="004111E0"/>
    <w:rsid w:val="00412251"/>
    <w:rsid w:val="00412882"/>
    <w:rsid w:val="00413766"/>
    <w:rsid w:val="004140DA"/>
    <w:rsid w:val="00414A5B"/>
    <w:rsid w:val="004152F2"/>
    <w:rsid w:val="00415514"/>
    <w:rsid w:val="00415A03"/>
    <w:rsid w:val="00417F3A"/>
    <w:rsid w:val="0042159A"/>
    <w:rsid w:val="00421B68"/>
    <w:rsid w:val="004230E3"/>
    <w:rsid w:val="00423290"/>
    <w:rsid w:val="004235EA"/>
    <w:rsid w:val="00424556"/>
    <w:rsid w:val="00424BF5"/>
    <w:rsid w:val="0042539B"/>
    <w:rsid w:val="004253EB"/>
    <w:rsid w:val="0042557B"/>
    <w:rsid w:val="00425DDB"/>
    <w:rsid w:val="00425E65"/>
    <w:rsid w:val="00426078"/>
    <w:rsid w:val="0042682D"/>
    <w:rsid w:val="00426DCE"/>
    <w:rsid w:val="0042722F"/>
    <w:rsid w:val="004275E8"/>
    <w:rsid w:val="004276F1"/>
    <w:rsid w:val="00431166"/>
    <w:rsid w:val="0043179D"/>
    <w:rsid w:val="004320A4"/>
    <w:rsid w:val="00432D72"/>
    <w:rsid w:val="00433646"/>
    <w:rsid w:val="00436104"/>
    <w:rsid w:val="00436CE4"/>
    <w:rsid w:val="00437690"/>
    <w:rsid w:val="004377C4"/>
    <w:rsid w:val="00437BB1"/>
    <w:rsid w:val="00437BE1"/>
    <w:rsid w:val="00437C9F"/>
    <w:rsid w:val="00440733"/>
    <w:rsid w:val="004407E1"/>
    <w:rsid w:val="004409B3"/>
    <w:rsid w:val="0044285E"/>
    <w:rsid w:val="00443BF5"/>
    <w:rsid w:val="00443F22"/>
    <w:rsid w:val="004448BE"/>
    <w:rsid w:val="00444990"/>
    <w:rsid w:val="00445F86"/>
    <w:rsid w:val="00446B2C"/>
    <w:rsid w:val="00446F61"/>
    <w:rsid w:val="00447455"/>
    <w:rsid w:val="00447C75"/>
    <w:rsid w:val="00450441"/>
    <w:rsid w:val="00450509"/>
    <w:rsid w:val="004507CD"/>
    <w:rsid w:val="004517AD"/>
    <w:rsid w:val="00452813"/>
    <w:rsid w:val="00453FDA"/>
    <w:rsid w:val="004544AB"/>
    <w:rsid w:val="00454FC9"/>
    <w:rsid w:val="00455732"/>
    <w:rsid w:val="00455AE4"/>
    <w:rsid w:val="00455C5F"/>
    <w:rsid w:val="00456744"/>
    <w:rsid w:val="00456BAC"/>
    <w:rsid w:val="00456D8C"/>
    <w:rsid w:val="00457563"/>
    <w:rsid w:val="004624C0"/>
    <w:rsid w:val="00462B8F"/>
    <w:rsid w:val="00463DCF"/>
    <w:rsid w:val="00463E1A"/>
    <w:rsid w:val="00464F92"/>
    <w:rsid w:val="00465DCA"/>
    <w:rsid w:val="00466129"/>
    <w:rsid w:val="00466231"/>
    <w:rsid w:val="00466316"/>
    <w:rsid w:val="0046647B"/>
    <w:rsid w:val="00466724"/>
    <w:rsid w:val="004667E8"/>
    <w:rsid w:val="00471F00"/>
    <w:rsid w:val="00471F49"/>
    <w:rsid w:val="00472769"/>
    <w:rsid w:val="00472AE9"/>
    <w:rsid w:val="00473024"/>
    <w:rsid w:val="004735D6"/>
    <w:rsid w:val="00473EBB"/>
    <w:rsid w:val="0047469E"/>
    <w:rsid w:val="00474883"/>
    <w:rsid w:val="004761DB"/>
    <w:rsid w:val="004771E3"/>
    <w:rsid w:val="004775FD"/>
    <w:rsid w:val="00477A96"/>
    <w:rsid w:val="00480664"/>
    <w:rsid w:val="0048274D"/>
    <w:rsid w:val="00483524"/>
    <w:rsid w:val="00483A4F"/>
    <w:rsid w:val="00483F59"/>
    <w:rsid w:val="004848B7"/>
    <w:rsid w:val="00485462"/>
    <w:rsid w:val="00485D99"/>
    <w:rsid w:val="0048614B"/>
    <w:rsid w:val="0048668C"/>
    <w:rsid w:val="00486734"/>
    <w:rsid w:val="0048754B"/>
    <w:rsid w:val="004904DE"/>
    <w:rsid w:val="00490A8A"/>
    <w:rsid w:val="00491280"/>
    <w:rsid w:val="00491C0F"/>
    <w:rsid w:val="00491E9E"/>
    <w:rsid w:val="0049233C"/>
    <w:rsid w:val="00492A7D"/>
    <w:rsid w:val="00492C99"/>
    <w:rsid w:val="00492FC7"/>
    <w:rsid w:val="00495FBE"/>
    <w:rsid w:val="00497F56"/>
    <w:rsid w:val="00497FE4"/>
    <w:rsid w:val="004A0A5F"/>
    <w:rsid w:val="004A3240"/>
    <w:rsid w:val="004A3D77"/>
    <w:rsid w:val="004A4743"/>
    <w:rsid w:val="004A5232"/>
    <w:rsid w:val="004A6370"/>
    <w:rsid w:val="004A68AE"/>
    <w:rsid w:val="004A7B83"/>
    <w:rsid w:val="004B0578"/>
    <w:rsid w:val="004B0A6E"/>
    <w:rsid w:val="004B0DA4"/>
    <w:rsid w:val="004B1222"/>
    <w:rsid w:val="004B126B"/>
    <w:rsid w:val="004B12D7"/>
    <w:rsid w:val="004B1CD6"/>
    <w:rsid w:val="004B1DD5"/>
    <w:rsid w:val="004B1FF4"/>
    <w:rsid w:val="004B338C"/>
    <w:rsid w:val="004B33F5"/>
    <w:rsid w:val="004B34D9"/>
    <w:rsid w:val="004B3C43"/>
    <w:rsid w:val="004B6196"/>
    <w:rsid w:val="004B75CF"/>
    <w:rsid w:val="004B7FD8"/>
    <w:rsid w:val="004C06DA"/>
    <w:rsid w:val="004C0AD4"/>
    <w:rsid w:val="004C10C8"/>
    <w:rsid w:val="004C12ED"/>
    <w:rsid w:val="004C3BB5"/>
    <w:rsid w:val="004C4040"/>
    <w:rsid w:val="004C52BD"/>
    <w:rsid w:val="004C6038"/>
    <w:rsid w:val="004C666A"/>
    <w:rsid w:val="004C7ABA"/>
    <w:rsid w:val="004D0E12"/>
    <w:rsid w:val="004D18DE"/>
    <w:rsid w:val="004D2061"/>
    <w:rsid w:val="004D2758"/>
    <w:rsid w:val="004D30DE"/>
    <w:rsid w:val="004D4D3F"/>
    <w:rsid w:val="004D5834"/>
    <w:rsid w:val="004D5C6A"/>
    <w:rsid w:val="004D5C91"/>
    <w:rsid w:val="004D6237"/>
    <w:rsid w:val="004E0B91"/>
    <w:rsid w:val="004E11C7"/>
    <w:rsid w:val="004E15AA"/>
    <w:rsid w:val="004E1B1C"/>
    <w:rsid w:val="004E24FF"/>
    <w:rsid w:val="004E36B1"/>
    <w:rsid w:val="004E38CA"/>
    <w:rsid w:val="004E39E5"/>
    <w:rsid w:val="004E3C1A"/>
    <w:rsid w:val="004E3F0A"/>
    <w:rsid w:val="004E3FD6"/>
    <w:rsid w:val="004E49BC"/>
    <w:rsid w:val="004E4A60"/>
    <w:rsid w:val="004E4CEF"/>
    <w:rsid w:val="004E543C"/>
    <w:rsid w:val="004E54E4"/>
    <w:rsid w:val="004E5DD6"/>
    <w:rsid w:val="004E6308"/>
    <w:rsid w:val="004E65AE"/>
    <w:rsid w:val="004E666B"/>
    <w:rsid w:val="004E69FC"/>
    <w:rsid w:val="004E6AF3"/>
    <w:rsid w:val="004E6E32"/>
    <w:rsid w:val="004E7CDC"/>
    <w:rsid w:val="004F0DB3"/>
    <w:rsid w:val="004F1B2E"/>
    <w:rsid w:val="004F2AA7"/>
    <w:rsid w:val="004F3FF4"/>
    <w:rsid w:val="004F4637"/>
    <w:rsid w:val="004F49A4"/>
    <w:rsid w:val="004F4AB3"/>
    <w:rsid w:val="004F5320"/>
    <w:rsid w:val="004F69D5"/>
    <w:rsid w:val="005004D9"/>
    <w:rsid w:val="005013D9"/>
    <w:rsid w:val="005015F4"/>
    <w:rsid w:val="00501E76"/>
    <w:rsid w:val="00502140"/>
    <w:rsid w:val="00502523"/>
    <w:rsid w:val="00502F09"/>
    <w:rsid w:val="005030D5"/>
    <w:rsid w:val="00503921"/>
    <w:rsid w:val="00504566"/>
    <w:rsid w:val="005047BC"/>
    <w:rsid w:val="00505815"/>
    <w:rsid w:val="00505C8C"/>
    <w:rsid w:val="005068EF"/>
    <w:rsid w:val="005074C1"/>
    <w:rsid w:val="005077EE"/>
    <w:rsid w:val="00510038"/>
    <w:rsid w:val="005115AE"/>
    <w:rsid w:val="00511B07"/>
    <w:rsid w:val="00511B1A"/>
    <w:rsid w:val="00512A3D"/>
    <w:rsid w:val="00512C3B"/>
    <w:rsid w:val="00513750"/>
    <w:rsid w:val="00514031"/>
    <w:rsid w:val="0051455C"/>
    <w:rsid w:val="00514D5E"/>
    <w:rsid w:val="00514F44"/>
    <w:rsid w:val="00515614"/>
    <w:rsid w:val="00515EDB"/>
    <w:rsid w:val="005162BC"/>
    <w:rsid w:val="005173CB"/>
    <w:rsid w:val="00521363"/>
    <w:rsid w:val="00523067"/>
    <w:rsid w:val="005233B2"/>
    <w:rsid w:val="005234AB"/>
    <w:rsid w:val="00523B2B"/>
    <w:rsid w:val="00523BA0"/>
    <w:rsid w:val="005241B8"/>
    <w:rsid w:val="005244AC"/>
    <w:rsid w:val="005247AB"/>
    <w:rsid w:val="00524857"/>
    <w:rsid w:val="00524C7C"/>
    <w:rsid w:val="00524CB1"/>
    <w:rsid w:val="0052587B"/>
    <w:rsid w:val="00525C59"/>
    <w:rsid w:val="00525EF0"/>
    <w:rsid w:val="005263F8"/>
    <w:rsid w:val="00526C4D"/>
    <w:rsid w:val="00526F6C"/>
    <w:rsid w:val="00527337"/>
    <w:rsid w:val="00527D82"/>
    <w:rsid w:val="00527DD6"/>
    <w:rsid w:val="00530745"/>
    <w:rsid w:val="00530A2B"/>
    <w:rsid w:val="005318E0"/>
    <w:rsid w:val="00531F51"/>
    <w:rsid w:val="00533EEC"/>
    <w:rsid w:val="005349EB"/>
    <w:rsid w:val="00536176"/>
    <w:rsid w:val="00541103"/>
    <w:rsid w:val="0054173C"/>
    <w:rsid w:val="005429B8"/>
    <w:rsid w:val="00542A4E"/>
    <w:rsid w:val="005441B0"/>
    <w:rsid w:val="0054447B"/>
    <w:rsid w:val="005446ED"/>
    <w:rsid w:val="00544C1A"/>
    <w:rsid w:val="00544CDC"/>
    <w:rsid w:val="00545EC1"/>
    <w:rsid w:val="00546368"/>
    <w:rsid w:val="005468BA"/>
    <w:rsid w:val="005469DC"/>
    <w:rsid w:val="00546ED2"/>
    <w:rsid w:val="00547024"/>
    <w:rsid w:val="00550C4E"/>
    <w:rsid w:val="005516B7"/>
    <w:rsid w:val="00551DD5"/>
    <w:rsid w:val="005522A2"/>
    <w:rsid w:val="0055255B"/>
    <w:rsid w:val="005526C7"/>
    <w:rsid w:val="00552A44"/>
    <w:rsid w:val="00553DB5"/>
    <w:rsid w:val="00553FF2"/>
    <w:rsid w:val="005550EB"/>
    <w:rsid w:val="005554BD"/>
    <w:rsid w:val="00555F21"/>
    <w:rsid w:val="00557C26"/>
    <w:rsid w:val="005603C6"/>
    <w:rsid w:val="00560AF3"/>
    <w:rsid w:val="00561C7E"/>
    <w:rsid w:val="00564352"/>
    <w:rsid w:val="00564BD6"/>
    <w:rsid w:val="00564CFC"/>
    <w:rsid w:val="00565467"/>
    <w:rsid w:val="005660ED"/>
    <w:rsid w:val="00566529"/>
    <w:rsid w:val="00566858"/>
    <w:rsid w:val="00566A2F"/>
    <w:rsid w:val="00566BF6"/>
    <w:rsid w:val="00566CF2"/>
    <w:rsid w:val="00567E02"/>
    <w:rsid w:val="00570A2E"/>
    <w:rsid w:val="00570D71"/>
    <w:rsid w:val="005710A6"/>
    <w:rsid w:val="005712D3"/>
    <w:rsid w:val="005715CF"/>
    <w:rsid w:val="0057404C"/>
    <w:rsid w:val="005742FB"/>
    <w:rsid w:val="00574F52"/>
    <w:rsid w:val="00574FCF"/>
    <w:rsid w:val="00575454"/>
    <w:rsid w:val="005755EF"/>
    <w:rsid w:val="00575889"/>
    <w:rsid w:val="00575A19"/>
    <w:rsid w:val="0057628E"/>
    <w:rsid w:val="00576299"/>
    <w:rsid w:val="00576878"/>
    <w:rsid w:val="0057797B"/>
    <w:rsid w:val="00577BA6"/>
    <w:rsid w:val="00581FB3"/>
    <w:rsid w:val="00582F40"/>
    <w:rsid w:val="00583A69"/>
    <w:rsid w:val="005847D8"/>
    <w:rsid w:val="00584B7A"/>
    <w:rsid w:val="0058501F"/>
    <w:rsid w:val="00585D44"/>
    <w:rsid w:val="00585E2D"/>
    <w:rsid w:val="005879DC"/>
    <w:rsid w:val="005902C6"/>
    <w:rsid w:val="00591C8D"/>
    <w:rsid w:val="00592E1E"/>
    <w:rsid w:val="00592F39"/>
    <w:rsid w:val="00595240"/>
    <w:rsid w:val="005959C6"/>
    <w:rsid w:val="00596B35"/>
    <w:rsid w:val="005A01F2"/>
    <w:rsid w:val="005A048E"/>
    <w:rsid w:val="005A0D10"/>
    <w:rsid w:val="005A0E5D"/>
    <w:rsid w:val="005A15F1"/>
    <w:rsid w:val="005A1699"/>
    <w:rsid w:val="005A2D73"/>
    <w:rsid w:val="005A363D"/>
    <w:rsid w:val="005A4664"/>
    <w:rsid w:val="005A513D"/>
    <w:rsid w:val="005A5BA5"/>
    <w:rsid w:val="005A7478"/>
    <w:rsid w:val="005A75D8"/>
    <w:rsid w:val="005A790B"/>
    <w:rsid w:val="005B1306"/>
    <w:rsid w:val="005B15E6"/>
    <w:rsid w:val="005B2634"/>
    <w:rsid w:val="005B265B"/>
    <w:rsid w:val="005B29C8"/>
    <w:rsid w:val="005B31CB"/>
    <w:rsid w:val="005B39E5"/>
    <w:rsid w:val="005B39EA"/>
    <w:rsid w:val="005B4635"/>
    <w:rsid w:val="005B46BE"/>
    <w:rsid w:val="005B4832"/>
    <w:rsid w:val="005B4A84"/>
    <w:rsid w:val="005B5393"/>
    <w:rsid w:val="005B6639"/>
    <w:rsid w:val="005B68D5"/>
    <w:rsid w:val="005B78D6"/>
    <w:rsid w:val="005B7CA5"/>
    <w:rsid w:val="005B7FBA"/>
    <w:rsid w:val="005C180D"/>
    <w:rsid w:val="005C182F"/>
    <w:rsid w:val="005C2A11"/>
    <w:rsid w:val="005C30E9"/>
    <w:rsid w:val="005C43BB"/>
    <w:rsid w:val="005C4C62"/>
    <w:rsid w:val="005C65AB"/>
    <w:rsid w:val="005C65BA"/>
    <w:rsid w:val="005C6A8A"/>
    <w:rsid w:val="005C7C4F"/>
    <w:rsid w:val="005C7CA4"/>
    <w:rsid w:val="005D0A64"/>
    <w:rsid w:val="005D0B0A"/>
    <w:rsid w:val="005D1198"/>
    <w:rsid w:val="005D12FC"/>
    <w:rsid w:val="005D1876"/>
    <w:rsid w:val="005D19C9"/>
    <w:rsid w:val="005D34FA"/>
    <w:rsid w:val="005D35BE"/>
    <w:rsid w:val="005D46D3"/>
    <w:rsid w:val="005D5154"/>
    <w:rsid w:val="005D5BAC"/>
    <w:rsid w:val="005D5DBD"/>
    <w:rsid w:val="005D5F0B"/>
    <w:rsid w:val="005D6D1C"/>
    <w:rsid w:val="005D6DDA"/>
    <w:rsid w:val="005D72A7"/>
    <w:rsid w:val="005D7F0C"/>
    <w:rsid w:val="005E05E5"/>
    <w:rsid w:val="005E0A23"/>
    <w:rsid w:val="005E25D0"/>
    <w:rsid w:val="005E2631"/>
    <w:rsid w:val="005E3D13"/>
    <w:rsid w:val="005E5B16"/>
    <w:rsid w:val="005E5F52"/>
    <w:rsid w:val="005E6311"/>
    <w:rsid w:val="005E65D7"/>
    <w:rsid w:val="005E677E"/>
    <w:rsid w:val="005E7A15"/>
    <w:rsid w:val="005E7BF0"/>
    <w:rsid w:val="005F0258"/>
    <w:rsid w:val="005F0433"/>
    <w:rsid w:val="005F0DE1"/>
    <w:rsid w:val="005F21AE"/>
    <w:rsid w:val="005F2254"/>
    <w:rsid w:val="005F2BBD"/>
    <w:rsid w:val="005F3248"/>
    <w:rsid w:val="005F35D9"/>
    <w:rsid w:val="005F4211"/>
    <w:rsid w:val="005F46E7"/>
    <w:rsid w:val="005F60DE"/>
    <w:rsid w:val="005F7A86"/>
    <w:rsid w:val="0060146C"/>
    <w:rsid w:val="00601B9A"/>
    <w:rsid w:val="00603097"/>
    <w:rsid w:val="006042A2"/>
    <w:rsid w:val="00604A88"/>
    <w:rsid w:val="00604ED1"/>
    <w:rsid w:val="00605A14"/>
    <w:rsid w:val="0060614A"/>
    <w:rsid w:val="006065FA"/>
    <w:rsid w:val="00606AF9"/>
    <w:rsid w:val="006077D9"/>
    <w:rsid w:val="006102F8"/>
    <w:rsid w:val="006103F2"/>
    <w:rsid w:val="00610430"/>
    <w:rsid w:val="006105D3"/>
    <w:rsid w:val="00610646"/>
    <w:rsid w:val="00610DA4"/>
    <w:rsid w:val="00611099"/>
    <w:rsid w:val="00611BBE"/>
    <w:rsid w:val="00611EA9"/>
    <w:rsid w:val="0061331C"/>
    <w:rsid w:val="00614115"/>
    <w:rsid w:val="0061414B"/>
    <w:rsid w:val="00614306"/>
    <w:rsid w:val="006148DB"/>
    <w:rsid w:val="0061565F"/>
    <w:rsid w:val="0061606D"/>
    <w:rsid w:val="00616946"/>
    <w:rsid w:val="00617B26"/>
    <w:rsid w:val="00617F64"/>
    <w:rsid w:val="0062146F"/>
    <w:rsid w:val="0062271A"/>
    <w:rsid w:val="00623FD1"/>
    <w:rsid w:val="00623FD3"/>
    <w:rsid w:val="00624E98"/>
    <w:rsid w:val="00625C99"/>
    <w:rsid w:val="0062636F"/>
    <w:rsid w:val="0062685A"/>
    <w:rsid w:val="0062710A"/>
    <w:rsid w:val="00627773"/>
    <w:rsid w:val="006301C7"/>
    <w:rsid w:val="00631414"/>
    <w:rsid w:val="006315E7"/>
    <w:rsid w:val="0063241C"/>
    <w:rsid w:val="0063266C"/>
    <w:rsid w:val="00632BFE"/>
    <w:rsid w:val="00632CA7"/>
    <w:rsid w:val="0063449E"/>
    <w:rsid w:val="00634562"/>
    <w:rsid w:val="006346F8"/>
    <w:rsid w:val="00634CB6"/>
    <w:rsid w:val="00634DBC"/>
    <w:rsid w:val="006357AD"/>
    <w:rsid w:val="00635AD3"/>
    <w:rsid w:val="00635AEC"/>
    <w:rsid w:val="00636A8E"/>
    <w:rsid w:val="006379EF"/>
    <w:rsid w:val="00641036"/>
    <w:rsid w:val="00641359"/>
    <w:rsid w:val="00641365"/>
    <w:rsid w:val="0064157F"/>
    <w:rsid w:val="00642400"/>
    <w:rsid w:val="006433C5"/>
    <w:rsid w:val="00643A16"/>
    <w:rsid w:val="00643DE1"/>
    <w:rsid w:val="00644A55"/>
    <w:rsid w:val="006453F7"/>
    <w:rsid w:val="006463A6"/>
    <w:rsid w:val="00647D51"/>
    <w:rsid w:val="006500F6"/>
    <w:rsid w:val="006505E8"/>
    <w:rsid w:val="00650871"/>
    <w:rsid w:val="006515DC"/>
    <w:rsid w:val="006524FA"/>
    <w:rsid w:val="006529D3"/>
    <w:rsid w:val="00652B24"/>
    <w:rsid w:val="00652FA5"/>
    <w:rsid w:val="006531FB"/>
    <w:rsid w:val="006541A2"/>
    <w:rsid w:val="00654FCF"/>
    <w:rsid w:val="00655236"/>
    <w:rsid w:val="006553C9"/>
    <w:rsid w:val="00655DB3"/>
    <w:rsid w:val="0065621A"/>
    <w:rsid w:val="0065639B"/>
    <w:rsid w:val="00657EA9"/>
    <w:rsid w:val="0066003A"/>
    <w:rsid w:val="00660984"/>
    <w:rsid w:val="00660DBD"/>
    <w:rsid w:val="00660F9F"/>
    <w:rsid w:val="006610FD"/>
    <w:rsid w:val="00661E41"/>
    <w:rsid w:val="00662956"/>
    <w:rsid w:val="006640D6"/>
    <w:rsid w:val="00664FA3"/>
    <w:rsid w:val="00666AA0"/>
    <w:rsid w:val="00667241"/>
    <w:rsid w:val="00667D9D"/>
    <w:rsid w:val="00667F55"/>
    <w:rsid w:val="00670308"/>
    <w:rsid w:val="00670EAE"/>
    <w:rsid w:val="00672D19"/>
    <w:rsid w:val="00673061"/>
    <w:rsid w:val="0067328E"/>
    <w:rsid w:val="00674286"/>
    <w:rsid w:val="006742E0"/>
    <w:rsid w:val="00674B02"/>
    <w:rsid w:val="006756AA"/>
    <w:rsid w:val="00675E41"/>
    <w:rsid w:val="00676562"/>
    <w:rsid w:val="00677BBD"/>
    <w:rsid w:val="006806E1"/>
    <w:rsid w:val="00680ECE"/>
    <w:rsid w:val="00681EFF"/>
    <w:rsid w:val="00682379"/>
    <w:rsid w:val="006843C6"/>
    <w:rsid w:val="0068459B"/>
    <w:rsid w:val="00686142"/>
    <w:rsid w:val="00686E60"/>
    <w:rsid w:val="0068758F"/>
    <w:rsid w:val="00687C45"/>
    <w:rsid w:val="00690572"/>
    <w:rsid w:val="00690B4E"/>
    <w:rsid w:val="00691C7A"/>
    <w:rsid w:val="00691EA4"/>
    <w:rsid w:val="006946EC"/>
    <w:rsid w:val="00696B8E"/>
    <w:rsid w:val="00696EE3"/>
    <w:rsid w:val="006A0136"/>
    <w:rsid w:val="006A01B6"/>
    <w:rsid w:val="006A0759"/>
    <w:rsid w:val="006A1094"/>
    <w:rsid w:val="006A1467"/>
    <w:rsid w:val="006A14DF"/>
    <w:rsid w:val="006A3080"/>
    <w:rsid w:val="006A35F0"/>
    <w:rsid w:val="006A3C41"/>
    <w:rsid w:val="006A3DEB"/>
    <w:rsid w:val="006A4414"/>
    <w:rsid w:val="006A5251"/>
    <w:rsid w:val="006A52E1"/>
    <w:rsid w:val="006A53EA"/>
    <w:rsid w:val="006A5521"/>
    <w:rsid w:val="006A555A"/>
    <w:rsid w:val="006A6724"/>
    <w:rsid w:val="006B0046"/>
    <w:rsid w:val="006B1B23"/>
    <w:rsid w:val="006B300C"/>
    <w:rsid w:val="006B360F"/>
    <w:rsid w:val="006B3EC2"/>
    <w:rsid w:val="006B426F"/>
    <w:rsid w:val="006B504C"/>
    <w:rsid w:val="006B56D5"/>
    <w:rsid w:val="006B698C"/>
    <w:rsid w:val="006B6CBA"/>
    <w:rsid w:val="006B7387"/>
    <w:rsid w:val="006C008E"/>
    <w:rsid w:val="006C00A1"/>
    <w:rsid w:val="006C171E"/>
    <w:rsid w:val="006C1D84"/>
    <w:rsid w:val="006C235F"/>
    <w:rsid w:val="006C2790"/>
    <w:rsid w:val="006C2867"/>
    <w:rsid w:val="006C28EC"/>
    <w:rsid w:val="006C4489"/>
    <w:rsid w:val="006C48A6"/>
    <w:rsid w:val="006C49E0"/>
    <w:rsid w:val="006C4E54"/>
    <w:rsid w:val="006C525C"/>
    <w:rsid w:val="006C52E2"/>
    <w:rsid w:val="006C530A"/>
    <w:rsid w:val="006C5B5D"/>
    <w:rsid w:val="006C67B3"/>
    <w:rsid w:val="006C71DC"/>
    <w:rsid w:val="006C7C00"/>
    <w:rsid w:val="006D0306"/>
    <w:rsid w:val="006D178C"/>
    <w:rsid w:val="006D1B10"/>
    <w:rsid w:val="006D2C7B"/>
    <w:rsid w:val="006D30F1"/>
    <w:rsid w:val="006D3A9C"/>
    <w:rsid w:val="006D45A3"/>
    <w:rsid w:val="006D5275"/>
    <w:rsid w:val="006D53E0"/>
    <w:rsid w:val="006D56FD"/>
    <w:rsid w:val="006D5D1C"/>
    <w:rsid w:val="006D5DD6"/>
    <w:rsid w:val="006D66C4"/>
    <w:rsid w:val="006E01D7"/>
    <w:rsid w:val="006E0582"/>
    <w:rsid w:val="006E0803"/>
    <w:rsid w:val="006E09F5"/>
    <w:rsid w:val="006E1061"/>
    <w:rsid w:val="006E26BF"/>
    <w:rsid w:val="006E366C"/>
    <w:rsid w:val="006E3DFB"/>
    <w:rsid w:val="006E3F65"/>
    <w:rsid w:val="006E44C5"/>
    <w:rsid w:val="006E4AF8"/>
    <w:rsid w:val="006E4EA4"/>
    <w:rsid w:val="006E589B"/>
    <w:rsid w:val="006E61B2"/>
    <w:rsid w:val="006E645E"/>
    <w:rsid w:val="006E647C"/>
    <w:rsid w:val="006E6F61"/>
    <w:rsid w:val="006E6F8E"/>
    <w:rsid w:val="006E7537"/>
    <w:rsid w:val="006E771F"/>
    <w:rsid w:val="006E79B7"/>
    <w:rsid w:val="006F0492"/>
    <w:rsid w:val="006F07FC"/>
    <w:rsid w:val="006F1884"/>
    <w:rsid w:val="006F1984"/>
    <w:rsid w:val="006F2468"/>
    <w:rsid w:val="006F2DFA"/>
    <w:rsid w:val="006F4989"/>
    <w:rsid w:val="006F580D"/>
    <w:rsid w:val="006F6939"/>
    <w:rsid w:val="006F7036"/>
    <w:rsid w:val="006F7393"/>
    <w:rsid w:val="006F76DF"/>
    <w:rsid w:val="006F76EA"/>
    <w:rsid w:val="0070259B"/>
    <w:rsid w:val="00703640"/>
    <w:rsid w:val="0070385C"/>
    <w:rsid w:val="00703AA2"/>
    <w:rsid w:val="00705429"/>
    <w:rsid w:val="0070643D"/>
    <w:rsid w:val="00707D37"/>
    <w:rsid w:val="007102D2"/>
    <w:rsid w:val="0071197C"/>
    <w:rsid w:val="0071227E"/>
    <w:rsid w:val="0071233A"/>
    <w:rsid w:val="007134B2"/>
    <w:rsid w:val="00714093"/>
    <w:rsid w:val="007141C4"/>
    <w:rsid w:val="007145FB"/>
    <w:rsid w:val="00714B52"/>
    <w:rsid w:val="00714CDD"/>
    <w:rsid w:val="007157C9"/>
    <w:rsid w:val="00717414"/>
    <w:rsid w:val="007175FA"/>
    <w:rsid w:val="00722048"/>
    <w:rsid w:val="0072244E"/>
    <w:rsid w:val="00722855"/>
    <w:rsid w:val="0072314F"/>
    <w:rsid w:val="0072349A"/>
    <w:rsid w:val="007234C8"/>
    <w:rsid w:val="00723C1D"/>
    <w:rsid w:val="0072512D"/>
    <w:rsid w:val="00726A40"/>
    <w:rsid w:val="00727902"/>
    <w:rsid w:val="00727A4D"/>
    <w:rsid w:val="0073006E"/>
    <w:rsid w:val="0073012E"/>
    <w:rsid w:val="007308C6"/>
    <w:rsid w:val="007315EB"/>
    <w:rsid w:val="007319D8"/>
    <w:rsid w:val="00731E75"/>
    <w:rsid w:val="007327C6"/>
    <w:rsid w:val="00732A62"/>
    <w:rsid w:val="00732DC1"/>
    <w:rsid w:val="00732E82"/>
    <w:rsid w:val="007336EB"/>
    <w:rsid w:val="007340EC"/>
    <w:rsid w:val="007343D4"/>
    <w:rsid w:val="00735886"/>
    <w:rsid w:val="00736687"/>
    <w:rsid w:val="007368AE"/>
    <w:rsid w:val="00737893"/>
    <w:rsid w:val="00737A98"/>
    <w:rsid w:val="007400EF"/>
    <w:rsid w:val="00740FA3"/>
    <w:rsid w:val="00741AC4"/>
    <w:rsid w:val="00741B22"/>
    <w:rsid w:val="00743556"/>
    <w:rsid w:val="00743627"/>
    <w:rsid w:val="00743D03"/>
    <w:rsid w:val="00743E93"/>
    <w:rsid w:val="00744E3C"/>
    <w:rsid w:val="00745EE5"/>
    <w:rsid w:val="007509AB"/>
    <w:rsid w:val="00750BFA"/>
    <w:rsid w:val="007510A7"/>
    <w:rsid w:val="00752128"/>
    <w:rsid w:val="007528C4"/>
    <w:rsid w:val="00753104"/>
    <w:rsid w:val="0075472C"/>
    <w:rsid w:val="00754DCC"/>
    <w:rsid w:val="0075515A"/>
    <w:rsid w:val="007551D9"/>
    <w:rsid w:val="007553FB"/>
    <w:rsid w:val="007558E9"/>
    <w:rsid w:val="00755E27"/>
    <w:rsid w:val="007566E9"/>
    <w:rsid w:val="0075772C"/>
    <w:rsid w:val="00760100"/>
    <w:rsid w:val="007606C6"/>
    <w:rsid w:val="00760F8E"/>
    <w:rsid w:val="0076137F"/>
    <w:rsid w:val="00761C44"/>
    <w:rsid w:val="00762773"/>
    <w:rsid w:val="007629F7"/>
    <w:rsid w:val="00762A44"/>
    <w:rsid w:val="00762D1B"/>
    <w:rsid w:val="0076318C"/>
    <w:rsid w:val="00764510"/>
    <w:rsid w:val="0076499A"/>
    <w:rsid w:val="00764D5C"/>
    <w:rsid w:val="00766324"/>
    <w:rsid w:val="00766995"/>
    <w:rsid w:val="00766E4E"/>
    <w:rsid w:val="007671E1"/>
    <w:rsid w:val="00767B5C"/>
    <w:rsid w:val="00767B5D"/>
    <w:rsid w:val="00767ECF"/>
    <w:rsid w:val="00770552"/>
    <w:rsid w:val="00772124"/>
    <w:rsid w:val="007725D7"/>
    <w:rsid w:val="0077289F"/>
    <w:rsid w:val="007728B6"/>
    <w:rsid w:val="00773617"/>
    <w:rsid w:val="0077391D"/>
    <w:rsid w:val="0077456D"/>
    <w:rsid w:val="00774B1F"/>
    <w:rsid w:val="0077598C"/>
    <w:rsid w:val="00775A24"/>
    <w:rsid w:val="00776070"/>
    <w:rsid w:val="007763C8"/>
    <w:rsid w:val="00776476"/>
    <w:rsid w:val="0077652A"/>
    <w:rsid w:val="007768E7"/>
    <w:rsid w:val="00777192"/>
    <w:rsid w:val="00777A04"/>
    <w:rsid w:val="00777DF8"/>
    <w:rsid w:val="00780424"/>
    <w:rsid w:val="007805CF"/>
    <w:rsid w:val="00781860"/>
    <w:rsid w:val="007818CF"/>
    <w:rsid w:val="00782B8E"/>
    <w:rsid w:val="00782DEE"/>
    <w:rsid w:val="007831D7"/>
    <w:rsid w:val="0078359E"/>
    <w:rsid w:val="00783715"/>
    <w:rsid w:val="00783871"/>
    <w:rsid w:val="0078414A"/>
    <w:rsid w:val="00784655"/>
    <w:rsid w:val="00784ABF"/>
    <w:rsid w:val="00786A41"/>
    <w:rsid w:val="00786D61"/>
    <w:rsid w:val="00787241"/>
    <w:rsid w:val="00792461"/>
    <w:rsid w:val="007925A9"/>
    <w:rsid w:val="007925EE"/>
    <w:rsid w:val="00792AC0"/>
    <w:rsid w:val="00792BB5"/>
    <w:rsid w:val="00793410"/>
    <w:rsid w:val="007936F1"/>
    <w:rsid w:val="0079382D"/>
    <w:rsid w:val="007942B9"/>
    <w:rsid w:val="00795315"/>
    <w:rsid w:val="007962FE"/>
    <w:rsid w:val="00796918"/>
    <w:rsid w:val="00796B79"/>
    <w:rsid w:val="00796DBB"/>
    <w:rsid w:val="007977CE"/>
    <w:rsid w:val="007A0208"/>
    <w:rsid w:val="007A029E"/>
    <w:rsid w:val="007A043A"/>
    <w:rsid w:val="007A1D5A"/>
    <w:rsid w:val="007A1F8C"/>
    <w:rsid w:val="007A3000"/>
    <w:rsid w:val="007A366F"/>
    <w:rsid w:val="007A3F47"/>
    <w:rsid w:val="007A4296"/>
    <w:rsid w:val="007A4A38"/>
    <w:rsid w:val="007A4B86"/>
    <w:rsid w:val="007A4E89"/>
    <w:rsid w:val="007A6960"/>
    <w:rsid w:val="007A72AC"/>
    <w:rsid w:val="007A778F"/>
    <w:rsid w:val="007A7BF5"/>
    <w:rsid w:val="007A7F93"/>
    <w:rsid w:val="007B0871"/>
    <w:rsid w:val="007B120F"/>
    <w:rsid w:val="007B134D"/>
    <w:rsid w:val="007B1442"/>
    <w:rsid w:val="007B1EA3"/>
    <w:rsid w:val="007B2B23"/>
    <w:rsid w:val="007B2E82"/>
    <w:rsid w:val="007B3E31"/>
    <w:rsid w:val="007B470B"/>
    <w:rsid w:val="007B5B45"/>
    <w:rsid w:val="007B5CBF"/>
    <w:rsid w:val="007B6780"/>
    <w:rsid w:val="007B7085"/>
    <w:rsid w:val="007B745D"/>
    <w:rsid w:val="007B74DD"/>
    <w:rsid w:val="007B7CE9"/>
    <w:rsid w:val="007C0221"/>
    <w:rsid w:val="007C0DCD"/>
    <w:rsid w:val="007C0E9E"/>
    <w:rsid w:val="007C23B8"/>
    <w:rsid w:val="007C2C50"/>
    <w:rsid w:val="007C37CE"/>
    <w:rsid w:val="007C397E"/>
    <w:rsid w:val="007C3A40"/>
    <w:rsid w:val="007C4780"/>
    <w:rsid w:val="007C4A78"/>
    <w:rsid w:val="007C5ACB"/>
    <w:rsid w:val="007C5CAC"/>
    <w:rsid w:val="007C62C0"/>
    <w:rsid w:val="007C680D"/>
    <w:rsid w:val="007D04C9"/>
    <w:rsid w:val="007D0B47"/>
    <w:rsid w:val="007D0F21"/>
    <w:rsid w:val="007D2467"/>
    <w:rsid w:val="007D29AA"/>
    <w:rsid w:val="007D32C2"/>
    <w:rsid w:val="007D379D"/>
    <w:rsid w:val="007D4466"/>
    <w:rsid w:val="007D5153"/>
    <w:rsid w:val="007D629D"/>
    <w:rsid w:val="007D6651"/>
    <w:rsid w:val="007D69F9"/>
    <w:rsid w:val="007D7180"/>
    <w:rsid w:val="007D77BD"/>
    <w:rsid w:val="007E0642"/>
    <w:rsid w:val="007E0864"/>
    <w:rsid w:val="007E0D73"/>
    <w:rsid w:val="007E1D78"/>
    <w:rsid w:val="007E1D90"/>
    <w:rsid w:val="007E202B"/>
    <w:rsid w:val="007E2709"/>
    <w:rsid w:val="007E2F19"/>
    <w:rsid w:val="007E460F"/>
    <w:rsid w:val="007E4CAD"/>
    <w:rsid w:val="007E5311"/>
    <w:rsid w:val="007E55B2"/>
    <w:rsid w:val="007E707F"/>
    <w:rsid w:val="007E7342"/>
    <w:rsid w:val="007E74B3"/>
    <w:rsid w:val="007E7B40"/>
    <w:rsid w:val="007E7DE6"/>
    <w:rsid w:val="007F0752"/>
    <w:rsid w:val="007F0949"/>
    <w:rsid w:val="007F30FF"/>
    <w:rsid w:val="007F32F4"/>
    <w:rsid w:val="007F33BD"/>
    <w:rsid w:val="007F39E6"/>
    <w:rsid w:val="007F3A67"/>
    <w:rsid w:val="007F3C40"/>
    <w:rsid w:val="007F50A0"/>
    <w:rsid w:val="007F53E8"/>
    <w:rsid w:val="007F55D3"/>
    <w:rsid w:val="007F62F9"/>
    <w:rsid w:val="007F6FAF"/>
    <w:rsid w:val="007F779D"/>
    <w:rsid w:val="008000AC"/>
    <w:rsid w:val="0080061C"/>
    <w:rsid w:val="008007C5"/>
    <w:rsid w:val="00802078"/>
    <w:rsid w:val="00802998"/>
    <w:rsid w:val="00803A09"/>
    <w:rsid w:val="00804781"/>
    <w:rsid w:val="00804823"/>
    <w:rsid w:val="008054CA"/>
    <w:rsid w:val="00805521"/>
    <w:rsid w:val="00805685"/>
    <w:rsid w:val="008061B2"/>
    <w:rsid w:val="00806770"/>
    <w:rsid w:val="00807F57"/>
    <w:rsid w:val="00810873"/>
    <w:rsid w:val="00810931"/>
    <w:rsid w:val="00810A7D"/>
    <w:rsid w:val="0081130A"/>
    <w:rsid w:val="008118A8"/>
    <w:rsid w:val="0081275A"/>
    <w:rsid w:val="00812AB2"/>
    <w:rsid w:val="00812E92"/>
    <w:rsid w:val="00812EB8"/>
    <w:rsid w:val="0081323D"/>
    <w:rsid w:val="008132BC"/>
    <w:rsid w:val="00813496"/>
    <w:rsid w:val="00814516"/>
    <w:rsid w:val="00814B10"/>
    <w:rsid w:val="00814F00"/>
    <w:rsid w:val="008159FD"/>
    <w:rsid w:val="00816B7D"/>
    <w:rsid w:val="00816D02"/>
    <w:rsid w:val="00817588"/>
    <w:rsid w:val="00820E02"/>
    <w:rsid w:val="008214E8"/>
    <w:rsid w:val="00822E6A"/>
    <w:rsid w:val="0082309E"/>
    <w:rsid w:val="008241BC"/>
    <w:rsid w:val="00824AA5"/>
    <w:rsid w:val="00826BD5"/>
    <w:rsid w:val="008271E2"/>
    <w:rsid w:val="00827A0D"/>
    <w:rsid w:val="00827A32"/>
    <w:rsid w:val="008304DB"/>
    <w:rsid w:val="00830991"/>
    <w:rsid w:val="00830F28"/>
    <w:rsid w:val="00830F7C"/>
    <w:rsid w:val="00830FE0"/>
    <w:rsid w:val="00831186"/>
    <w:rsid w:val="008317A3"/>
    <w:rsid w:val="00831A89"/>
    <w:rsid w:val="00831B8E"/>
    <w:rsid w:val="00831B99"/>
    <w:rsid w:val="00831BD3"/>
    <w:rsid w:val="00832068"/>
    <w:rsid w:val="00832457"/>
    <w:rsid w:val="008328B3"/>
    <w:rsid w:val="00832DB8"/>
    <w:rsid w:val="008345A4"/>
    <w:rsid w:val="0083476E"/>
    <w:rsid w:val="00834DC3"/>
    <w:rsid w:val="00834F7C"/>
    <w:rsid w:val="0083596C"/>
    <w:rsid w:val="00835D00"/>
    <w:rsid w:val="00836431"/>
    <w:rsid w:val="008367F4"/>
    <w:rsid w:val="008371C5"/>
    <w:rsid w:val="00840555"/>
    <w:rsid w:val="00841A42"/>
    <w:rsid w:val="008427D0"/>
    <w:rsid w:val="00843354"/>
    <w:rsid w:val="008435BA"/>
    <w:rsid w:val="00843B45"/>
    <w:rsid w:val="00844093"/>
    <w:rsid w:val="0084448A"/>
    <w:rsid w:val="00844965"/>
    <w:rsid w:val="008450D1"/>
    <w:rsid w:val="00845871"/>
    <w:rsid w:val="00847560"/>
    <w:rsid w:val="00850658"/>
    <w:rsid w:val="00850718"/>
    <w:rsid w:val="00850745"/>
    <w:rsid w:val="00851A48"/>
    <w:rsid w:val="0085413E"/>
    <w:rsid w:val="00854898"/>
    <w:rsid w:val="00855CBB"/>
    <w:rsid w:val="00856C3B"/>
    <w:rsid w:val="008576C0"/>
    <w:rsid w:val="0085780E"/>
    <w:rsid w:val="00860100"/>
    <w:rsid w:val="00862859"/>
    <w:rsid w:val="008629AD"/>
    <w:rsid w:val="008647DB"/>
    <w:rsid w:val="00864873"/>
    <w:rsid w:val="008649D9"/>
    <w:rsid w:val="00864ACB"/>
    <w:rsid w:val="00865E8E"/>
    <w:rsid w:val="0086611B"/>
    <w:rsid w:val="008661F3"/>
    <w:rsid w:val="00866B2D"/>
    <w:rsid w:val="00866CE2"/>
    <w:rsid w:val="00867110"/>
    <w:rsid w:val="0086765C"/>
    <w:rsid w:val="00867DFD"/>
    <w:rsid w:val="008702D5"/>
    <w:rsid w:val="0087043A"/>
    <w:rsid w:val="00871592"/>
    <w:rsid w:val="00872291"/>
    <w:rsid w:val="0087251A"/>
    <w:rsid w:val="00872C4D"/>
    <w:rsid w:val="00874AFD"/>
    <w:rsid w:val="00874EA8"/>
    <w:rsid w:val="00874ED0"/>
    <w:rsid w:val="00875C47"/>
    <w:rsid w:val="008805EC"/>
    <w:rsid w:val="0088099A"/>
    <w:rsid w:val="0088191E"/>
    <w:rsid w:val="008834EF"/>
    <w:rsid w:val="00885193"/>
    <w:rsid w:val="00885900"/>
    <w:rsid w:val="00886BEF"/>
    <w:rsid w:val="00886EA3"/>
    <w:rsid w:val="00887817"/>
    <w:rsid w:val="00887DE9"/>
    <w:rsid w:val="00891259"/>
    <w:rsid w:val="008915C6"/>
    <w:rsid w:val="00891DA2"/>
    <w:rsid w:val="00892165"/>
    <w:rsid w:val="0089362B"/>
    <w:rsid w:val="00893700"/>
    <w:rsid w:val="00893DDC"/>
    <w:rsid w:val="00894247"/>
    <w:rsid w:val="008944D8"/>
    <w:rsid w:val="00894A46"/>
    <w:rsid w:val="00894D98"/>
    <w:rsid w:val="00896575"/>
    <w:rsid w:val="00896882"/>
    <w:rsid w:val="00897C5E"/>
    <w:rsid w:val="008A01E9"/>
    <w:rsid w:val="008A08D6"/>
    <w:rsid w:val="008A0E6B"/>
    <w:rsid w:val="008A1726"/>
    <w:rsid w:val="008A36A3"/>
    <w:rsid w:val="008A373D"/>
    <w:rsid w:val="008A3741"/>
    <w:rsid w:val="008A3A6F"/>
    <w:rsid w:val="008A3C33"/>
    <w:rsid w:val="008A3EF1"/>
    <w:rsid w:val="008A418B"/>
    <w:rsid w:val="008A422A"/>
    <w:rsid w:val="008A656A"/>
    <w:rsid w:val="008A67D0"/>
    <w:rsid w:val="008A6940"/>
    <w:rsid w:val="008A79BC"/>
    <w:rsid w:val="008A7B3F"/>
    <w:rsid w:val="008B041F"/>
    <w:rsid w:val="008B06B8"/>
    <w:rsid w:val="008B14C7"/>
    <w:rsid w:val="008B155A"/>
    <w:rsid w:val="008B21DF"/>
    <w:rsid w:val="008B27A9"/>
    <w:rsid w:val="008B44E0"/>
    <w:rsid w:val="008B4753"/>
    <w:rsid w:val="008B4994"/>
    <w:rsid w:val="008B4B3A"/>
    <w:rsid w:val="008B5A6D"/>
    <w:rsid w:val="008B5ECF"/>
    <w:rsid w:val="008B6169"/>
    <w:rsid w:val="008B62BF"/>
    <w:rsid w:val="008B6661"/>
    <w:rsid w:val="008B66FA"/>
    <w:rsid w:val="008B6BBE"/>
    <w:rsid w:val="008B7050"/>
    <w:rsid w:val="008B73B5"/>
    <w:rsid w:val="008B7CB3"/>
    <w:rsid w:val="008C0FFA"/>
    <w:rsid w:val="008C36D7"/>
    <w:rsid w:val="008C3E5C"/>
    <w:rsid w:val="008C4799"/>
    <w:rsid w:val="008C60D8"/>
    <w:rsid w:val="008C6A84"/>
    <w:rsid w:val="008C6BA6"/>
    <w:rsid w:val="008C77F9"/>
    <w:rsid w:val="008C7930"/>
    <w:rsid w:val="008D02EB"/>
    <w:rsid w:val="008D0D0B"/>
    <w:rsid w:val="008D0EA0"/>
    <w:rsid w:val="008D0F79"/>
    <w:rsid w:val="008D125D"/>
    <w:rsid w:val="008D2428"/>
    <w:rsid w:val="008D2AEC"/>
    <w:rsid w:val="008D315C"/>
    <w:rsid w:val="008D4BDB"/>
    <w:rsid w:val="008D54C2"/>
    <w:rsid w:val="008D5B4C"/>
    <w:rsid w:val="008D64A2"/>
    <w:rsid w:val="008D6F6B"/>
    <w:rsid w:val="008D7317"/>
    <w:rsid w:val="008D77F0"/>
    <w:rsid w:val="008E2A4B"/>
    <w:rsid w:val="008E3EB6"/>
    <w:rsid w:val="008E4566"/>
    <w:rsid w:val="008E47F8"/>
    <w:rsid w:val="008E49E5"/>
    <w:rsid w:val="008E5F4F"/>
    <w:rsid w:val="008E6B65"/>
    <w:rsid w:val="008E7E04"/>
    <w:rsid w:val="008F03A9"/>
    <w:rsid w:val="008F040E"/>
    <w:rsid w:val="008F050B"/>
    <w:rsid w:val="008F0E13"/>
    <w:rsid w:val="008F1186"/>
    <w:rsid w:val="008F140A"/>
    <w:rsid w:val="008F2738"/>
    <w:rsid w:val="008F28B7"/>
    <w:rsid w:val="008F2BB7"/>
    <w:rsid w:val="008F3099"/>
    <w:rsid w:val="008F347C"/>
    <w:rsid w:val="008F3B19"/>
    <w:rsid w:val="008F4686"/>
    <w:rsid w:val="008F55A4"/>
    <w:rsid w:val="008F5603"/>
    <w:rsid w:val="008F58FC"/>
    <w:rsid w:val="008F6749"/>
    <w:rsid w:val="008F690B"/>
    <w:rsid w:val="008F743A"/>
    <w:rsid w:val="008F7B7C"/>
    <w:rsid w:val="008F7BFC"/>
    <w:rsid w:val="00900789"/>
    <w:rsid w:val="0090082B"/>
    <w:rsid w:val="00900EC5"/>
    <w:rsid w:val="009010BD"/>
    <w:rsid w:val="00901CBF"/>
    <w:rsid w:val="009023DA"/>
    <w:rsid w:val="009036B7"/>
    <w:rsid w:val="00903C24"/>
    <w:rsid w:val="00903FF5"/>
    <w:rsid w:val="00904326"/>
    <w:rsid w:val="009047DA"/>
    <w:rsid w:val="0090523A"/>
    <w:rsid w:val="009059A1"/>
    <w:rsid w:val="00905AA5"/>
    <w:rsid w:val="00906402"/>
    <w:rsid w:val="00906A3D"/>
    <w:rsid w:val="00907AB5"/>
    <w:rsid w:val="00907BE0"/>
    <w:rsid w:val="00907C06"/>
    <w:rsid w:val="00911941"/>
    <w:rsid w:val="0091278B"/>
    <w:rsid w:val="00913444"/>
    <w:rsid w:val="0091400E"/>
    <w:rsid w:val="00914D99"/>
    <w:rsid w:val="009154F6"/>
    <w:rsid w:val="0091752B"/>
    <w:rsid w:val="00917DA9"/>
    <w:rsid w:val="00920779"/>
    <w:rsid w:val="00920D4D"/>
    <w:rsid w:val="00921220"/>
    <w:rsid w:val="00921D25"/>
    <w:rsid w:val="009225CF"/>
    <w:rsid w:val="00922650"/>
    <w:rsid w:val="009227DF"/>
    <w:rsid w:val="00922FB2"/>
    <w:rsid w:val="0092332F"/>
    <w:rsid w:val="0092369E"/>
    <w:rsid w:val="00924619"/>
    <w:rsid w:val="009247A6"/>
    <w:rsid w:val="00924B87"/>
    <w:rsid w:val="00924C1B"/>
    <w:rsid w:val="00924D68"/>
    <w:rsid w:val="00924DE7"/>
    <w:rsid w:val="00925ACB"/>
    <w:rsid w:val="0092712A"/>
    <w:rsid w:val="00930328"/>
    <w:rsid w:val="0093059B"/>
    <w:rsid w:val="00930C55"/>
    <w:rsid w:val="00931120"/>
    <w:rsid w:val="0093139B"/>
    <w:rsid w:val="0093187B"/>
    <w:rsid w:val="00932068"/>
    <w:rsid w:val="009321B0"/>
    <w:rsid w:val="009325F5"/>
    <w:rsid w:val="00932622"/>
    <w:rsid w:val="009329F4"/>
    <w:rsid w:val="009355A7"/>
    <w:rsid w:val="009376A2"/>
    <w:rsid w:val="00937737"/>
    <w:rsid w:val="00937A46"/>
    <w:rsid w:val="009406E4"/>
    <w:rsid w:val="0094075B"/>
    <w:rsid w:val="0094092E"/>
    <w:rsid w:val="00940966"/>
    <w:rsid w:val="00940CA3"/>
    <w:rsid w:val="00942D69"/>
    <w:rsid w:val="00943240"/>
    <w:rsid w:val="00943F52"/>
    <w:rsid w:val="0094437C"/>
    <w:rsid w:val="00944464"/>
    <w:rsid w:val="00944BD7"/>
    <w:rsid w:val="009457A8"/>
    <w:rsid w:val="00945987"/>
    <w:rsid w:val="00946073"/>
    <w:rsid w:val="00946CC9"/>
    <w:rsid w:val="00946EA2"/>
    <w:rsid w:val="009471B3"/>
    <w:rsid w:val="00947588"/>
    <w:rsid w:val="00947C1C"/>
    <w:rsid w:val="00947F56"/>
    <w:rsid w:val="00950149"/>
    <w:rsid w:val="009503C2"/>
    <w:rsid w:val="009503E1"/>
    <w:rsid w:val="009504D7"/>
    <w:rsid w:val="00950728"/>
    <w:rsid w:val="009511E0"/>
    <w:rsid w:val="00951945"/>
    <w:rsid w:val="0095226F"/>
    <w:rsid w:val="009522B0"/>
    <w:rsid w:val="00952E71"/>
    <w:rsid w:val="009547CA"/>
    <w:rsid w:val="00954979"/>
    <w:rsid w:val="0095571D"/>
    <w:rsid w:val="00955CF3"/>
    <w:rsid w:val="00957279"/>
    <w:rsid w:val="009579C9"/>
    <w:rsid w:val="0096022D"/>
    <w:rsid w:val="00961451"/>
    <w:rsid w:val="00961809"/>
    <w:rsid w:val="00961B6E"/>
    <w:rsid w:val="009624AA"/>
    <w:rsid w:val="009624D8"/>
    <w:rsid w:val="009625F5"/>
    <w:rsid w:val="009629A3"/>
    <w:rsid w:val="00962CD5"/>
    <w:rsid w:val="00963589"/>
    <w:rsid w:val="009644BF"/>
    <w:rsid w:val="009656B8"/>
    <w:rsid w:val="00966699"/>
    <w:rsid w:val="00966DE5"/>
    <w:rsid w:val="009677EE"/>
    <w:rsid w:val="00967DB2"/>
    <w:rsid w:val="00970A2B"/>
    <w:rsid w:val="009712A5"/>
    <w:rsid w:val="00971D96"/>
    <w:rsid w:val="00971F0A"/>
    <w:rsid w:val="00971FEE"/>
    <w:rsid w:val="00972076"/>
    <w:rsid w:val="009737F2"/>
    <w:rsid w:val="00973A76"/>
    <w:rsid w:val="00973F5F"/>
    <w:rsid w:val="0097401A"/>
    <w:rsid w:val="009740D9"/>
    <w:rsid w:val="00974346"/>
    <w:rsid w:val="009746CC"/>
    <w:rsid w:val="0097510D"/>
    <w:rsid w:val="00975BA8"/>
    <w:rsid w:val="009761DB"/>
    <w:rsid w:val="009807DE"/>
    <w:rsid w:val="00981003"/>
    <w:rsid w:val="0098113F"/>
    <w:rsid w:val="00981E96"/>
    <w:rsid w:val="00983671"/>
    <w:rsid w:val="009847B1"/>
    <w:rsid w:val="009847F9"/>
    <w:rsid w:val="00986FF8"/>
    <w:rsid w:val="00987035"/>
    <w:rsid w:val="00987881"/>
    <w:rsid w:val="00987EF1"/>
    <w:rsid w:val="00990099"/>
    <w:rsid w:val="00991509"/>
    <w:rsid w:val="009928FB"/>
    <w:rsid w:val="00992B56"/>
    <w:rsid w:val="00992CE5"/>
    <w:rsid w:val="0099329F"/>
    <w:rsid w:val="009940F9"/>
    <w:rsid w:val="00995369"/>
    <w:rsid w:val="0099545D"/>
    <w:rsid w:val="00996C43"/>
    <w:rsid w:val="009A0C84"/>
    <w:rsid w:val="009A1113"/>
    <w:rsid w:val="009A17B4"/>
    <w:rsid w:val="009A1849"/>
    <w:rsid w:val="009A20A6"/>
    <w:rsid w:val="009A221E"/>
    <w:rsid w:val="009A2881"/>
    <w:rsid w:val="009A367A"/>
    <w:rsid w:val="009A4386"/>
    <w:rsid w:val="009A5287"/>
    <w:rsid w:val="009A563A"/>
    <w:rsid w:val="009A646D"/>
    <w:rsid w:val="009A64A5"/>
    <w:rsid w:val="009A6776"/>
    <w:rsid w:val="009A6BCB"/>
    <w:rsid w:val="009A732A"/>
    <w:rsid w:val="009B0AE3"/>
    <w:rsid w:val="009B1A54"/>
    <w:rsid w:val="009B1EDA"/>
    <w:rsid w:val="009B25A8"/>
    <w:rsid w:val="009B2BDD"/>
    <w:rsid w:val="009B2E3C"/>
    <w:rsid w:val="009B383C"/>
    <w:rsid w:val="009B4442"/>
    <w:rsid w:val="009B55DC"/>
    <w:rsid w:val="009B5B2E"/>
    <w:rsid w:val="009B6D0B"/>
    <w:rsid w:val="009C1357"/>
    <w:rsid w:val="009C1B8D"/>
    <w:rsid w:val="009C1EB0"/>
    <w:rsid w:val="009C25E2"/>
    <w:rsid w:val="009C2838"/>
    <w:rsid w:val="009C2F04"/>
    <w:rsid w:val="009C41C6"/>
    <w:rsid w:val="009C4985"/>
    <w:rsid w:val="009C5595"/>
    <w:rsid w:val="009C569A"/>
    <w:rsid w:val="009C6730"/>
    <w:rsid w:val="009C6BB2"/>
    <w:rsid w:val="009C716F"/>
    <w:rsid w:val="009C7A52"/>
    <w:rsid w:val="009C7ED5"/>
    <w:rsid w:val="009D0150"/>
    <w:rsid w:val="009D02C0"/>
    <w:rsid w:val="009D03E9"/>
    <w:rsid w:val="009D1097"/>
    <w:rsid w:val="009D1EE0"/>
    <w:rsid w:val="009D2AF0"/>
    <w:rsid w:val="009D2C27"/>
    <w:rsid w:val="009D5831"/>
    <w:rsid w:val="009D5D83"/>
    <w:rsid w:val="009D6909"/>
    <w:rsid w:val="009D79E8"/>
    <w:rsid w:val="009E01E4"/>
    <w:rsid w:val="009E08EC"/>
    <w:rsid w:val="009E0A77"/>
    <w:rsid w:val="009E1087"/>
    <w:rsid w:val="009E2350"/>
    <w:rsid w:val="009E2919"/>
    <w:rsid w:val="009E4400"/>
    <w:rsid w:val="009E48B9"/>
    <w:rsid w:val="009E4FA5"/>
    <w:rsid w:val="009E51FD"/>
    <w:rsid w:val="009E7041"/>
    <w:rsid w:val="009E7637"/>
    <w:rsid w:val="009E774B"/>
    <w:rsid w:val="009F0F38"/>
    <w:rsid w:val="009F15CB"/>
    <w:rsid w:val="009F17E6"/>
    <w:rsid w:val="009F1992"/>
    <w:rsid w:val="009F2DF6"/>
    <w:rsid w:val="009F467D"/>
    <w:rsid w:val="009F506A"/>
    <w:rsid w:val="009F5969"/>
    <w:rsid w:val="009F60DB"/>
    <w:rsid w:val="009F6203"/>
    <w:rsid w:val="009F66EB"/>
    <w:rsid w:val="009F6832"/>
    <w:rsid w:val="009F69C9"/>
    <w:rsid w:val="009F7E6E"/>
    <w:rsid w:val="00A00B25"/>
    <w:rsid w:val="00A02315"/>
    <w:rsid w:val="00A02502"/>
    <w:rsid w:val="00A03A7C"/>
    <w:rsid w:val="00A03EF4"/>
    <w:rsid w:val="00A04409"/>
    <w:rsid w:val="00A0528A"/>
    <w:rsid w:val="00A05606"/>
    <w:rsid w:val="00A05743"/>
    <w:rsid w:val="00A05F4D"/>
    <w:rsid w:val="00A0680B"/>
    <w:rsid w:val="00A06DAC"/>
    <w:rsid w:val="00A07EA2"/>
    <w:rsid w:val="00A1039D"/>
    <w:rsid w:val="00A1238C"/>
    <w:rsid w:val="00A123F7"/>
    <w:rsid w:val="00A125D4"/>
    <w:rsid w:val="00A1436A"/>
    <w:rsid w:val="00A15225"/>
    <w:rsid w:val="00A15314"/>
    <w:rsid w:val="00A16277"/>
    <w:rsid w:val="00A1628C"/>
    <w:rsid w:val="00A1628F"/>
    <w:rsid w:val="00A16BD0"/>
    <w:rsid w:val="00A16D04"/>
    <w:rsid w:val="00A20705"/>
    <w:rsid w:val="00A20A52"/>
    <w:rsid w:val="00A22463"/>
    <w:rsid w:val="00A2420E"/>
    <w:rsid w:val="00A25274"/>
    <w:rsid w:val="00A25752"/>
    <w:rsid w:val="00A2642A"/>
    <w:rsid w:val="00A26638"/>
    <w:rsid w:val="00A26793"/>
    <w:rsid w:val="00A30044"/>
    <w:rsid w:val="00A30143"/>
    <w:rsid w:val="00A30B5E"/>
    <w:rsid w:val="00A31EDC"/>
    <w:rsid w:val="00A32004"/>
    <w:rsid w:val="00A320F9"/>
    <w:rsid w:val="00A321CC"/>
    <w:rsid w:val="00A32897"/>
    <w:rsid w:val="00A32F8B"/>
    <w:rsid w:val="00A33981"/>
    <w:rsid w:val="00A33D72"/>
    <w:rsid w:val="00A341E5"/>
    <w:rsid w:val="00A34D9B"/>
    <w:rsid w:val="00A36383"/>
    <w:rsid w:val="00A36D63"/>
    <w:rsid w:val="00A3759B"/>
    <w:rsid w:val="00A3776B"/>
    <w:rsid w:val="00A37C6A"/>
    <w:rsid w:val="00A4045B"/>
    <w:rsid w:val="00A4158B"/>
    <w:rsid w:val="00A416D9"/>
    <w:rsid w:val="00A4176D"/>
    <w:rsid w:val="00A41BCB"/>
    <w:rsid w:val="00A41D73"/>
    <w:rsid w:val="00A43D06"/>
    <w:rsid w:val="00A43E50"/>
    <w:rsid w:val="00A43F0C"/>
    <w:rsid w:val="00A444DE"/>
    <w:rsid w:val="00A44827"/>
    <w:rsid w:val="00A44950"/>
    <w:rsid w:val="00A453C1"/>
    <w:rsid w:val="00A4630B"/>
    <w:rsid w:val="00A478EB"/>
    <w:rsid w:val="00A47A01"/>
    <w:rsid w:val="00A51099"/>
    <w:rsid w:val="00A51197"/>
    <w:rsid w:val="00A51520"/>
    <w:rsid w:val="00A52352"/>
    <w:rsid w:val="00A525DF"/>
    <w:rsid w:val="00A52952"/>
    <w:rsid w:val="00A529B6"/>
    <w:rsid w:val="00A52CF5"/>
    <w:rsid w:val="00A52D2F"/>
    <w:rsid w:val="00A53117"/>
    <w:rsid w:val="00A53283"/>
    <w:rsid w:val="00A532CD"/>
    <w:rsid w:val="00A532EE"/>
    <w:rsid w:val="00A5364A"/>
    <w:rsid w:val="00A53A84"/>
    <w:rsid w:val="00A552CB"/>
    <w:rsid w:val="00A557B7"/>
    <w:rsid w:val="00A55985"/>
    <w:rsid w:val="00A563BC"/>
    <w:rsid w:val="00A572B9"/>
    <w:rsid w:val="00A57933"/>
    <w:rsid w:val="00A601B2"/>
    <w:rsid w:val="00A6050F"/>
    <w:rsid w:val="00A61CEB"/>
    <w:rsid w:val="00A62822"/>
    <w:rsid w:val="00A63264"/>
    <w:rsid w:val="00A644F3"/>
    <w:rsid w:val="00A65007"/>
    <w:rsid w:val="00A659B6"/>
    <w:rsid w:val="00A66498"/>
    <w:rsid w:val="00A66657"/>
    <w:rsid w:val="00A66E13"/>
    <w:rsid w:val="00A674B1"/>
    <w:rsid w:val="00A67A2E"/>
    <w:rsid w:val="00A67B4D"/>
    <w:rsid w:val="00A700A5"/>
    <w:rsid w:val="00A705EF"/>
    <w:rsid w:val="00A71284"/>
    <w:rsid w:val="00A71446"/>
    <w:rsid w:val="00A715CE"/>
    <w:rsid w:val="00A71A9C"/>
    <w:rsid w:val="00A761E2"/>
    <w:rsid w:val="00A762A2"/>
    <w:rsid w:val="00A7634B"/>
    <w:rsid w:val="00A76687"/>
    <w:rsid w:val="00A76C49"/>
    <w:rsid w:val="00A773BC"/>
    <w:rsid w:val="00A776DF"/>
    <w:rsid w:val="00A77F76"/>
    <w:rsid w:val="00A80227"/>
    <w:rsid w:val="00A817D8"/>
    <w:rsid w:val="00A82372"/>
    <w:rsid w:val="00A82E68"/>
    <w:rsid w:val="00A835CE"/>
    <w:rsid w:val="00A8398C"/>
    <w:rsid w:val="00A83FAC"/>
    <w:rsid w:val="00A84FC3"/>
    <w:rsid w:val="00A85F0F"/>
    <w:rsid w:val="00A8602A"/>
    <w:rsid w:val="00A867A4"/>
    <w:rsid w:val="00A879CF"/>
    <w:rsid w:val="00A91341"/>
    <w:rsid w:val="00A91422"/>
    <w:rsid w:val="00A919D2"/>
    <w:rsid w:val="00A92D2C"/>
    <w:rsid w:val="00A93D55"/>
    <w:rsid w:val="00A956BA"/>
    <w:rsid w:val="00A97081"/>
    <w:rsid w:val="00AA25E2"/>
    <w:rsid w:val="00AA30AA"/>
    <w:rsid w:val="00AA3601"/>
    <w:rsid w:val="00AA3898"/>
    <w:rsid w:val="00AA441C"/>
    <w:rsid w:val="00AA4A3A"/>
    <w:rsid w:val="00AA4A91"/>
    <w:rsid w:val="00AA5C5C"/>
    <w:rsid w:val="00AA5D12"/>
    <w:rsid w:val="00AA7BBD"/>
    <w:rsid w:val="00AB0789"/>
    <w:rsid w:val="00AB0D59"/>
    <w:rsid w:val="00AB0EDC"/>
    <w:rsid w:val="00AB1F24"/>
    <w:rsid w:val="00AB230C"/>
    <w:rsid w:val="00AB2596"/>
    <w:rsid w:val="00AB27A3"/>
    <w:rsid w:val="00AB27DE"/>
    <w:rsid w:val="00AB2FFE"/>
    <w:rsid w:val="00AB30A9"/>
    <w:rsid w:val="00AB3A4B"/>
    <w:rsid w:val="00AB4CEE"/>
    <w:rsid w:val="00AB546E"/>
    <w:rsid w:val="00AB5575"/>
    <w:rsid w:val="00AB5CDA"/>
    <w:rsid w:val="00AB6086"/>
    <w:rsid w:val="00AB6864"/>
    <w:rsid w:val="00AB7B2F"/>
    <w:rsid w:val="00AC24C0"/>
    <w:rsid w:val="00AC2728"/>
    <w:rsid w:val="00AC402F"/>
    <w:rsid w:val="00AC45DD"/>
    <w:rsid w:val="00AC48E2"/>
    <w:rsid w:val="00AC496D"/>
    <w:rsid w:val="00AC4CF3"/>
    <w:rsid w:val="00AC50A1"/>
    <w:rsid w:val="00AC5209"/>
    <w:rsid w:val="00AC5C3E"/>
    <w:rsid w:val="00AC61DC"/>
    <w:rsid w:val="00AC6204"/>
    <w:rsid w:val="00AC620D"/>
    <w:rsid w:val="00AC6737"/>
    <w:rsid w:val="00AC67F9"/>
    <w:rsid w:val="00AC6D0B"/>
    <w:rsid w:val="00AC6E55"/>
    <w:rsid w:val="00AD0448"/>
    <w:rsid w:val="00AD0BD5"/>
    <w:rsid w:val="00AD11D9"/>
    <w:rsid w:val="00AD2085"/>
    <w:rsid w:val="00AD2850"/>
    <w:rsid w:val="00AD37CF"/>
    <w:rsid w:val="00AD4591"/>
    <w:rsid w:val="00AD48D2"/>
    <w:rsid w:val="00AD5581"/>
    <w:rsid w:val="00AD5EDC"/>
    <w:rsid w:val="00AD699A"/>
    <w:rsid w:val="00AD69C3"/>
    <w:rsid w:val="00AD72B4"/>
    <w:rsid w:val="00AD7528"/>
    <w:rsid w:val="00AE064E"/>
    <w:rsid w:val="00AE1451"/>
    <w:rsid w:val="00AE1C04"/>
    <w:rsid w:val="00AE2079"/>
    <w:rsid w:val="00AE29C5"/>
    <w:rsid w:val="00AE29E8"/>
    <w:rsid w:val="00AE2F8A"/>
    <w:rsid w:val="00AE3764"/>
    <w:rsid w:val="00AE3C5C"/>
    <w:rsid w:val="00AE7593"/>
    <w:rsid w:val="00AE7758"/>
    <w:rsid w:val="00AF009F"/>
    <w:rsid w:val="00AF0265"/>
    <w:rsid w:val="00AF0442"/>
    <w:rsid w:val="00AF21BA"/>
    <w:rsid w:val="00AF2AAE"/>
    <w:rsid w:val="00AF2AEE"/>
    <w:rsid w:val="00AF2B4E"/>
    <w:rsid w:val="00AF38A5"/>
    <w:rsid w:val="00AF3CA2"/>
    <w:rsid w:val="00AF5386"/>
    <w:rsid w:val="00AF596A"/>
    <w:rsid w:val="00AF5A09"/>
    <w:rsid w:val="00AF5C0D"/>
    <w:rsid w:val="00AF5DB8"/>
    <w:rsid w:val="00AF67D7"/>
    <w:rsid w:val="00AF68D2"/>
    <w:rsid w:val="00AF7797"/>
    <w:rsid w:val="00AF7A20"/>
    <w:rsid w:val="00B0017D"/>
    <w:rsid w:val="00B005C2"/>
    <w:rsid w:val="00B00986"/>
    <w:rsid w:val="00B00CEB"/>
    <w:rsid w:val="00B00D9D"/>
    <w:rsid w:val="00B0164B"/>
    <w:rsid w:val="00B02B5D"/>
    <w:rsid w:val="00B03875"/>
    <w:rsid w:val="00B04299"/>
    <w:rsid w:val="00B04963"/>
    <w:rsid w:val="00B0528A"/>
    <w:rsid w:val="00B0567C"/>
    <w:rsid w:val="00B056BD"/>
    <w:rsid w:val="00B06792"/>
    <w:rsid w:val="00B0707C"/>
    <w:rsid w:val="00B07DBE"/>
    <w:rsid w:val="00B107AC"/>
    <w:rsid w:val="00B1082D"/>
    <w:rsid w:val="00B109B4"/>
    <w:rsid w:val="00B12C72"/>
    <w:rsid w:val="00B13107"/>
    <w:rsid w:val="00B1330F"/>
    <w:rsid w:val="00B13938"/>
    <w:rsid w:val="00B14065"/>
    <w:rsid w:val="00B144D1"/>
    <w:rsid w:val="00B14E01"/>
    <w:rsid w:val="00B152B1"/>
    <w:rsid w:val="00B1767B"/>
    <w:rsid w:val="00B20097"/>
    <w:rsid w:val="00B209EA"/>
    <w:rsid w:val="00B20FA4"/>
    <w:rsid w:val="00B24CAB"/>
    <w:rsid w:val="00B24E82"/>
    <w:rsid w:val="00B27EE6"/>
    <w:rsid w:val="00B3069A"/>
    <w:rsid w:val="00B3069C"/>
    <w:rsid w:val="00B30B4D"/>
    <w:rsid w:val="00B3170F"/>
    <w:rsid w:val="00B317B7"/>
    <w:rsid w:val="00B318C6"/>
    <w:rsid w:val="00B31AF8"/>
    <w:rsid w:val="00B31EF0"/>
    <w:rsid w:val="00B3257C"/>
    <w:rsid w:val="00B3340A"/>
    <w:rsid w:val="00B34ABB"/>
    <w:rsid w:val="00B356C1"/>
    <w:rsid w:val="00B35C7E"/>
    <w:rsid w:val="00B36145"/>
    <w:rsid w:val="00B36529"/>
    <w:rsid w:val="00B370AB"/>
    <w:rsid w:val="00B402EF"/>
    <w:rsid w:val="00B403C5"/>
    <w:rsid w:val="00B40ED1"/>
    <w:rsid w:val="00B41D84"/>
    <w:rsid w:val="00B41E18"/>
    <w:rsid w:val="00B422DC"/>
    <w:rsid w:val="00B4250A"/>
    <w:rsid w:val="00B4298F"/>
    <w:rsid w:val="00B42A8F"/>
    <w:rsid w:val="00B43325"/>
    <w:rsid w:val="00B433FB"/>
    <w:rsid w:val="00B43E9B"/>
    <w:rsid w:val="00B4437E"/>
    <w:rsid w:val="00B4576E"/>
    <w:rsid w:val="00B45B4F"/>
    <w:rsid w:val="00B45EC0"/>
    <w:rsid w:val="00B46E27"/>
    <w:rsid w:val="00B471B6"/>
    <w:rsid w:val="00B47B5A"/>
    <w:rsid w:val="00B501AF"/>
    <w:rsid w:val="00B50426"/>
    <w:rsid w:val="00B50595"/>
    <w:rsid w:val="00B5113A"/>
    <w:rsid w:val="00B51974"/>
    <w:rsid w:val="00B544EE"/>
    <w:rsid w:val="00B54709"/>
    <w:rsid w:val="00B55654"/>
    <w:rsid w:val="00B56219"/>
    <w:rsid w:val="00B562BD"/>
    <w:rsid w:val="00B5640A"/>
    <w:rsid w:val="00B5675B"/>
    <w:rsid w:val="00B56A31"/>
    <w:rsid w:val="00B56F56"/>
    <w:rsid w:val="00B575F4"/>
    <w:rsid w:val="00B57965"/>
    <w:rsid w:val="00B61459"/>
    <w:rsid w:val="00B62556"/>
    <w:rsid w:val="00B63AD7"/>
    <w:rsid w:val="00B63B44"/>
    <w:rsid w:val="00B63D84"/>
    <w:rsid w:val="00B63FE7"/>
    <w:rsid w:val="00B64058"/>
    <w:rsid w:val="00B64425"/>
    <w:rsid w:val="00B6501F"/>
    <w:rsid w:val="00B664B6"/>
    <w:rsid w:val="00B66828"/>
    <w:rsid w:val="00B66D4B"/>
    <w:rsid w:val="00B66E22"/>
    <w:rsid w:val="00B67CAE"/>
    <w:rsid w:val="00B67DD1"/>
    <w:rsid w:val="00B703B3"/>
    <w:rsid w:val="00B710E1"/>
    <w:rsid w:val="00B7147F"/>
    <w:rsid w:val="00B71CFF"/>
    <w:rsid w:val="00B72C0A"/>
    <w:rsid w:val="00B72F2B"/>
    <w:rsid w:val="00B73E7F"/>
    <w:rsid w:val="00B75886"/>
    <w:rsid w:val="00B75906"/>
    <w:rsid w:val="00B76B3C"/>
    <w:rsid w:val="00B772B3"/>
    <w:rsid w:val="00B8057B"/>
    <w:rsid w:val="00B811B5"/>
    <w:rsid w:val="00B81C28"/>
    <w:rsid w:val="00B82456"/>
    <w:rsid w:val="00B82460"/>
    <w:rsid w:val="00B832E1"/>
    <w:rsid w:val="00B83E2C"/>
    <w:rsid w:val="00B84011"/>
    <w:rsid w:val="00B854A8"/>
    <w:rsid w:val="00B85D0D"/>
    <w:rsid w:val="00B869DA"/>
    <w:rsid w:val="00B86B70"/>
    <w:rsid w:val="00B87BA1"/>
    <w:rsid w:val="00B87CEB"/>
    <w:rsid w:val="00B90529"/>
    <w:rsid w:val="00B90BDB"/>
    <w:rsid w:val="00B918AD"/>
    <w:rsid w:val="00B92678"/>
    <w:rsid w:val="00B92C44"/>
    <w:rsid w:val="00B93B11"/>
    <w:rsid w:val="00B93BB8"/>
    <w:rsid w:val="00B94999"/>
    <w:rsid w:val="00B95FA2"/>
    <w:rsid w:val="00B969B7"/>
    <w:rsid w:val="00B9797D"/>
    <w:rsid w:val="00BA0259"/>
    <w:rsid w:val="00BA0E0C"/>
    <w:rsid w:val="00BA13EB"/>
    <w:rsid w:val="00BA18DD"/>
    <w:rsid w:val="00BA1A5C"/>
    <w:rsid w:val="00BA23A3"/>
    <w:rsid w:val="00BA264F"/>
    <w:rsid w:val="00BA26BB"/>
    <w:rsid w:val="00BA2BFD"/>
    <w:rsid w:val="00BA3044"/>
    <w:rsid w:val="00BA3F29"/>
    <w:rsid w:val="00BA41D6"/>
    <w:rsid w:val="00BA4EF6"/>
    <w:rsid w:val="00BA56A2"/>
    <w:rsid w:val="00BA6050"/>
    <w:rsid w:val="00BA615C"/>
    <w:rsid w:val="00BA6A3A"/>
    <w:rsid w:val="00BA6C66"/>
    <w:rsid w:val="00BA7AD3"/>
    <w:rsid w:val="00BB1811"/>
    <w:rsid w:val="00BB3AE2"/>
    <w:rsid w:val="00BB5250"/>
    <w:rsid w:val="00BB732D"/>
    <w:rsid w:val="00BC0E25"/>
    <w:rsid w:val="00BC1676"/>
    <w:rsid w:val="00BC1A14"/>
    <w:rsid w:val="00BC2192"/>
    <w:rsid w:val="00BC400E"/>
    <w:rsid w:val="00BC50D2"/>
    <w:rsid w:val="00BC560A"/>
    <w:rsid w:val="00BC59A7"/>
    <w:rsid w:val="00BC606D"/>
    <w:rsid w:val="00BC6607"/>
    <w:rsid w:val="00BC6BBA"/>
    <w:rsid w:val="00BD03F1"/>
    <w:rsid w:val="00BD0959"/>
    <w:rsid w:val="00BD0BAE"/>
    <w:rsid w:val="00BD1408"/>
    <w:rsid w:val="00BD1C72"/>
    <w:rsid w:val="00BD259C"/>
    <w:rsid w:val="00BD27EF"/>
    <w:rsid w:val="00BD34FD"/>
    <w:rsid w:val="00BD3F94"/>
    <w:rsid w:val="00BD409C"/>
    <w:rsid w:val="00BD51BD"/>
    <w:rsid w:val="00BD51DF"/>
    <w:rsid w:val="00BD5C64"/>
    <w:rsid w:val="00BD6038"/>
    <w:rsid w:val="00BD73F6"/>
    <w:rsid w:val="00BD7D8E"/>
    <w:rsid w:val="00BE003B"/>
    <w:rsid w:val="00BE0AA1"/>
    <w:rsid w:val="00BE0D65"/>
    <w:rsid w:val="00BE0D81"/>
    <w:rsid w:val="00BE129B"/>
    <w:rsid w:val="00BE1979"/>
    <w:rsid w:val="00BE2102"/>
    <w:rsid w:val="00BE380C"/>
    <w:rsid w:val="00BE40E2"/>
    <w:rsid w:val="00BE582D"/>
    <w:rsid w:val="00BE625F"/>
    <w:rsid w:val="00BE6639"/>
    <w:rsid w:val="00BE70CA"/>
    <w:rsid w:val="00BF0073"/>
    <w:rsid w:val="00BF041A"/>
    <w:rsid w:val="00BF080C"/>
    <w:rsid w:val="00BF0CD5"/>
    <w:rsid w:val="00BF20B7"/>
    <w:rsid w:val="00BF22F1"/>
    <w:rsid w:val="00BF2347"/>
    <w:rsid w:val="00BF2606"/>
    <w:rsid w:val="00BF30AC"/>
    <w:rsid w:val="00BF33BB"/>
    <w:rsid w:val="00BF38F0"/>
    <w:rsid w:val="00BF4916"/>
    <w:rsid w:val="00BF5CBF"/>
    <w:rsid w:val="00BF63D9"/>
    <w:rsid w:val="00BF7CF6"/>
    <w:rsid w:val="00C00635"/>
    <w:rsid w:val="00C00B2E"/>
    <w:rsid w:val="00C02BC3"/>
    <w:rsid w:val="00C0359F"/>
    <w:rsid w:val="00C035B0"/>
    <w:rsid w:val="00C036C7"/>
    <w:rsid w:val="00C04508"/>
    <w:rsid w:val="00C04856"/>
    <w:rsid w:val="00C05B9F"/>
    <w:rsid w:val="00C05E28"/>
    <w:rsid w:val="00C05FEE"/>
    <w:rsid w:val="00C06D7A"/>
    <w:rsid w:val="00C07DB2"/>
    <w:rsid w:val="00C10739"/>
    <w:rsid w:val="00C11047"/>
    <w:rsid w:val="00C14099"/>
    <w:rsid w:val="00C157FA"/>
    <w:rsid w:val="00C15A7F"/>
    <w:rsid w:val="00C15C02"/>
    <w:rsid w:val="00C16E7B"/>
    <w:rsid w:val="00C17AB0"/>
    <w:rsid w:val="00C17B21"/>
    <w:rsid w:val="00C20768"/>
    <w:rsid w:val="00C208DA"/>
    <w:rsid w:val="00C210B8"/>
    <w:rsid w:val="00C212BB"/>
    <w:rsid w:val="00C215F3"/>
    <w:rsid w:val="00C21731"/>
    <w:rsid w:val="00C21753"/>
    <w:rsid w:val="00C21F3E"/>
    <w:rsid w:val="00C2206D"/>
    <w:rsid w:val="00C23450"/>
    <w:rsid w:val="00C249C0"/>
    <w:rsid w:val="00C24CED"/>
    <w:rsid w:val="00C24FE3"/>
    <w:rsid w:val="00C252B3"/>
    <w:rsid w:val="00C25867"/>
    <w:rsid w:val="00C265E7"/>
    <w:rsid w:val="00C27442"/>
    <w:rsid w:val="00C27E76"/>
    <w:rsid w:val="00C310A8"/>
    <w:rsid w:val="00C310DA"/>
    <w:rsid w:val="00C31972"/>
    <w:rsid w:val="00C31D58"/>
    <w:rsid w:val="00C32FAF"/>
    <w:rsid w:val="00C331E9"/>
    <w:rsid w:val="00C333DE"/>
    <w:rsid w:val="00C33994"/>
    <w:rsid w:val="00C3467F"/>
    <w:rsid w:val="00C34FF9"/>
    <w:rsid w:val="00C36102"/>
    <w:rsid w:val="00C3768E"/>
    <w:rsid w:val="00C40589"/>
    <w:rsid w:val="00C40AC9"/>
    <w:rsid w:val="00C40DB7"/>
    <w:rsid w:val="00C42E50"/>
    <w:rsid w:val="00C4372C"/>
    <w:rsid w:val="00C438F3"/>
    <w:rsid w:val="00C44D0E"/>
    <w:rsid w:val="00C464D8"/>
    <w:rsid w:val="00C46F64"/>
    <w:rsid w:val="00C47C85"/>
    <w:rsid w:val="00C502A2"/>
    <w:rsid w:val="00C5030C"/>
    <w:rsid w:val="00C50382"/>
    <w:rsid w:val="00C50C99"/>
    <w:rsid w:val="00C514D8"/>
    <w:rsid w:val="00C53472"/>
    <w:rsid w:val="00C53A7B"/>
    <w:rsid w:val="00C53AFB"/>
    <w:rsid w:val="00C53C2D"/>
    <w:rsid w:val="00C540CB"/>
    <w:rsid w:val="00C55006"/>
    <w:rsid w:val="00C55267"/>
    <w:rsid w:val="00C55284"/>
    <w:rsid w:val="00C552C8"/>
    <w:rsid w:val="00C55324"/>
    <w:rsid w:val="00C553D5"/>
    <w:rsid w:val="00C555EE"/>
    <w:rsid w:val="00C55B0B"/>
    <w:rsid w:val="00C55D4B"/>
    <w:rsid w:val="00C57379"/>
    <w:rsid w:val="00C57912"/>
    <w:rsid w:val="00C606F8"/>
    <w:rsid w:val="00C60867"/>
    <w:rsid w:val="00C62275"/>
    <w:rsid w:val="00C62AB5"/>
    <w:rsid w:val="00C62C79"/>
    <w:rsid w:val="00C62E3B"/>
    <w:rsid w:val="00C66753"/>
    <w:rsid w:val="00C6699E"/>
    <w:rsid w:val="00C66A2D"/>
    <w:rsid w:val="00C66FCA"/>
    <w:rsid w:val="00C6712F"/>
    <w:rsid w:val="00C6727A"/>
    <w:rsid w:val="00C70050"/>
    <w:rsid w:val="00C70799"/>
    <w:rsid w:val="00C7098A"/>
    <w:rsid w:val="00C7098C"/>
    <w:rsid w:val="00C70A60"/>
    <w:rsid w:val="00C71DAF"/>
    <w:rsid w:val="00C71FA7"/>
    <w:rsid w:val="00C72909"/>
    <w:rsid w:val="00C72E60"/>
    <w:rsid w:val="00C736C0"/>
    <w:rsid w:val="00C73AD9"/>
    <w:rsid w:val="00C73B7F"/>
    <w:rsid w:val="00C73D4D"/>
    <w:rsid w:val="00C7402D"/>
    <w:rsid w:val="00C744F4"/>
    <w:rsid w:val="00C749EA"/>
    <w:rsid w:val="00C74EA7"/>
    <w:rsid w:val="00C755F4"/>
    <w:rsid w:val="00C763EA"/>
    <w:rsid w:val="00C764E7"/>
    <w:rsid w:val="00C7689C"/>
    <w:rsid w:val="00C77CD8"/>
    <w:rsid w:val="00C8008C"/>
    <w:rsid w:val="00C828A4"/>
    <w:rsid w:val="00C82FBA"/>
    <w:rsid w:val="00C83679"/>
    <w:rsid w:val="00C84E9D"/>
    <w:rsid w:val="00C850E7"/>
    <w:rsid w:val="00C8666B"/>
    <w:rsid w:val="00C906E1"/>
    <w:rsid w:val="00C90961"/>
    <w:rsid w:val="00C90CBA"/>
    <w:rsid w:val="00C90F3C"/>
    <w:rsid w:val="00C9120D"/>
    <w:rsid w:val="00C915C4"/>
    <w:rsid w:val="00C91F1D"/>
    <w:rsid w:val="00C92088"/>
    <w:rsid w:val="00C926DA"/>
    <w:rsid w:val="00C93318"/>
    <w:rsid w:val="00C93645"/>
    <w:rsid w:val="00C94FF0"/>
    <w:rsid w:val="00C9536E"/>
    <w:rsid w:val="00C9587F"/>
    <w:rsid w:val="00C963FC"/>
    <w:rsid w:val="00C977F0"/>
    <w:rsid w:val="00C97C45"/>
    <w:rsid w:val="00C97D88"/>
    <w:rsid w:val="00CA038A"/>
    <w:rsid w:val="00CA06E1"/>
    <w:rsid w:val="00CA0FA2"/>
    <w:rsid w:val="00CA1334"/>
    <w:rsid w:val="00CA1DBE"/>
    <w:rsid w:val="00CA33A0"/>
    <w:rsid w:val="00CA51BF"/>
    <w:rsid w:val="00CA5361"/>
    <w:rsid w:val="00CA5616"/>
    <w:rsid w:val="00CA57C1"/>
    <w:rsid w:val="00CA5E1F"/>
    <w:rsid w:val="00CA653A"/>
    <w:rsid w:val="00CA69F9"/>
    <w:rsid w:val="00CA733A"/>
    <w:rsid w:val="00CA7402"/>
    <w:rsid w:val="00CA785D"/>
    <w:rsid w:val="00CA78B1"/>
    <w:rsid w:val="00CB1EEF"/>
    <w:rsid w:val="00CB2583"/>
    <w:rsid w:val="00CB3638"/>
    <w:rsid w:val="00CB402C"/>
    <w:rsid w:val="00CB4190"/>
    <w:rsid w:val="00CB4E0C"/>
    <w:rsid w:val="00CB4EE9"/>
    <w:rsid w:val="00CB5519"/>
    <w:rsid w:val="00CB5EEE"/>
    <w:rsid w:val="00CB7004"/>
    <w:rsid w:val="00CB72E8"/>
    <w:rsid w:val="00CB7A44"/>
    <w:rsid w:val="00CC0059"/>
    <w:rsid w:val="00CC00A3"/>
    <w:rsid w:val="00CC0AD1"/>
    <w:rsid w:val="00CC0B00"/>
    <w:rsid w:val="00CC0B67"/>
    <w:rsid w:val="00CC0D6F"/>
    <w:rsid w:val="00CC116A"/>
    <w:rsid w:val="00CC2AD7"/>
    <w:rsid w:val="00CC31FD"/>
    <w:rsid w:val="00CC321F"/>
    <w:rsid w:val="00CC460C"/>
    <w:rsid w:val="00CC47E3"/>
    <w:rsid w:val="00CC57EF"/>
    <w:rsid w:val="00CC63D3"/>
    <w:rsid w:val="00CD1180"/>
    <w:rsid w:val="00CD19E4"/>
    <w:rsid w:val="00CD2142"/>
    <w:rsid w:val="00CD2860"/>
    <w:rsid w:val="00CD2E50"/>
    <w:rsid w:val="00CD3C4B"/>
    <w:rsid w:val="00CD3C71"/>
    <w:rsid w:val="00CD3DFF"/>
    <w:rsid w:val="00CD43E4"/>
    <w:rsid w:val="00CD4C90"/>
    <w:rsid w:val="00CD6E1B"/>
    <w:rsid w:val="00CD6ED6"/>
    <w:rsid w:val="00CD732E"/>
    <w:rsid w:val="00CE08CF"/>
    <w:rsid w:val="00CE198D"/>
    <w:rsid w:val="00CE2AEF"/>
    <w:rsid w:val="00CE3153"/>
    <w:rsid w:val="00CE4599"/>
    <w:rsid w:val="00CE473E"/>
    <w:rsid w:val="00CE5533"/>
    <w:rsid w:val="00CE553C"/>
    <w:rsid w:val="00CE66F1"/>
    <w:rsid w:val="00CE7119"/>
    <w:rsid w:val="00CE77CE"/>
    <w:rsid w:val="00CF0715"/>
    <w:rsid w:val="00CF0768"/>
    <w:rsid w:val="00CF0EC0"/>
    <w:rsid w:val="00CF1324"/>
    <w:rsid w:val="00CF1D4C"/>
    <w:rsid w:val="00CF1E98"/>
    <w:rsid w:val="00CF20BE"/>
    <w:rsid w:val="00CF21D0"/>
    <w:rsid w:val="00CF2418"/>
    <w:rsid w:val="00CF2597"/>
    <w:rsid w:val="00CF4788"/>
    <w:rsid w:val="00CF49DC"/>
    <w:rsid w:val="00CF6051"/>
    <w:rsid w:val="00CF69A9"/>
    <w:rsid w:val="00CF736E"/>
    <w:rsid w:val="00CF7389"/>
    <w:rsid w:val="00CF77B7"/>
    <w:rsid w:val="00D01399"/>
    <w:rsid w:val="00D01DAF"/>
    <w:rsid w:val="00D020C8"/>
    <w:rsid w:val="00D02CF3"/>
    <w:rsid w:val="00D04E3B"/>
    <w:rsid w:val="00D06651"/>
    <w:rsid w:val="00D06B1C"/>
    <w:rsid w:val="00D107EB"/>
    <w:rsid w:val="00D11727"/>
    <w:rsid w:val="00D11E08"/>
    <w:rsid w:val="00D11E58"/>
    <w:rsid w:val="00D1274E"/>
    <w:rsid w:val="00D12CD5"/>
    <w:rsid w:val="00D12F37"/>
    <w:rsid w:val="00D131E0"/>
    <w:rsid w:val="00D13ABA"/>
    <w:rsid w:val="00D13EEC"/>
    <w:rsid w:val="00D1420A"/>
    <w:rsid w:val="00D14737"/>
    <w:rsid w:val="00D1488F"/>
    <w:rsid w:val="00D1493B"/>
    <w:rsid w:val="00D14B46"/>
    <w:rsid w:val="00D15547"/>
    <w:rsid w:val="00D17E16"/>
    <w:rsid w:val="00D20553"/>
    <w:rsid w:val="00D20701"/>
    <w:rsid w:val="00D20B4A"/>
    <w:rsid w:val="00D221C3"/>
    <w:rsid w:val="00D22BF9"/>
    <w:rsid w:val="00D23E7A"/>
    <w:rsid w:val="00D24E08"/>
    <w:rsid w:val="00D26115"/>
    <w:rsid w:val="00D26E5C"/>
    <w:rsid w:val="00D2737D"/>
    <w:rsid w:val="00D27488"/>
    <w:rsid w:val="00D27528"/>
    <w:rsid w:val="00D27A56"/>
    <w:rsid w:val="00D308FA"/>
    <w:rsid w:val="00D30ACC"/>
    <w:rsid w:val="00D31500"/>
    <w:rsid w:val="00D31820"/>
    <w:rsid w:val="00D32FA1"/>
    <w:rsid w:val="00D33BA7"/>
    <w:rsid w:val="00D34634"/>
    <w:rsid w:val="00D3540A"/>
    <w:rsid w:val="00D35B27"/>
    <w:rsid w:val="00D35CD8"/>
    <w:rsid w:val="00D364FC"/>
    <w:rsid w:val="00D3694C"/>
    <w:rsid w:val="00D37AB6"/>
    <w:rsid w:val="00D37C79"/>
    <w:rsid w:val="00D37D92"/>
    <w:rsid w:val="00D37F43"/>
    <w:rsid w:val="00D40628"/>
    <w:rsid w:val="00D40BF9"/>
    <w:rsid w:val="00D41C9B"/>
    <w:rsid w:val="00D420A7"/>
    <w:rsid w:val="00D42DB2"/>
    <w:rsid w:val="00D45016"/>
    <w:rsid w:val="00D459D0"/>
    <w:rsid w:val="00D47B88"/>
    <w:rsid w:val="00D501A1"/>
    <w:rsid w:val="00D533BE"/>
    <w:rsid w:val="00D53731"/>
    <w:rsid w:val="00D53E62"/>
    <w:rsid w:val="00D542F4"/>
    <w:rsid w:val="00D546EF"/>
    <w:rsid w:val="00D553A4"/>
    <w:rsid w:val="00D55E5C"/>
    <w:rsid w:val="00D571EB"/>
    <w:rsid w:val="00D57718"/>
    <w:rsid w:val="00D604E7"/>
    <w:rsid w:val="00D6055A"/>
    <w:rsid w:val="00D62418"/>
    <w:rsid w:val="00D6367A"/>
    <w:rsid w:val="00D63C25"/>
    <w:rsid w:val="00D63E38"/>
    <w:rsid w:val="00D6417C"/>
    <w:rsid w:val="00D6417F"/>
    <w:rsid w:val="00D64213"/>
    <w:rsid w:val="00D6449B"/>
    <w:rsid w:val="00D6454D"/>
    <w:rsid w:val="00D64E55"/>
    <w:rsid w:val="00D656CC"/>
    <w:rsid w:val="00D65994"/>
    <w:rsid w:val="00D65EF7"/>
    <w:rsid w:val="00D6637B"/>
    <w:rsid w:val="00D6694A"/>
    <w:rsid w:val="00D672CA"/>
    <w:rsid w:val="00D70FEA"/>
    <w:rsid w:val="00D721A2"/>
    <w:rsid w:val="00D7234C"/>
    <w:rsid w:val="00D72AA4"/>
    <w:rsid w:val="00D733F5"/>
    <w:rsid w:val="00D745E6"/>
    <w:rsid w:val="00D7468C"/>
    <w:rsid w:val="00D755D3"/>
    <w:rsid w:val="00D758C6"/>
    <w:rsid w:val="00D764E0"/>
    <w:rsid w:val="00D76CE2"/>
    <w:rsid w:val="00D77263"/>
    <w:rsid w:val="00D77C9F"/>
    <w:rsid w:val="00D77E61"/>
    <w:rsid w:val="00D807FF"/>
    <w:rsid w:val="00D811CB"/>
    <w:rsid w:val="00D81B9E"/>
    <w:rsid w:val="00D82B37"/>
    <w:rsid w:val="00D83BE9"/>
    <w:rsid w:val="00D83BEC"/>
    <w:rsid w:val="00D84627"/>
    <w:rsid w:val="00D85E72"/>
    <w:rsid w:val="00D865AA"/>
    <w:rsid w:val="00D874A5"/>
    <w:rsid w:val="00D87B4D"/>
    <w:rsid w:val="00D9169F"/>
    <w:rsid w:val="00D925A9"/>
    <w:rsid w:val="00D93699"/>
    <w:rsid w:val="00D9395A"/>
    <w:rsid w:val="00D93A6E"/>
    <w:rsid w:val="00D93AE0"/>
    <w:rsid w:val="00D9400C"/>
    <w:rsid w:val="00D95278"/>
    <w:rsid w:val="00D95C58"/>
    <w:rsid w:val="00D95DE0"/>
    <w:rsid w:val="00D960E8"/>
    <w:rsid w:val="00D97435"/>
    <w:rsid w:val="00D9745C"/>
    <w:rsid w:val="00DA28FC"/>
    <w:rsid w:val="00DA3122"/>
    <w:rsid w:val="00DA3D51"/>
    <w:rsid w:val="00DA4389"/>
    <w:rsid w:val="00DA55DF"/>
    <w:rsid w:val="00DA57E1"/>
    <w:rsid w:val="00DA5B48"/>
    <w:rsid w:val="00DA5D95"/>
    <w:rsid w:val="00DA60A4"/>
    <w:rsid w:val="00DA686B"/>
    <w:rsid w:val="00DA78BA"/>
    <w:rsid w:val="00DA7FA0"/>
    <w:rsid w:val="00DB17DE"/>
    <w:rsid w:val="00DB1941"/>
    <w:rsid w:val="00DB1EAF"/>
    <w:rsid w:val="00DB32D9"/>
    <w:rsid w:val="00DB355F"/>
    <w:rsid w:val="00DB3B7E"/>
    <w:rsid w:val="00DB41BD"/>
    <w:rsid w:val="00DB5393"/>
    <w:rsid w:val="00DB5D1A"/>
    <w:rsid w:val="00DB5D71"/>
    <w:rsid w:val="00DB617E"/>
    <w:rsid w:val="00DB6794"/>
    <w:rsid w:val="00DB679B"/>
    <w:rsid w:val="00DB7167"/>
    <w:rsid w:val="00DB7BA7"/>
    <w:rsid w:val="00DB7D65"/>
    <w:rsid w:val="00DC0707"/>
    <w:rsid w:val="00DC0A33"/>
    <w:rsid w:val="00DC0FCD"/>
    <w:rsid w:val="00DC0FF6"/>
    <w:rsid w:val="00DC1A15"/>
    <w:rsid w:val="00DC24E9"/>
    <w:rsid w:val="00DC269F"/>
    <w:rsid w:val="00DC2C96"/>
    <w:rsid w:val="00DC31FE"/>
    <w:rsid w:val="00DC35F6"/>
    <w:rsid w:val="00DC40D8"/>
    <w:rsid w:val="00DC45E5"/>
    <w:rsid w:val="00DC4A65"/>
    <w:rsid w:val="00DC4CF3"/>
    <w:rsid w:val="00DC4F2F"/>
    <w:rsid w:val="00DC4F6A"/>
    <w:rsid w:val="00DC5747"/>
    <w:rsid w:val="00DC610E"/>
    <w:rsid w:val="00DC612D"/>
    <w:rsid w:val="00DC6F9C"/>
    <w:rsid w:val="00DC7DDC"/>
    <w:rsid w:val="00DD04C8"/>
    <w:rsid w:val="00DD0AD9"/>
    <w:rsid w:val="00DD15C2"/>
    <w:rsid w:val="00DD1E81"/>
    <w:rsid w:val="00DD2207"/>
    <w:rsid w:val="00DD228D"/>
    <w:rsid w:val="00DD373B"/>
    <w:rsid w:val="00DD42B3"/>
    <w:rsid w:val="00DD4E79"/>
    <w:rsid w:val="00DD60CB"/>
    <w:rsid w:val="00DD7A34"/>
    <w:rsid w:val="00DD7C5A"/>
    <w:rsid w:val="00DE00E4"/>
    <w:rsid w:val="00DE072B"/>
    <w:rsid w:val="00DE188B"/>
    <w:rsid w:val="00DE18D3"/>
    <w:rsid w:val="00DE2E10"/>
    <w:rsid w:val="00DE37A1"/>
    <w:rsid w:val="00DE3B95"/>
    <w:rsid w:val="00DE4E42"/>
    <w:rsid w:val="00DE525E"/>
    <w:rsid w:val="00DE666A"/>
    <w:rsid w:val="00DE6A95"/>
    <w:rsid w:val="00DE7765"/>
    <w:rsid w:val="00DF0D68"/>
    <w:rsid w:val="00DF1203"/>
    <w:rsid w:val="00DF15ED"/>
    <w:rsid w:val="00DF162F"/>
    <w:rsid w:val="00DF2054"/>
    <w:rsid w:val="00DF294B"/>
    <w:rsid w:val="00DF4B04"/>
    <w:rsid w:val="00DF579D"/>
    <w:rsid w:val="00DF69B6"/>
    <w:rsid w:val="00DF6DA4"/>
    <w:rsid w:val="00DF7296"/>
    <w:rsid w:val="00DF7A5D"/>
    <w:rsid w:val="00E00434"/>
    <w:rsid w:val="00E0151B"/>
    <w:rsid w:val="00E019B8"/>
    <w:rsid w:val="00E02123"/>
    <w:rsid w:val="00E03EA4"/>
    <w:rsid w:val="00E0420F"/>
    <w:rsid w:val="00E04644"/>
    <w:rsid w:val="00E04B97"/>
    <w:rsid w:val="00E04C39"/>
    <w:rsid w:val="00E04DC9"/>
    <w:rsid w:val="00E04E20"/>
    <w:rsid w:val="00E04E2E"/>
    <w:rsid w:val="00E04F5D"/>
    <w:rsid w:val="00E0561A"/>
    <w:rsid w:val="00E05DC3"/>
    <w:rsid w:val="00E06859"/>
    <w:rsid w:val="00E07954"/>
    <w:rsid w:val="00E07966"/>
    <w:rsid w:val="00E07FDB"/>
    <w:rsid w:val="00E106AB"/>
    <w:rsid w:val="00E115C9"/>
    <w:rsid w:val="00E12392"/>
    <w:rsid w:val="00E12D23"/>
    <w:rsid w:val="00E13659"/>
    <w:rsid w:val="00E137E6"/>
    <w:rsid w:val="00E14032"/>
    <w:rsid w:val="00E1454C"/>
    <w:rsid w:val="00E14880"/>
    <w:rsid w:val="00E14FB0"/>
    <w:rsid w:val="00E153AA"/>
    <w:rsid w:val="00E1559B"/>
    <w:rsid w:val="00E15EE6"/>
    <w:rsid w:val="00E1602A"/>
    <w:rsid w:val="00E165E6"/>
    <w:rsid w:val="00E16B76"/>
    <w:rsid w:val="00E172BA"/>
    <w:rsid w:val="00E20D02"/>
    <w:rsid w:val="00E215BE"/>
    <w:rsid w:val="00E21C8E"/>
    <w:rsid w:val="00E22206"/>
    <w:rsid w:val="00E25305"/>
    <w:rsid w:val="00E25879"/>
    <w:rsid w:val="00E26057"/>
    <w:rsid w:val="00E26DD3"/>
    <w:rsid w:val="00E30D26"/>
    <w:rsid w:val="00E31E5B"/>
    <w:rsid w:val="00E331BD"/>
    <w:rsid w:val="00E33B44"/>
    <w:rsid w:val="00E34323"/>
    <w:rsid w:val="00E347B2"/>
    <w:rsid w:val="00E354BF"/>
    <w:rsid w:val="00E354E3"/>
    <w:rsid w:val="00E363BF"/>
    <w:rsid w:val="00E3673A"/>
    <w:rsid w:val="00E40E46"/>
    <w:rsid w:val="00E41A9C"/>
    <w:rsid w:val="00E429F0"/>
    <w:rsid w:val="00E42A6C"/>
    <w:rsid w:val="00E42B58"/>
    <w:rsid w:val="00E432E4"/>
    <w:rsid w:val="00E45738"/>
    <w:rsid w:val="00E45CC8"/>
    <w:rsid w:val="00E4630F"/>
    <w:rsid w:val="00E46B43"/>
    <w:rsid w:val="00E50AE1"/>
    <w:rsid w:val="00E513D1"/>
    <w:rsid w:val="00E51425"/>
    <w:rsid w:val="00E51FBE"/>
    <w:rsid w:val="00E5283B"/>
    <w:rsid w:val="00E531E4"/>
    <w:rsid w:val="00E54260"/>
    <w:rsid w:val="00E54929"/>
    <w:rsid w:val="00E55ACB"/>
    <w:rsid w:val="00E55B26"/>
    <w:rsid w:val="00E55FC5"/>
    <w:rsid w:val="00E578CF"/>
    <w:rsid w:val="00E57B6B"/>
    <w:rsid w:val="00E57CEC"/>
    <w:rsid w:val="00E60A9E"/>
    <w:rsid w:val="00E614DC"/>
    <w:rsid w:val="00E6182D"/>
    <w:rsid w:val="00E61B02"/>
    <w:rsid w:val="00E61D89"/>
    <w:rsid w:val="00E61F6B"/>
    <w:rsid w:val="00E62D23"/>
    <w:rsid w:val="00E62DA1"/>
    <w:rsid w:val="00E62E0A"/>
    <w:rsid w:val="00E63147"/>
    <w:rsid w:val="00E64F73"/>
    <w:rsid w:val="00E65CAF"/>
    <w:rsid w:val="00E6656C"/>
    <w:rsid w:val="00E67711"/>
    <w:rsid w:val="00E70136"/>
    <w:rsid w:val="00E715F5"/>
    <w:rsid w:val="00E71B90"/>
    <w:rsid w:val="00E720A6"/>
    <w:rsid w:val="00E7236C"/>
    <w:rsid w:val="00E7249E"/>
    <w:rsid w:val="00E7276B"/>
    <w:rsid w:val="00E747DE"/>
    <w:rsid w:val="00E74D2C"/>
    <w:rsid w:val="00E759CD"/>
    <w:rsid w:val="00E75C95"/>
    <w:rsid w:val="00E76225"/>
    <w:rsid w:val="00E7764D"/>
    <w:rsid w:val="00E7773E"/>
    <w:rsid w:val="00E7792C"/>
    <w:rsid w:val="00E77BAD"/>
    <w:rsid w:val="00E77FCB"/>
    <w:rsid w:val="00E80523"/>
    <w:rsid w:val="00E809DE"/>
    <w:rsid w:val="00E80A95"/>
    <w:rsid w:val="00E81358"/>
    <w:rsid w:val="00E83797"/>
    <w:rsid w:val="00E83DF5"/>
    <w:rsid w:val="00E83EDE"/>
    <w:rsid w:val="00E843C6"/>
    <w:rsid w:val="00E84574"/>
    <w:rsid w:val="00E90621"/>
    <w:rsid w:val="00E91099"/>
    <w:rsid w:val="00E917BC"/>
    <w:rsid w:val="00E917EB"/>
    <w:rsid w:val="00E91B66"/>
    <w:rsid w:val="00E92324"/>
    <w:rsid w:val="00E93CF1"/>
    <w:rsid w:val="00E944B7"/>
    <w:rsid w:val="00E94649"/>
    <w:rsid w:val="00E948AE"/>
    <w:rsid w:val="00E95197"/>
    <w:rsid w:val="00E97662"/>
    <w:rsid w:val="00E979CE"/>
    <w:rsid w:val="00EA0137"/>
    <w:rsid w:val="00EA04C2"/>
    <w:rsid w:val="00EA2220"/>
    <w:rsid w:val="00EA290C"/>
    <w:rsid w:val="00EA373F"/>
    <w:rsid w:val="00EA3FF0"/>
    <w:rsid w:val="00EA40C3"/>
    <w:rsid w:val="00EA5B0A"/>
    <w:rsid w:val="00EA5C4A"/>
    <w:rsid w:val="00EA6634"/>
    <w:rsid w:val="00EA67BA"/>
    <w:rsid w:val="00EA744B"/>
    <w:rsid w:val="00EB040F"/>
    <w:rsid w:val="00EB1FEB"/>
    <w:rsid w:val="00EB20AD"/>
    <w:rsid w:val="00EB2231"/>
    <w:rsid w:val="00EB3094"/>
    <w:rsid w:val="00EB3D0A"/>
    <w:rsid w:val="00EB41EB"/>
    <w:rsid w:val="00EB4876"/>
    <w:rsid w:val="00EB4DC3"/>
    <w:rsid w:val="00EB5065"/>
    <w:rsid w:val="00EB595A"/>
    <w:rsid w:val="00EB5FFD"/>
    <w:rsid w:val="00EB6B12"/>
    <w:rsid w:val="00EB7C59"/>
    <w:rsid w:val="00EC0947"/>
    <w:rsid w:val="00EC1767"/>
    <w:rsid w:val="00EC1B59"/>
    <w:rsid w:val="00EC1E4F"/>
    <w:rsid w:val="00EC2372"/>
    <w:rsid w:val="00EC2E2A"/>
    <w:rsid w:val="00EC36C8"/>
    <w:rsid w:val="00EC497D"/>
    <w:rsid w:val="00EC4B33"/>
    <w:rsid w:val="00EC5C18"/>
    <w:rsid w:val="00EC658B"/>
    <w:rsid w:val="00EC6D2A"/>
    <w:rsid w:val="00EC773A"/>
    <w:rsid w:val="00ED03D6"/>
    <w:rsid w:val="00ED1D25"/>
    <w:rsid w:val="00ED27F7"/>
    <w:rsid w:val="00ED2DA0"/>
    <w:rsid w:val="00ED3A33"/>
    <w:rsid w:val="00ED3D27"/>
    <w:rsid w:val="00ED4FC7"/>
    <w:rsid w:val="00ED563B"/>
    <w:rsid w:val="00ED5868"/>
    <w:rsid w:val="00ED6111"/>
    <w:rsid w:val="00ED7933"/>
    <w:rsid w:val="00ED7C43"/>
    <w:rsid w:val="00EE0A27"/>
    <w:rsid w:val="00EE1CA5"/>
    <w:rsid w:val="00EE1F09"/>
    <w:rsid w:val="00EE347D"/>
    <w:rsid w:val="00EE3648"/>
    <w:rsid w:val="00EE3EA1"/>
    <w:rsid w:val="00EE4ACC"/>
    <w:rsid w:val="00EE4EF4"/>
    <w:rsid w:val="00EE534A"/>
    <w:rsid w:val="00EE6787"/>
    <w:rsid w:val="00EE68AC"/>
    <w:rsid w:val="00EE7B2B"/>
    <w:rsid w:val="00EE7B6D"/>
    <w:rsid w:val="00EF0092"/>
    <w:rsid w:val="00EF0439"/>
    <w:rsid w:val="00EF0B07"/>
    <w:rsid w:val="00EF0DFC"/>
    <w:rsid w:val="00EF0ED4"/>
    <w:rsid w:val="00EF160B"/>
    <w:rsid w:val="00EF1C85"/>
    <w:rsid w:val="00EF285A"/>
    <w:rsid w:val="00EF2936"/>
    <w:rsid w:val="00EF3645"/>
    <w:rsid w:val="00EF3866"/>
    <w:rsid w:val="00EF3957"/>
    <w:rsid w:val="00EF59CD"/>
    <w:rsid w:val="00EF5BD3"/>
    <w:rsid w:val="00EF5F85"/>
    <w:rsid w:val="00EF6081"/>
    <w:rsid w:val="00EF636C"/>
    <w:rsid w:val="00EF6562"/>
    <w:rsid w:val="00EF66FC"/>
    <w:rsid w:val="00EF706B"/>
    <w:rsid w:val="00EF7D3F"/>
    <w:rsid w:val="00F0015E"/>
    <w:rsid w:val="00F00382"/>
    <w:rsid w:val="00F016E7"/>
    <w:rsid w:val="00F02C23"/>
    <w:rsid w:val="00F0303F"/>
    <w:rsid w:val="00F04AA8"/>
    <w:rsid w:val="00F052FD"/>
    <w:rsid w:val="00F057CC"/>
    <w:rsid w:val="00F064BD"/>
    <w:rsid w:val="00F06981"/>
    <w:rsid w:val="00F10B0F"/>
    <w:rsid w:val="00F11371"/>
    <w:rsid w:val="00F13FA2"/>
    <w:rsid w:val="00F14950"/>
    <w:rsid w:val="00F1497A"/>
    <w:rsid w:val="00F14A25"/>
    <w:rsid w:val="00F15F5B"/>
    <w:rsid w:val="00F160B7"/>
    <w:rsid w:val="00F1723B"/>
    <w:rsid w:val="00F17A0C"/>
    <w:rsid w:val="00F17D39"/>
    <w:rsid w:val="00F2062B"/>
    <w:rsid w:val="00F21CC2"/>
    <w:rsid w:val="00F21F02"/>
    <w:rsid w:val="00F220D6"/>
    <w:rsid w:val="00F2294C"/>
    <w:rsid w:val="00F22C8D"/>
    <w:rsid w:val="00F23034"/>
    <w:rsid w:val="00F230E2"/>
    <w:rsid w:val="00F23462"/>
    <w:rsid w:val="00F23ED7"/>
    <w:rsid w:val="00F24969"/>
    <w:rsid w:val="00F24B9C"/>
    <w:rsid w:val="00F24F92"/>
    <w:rsid w:val="00F2520D"/>
    <w:rsid w:val="00F26076"/>
    <w:rsid w:val="00F274BA"/>
    <w:rsid w:val="00F27617"/>
    <w:rsid w:val="00F27831"/>
    <w:rsid w:val="00F27BAB"/>
    <w:rsid w:val="00F27BDD"/>
    <w:rsid w:val="00F30084"/>
    <w:rsid w:val="00F30E17"/>
    <w:rsid w:val="00F31096"/>
    <w:rsid w:val="00F31A5C"/>
    <w:rsid w:val="00F3214F"/>
    <w:rsid w:val="00F32478"/>
    <w:rsid w:val="00F32A9D"/>
    <w:rsid w:val="00F32CD8"/>
    <w:rsid w:val="00F36544"/>
    <w:rsid w:val="00F37252"/>
    <w:rsid w:val="00F373B2"/>
    <w:rsid w:val="00F374BF"/>
    <w:rsid w:val="00F375FC"/>
    <w:rsid w:val="00F37B2B"/>
    <w:rsid w:val="00F433CD"/>
    <w:rsid w:val="00F4516D"/>
    <w:rsid w:val="00F47A58"/>
    <w:rsid w:val="00F50730"/>
    <w:rsid w:val="00F50DC8"/>
    <w:rsid w:val="00F51FD1"/>
    <w:rsid w:val="00F52140"/>
    <w:rsid w:val="00F52640"/>
    <w:rsid w:val="00F52F81"/>
    <w:rsid w:val="00F53506"/>
    <w:rsid w:val="00F5380C"/>
    <w:rsid w:val="00F53A57"/>
    <w:rsid w:val="00F54363"/>
    <w:rsid w:val="00F54744"/>
    <w:rsid w:val="00F54C8D"/>
    <w:rsid w:val="00F54D17"/>
    <w:rsid w:val="00F554E0"/>
    <w:rsid w:val="00F5566D"/>
    <w:rsid w:val="00F569CE"/>
    <w:rsid w:val="00F57614"/>
    <w:rsid w:val="00F57642"/>
    <w:rsid w:val="00F57738"/>
    <w:rsid w:val="00F57B06"/>
    <w:rsid w:val="00F6014C"/>
    <w:rsid w:val="00F60335"/>
    <w:rsid w:val="00F6176C"/>
    <w:rsid w:val="00F622B2"/>
    <w:rsid w:val="00F62300"/>
    <w:rsid w:val="00F626C7"/>
    <w:rsid w:val="00F650B6"/>
    <w:rsid w:val="00F655A6"/>
    <w:rsid w:val="00F65B3B"/>
    <w:rsid w:val="00F67292"/>
    <w:rsid w:val="00F67414"/>
    <w:rsid w:val="00F67B35"/>
    <w:rsid w:val="00F704D7"/>
    <w:rsid w:val="00F7052A"/>
    <w:rsid w:val="00F7080B"/>
    <w:rsid w:val="00F70966"/>
    <w:rsid w:val="00F70C28"/>
    <w:rsid w:val="00F70E0B"/>
    <w:rsid w:val="00F71F92"/>
    <w:rsid w:val="00F72B30"/>
    <w:rsid w:val="00F73734"/>
    <w:rsid w:val="00F73790"/>
    <w:rsid w:val="00F73AE6"/>
    <w:rsid w:val="00F74758"/>
    <w:rsid w:val="00F748B7"/>
    <w:rsid w:val="00F75285"/>
    <w:rsid w:val="00F7666E"/>
    <w:rsid w:val="00F77947"/>
    <w:rsid w:val="00F77BBF"/>
    <w:rsid w:val="00F77C3F"/>
    <w:rsid w:val="00F801B5"/>
    <w:rsid w:val="00F8035B"/>
    <w:rsid w:val="00F80755"/>
    <w:rsid w:val="00F807E1"/>
    <w:rsid w:val="00F815F3"/>
    <w:rsid w:val="00F81638"/>
    <w:rsid w:val="00F81F1A"/>
    <w:rsid w:val="00F82279"/>
    <w:rsid w:val="00F82756"/>
    <w:rsid w:val="00F82816"/>
    <w:rsid w:val="00F83FF0"/>
    <w:rsid w:val="00F84704"/>
    <w:rsid w:val="00F84BE0"/>
    <w:rsid w:val="00F857D7"/>
    <w:rsid w:val="00F86253"/>
    <w:rsid w:val="00F868BF"/>
    <w:rsid w:val="00F86B59"/>
    <w:rsid w:val="00F87060"/>
    <w:rsid w:val="00F8790C"/>
    <w:rsid w:val="00F9013A"/>
    <w:rsid w:val="00F901BE"/>
    <w:rsid w:val="00F90703"/>
    <w:rsid w:val="00F90D39"/>
    <w:rsid w:val="00F9100B"/>
    <w:rsid w:val="00F91844"/>
    <w:rsid w:val="00F92C1F"/>
    <w:rsid w:val="00F93F1F"/>
    <w:rsid w:val="00F94588"/>
    <w:rsid w:val="00F96CF6"/>
    <w:rsid w:val="00FA0C0B"/>
    <w:rsid w:val="00FA10F6"/>
    <w:rsid w:val="00FA1967"/>
    <w:rsid w:val="00FA2306"/>
    <w:rsid w:val="00FA234E"/>
    <w:rsid w:val="00FA34F6"/>
    <w:rsid w:val="00FA3F99"/>
    <w:rsid w:val="00FA4092"/>
    <w:rsid w:val="00FA41FD"/>
    <w:rsid w:val="00FA42E8"/>
    <w:rsid w:val="00FA47C7"/>
    <w:rsid w:val="00FA4BF5"/>
    <w:rsid w:val="00FA5D7F"/>
    <w:rsid w:val="00FA603E"/>
    <w:rsid w:val="00FA612A"/>
    <w:rsid w:val="00FA707D"/>
    <w:rsid w:val="00FA7AEB"/>
    <w:rsid w:val="00FB0B64"/>
    <w:rsid w:val="00FB1945"/>
    <w:rsid w:val="00FB1DB3"/>
    <w:rsid w:val="00FB200A"/>
    <w:rsid w:val="00FB213A"/>
    <w:rsid w:val="00FB2803"/>
    <w:rsid w:val="00FB364E"/>
    <w:rsid w:val="00FB3A33"/>
    <w:rsid w:val="00FB3D86"/>
    <w:rsid w:val="00FB49BE"/>
    <w:rsid w:val="00FB4E76"/>
    <w:rsid w:val="00FB58C9"/>
    <w:rsid w:val="00FB6C54"/>
    <w:rsid w:val="00FB708E"/>
    <w:rsid w:val="00FB71E8"/>
    <w:rsid w:val="00FC0447"/>
    <w:rsid w:val="00FC16B8"/>
    <w:rsid w:val="00FC1FF6"/>
    <w:rsid w:val="00FC229A"/>
    <w:rsid w:val="00FC25B9"/>
    <w:rsid w:val="00FC2E67"/>
    <w:rsid w:val="00FC31BF"/>
    <w:rsid w:val="00FC33BC"/>
    <w:rsid w:val="00FC3838"/>
    <w:rsid w:val="00FC4EDF"/>
    <w:rsid w:val="00FC5683"/>
    <w:rsid w:val="00FC5820"/>
    <w:rsid w:val="00FC5C43"/>
    <w:rsid w:val="00FC624B"/>
    <w:rsid w:val="00FD1E52"/>
    <w:rsid w:val="00FD210C"/>
    <w:rsid w:val="00FD34C0"/>
    <w:rsid w:val="00FD4032"/>
    <w:rsid w:val="00FD4202"/>
    <w:rsid w:val="00FD423F"/>
    <w:rsid w:val="00FD4F6E"/>
    <w:rsid w:val="00FD515D"/>
    <w:rsid w:val="00FD51D9"/>
    <w:rsid w:val="00FD5A05"/>
    <w:rsid w:val="00FD6406"/>
    <w:rsid w:val="00FD7084"/>
    <w:rsid w:val="00FD784B"/>
    <w:rsid w:val="00FE0348"/>
    <w:rsid w:val="00FE036A"/>
    <w:rsid w:val="00FE2826"/>
    <w:rsid w:val="00FE2A44"/>
    <w:rsid w:val="00FE347C"/>
    <w:rsid w:val="00FE35E5"/>
    <w:rsid w:val="00FE38A2"/>
    <w:rsid w:val="00FE3AE5"/>
    <w:rsid w:val="00FE45E1"/>
    <w:rsid w:val="00FE4686"/>
    <w:rsid w:val="00FE57A9"/>
    <w:rsid w:val="00FE57E0"/>
    <w:rsid w:val="00FE5E70"/>
    <w:rsid w:val="00FE6023"/>
    <w:rsid w:val="00FE6DD3"/>
    <w:rsid w:val="00FE6EC3"/>
    <w:rsid w:val="00FE7768"/>
    <w:rsid w:val="00FF0E3A"/>
    <w:rsid w:val="00FF1554"/>
    <w:rsid w:val="00FF16DE"/>
    <w:rsid w:val="00FF2475"/>
    <w:rsid w:val="00FF42DF"/>
    <w:rsid w:val="00FF44A8"/>
    <w:rsid w:val="00FF48CA"/>
    <w:rsid w:val="00FF494B"/>
    <w:rsid w:val="00FF4BCA"/>
    <w:rsid w:val="00FF59D5"/>
    <w:rsid w:val="00FF6221"/>
    <w:rsid w:val="00FF6863"/>
    <w:rsid w:val="00FF69D7"/>
    <w:rsid w:val="00FF72D4"/>
    <w:rsid w:val="00FF7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E7FB6B-087A-4551-B790-E3D8FC5A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528"/>
    <w:rPr>
      <w:rFonts w:ascii="Arial Armenian" w:hAnsi="Arial Armenian"/>
      <w:sz w:val="24"/>
      <w:szCs w:val="24"/>
    </w:rPr>
  </w:style>
  <w:style w:type="paragraph" w:styleId="1">
    <w:name w:val="heading 1"/>
    <w:basedOn w:val="a"/>
    <w:next w:val="a"/>
    <w:link w:val="10"/>
    <w:qFormat/>
    <w:pPr>
      <w:keepNext/>
      <w:overflowPunct w:val="0"/>
      <w:autoSpaceDE w:val="0"/>
      <w:autoSpaceDN w:val="0"/>
      <w:adjustRightInd w:val="0"/>
      <w:spacing w:line="480" w:lineRule="auto"/>
      <w:ind w:firstLine="720"/>
      <w:jc w:val="both"/>
      <w:textAlignment w:val="baseline"/>
      <w:outlineLvl w:val="0"/>
    </w:pPr>
    <w:rPr>
      <w:rFonts w:ascii="Times Armenian" w:hAnsi="Times Armenian"/>
      <w:b/>
      <w:i/>
      <w:sz w:val="26"/>
      <w:szCs w:val="20"/>
    </w:rPr>
  </w:style>
  <w:style w:type="paragraph" w:styleId="2">
    <w:name w:val="heading 2"/>
    <w:basedOn w:val="a"/>
    <w:next w:val="a"/>
    <w:qFormat/>
    <w:pPr>
      <w:keepNext/>
      <w:overflowPunct w:val="0"/>
      <w:autoSpaceDE w:val="0"/>
      <w:autoSpaceDN w:val="0"/>
      <w:adjustRightInd w:val="0"/>
      <w:spacing w:before="240" w:after="60"/>
      <w:textAlignment w:val="baseline"/>
      <w:outlineLvl w:val="1"/>
    </w:pPr>
    <w:rPr>
      <w:rFonts w:ascii="Arial" w:hAnsi="Arial"/>
      <w:b/>
      <w:i/>
      <w:sz w:val="28"/>
      <w:szCs w:val="20"/>
    </w:rPr>
  </w:style>
  <w:style w:type="paragraph" w:styleId="3">
    <w:name w:val="heading 3"/>
    <w:basedOn w:val="a"/>
    <w:next w:val="a"/>
    <w:qFormat/>
    <w:pPr>
      <w:keepNext/>
      <w:overflowPunct w:val="0"/>
      <w:autoSpaceDE w:val="0"/>
      <w:autoSpaceDN w:val="0"/>
      <w:adjustRightInd w:val="0"/>
      <w:spacing w:line="480" w:lineRule="auto"/>
      <w:ind w:firstLine="720"/>
      <w:jc w:val="both"/>
      <w:textAlignment w:val="baseline"/>
      <w:outlineLvl w:val="2"/>
    </w:pPr>
    <w:rPr>
      <w:rFonts w:ascii="Times Armenian" w:hAnsi="Times Armenian"/>
      <w:b/>
      <w:i/>
      <w:sz w:val="28"/>
      <w:szCs w:val="20"/>
      <w:u w:val="single"/>
    </w:rPr>
  </w:style>
  <w:style w:type="paragraph" w:styleId="4">
    <w:name w:val="heading 4"/>
    <w:basedOn w:val="a"/>
    <w:next w:val="a"/>
    <w:qFormat/>
    <w:pPr>
      <w:keepNext/>
      <w:jc w:val="center"/>
      <w:outlineLvl w:val="3"/>
    </w:pPr>
    <w:rPr>
      <w:rFonts w:ascii="Times Armenian" w:hAnsi="Times Armenian"/>
      <w:b/>
      <w:bCs/>
      <w:sz w:val="22"/>
    </w:rPr>
  </w:style>
  <w:style w:type="paragraph" w:styleId="5">
    <w:name w:val="heading 5"/>
    <w:basedOn w:val="a"/>
    <w:next w:val="a"/>
    <w:qFormat/>
    <w:pPr>
      <w:keepNext/>
      <w:spacing w:line="360" w:lineRule="auto"/>
      <w:ind w:firstLine="720"/>
      <w:jc w:val="both"/>
      <w:outlineLvl w:val="4"/>
    </w:pPr>
    <w:rPr>
      <w:rFonts w:ascii="Times Armenian" w:hAnsi="Times Armenian"/>
      <w:b/>
      <w:bCs/>
    </w:rPr>
  </w:style>
  <w:style w:type="paragraph" w:styleId="7">
    <w:name w:val="heading 7"/>
    <w:basedOn w:val="a"/>
    <w:next w:val="a"/>
    <w:qFormat/>
    <w:rsid w:val="00184E74"/>
    <w:pPr>
      <w:spacing w:before="240" w:after="60"/>
      <w:outlineLvl w:val="6"/>
    </w:pPr>
    <w:rPr>
      <w:rFonts w:ascii="Times New Roman" w:hAnsi="Times New Roman"/>
    </w:rPr>
  </w:style>
  <w:style w:type="paragraph" w:styleId="8">
    <w:name w:val="heading 8"/>
    <w:basedOn w:val="a"/>
    <w:next w:val="a"/>
    <w:link w:val="80"/>
    <w:qFormat/>
    <w:rsid w:val="00360E40"/>
    <w:pPr>
      <w:spacing w:before="240" w:after="60"/>
      <w:outlineLvl w:val="7"/>
    </w:pPr>
    <w:rPr>
      <w:rFonts w:ascii="Times New Roman" w:hAnsi="Times New Roman"/>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D02C0"/>
    <w:rPr>
      <w:rFonts w:ascii="Times Armenian" w:hAnsi="Times Armenian"/>
      <w:b/>
      <w:i/>
      <w:sz w:val="26"/>
      <w:lang w:val="en-US" w:eastAsia="en-US" w:bidi="ar-SA"/>
    </w:rPr>
  </w:style>
  <w:style w:type="character" w:customStyle="1" w:styleId="80">
    <w:name w:val="Заголовок 8 Знак"/>
    <w:link w:val="8"/>
    <w:rsid w:val="00A67B4D"/>
    <w:rPr>
      <w:i/>
      <w:iCs/>
      <w:sz w:val="24"/>
      <w:szCs w:val="24"/>
    </w:rPr>
  </w:style>
  <w:style w:type="paragraph" w:customStyle="1" w:styleId="Char">
    <w:name w:val="Char"/>
    <w:basedOn w:val="a"/>
    <w:rsid w:val="009712A5"/>
    <w:pPr>
      <w:spacing w:after="160" w:line="240" w:lineRule="exact"/>
    </w:pPr>
    <w:rPr>
      <w:rFonts w:ascii="Arial" w:hAnsi="Arial" w:cs="Arial"/>
      <w:sz w:val="20"/>
      <w:szCs w:val="20"/>
    </w:rPr>
  </w:style>
  <w:style w:type="paragraph" w:styleId="a3">
    <w:name w:val="Body Text"/>
    <w:basedOn w:val="a"/>
    <w:pPr>
      <w:overflowPunct w:val="0"/>
      <w:autoSpaceDE w:val="0"/>
      <w:autoSpaceDN w:val="0"/>
      <w:adjustRightInd w:val="0"/>
      <w:spacing w:line="360" w:lineRule="auto"/>
      <w:jc w:val="center"/>
      <w:textAlignment w:val="baseline"/>
    </w:pPr>
    <w:rPr>
      <w:rFonts w:ascii="Times Armenian" w:hAnsi="Times Armenian"/>
      <w:b/>
      <w:i/>
      <w:szCs w:val="20"/>
    </w:rPr>
  </w:style>
  <w:style w:type="paragraph" w:styleId="a4">
    <w:name w:val="footer"/>
    <w:basedOn w:val="a"/>
    <w:pPr>
      <w:tabs>
        <w:tab w:val="center" w:pos="4320"/>
        <w:tab w:val="right" w:pos="8640"/>
      </w:tabs>
      <w:overflowPunct w:val="0"/>
      <w:autoSpaceDE w:val="0"/>
      <w:autoSpaceDN w:val="0"/>
      <w:adjustRightInd w:val="0"/>
      <w:textAlignment w:val="baseline"/>
    </w:pPr>
    <w:rPr>
      <w:szCs w:val="20"/>
    </w:rPr>
  </w:style>
  <w:style w:type="character" w:styleId="a5">
    <w:name w:val="page number"/>
    <w:basedOn w:val="a0"/>
  </w:style>
  <w:style w:type="paragraph" w:styleId="20">
    <w:name w:val="Body Text 2"/>
    <w:basedOn w:val="a"/>
    <w:link w:val="21"/>
    <w:pPr>
      <w:tabs>
        <w:tab w:val="left" w:pos="1418"/>
      </w:tabs>
      <w:overflowPunct w:val="0"/>
      <w:autoSpaceDE w:val="0"/>
      <w:autoSpaceDN w:val="0"/>
      <w:adjustRightInd w:val="0"/>
      <w:spacing w:line="360" w:lineRule="auto"/>
      <w:ind w:firstLine="720"/>
      <w:jc w:val="both"/>
      <w:textAlignment w:val="baseline"/>
    </w:pPr>
    <w:rPr>
      <w:rFonts w:ascii="Times Armenian" w:hAnsi="Times Armenian"/>
      <w:sz w:val="22"/>
      <w:szCs w:val="20"/>
    </w:rPr>
  </w:style>
  <w:style w:type="character" w:customStyle="1" w:styleId="21">
    <w:name w:val="Основной текст 2 Знак"/>
    <w:link w:val="20"/>
    <w:rsid w:val="00184E74"/>
    <w:rPr>
      <w:rFonts w:ascii="Times Armenian" w:hAnsi="Times Armenian"/>
      <w:sz w:val="22"/>
      <w:lang w:val="en-US" w:eastAsia="en-US" w:bidi="ar-SA"/>
    </w:rPr>
  </w:style>
  <w:style w:type="paragraph" w:styleId="a6">
    <w:name w:val="Body Text Indent"/>
    <w:aliases w:val=" (Table Source),(Table Source)"/>
    <w:basedOn w:val="a"/>
    <w:pPr>
      <w:spacing w:line="360" w:lineRule="auto"/>
      <w:ind w:firstLine="720"/>
      <w:jc w:val="both"/>
    </w:pPr>
    <w:rPr>
      <w:rFonts w:ascii="Times Armenian" w:hAnsi="Times Armenian"/>
    </w:rPr>
  </w:style>
  <w:style w:type="paragraph" w:styleId="30">
    <w:name w:val="Body Text Indent 3"/>
    <w:basedOn w:val="a"/>
    <w:link w:val="31"/>
    <w:pPr>
      <w:spacing w:line="360" w:lineRule="auto"/>
      <w:ind w:firstLine="720"/>
      <w:jc w:val="both"/>
    </w:pPr>
    <w:rPr>
      <w:rFonts w:ascii="Times Armenian" w:hAnsi="Times Armenian"/>
    </w:rPr>
  </w:style>
  <w:style w:type="character" w:customStyle="1" w:styleId="31">
    <w:name w:val="Основной текст с отступом 3 Знак"/>
    <w:link w:val="30"/>
    <w:rsid w:val="00A67B4D"/>
    <w:rPr>
      <w:rFonts w:ascii="Times Armenian" w:hAnsi="Times Armenian"/>
      <w:sz w:val="24"/>
      <w:szCs w:val="24"/>
    </w:rPr>
  </w:style>
  <w:style w:type="paragraph" w:styleId="a7">
    <w:name w:val="header"/>
    <w:basedOn w:val="a"/>
    <w:pPr>
      <w:tabs>
        <w:tab w:val="center" w:pos="4320"/>
        <w:tab w:val="right" w:pos="8640"/>
      </w:tabs>
    </w:pPr>
    <w:rPr>
      <w:rFonts w:ascii="Times New Roman" w:hAnsi="Times New Roman"/>
    </w:rPr>
  </w:style>
  <w:style w:type="paragraph" w:styleId="a8">
    <w:name w:val="footnote text"/>
    <w:aliases w:val="fn,ADB,single space,footnote text Char,fn Char,ADB Char,single space Char Char,footnote text,FOOTNOTES Char,FOOTNOTES Char Char Char,FOOTNOTES,Footnote Text Char2 Char,Footnote Text Char1 Char Char,Footnote Text Char2 Char Char Char"/>
    <w:basedOn w:val="a"/>
    <w:link w:val="a9"/>
    <w:semiHidden/>
    <w:rPr>
      <w:sz w:val="20"/>
      <w:szCs w:val="20"/>
    </w:rPr>
  </w:style>
  <w:style w:type="character" w:customStyle="1" w:styleId="a9">
    <w:name w:val="Текст сноски Знак"/>
    <w:aliases w:val="fn Знак,ADB Знак,single space Знак,footnote text Char Знак,fn Char Знак,ADB Char Знак,single space Char Char Знак,footnote text Знак,FOOTNOTES Char Знак,FOOTNOTES Char Char Char Знак,FOOTNOTES Знак,Footnote Text Char2 Char Знак"/>
    <w:link w:val="a8"/>
    <w:rsid w:val="00360E40"/>
    <w:rPr>
      <w:rFonts w:ascii="Arial Armenian" w:hAnsi="Arial Armenian"/>
      <w:lang w:val="en-US" w:eastAsia="en-US" w:bidi="ar-SA"/>
    </w:rPr>
  </w:style>
  <w:style w:type="character" w:styleId="aa">
    <w:name w:val="footnote reference"/>
    <w:aliases w:val="ftref,Footnote Reference Number,Footnote Reference_LVL6,Footnote Reference_LVL61,Footnote Reference_LVL62,Footnote Reference_LVL63,Footnote Reference_LVL64,16 Point,Superscript 6 Point,Знак сноски-FN"/>
    <w:uiPriority w:val="99"/>
    <w:semiHidden/>
    <w:rPr>
      <w:vertAlign w:val="superscript"/>
    </w:rPr>
  </w:style>
  <w:style w:type="paragraph" w:styleId="22">
    <w:name w:val="Body Text Indent 2"/>
    <w:basedOn w:val="a"/>
    <w:pPr>
      <w:spacing w:line="360" w:lineRule="auto"/>
      <w:ind w:firstLine="720"/>
      <w:jc w:val="both"/>
    </w:pPr>
    <w:rPr>
      <w:rFonts w:ascii="Times Armenian" w:hAnsi="Times Armenian"/>
    </w:rPr>
  </w:style>
  <w:style w:type="paragraph" w:styleId="32">
    <w:name w:val="Body Text 3"/>
    <w:basedOn w:val="a"/>
    <w:link w:val="33"/>
    <w:pPr>
      <w:overflowPunct w:val="0"/>
      <w:autoSpaceDE w:val="0"/>
      <w:autoSpaceDN w:val="0"/>
      <w:adjustRightInd w:val="0"/>
      <w:spacing w:line="360" w:lineRule="auto"/>
      <w:jc w:val="both"/>
      <w:textAlignment w:val="baseline"/>
    </w:pPr>
    <w:rPr>
      <w:rFonts w:ascii="Times Armenian" w:hAnsi="Times Armenian"/>
      <w:i/>
      <w:szCs w:val="20"/>
    </w:rPr>
  </w:style>
  <w:style w:type="character" w:customStyle="1" w:styleId="33">
    <w:name w:val="Основной текст 3 Знак"/>
    <w:link w:val="32"/>
    <w:rsid w:val="00A67B4D"/>
    <w:rPr>
      <w:rFonts w:ascii="Times Armenian" w:hAnsi="Times Armenian"/>
      <w:i/>
      <w:sz w:val="24"/>
    </w:rPr>
  </w:style>
  <w:style w:type="paragraph" w:styleId="ab">
    <w:name w:val="Balloon Text"/>
    <w:basedOn w:val="a"/>
    <w:link w:val="ac"/>
    <w:uiPriority w:val="99"/>
    <w:semiHidden/>
    <w:rsid w:val="005D6DDA"/>
    <w:rPr>
      <w:rFonts w:ascii="Tahoma" w:hAnsi="Tahoma" w:cs="Tahoma"/>
      <w:sz w:val="16"/>
      <w:szCs w:val="16"/>
    </w:rPr>
  </w:style>
  <w:style w:type="character" w:customStyle="1" w:styleId="ac">
    <w:name w:val="Текст выноски Знак"/>
    <w:link w:val="ab"/>
    <w:uiPriority w:val="99"/>
    <w:semiHidden/>
    <w:rsid w:val="00A67B4D"/>
    <w:rPr>
      <w:rFonts w:ascii="Tahoma" w:hAnsi="Tahoma" w:cs="Tahoma"/>
      <w:sz w:val="16"/>
      <w:szCs w:val="16"/>
    </w:rPr>
  </w:style>
  <w:style w:type="table" w:styleId="ad">
    <w:name w:val="Table Grid"/>
    <w:basedOn w:val="a1"/>
    <w:rsid w:val="00360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
    <w:name w:val="Char Char Char Char Char Char Char Char Char Char"/>
    <w:basedOn w:val="a"/>
    <w:rsid w:val="00360E40"/>
    <w:pPr>
      <w:spacing w:after="160" w:line="240" w:lineRule="exact"/>
    </w:pPr>
    <w:rPr>
      <w:rFonts w:ascii="Arial" w:hAnsi="Arial" w:cs="Arial"/>
      <w:sz w:val="20"/>
      <w:szCs w:val="20"/>
    </w:rPr>
  </w:style>
  <w:style w:type="character" w:customStyle="1" w:styleId="FootnoteTextChar">
    <w:name w:val="Footnote Text Char"/>
    <w:uiPriority w:val="99"/>
    <w:rsid w:val="00184E74"/>
    <w:rPr>
      <w:noProof/>
      <w:lang w:val="hy-AM" w:eastAsia="en-US" w:bidi="ar-SA"/>
    </w:rPr>
  </w:style>
  <w:style w:type="paragraph" w:customStyle="1" w:styleId="CharCharCharCharCharCharCharCharCharChar2">
    <w:name w:val="Char Char Char Char Char Char Char Char Char Char2"/>
    <w:basedOn w:val="a"/>
    <w:rsid w:val="00184E74"/>
    <w:pPr>
      <w:spacing w:after="160" w:line="240" w:lineRule="exact"/>
    </w:pPr>
    <w:rPr>
      <w:rFonts w:ascii="Arial" w:hAnsi="Arial" w:cs="Arial"/>
      <w:sz w:val="20"/>
      <w:szCs w:val="20"/>
    </w:rPr>
  </w:style>
  <w:style w:type="character" w:customStyle="1" w:styleId="CharChar4">
    <w:name w:val="Char Char4"/>
    <w:rsid w:val="00184E74"/>
    <w:rPr>
      <w:noProof/>
      <w:lang w:val="hy-AM" w:eastAsia="en-US" w:bidi="ar-SA"/>
    </w:rPr>
  </w:style>
  <w:style w:type="paragraph" w:customStyle="1" w:styleId="23">
    <w:name w:val="Знак Знак2"/>
    <w:basedOn w:val="a"/>
    <w:rsid w:val="00184E74"/>
    <w:pPr>
      <w:spacing w:after="160" w:line="240" w:lineRule="exact"/>
    </w:pPr>
    <w:rPr>
      <w:rFonts w:ascii="Arial" w:hAnsi="Arial" w:cs="Arial"/>
      <w:sz w:val="20"/>
      <w:szCs w:val="20"/>
    </w:rPr>
  </w:style>
  <w:style w:type="paragraph" w:customStyle="1" w:styleId="Char3CharCharChar">
    <w:name w:val="Char3 Char Char Char"/>
    <w:basedOn w:val="a"/>
    <w:next w:val="a"/>
    <w:semiHidden/>
    <w:rsid w:val="003B665C"/>
    <w:pPr>
      <w:spacing w:after="160" w:line="240" w:lineRule="exact"/>
    </w:pPr>
    <w:rPr>
      <w:rFonts w:ascii="Arial" w:hAnsi="Arial" w:cs="Arial"/>
      <w:sz w:val="20"/>
      <w:szCs w:val="20"/>
      <w:lang w:val="en-GB"/>
    </w:rPr>
  </w:style>
  <w:style w:type="paragraph" w:styleId="ae">
    <w:name w:val="Normal (Web)"/>
    <w:basedOn w:val="a"/>
    <w:rsid w:val="00F72B30"/>
    <w:pPr>
      <w:spacing w:before="100" w:beforeAutospacing="1" w:after="100" w:afterAutospacing="1"/>
    </w:pPr>
    <w:rPr>
      <w:rFonts w:ascii="Times New Roman" w:hAnsi="Times New Roman"/>
    </w:rPr>
  </w:style>
  <w:style w:type="character" w:styleId="af">
    <w:name w:val="Strong"/>
    <w:qFormat/>
    <w:rsid w:val="00CC57EF"/>
    <w:rPr>
      <w:b/>
      <w:bCs/>
    </w:rPr>
  </w:style>
  <w:style w:type="paragraph" w:styleId="af0">
    <w:name w:val="annotation text"/>
    <w:basedOn w:val="a"/>
    <w:semiHidden/>
    <w:rsid w:val="009D1097"/>
    <w:rPr>
      <w:rFonts w:ascii="Times New Roman" w:hAnsi="Times New Roman"/>
      <w:noProof/>
      <w:sz w:val="20"/>
      <w:szCs w:val="20"/>
      <w:lang w:val="hy-AM"/>
    </w:rPr>
  </w:style>
  <w:style w:type="paragraph" w:styleId="af1">
    <w:name w:val="annotation subject"/>
    <w:basedOn w:val="af0"/>
    <w:next w:val="af0"/>
    <w:semiHidden/>
    <w:rsid w:val="009D1097"/>
    <w:rPr>
      <w:b/>
      <w:bCs/>
    </w:rPr>
  </w:style>
  <w:style w:type="character" w:customStyle="1" w:styleId="CharChar1">
    <w:name w:val="Char Char1"/>
    <w:rsid w:val="00BD51BD"/>
    <w:rPr>
      <w:rFonts w:ascii="Times Armenian" w:hAnsi="Times Armenian"/>
      <w:sz w:val="22"/>
      <w:lang w:val="en-US" w:eastAsia="en-US" w:bidi="ar-SA"/>
    </w:rPr>
  </w:style>
  <w:style w:type="character" w:customStyle="1" w:styleId="apple-converted-space">
    <w:name w:val="apple-converted-space"/>
    <w:basedOn w:val="a0"/>
    <w:rsid w:val="00BD51BD"/>
  </w:style>
  <w:style w:type="character" w:customStyle="1" w:styleId="fnChar3">
    <w:name w:val="fn Char3"/>
    <w:aliases w:val="ADB Char3,single space Char2,footnote text Char Char4,fn Char Char2,ADB Char Char2,single space Char Char Char2,footnote text Char Char5,footnote text Char1,FOOTNOTES Char Char,FOOTNOTES Char Char Char Char,FOOTNOTES Char Char1,FOOTNOTES Char2"/>
    <w:rsid w:val="00786D61"/>
    <w:rPr>
      <w:noProof/>
      <w:lang w:val="hy-AM" w:eastAsia="en-US" w:bidi="ar-SA"/>
    </w:rPr>
  </w:style>
  <w:style w:type="character" w:customStyle="1" w:styleId="fnChar2">
    <w:name w:val="fn Char2"/>
    <w:aliases w:val="ADB Char2,single space Char1,footnote text Char Char2,fn Char Char1,ADB Char Char1,single space Char Char Char1,footnote text Char Char3"/>
    <w:rsid w:val="00786D61"/>
    <w:rPr>
      <w:noProof/>
      <w:lang w:val="hy-AM" w:eastAsia="en-US" w:bidi="ar-SA"/>
    </w:rPr>
  </w:style>
  <w:style w:type="paragraph" w:styleId="af2">
    <w:name w:val="endnote text"/>
    <w:basedOn w:val="a"/>
    <w:link w:val="af3"/>
    <w:rsid w:val="001C4F78"/>
    <w:rPr>
      <w:sz w:val="20"/>
      <w:szCs w:val="20"/>
    </w:rPr>
  </w:style>
  <w:style w:type="character" w:customStyle="1" w:styleId="af3">
    <w:name w:val="Текст концевой сноски Знак"/>
    <w:link w:val="af2"/>
    <w:rsid w:val="00A67B4D"/>
    <w:rPr>
      <w:rFonts w:ascii="Arial Armenian" w:hAnsi="Arial Armenian"/>
    </w:rPr>
  </w:style>
  <w:style w:type="character" w:styleId="af4">
    <w:name w:val="endnote reference"/>
    <w:rsid w:val="001C4F78"/>
    <w:rPr>
      <w:vertAlign w:val="superscript"/>
    </w:rPr>
  </w:style>
  <w:style w:type="paragraph" w:customStyle="1" w:styleId="Char1">
    <w:name w:val="Char1"/>
    <w:basedOn w:val="a"/>
    <w:rsid w:val="00AB27A3"/>
    <w:pPr>
      <w:spacing w:after="160" w:line="240" w:lineRule="exact"/>
    </w:pPr>
    <w:rPr>
      <w:rFonts w:ascii="Arial" w:hAnsi="Arial" w:cs="Arial"/>
      <w:sz w:val="20"/>
      <w:szCs w:val="20"/>
    </w:rPr>
  </w:style>
  <w:style w:type="paragraph" w:customStyle="1" w:styleId="CharCharCharCharCharCharCharCharCharChar1">
    <w:name w:val="Char Char Char Char Char Char Char Char Char Char1"/>
    <w:basedOn w:val="a"/>
    <w:rsid w:val="00AB27A3"/>
    <w:pPr>
      <w:spacing w:after="160" w:line="240" w:lineRule="exact"/>
    </w:pPr>
    <w:rPr>
      <w:rFonts w:ascii="Arial" w:hAnsi="Arial" w:cs="Arial"/>
      <w:sz w:val="20"/>
      <w:szCs w:val="20"/>
    </w:rPr>
  </w:style>
  <w:style w:type="character" w:customStyle="1" w:styleId="CharChar41">
    <w:name w:val="Char Char41"/>
    <w:basedOn w:val="a0"/>
    <w:rsid w:val="00AB27A3"/>
    <w:rPr>
      <w:noProof/>
      <w:lang w:val="hy-AM" w:eastAsia="en-US" w:bidi="ar-SA"/>
    </w:rPr>
  </w:style>
  <w:style w:type="paragraph" w:customStyle="1" w:styleId="210">
    <w:name w:val="Знак Знак21"/>
    <w:basedOn w:val="a"/>
    <w:rsid w:val="00AB27A3"/>
    <w:pPr>
      <w:spacing w:after="160" w:line="240" w:lineRule="exact"/>
    </w:pPr>
    <w:rPr>
      <w:rFonts w:ascii="Arial" w:hAnsi="Arial" w:cs="Arial"/>
      <w:sz w:val="20"/>
      <w:szCs w:val="20"/>
    </w:rPr>
  </w:style>
  <w:style w:type="character" w:customStyle="1" w:styleId="CharChar11">
    <w:name w:val="Char Char11"/>
    <w:basedOn w:val="a0"/>
    <w:rsid w:val="00AB27A3"/>
    <w:rPr>
      <w:rFonts w:ascii="Times Armenian" w:hAnsi="Times Armenian"/>
      <w:sz w:val="22"/>
      <w:lang w:val="en-US" w:eastAsia="en-US" w:bidi="ar-SA"/>
    </w:rPr>
  </w:style>
  <w:style w:type="character" w:styleId="af5">
    <w:name w:val="annotation reference"/>
    <w:rsid w:val="00A67B4D"/>
    <w:rPr>
      <w:sz w:val="16"/>
      <w:szCs w:val="16"/>
    </w:rPr>
  </w:style>
  <w:style w:type="character" w:customStyle="1" w:styleId="CharChar">
    <w:name w:val="Char Char"/>
    <w:rsid w:val="00A67B4D"/>
    <w:rPr>
      <w:noProof/>
      <w:lang w:val="hy-AM" w:eastAsia="en-US" w:bidi="ar-SA"/>
    </w:rPr>
  </w:style>
  <w:style w:type="character" w:styleId="af6">
    <w:name w:val="Emphasis"/>
    <w:qFormat/>
    <w:rsid w:val="00A67B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6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image" Target="../media/image1.jpeg"/></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900">
              <a:latin typeface="GHEA Grapalat" pitchFamily="50" charset="0"/>
            </a:defRPr>
          </a:pPr>
          <a:endParaRPr lang="ru-RU"/>
        </a:p>
      </c:txPr>
    </c:title>
    <c:autoTitleDeleted val="0"/>
    <c:view3D>
      <c:rotX val="30"/>
      <c:rotY val="0"/>
      <c:rAngAx val="0"/>
    </c:view3D>
    <c:floor>
      <c:thickness val="0"/>
    </c:floor>
    <c:sideWall>
      <c:thickness val="0"/>
    </c:sideWall>
    <c:backWall>
      <c:thickness val="0"/>
    </c:backWall>
    <c:plotArea>
      <c:layout>
        <c:manualLayout>
          <c:layoutTarget val="inner"/>
          <c:xMode val="edge"/>
          <c:yMode val="edge"/>
          <c:x val="3.4296700019669175E-2"/>
          <c:y val="0.32741402781430318"/>
          <c:w val="0.95959377447359084"/>
          <c:h val="0.46617885927323915"/>
        </c:manualLayout>
      </c:layout>
      <c:pie3DChart>
        <c:varyColors val="1"/>
        <c:ser>
          <c:idx val="0"/>
          <c:order val="0"/>
          <c:tx>
            <c:strRef>
              <c:f>Sheet1!$B$1</c:f>
              <c:strCache>
                <c:ptCount val="1"/>
                <c:pt idx="0">
                  <c:v>2014թ հունվար-հունիսին Տնտեսական ակտիվության ցուցանիշի 4.4% աճին ճյուղերի նպաստումները</c:v>
                </c:pt>
              </c:strCache>
            </c:strRef>
          </c:tx>
          <c:explosion val="25"/>
          <c:dLbls>
            <c:dLbl>
              <c:idx val="0"/>
              <c:layout>
                <c:manualLayout>
                  <c:x val="2.0408338046325088E-3"/>
                  <c:y val="0.13418018808053106"/>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5320952359503943E-2"/>
                  <c:y val="3.284760530148750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4"/>
                <c:pt idx="0">
                  <c:v>Արդյունաբերություն</c:v>
                </c:pt>
                <c:pt idx="1">
                  <c:v>Գյուղատնտեսություն</c:v>
                </c:pt>
                <c:pt idx="2">
                  <c:v>Շինարարություն</c:v>
                </c:pt>
                <c:pt idx="3">
                  <c:v>Ծառայություններ</c:v>
                </c:pt>
              </c:strCache>
            </c:strRef>
          </c:cat>
          <c:val>
            <c:numRef>
              <c:f>Sheet1!$B$2:$B$5</c:f>
              <c:numCache>
                <c:formatCode>0.0</c:formatCode>
                <c:ptCount val="4"/>
                <c:pt idx="0" formatCode="General">
                  <c:v>0</c:v>
                </c:pt>
                <c:pt idx="1">
                  <c:v>0.54446695789663269</c:v>
                </c:pt>
                <c:pt idx="2">
                  <c:v>8.3307168875033075E-2</c:v>
                </c:pt>
                <c:pt idx="3" formatCode="General">
                  <c:v>3.8</c:v>
                </c:pt>
              </c:numCache>
            </c:numRef>
          </c:val>
        </c:ser>
        <c:dLbls>
          <c:showLegendKey val="0"/>
          <c:showVal val="0"/>
          <c:showCatName val="0"/>
          <c:showSerName val="0"/>
          <c:showPercent val="0"/>
          <c:showBubbleSize val="0"/>
          <c:showLeaderLines val="1"/>
        </c:dLbls>
      </c:pie3DChart>
    </c:plotArea>
    <c:legend>
      <c:legendPos val="b"/>
      <c:layout>
        <c:manualLayout>
          <c:xMode val="edge"/>
          <c:yMode val="edge"/>
          <c:x val="1.1532063023844076E-2"/>
          <c:y val="0.83003312085989256"/>
          <c:w val="0.94372195922639579"/>
          <c:h val="0.14615735533058366"/>
        </c:manualLayout>
      </c:layout>
      <c:overlay val="0"/>
      <c:txPr>
        <a:bodyPr/>
        <a:lstStyle/>
        <a:p>
          <a:pPr>
            <a:defRPr sz="800">
              <a:latin typeface="GHEA Grapalat" pitchFamily="50" charset="0"/>
            </a:defRPr>
          </a:pPr>
          <a:endParaRPr lang="ru-RU"/>
        </a:p>
      </c:txPr>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900">
              <a:latin typeface="GHEA Grapalat" pitchFamily="50" charset="0"/>
            </a:defRPr>
          </a:pPr>
          <a:endParaRPr lang="ru-RU"/>
        </a:p>
      </c:txPr>
    </c:title>
    <c:autoTitleDeleted val="0"/>
    <c:view3D>
      <c:rotX val="30"/>
      <c:rotY val="0"/>
      <c:rAngAx val="0"/>
    </c:view3D>
    <c:floor>
      <c:thickness val="0"/>
    </c:floor>
    <c:sideWall>
      <c:thickness val="0"/>
    </c:sideWall>
    <c:backWall>
      <c:thickness val="0"/>
    </c:backWall>
    <c:plotArea>
      <c:layout>
        <c:manualLayout>
          <c:layoutTarget val="inner"/>
          <c:xMode val="edge"/>
          <c:yMode val="edge"/>
          <c:x val="0.10681198858224221"/>
          <c:y val="0.25175419293730444"/>
          <c:w val="0.89318811981701318"/>
          <c:h val="0.4619121516250323"/>
        </c:manualLayout>
      </c:layout>
      <c:pie3DChart>
        <c:varyColors val="1"/>
        <c:ser>
          <c:idx val="0"/>
          <c:order val="0"/>
          <c:tx>
            <c:strRef>
              <c:f>Sheet1!$B$1</c:f>
              <c:strCache>
                <c:ptCount val="1"/>
                <c:pt idx="0">
                  <c:v>2015թ հունվար-հունիսին Տնտեսական ակտիվության ցուցանիշի 4.2% աճին ճյուղերի նպաստումները</c:v>
                </c:pt>
              </c:strCache>
            </c:strRef>
          </c:tx>
          <c:explosion val="25"/>
          <c:dLbls>
            <c:dLbl>
              <c:idx val="2"/>
              <c:layout>
                <c:manualLayout>
                  <c:x val="4.8834101527199643E-2"/>
                  <c:y val="6.608490300729238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3592353131523352E-2"/>
                  <c:y val="6.32921613838367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4"/>
                <c:pt idx="0">
                  <c:v>Արդյունաբերություն</c:v>
                </c:pt>
                <c:pt idx="1">
                  <c:v>Գյուղատնտեսություն</c:v>
                </c:pt>
                <c:pt idx="2">
                  <c:v>Շինարարություն</c:v>
                </c:pt>
                <c:pt idx="3">
                  <c:v>Ծառայություններ</c:v>
                </c:pt>
              </c:strCache>
            </c:strRef>
          </c:cat>
          <c:val>
            <c:numRef>
              <c:f>Sheet1!$B$2:$B$5</c:f>
              <c:numCache>
                <c:formatCode>General</c:formatCode>
                <c:ptCount val="4"/>
                <c:pt idx="0">
                  <c:v>0.9</c:v>
                </c:pt>
                <c:pt idx="1">
                  <c:v>2.9</c:v>
                </c:pt>
                <c:pt idx="2">
                  <c:v>0.1</c:v>
                </c:pt>
                <c:pt idx="3">
                  <c:v>0.3</c:v>
                </c:pt>
              </c:numCache>
            </c:numRef>
          </c:val>
        </c:ser>
        <c:dLbls>
          <c:showLegendKey val="0"/>
          <c:showVal val="0"/>
          <c:showCatName val="0"/>
          <c:showSerName val="0"/>
          <c:showPercent val="0"/>
          <c:showBubbleSize val="0"/>
          <c:showLeaderLines val="1"/>
        </c:dLbls>
      </c:pie3DChart>
    </c:plotArea>
    <c:legend>
      <c:legendPos val="b"/>
      <c:overlay val="0"/>
      <c:txPr>
        <a:bodyPr/>
        <a:lstStyle/>
        <a:p>
          <a:pPr>
            <a:defRPr sz="800">
              <a:latin typeface="GHEA Grapalat" pitchFamily="50" charset="0"/>
            </a:defRPr>
          </a:pPr>
          <a:endParaRPr lang="ru-RU"/>
        </a:p>
      </c:txPr>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Sheet1!$A$2</c:f>
              <c:strCache>
                <c:ptCount val="1"/>
                <c:pt idx="0">
                  <c:v>Արտահանում</c:v>
                </c:pt>
              </c:strCache>
            </c:strRef>
          </c:tx>
          <c:invertIfNegative val="0"/>
          <c:cat>
            <c:strRef>
              <c:f>Sheet1!$B$1:$Q$1</c:f>
              <c:strCach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strCache>
            </c:strRef>
          </c:cat>
          <c:val>
            <c:numRef>
              <c:f>Sheet1!$B$2:$Q$2</c:f>
              <c:numCache>
                <c:formatCode>General</c:formatCode>
                <c:ptCount val="16"/>
                <c:pt idx="0">
                  <c:v>143</c:v>
                </c:pt>
                <c:pt idx="1">
                  <c:v>160</c:v>
                </c:pt>
                <c:pt idx="2">
                  <c:v>224</c:v>
                </c:pt>
                <c:pt idx="3">
                  <c:v>317</c:v>
                </c:pt>
                <c:pt idx="4">
                  <c:v>334</c:v>
                </c:pt>
                <c:pt idx="5">
                  <c:v>440</c:v>
                </c:pt>
                <c:pt idx="6">
                  <c:v>437</c:v>
                </c:pt>
                <c:pt idx="7">
                  <c:v>525</c:v>
                </c:pt>
                <c:pt idx="8">
                  <c:v>520</c:v>
                </c:pt>
                <c:pt idx="9">
                  <c:v>284</c:v>
                </c:pt>
                <c:pt idx="10">
                  <c:v>460</c:v>
                </c:pt>
                <c:pt idx="11">
                  <c:v>603</c:v>
                </c:pt>
                <c:pt idx="12">
                  <c:v>637</c:v>
                </c:pt>
                <c:pt idx="13">
                  <c:v>701</c:v>
                </c:pt>
                <c:pt idx="14">
                  <c:v>704</c:v>
                </c:pt>
                <c:pt idx="15">
                  <c:v>694.4</c:v>
                </c:pt>
              </c:numCache>
            </c:numRef>
          </c:val>
        </c:ser>
        <c:ser>
          <c:idx val="1"/>
          <c:order val="1"/>
          <c:tx>
            <c:strRef>
              <c:f>Sheet1!$A$3</c:f>
              <c:strCache>
                <c:ptCount val="1"/>
                <c:pt idx="0">
                  <c:v>Ներմուծում(CIF)</c:v>
                </c:pt>
              </c:strCache>
            </c:strRef>
          </c:tx>
          <c:invertIfNegative val="0"/>
          <c:cat>
            <c:strRef>
              <c:f>Sheet1!$B$1:$Q$1</c:f>
              <c:strCach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strCache>
            </c:strRef>
          </c:cat>
          <c:val>
            <c:numRef>
              <c:f>Sheet1!$B$3:$Q$3</c:f>
              <c:numCache>
                <c:formatCode>General</c:formatCode>
                <c:ptCount val="16"/>
                <c:pt idx="0">
                  <c:v>436</c:v>
                </c:pt>
                <c:pt idx="1">
                  <c:v>397</c:v>
                </c:pt>
                <c:pt idx="2">
                  <c:v>406</c:v>
                </c:pt>
                <c:pt idx="3">
                  <c:v>602</c:v>
                </c:pt>
                <c:pt idx="4">
                  <c:v>625</c:v>
                </c:pt>
                <c:pt idx="5">
                  <c:v>793</c:v>
                </c:pt>
                <c:pt idx="6">
                  <c:v>951</c:v>
                </c:pt>
                <c:pt idx="7">
                  <c:v>1360</c:v>
                </c:pt>
                <c:pt idx="8">
                  <c:v>1902</c:v>
                </c:pt>
                <c:pt idx="9">
                  <c:v>1385</c:v>
                </c:pt>
                <c:pt idx="10">
                  <c:v>1707</c:v>
                </c:pt>
                <c:pt idx="11">
                  <c:v>1891</c:v>
                </c:pt>
                <c:pt idx="12">
                  <c:v>2014</c:v>
                </c:pt>
                <c:pt idx="13">
                  <c:v>1995</c:v>
                </c:pt>
                <c:pt idx="14">
                  <c:v>2049</c:v>
                </c:pt>
                <c:pt idx="15">
                  <c:v>1491.7</c:v>
                </c:pt>
              </c:numCache>
            </c:numRef>
          </c:val>
        </c:ser>
        <c:ser>
          <c:idx val="2"/>
          <c:order val="2"/>
          <c:tx>
            <c:strRef>
              <c:f>Sheet1!$A$4</c:f>
              <c:strCache>
                <c:ptCount val="1"/>
                <c:pt idx="0">
                  <c:v>Առևտրային հաշվեկշիռ</c:v>
                </c:pt>
              </c:strCache>
            </c:strRef>
          </c:tx>
          <c:invertIfNegative val="0"/>
          <c:cat>
            <c:strRef>
              <c:f>Sheet1!$B$1:$Q$1</c:f>
              <c:strCach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strCache>
            </c:strRef>
          </c:cat>
          <c:val>
            <c:numRef>
              <c:f>Sheet1!$B$4:$Q$4</c:f>
              <c:numCache>
                <c:formatCode>General</c:formatCode>
                <c:ptCount val="16"/>
                <c:pt idx="0">
                  <c:v>-293</c:v>
                </c:pt>
                <c:pt idx="1">
                  <c:v>-237</c:v>
                </c:pt>
                <c:pt idx="2">
                  <c:v>-182</c:v>
                </c:pt>
                <c:pt idx="3">
                  <c:v>-285</c:v>
                </c:pt>
                <c:pt idx="4">
                  <c:v>-291</c:v>
                </c:pt>
                <c:pt idx="5">
                  <c:v>-353</c:v>
                </c:pt>
                <c:pt idx="6">
                  <c:v>-514</c:v>
                </c:pt>
                <c:pt idx="7">
                  <c:v>-835</c:v>
                </c:pt>
                <c:pt idx="8">
                  <c:v>-1382</c:v>
                </c:pt>
                <c:pt idx="9">
                  <c:v>-1101</c:v>
                </c:pt>
                <c:pt idx="10">
                  <c:v>-1247</c:v>
                </c:pt>
                <c:pt idx="11">
                  <c:v>-1288</c:v>
                </c:pt>
                <c:pt idx="12">
                  <c:v>-1377</c:v>
                </c:pt>
                <c:pt idx="13">
                  <c:v>-1294</c:v>
                </c:pt>
                <c:pt idx="14">
                  <c:v>-1346</c:v>
                </c:pt>
                <c:pt idx="15">
                  <c:v>-797.3</c:v>
                </c:pt>
              </c:numCache>
            </c:numRef>
          </c:val>
        </c:ser>
        <c:dLbls>
          <c:showLegendKey val="0"/>
          <c:showVal val="0"/>
          <c:showCatName val="0"/>
          <c:showSerName val="0"/>
          <c:showPercent val="0"/>
          <c:showBubbleSize val="0"/>
        </c:dLbls>
        <c:gapWidth val="150"/>
        <c:axId val="377111088"/>
        <c:axId val="377116576"/>
      </c:barChart>
      <c:catAx>
        <c:axId val="377111088"/>
        <c:scaling>
          <c:orientation val="minMax"/>
        </c:scaling>
        <c:delete val="0"/>
        <c:axPos val="b"/>
        <c:numFmt formatCode="General" sourceLinked="0"/>
        <c:majorTickMark val="out"/>
        <c:minorTickMark val="none"/>
        <c:tickLblPos val="nextTo"/>
        <c:crossAx val="377116576"/>
        <c:crosses val="autoZero"/>
        <c:auto val="1"/>
        <c:lblAlgn val="ctr"/>
        <c:lblOffset val="100"/>
        <c:noMultiLvlLbl val="0"/>
      </c:catAx>
      <c:valAx>
        <c:axId val="377116576"/>
        <c:scaling>
          <c:orientation val="minMax"/>
        </c:scaling>
        <c:delete val="0"/>
        <c:axPos val="l"/>
        <c:majorGridlines/>
        <c:numFmt formatCode="General" sourceLinked="1"/>
        <c:majorTickMark val="out"/>
        <c:minorTickMark val="none"/>
        <c:tickLblPos val="nextTo"/>
        <c:crossAx val="377111088"/>
        <c:crosses val="autoZero"/>
        <c:crossBetween val="between"/>
      </c:valAx>
    </c:plotArea>
    <c:legend>
      <c:legendPos val="b"/>
      <c:overlay val="0"/>
      <c:txPr>
        <a:bodyPr/>
        <a:lstStyle/>
        <a:p>
          <a:pPr>
            <a:defRPr baseline="0">
              <a:latin typeface="GHEA Grapalat" pitchFamily="50" charset="0"/>
            </a:defRPr>
          </a:pPr>
          <a:endParaRPr lang="ru-RU"/>
        </a:p>
      </c:txPr>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Sheet1!$A$2</c:f>
              <c:strCache>
                <c:ptCount val="1"/>
                <c:pt idx="0">
                  <c:v>Նորմալացված առևտրային հաշվեկշիռ</c:v>
                </c:pt>
              </c:strCache>
            </c:strRef>
          </c:tx>
          <c:marker>
            <c:symbol val="none"/>
          </c:marker>
          <c:dLbls>
            <c:dLbl>
              <c:idx val="0"/>
              <c:layout>
                <c:manualLayout>
                  <c:x val="-1.5350877192982447E-2"/>
                  <c:y val="2.749140893470790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5789473684210523E-3"/>
                  <c:y val="2.749140893470790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850877192982456E-2"/>
                  <c:y val="-3.6655211912943873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850877192982456E-2"/>
                  <c:y val="-2.7491408934707903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4122807017543858E-2"/>
                  <c:y val="5.4982817869415807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1.5350877192982455E-2"/>
                  <c:y val="-4.5819014891179836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1.7543859649122806E-2"/>
                  <c:y val="-2.749140893470782E-2"/>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1.9736842105263157E-2"/>
                  <c:y val="-3.2073310423825885E-2"/>
                </c:manualLayout>
              </c:layout>
              <c:showLegendKey val="0"/>
              <c:showVal val="1"/>
              <c:showCatName val="0"/>
              <c:showSerName val="0"/>
              <c:showPercent val="0"/>
              <c:showBubbleSize val="0"/>
              <c:extLst>
                <c:ext xmlns:c15="http://schemas.microsoft.com/office/drawing/2012/chart" uri="{CE6537A1-D6FC-4f65-9D91-7224C49458BB}"/>
              </c:extLst>
            </c:dLbl>
            <c:dLbl>
              <c:idx val="17"/>
              <c:layout>
                <c:manualLayout>
                  <c:x val="0"/>
                  <c:y val="-9.1638029782359683E-3"/>
                </c:manualLayout>
              </c:layout>
              <c:showLegendKey val="0"/>
              <c:showVal val="1"/>
              <c:showCatName val="0"/>
              <c:showSerName val="0"/>
              <c:showPercent val="0"/>
              <c:showBubbleSize val="0"/>
              <c:extLst>
                <c:ext xmlns:c15="http://schemas.microsoft.com/office/drawing/2012/chart" uri="{CE6537A1-D6FC-4f65-9D91-7224C49458BB}"/>
              </c:extLst>
            </c:dLbl>
            <c:dLbl>
              <c:idx val="18"/>
              <c:layout>
                <c:manualLayout>
                  <c:x val="-1.9736842105263157E-2"/>
                  <c:y val="-3.207331042382588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Sheet1!$B$1:$T$1</c:f>
              <c:strCache>
                <c:ptCount val="19"/>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strCache>
            </c:strRef>
          </c:cat>
          <c:val>
            <c:numRef>
              <c:f>Sheet1!$B$2:$T$2</c:f>
              <c:numCache>
                <c:formatCode>General</c:formatCode>
                <c:ptCount val="19"/>
                <c:pt idx="0">
                  <c:v>-0.6</c:v>
                </c:pt>
                <c:pt idx="1">
                  <c:v>-0.6</c:v>
                </c:pt>
                <c:pt idx="2">
                  <c:v>-0.5</c:v>
                </c:pt>
                <c:pt idx="3">
                  <c:v>-0.51</c:v>
                </c:pt>
                <c:pt idx="4">
                  <c:v>-0.43</c:v>
                </c:pt>
                <c:pt idx="5">
                  <c:v>-0.28999999999999998</c:v>
                </c:pt>
                <c:pt idx="6">
                  <c:v>-0.31</c:v>
                </c:pt>
                <c:pt idx="7">
                  <c:v>-0.3</c:v>
                </c:pt>
                <c:pt idx="8">
                  <c:v>-0.28999999999999998</c:v>
                </c:pt>
                <c:pt idx="9">
                  <c:v>-0.37</c:v>
                </c:pt>
                <c:pt idx="10">
                  <c:v>-0.44</c:v>
                </c:pt>
                <c:pt idx="11">
                  <c:v>-0.56999999999999995</c:v>
                </c:pt>
                <c:pt idx="12">
                  <c:v>-0.66</c:v>
                </c:pt>
                <c:pt idx="13">
                  <c:v>-0.57999999999999996</c:v>
                </c:pt>
                <c:pt idx="14">
                  <c:v>-0.52</c:v>
                </c:pt>
                <c:pt idx="15">
                  <c:v>-0.52</c:v>
                </c:pt>
                <c:pt idx="16">
                  <c:v>-0.48</c:v>
                </c:pt>
                <c:pt idx="17">
                  <c:v>-0.49</c:v>
                </c:pt>
                <c:pt idx="18">
                  <c:v>-0.36</c:v>
                </c:pt>
              </c:numCache>
            </c:numRef>
          </c:val>
          <c:smooth val="0"/>
        </c:ser>
        <c:dLbls>
          <c:showLegendKey val="0"/>
          <c:showVal val="0"/>
          <c:showCatName val="0"/>
          <c:showSerName val="0"/>
          <c:showPercent val="0"/>
          <c:showBubbleSize val="0"/>
        </c:dLbls>
        <c:smooth val="0"/>
        <c:axId val="377116184"/>
        <c:axId val="377109912"/>
      </c:lineChart>
      <c:catAx>
        <c:axId val="377116184"/>
        <c:scaling>
          <c:orientation val="minMax"/>
        </c:scaling>
        <c:delete val="0"/>
        <c:axPos val="b"/>
        <c:numFmt formatCode="General" sourceLinked="0"/>
        <c:majorTickMark val="out"/>
        <c:minorTickMark val="none"/>
        <c:tickLblPos val="nextTo"/>
        <c:crossAx val="377109912"/>
        <c:crosses val="autoZero"/>
        <c:auto val="1"/>
        <c:lblAlgn val="ctr"/>
        <c:lblOffset val="100"/>
        <c:noMultiLvlLbl val="0"/>
      </c:catAx>
      <c:valAx>
        <c:axId val="377109912"/>
        <c:scaling>
          <c:orientation val="minMax"/>
        </c:scaling>
        <c:delete val="0"/>
        <c:axPos val="l"/>
        <c:majorGridlines/>
        <c:numFmt formatCode="General" sourceLinked="1"/>
        <c:majorTickMark val="out"/>
        <c:minorTickMark val="none"/>
        <c:tickLblPos val="nextTo"/>
        <c:crossAx val="377116184"/>
        <c:crosses val="autoZero"/>
        <c:crossBetween val="between"/>
      </c:valAx>
    </c:plotArea>
    <c:legend>
      <c:legendPos val="b"/>
      <c:overlay val="0"/>
      <c:txPr>
        <a:bodyPr/>
        <a:lstStyle/>
        <a:p>
          <a:pPr>
            <a:defRPr baseline="0">
              <a:latin typeface="GHEA Grapalat" pitchFamily="50" charset="0"/>
            </a:defRPr>
          </a:pPr>
          <a:endParaRPr lang="ru-RU"/>
        </a:p>
      </c:txPr>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barChart>
        <c:barDir val="bar"/>
        <c:grouping val="clustered"/>
        <c:varyColors val="0"/>
        <c:ser>
          <c:idx val="0"/>
          <c:order val="0"/>
          <c:tx>
            <c:strRef>
              <c:f>Sheet1!$A$2</c:f>
              <c:strCache>
                <c:ptCount val="1"/>
                <c:pt idx="0">
                  <c:v>Ներմուծուման ծածկման գործակից (%)</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Sheet1!$B$1:$U$1</c:f>
              <c:strCache>
                <c:ptCount val="20"/>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strCache>
            </c:strRef>
          </c:cat>
          <c:val>
            <c:numRef>
              <c:f>Sheet1!$B$2:$U$2</c:f>
              <c:numCache>
                <c:formatCode>General</c:formatCode>
                <c:ptCount val="20"/>
                <c:pt idx="0">
                  <c:v>36.700000000000003</c:v>
                </c:pt>
                <c:pt idx="1">
                  <c:v>25.4</c:v>
                </c:pt>
                <c:pt idx="2">
                  <c:v>31.7</c:v>
                </c:pt>
                <c:pt idx="3">
                  <c:v>37.1</c:v>
                </c:pt>
                <c:pt idx="4">
                  <c:v>38.299999999999997</c:v>
                </c:pt>
                <c:pt idx="5">
                  <c:v>47.7</c:v>
                </c:pt>
                <c:pt idx="6">
                  <c:v>63</c:v>
                </c:pt>
                <c:pt idx="7">
                  <c:v>59.5</c:v>
                </c:pt>
                <c:pt idx="8">
                  <c:v>60.8</c:v>
                </c:pt>
                <c:pt idx="9">
                  <c:v>63.2</c:v>
                </c:pt>
                <c:pt idx="10">
                  <c:v>54.5</c:v>
                </c:pt>
                <c:pt idx="11">
                  <c:v>46</c:v>
                </c:pt>
                <c:pt idx="12">
                  <c:v>33.5</c:v>
                </c:pt>
                <c:pt idx="13">
                  <c:v>25.2</c:v>
                </c:pt>
                <c:pt idx="14">
                  <c:v>35.299999999999997</c:v>
                </c:pt>
                <c:pt idx="15">
                  <c:v>39</c:v>
                </c:pt>
                <c:pt idx="16">
                  <c:v>39.200000000000003</c:v>
                </c:pt>
                <c:pt idx="17">
                  <c:v>45</c:v>
                </c:pt>
                <c:pt idx="18">
                  <c:v>43.6</c:v>
                </c:pt>
                <c:pt idx="19">
                  <c:v>55</c:v>
                </c:pt>
              </c:numCache>
            </c:numRef>
          </c:val>
        </c:ser>
        <c:dLbls>
          <c:showLegendKey val="0"/>
          <c:showVal val="0"/>
          <c:showCatName val="0"/>
          <c:showSerName val="0"/>
          <c:showPercent val="0"/>
          <c:showBubbleSize val="0"/>
        </c:dLbls>
        <c:gapWidth val="150"/>
        <c:axId val="377115792"/>
        <c:axId val="377120104"/>
      </c:barChart>
      <c:catAx>
        <c:axId val="377115792"/>
        <c:scaling>
          <c:orientation val="minMax"/>
        </c:scaling>
        <c:delete val="0"/>
        <c:axPos val="l"/>
        <c:numFmt formatCode="General" sourceLinked="0"/>
        <c:majorTickMark val="out"/>
        <c:minorTickMark val="none"/>
        <c:tickLblPos val="nextTo"/>
        <c:crossAx val="377120104"/>
        <c:crosses val="autoZero"/>
        <c:auto val="1"/>
        <c:lblAlgn val="ctr"/>
        <c:lblOffset val="100"/>
        <c:noMultiLvlLbl val="0"/>
      </c:catAx>
      <c:valAx>
        <c:axId val="377120104"/>
        <c:scaling>
          <c:orientation val="minMax"/>
        </c:scaling>
        <c:delete val="0"/>
        <c:axPos val="b"/>
        <c:majorGridlines/>
        <c:numFmt formatCode="General" sourceLinked="1"/>
        <c:majorTickMark val="out"/>
        <c:minorTickMark val="none"/>
        <c:tickLblPos val="nextTo"/>
        <c:crossAx val="377115792"/>
        <c:crosses val="autoZero"/>
        <c:crossBetween val="between"/>
      </c:valAx>
    </c:plotArea>
    <c:legend>
      <c:legendPos val="b"/>
      <c:overlay val="0"/>
      <c:txPr>
        <a:bodyPr/>
        <a:lstStyle/>
        <a:p>
          <a:pPr>
            <a:defRPr baseline="0">
              <a:latin typeface="GHEA Grapalat" pitchFamily="50" charset="0"/>
            </a:defRPr>
          </a:pPr>
          <a:endParaRPr lang="ru-RU"/>
        </a:p>
      </c:txPr>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23" b="1" i="0" u="none" strike="noStrike" baseline="0">
                <a:solidFill>
                  <a:srgbClr val="000000"/>
                </a:solidFill>
                <a:latin typeface="GHEA Grapalat"/>
                <a:ea typeface="GHEA Grapalat"/>
                <a:cs typeface="GHEA Grapalat"/>
              </a:defRPr>
            </a:pPr>
            <a:r>
              <a:rPr lang="hy-AM"/>
              <a:t>Լրիվ միակողմանի
աևտուր</a:t>
            </a:r>
          </a:p>
        </c:rich>
      </c:tx>
      <c:layout>
        <c:manualLayout>
          <c:xMode val="edge"/>
          <c:yMode val="edge"/>
          <c:x val="0.82835820895522383"/>
          <c:y val="3.125E-2"/>
        </c:manualLayout>
      </c:layout>
      <c:overlay val="0"/>
      <c:spPr>
        <a:noFill/>
        <a:ln w="25330">
          <a:noFill/>
        </a:ln>
      </c:spPr>
    </c:title>
    <c:autoTitleDeleted val="0"/>
    <c:plotArea>
      <c:layout>
        <c:manualLayout>
          <c:layoutTarget val="inner"/>
          <c:xMode val="edge"/>
          <c:yMode val="edge"/>
          <c:x val="7.4627142195460858E-3"/>
          <c:y val="3.1243047527646298E-3"/>
          <c:w val="0.9925373134328358"/>
          <c:h val="0.59375"/>
        </c:manualLayout>
      </c:layout>
      <c:barChart>
        <c:barDir val="col"/>
        <c:grouping val="clustered"/>
        <c:varyColors val="0"/>
        <c:ser>
          <c:idx val="0"/>
          <c:order val="0"/>
          <c:tx>
            <c:strRef>
              <c:f>Sheet1!$A$2</c:f>
              <c:strCache>
                <c:ptCount val="1"/>
                <c:pt idx="0">
                  <c:v>2015</c:v>
                </c:pt>
              </c:strCache>
            </c:strRef>
          </c:tx>
          <c:spPr>
            <a:gradFill rotWithShape="0">
              <a:gsLst>
                <a:gs pos="0">
                  <a:srgbClr xmlns:mc="http://schemas.openxmlformats.org/markup-compatibility/2006" xmlns:a14="http://schemas.microsoft.com/office/drawing/2010/main" val="9999FF" mc:Ignorable="a14" a14:legacySpreadsheetColorIndex="24"/>
                </a:gs>
                <a:gs pos="100000">
                  <a:srgbClr val="54548C"/>
                </a:gs>
                <a:gs pos="100000">
                  <a:srgbClr xmlns:mc="http://schemas.openxmlformats.org/markup-compatibility/2006" xmlns:a14="http://schemas.microsoft.com/office/drawing/2010/main" val="000000" mc:Ignorable="a14" a14:legacySpreadsheetColorIndex="24">
                    <a:gamma/>
                    <a:shade val="46275"/>
                    <a:invGamma/>
                  </a:srgbClr>
                </a:gs>
              </a:gsLst>
              <a:path path="rect">
                <a:fillToRect l="50000" t="50000" r="50000" b="50000"/>
              </a:path>
            </a:gradFill>
            <a:ln w="12665">
              <a:solidFill>
                <a:srgbClr val="000000"/>
              </a:solidFill>
              <a:prstDash val="solid"/>
            </a:ln>
          </c:spPr>
          <c:invertIfNegative val="0"/>
          <c:dPt>
            <c:idx val="6"/>
            <c:invertIfNegative val="0"/>
            <c:bubble3D val="0"/>
            <c:spPr>
              <a:gradFill rotWithShape="0">
                <a:gsLst>
                  <a:gs pos="0">
                    <a:srgbClr xmlns:mc="http://schemas.openxmlformats.org/markup-compatibility/2006" xmlns:a14="http://schemas.microsoft.com/office/drawing/2010/main" val="9999FF" mc:Ignorable="a14" a14:legacySpreadsheetColorIndex="24"/>
                  </a:gs>
                  <a:gs pos="100000">
                    <a:srgbClr val="54548C"/>
                  </a:gs>
                  <a:gs pos="100000">
                    <a:srgbClr xmlns:mc="http://schemas.openxmlformats.org/markup-compatibility/2006" xmlns:a14="http://schemas.microsoft.com/office/drawing/2010/main" val="000000" mc:Ignorable="a14" a14:legacySpreadsheetColorIndex="24">
                      <a:gamma/>
                      <a:shade val="46275"/>
                      <a:invGamma/>
                    </a:srgbClr>
                  </a:gs>
                </a:gsLst>
                <a:lin ang="5400000" scaled="1"/>
              </a:gradFill>
              <a:ln w="12665">
                <a:solidFill>
                  <a:srgbClr val="000000"/>
                </a:solidFill>
                <a:prstDash val="solid"/>
              </a:ln>
            </c:spPr>
          </c:dPt>
          <c:dPt>
            <c:idx val="10"/>
            <c:invertIfNegative val="0"/>
            <c:bubble3D val="0"/>
          </c:dPt>
          <c:dPt>
            <c:idx val="11"/>
            <c:invertIfNegative val="0"/>
            <c:bubble3D val="0"/>
            <c:spPr>
              <a:gradFill rotWithShape="0">
                <a:gsLst>
                  <a:gs pos="0">
                    <a:srgbClr xmlns:mc="http://schemas.openxmlformats.org/markup-compatibility/2006" xmlns:a14="http://schemas.microsoft.com/office/drawing/2010/main" val="9999FF" mc:Ignorable="a14" a14:legacySpreadsheetColorIndex="24"/>
                  </a:gs>
                  <a:gs pos="100000">
                    <a:srgbClr val="54548C"/>
                  </a:gs>
                  <a:gs pos="100000">
                    <a:srgbClr xmlns:mc="http://schemas.openxmlformats.org/markup-compatibility/2006" xmlns:a14="http://schemas.microsoft.com/office/drawing/2010/main" val="000000" mc:Ignorable="a14" a14:legacySpreadsheetColorIndex="24">
                      <a:gamma/>
                      <a:shade val="46275"/>
                      <a:invGamma/>
                    </a:srgbClr>
                  </a:gs>
                </a:gsLst>
                <a:lin ang="5400000" scaled="1"/>
              </a:gradFill>
              <a:ln w="12665">
                <a:solidFill>
                  <a:srgbClr val="000000"/>
                </a:solidFill>
                <a:prstDash val="solid"/>
              </a:ln>
            </c:spPr>
          </c:dPt>
          <c:dPt>
            <c:idx val="15"/>
            <c:invertIfNegative val="0"/>
            <c:bubble3D val="0"/>
            <c:spPr>
              <a:gradFill rotWithShape="0">
                <a:gsLst>
                  <a:gs pos="100000">
                    <a:schemeClr val="accent2">
                      <a:lumMod val="75000"/>
                    </a:schemeClr>
                  </a:gs>
                  <a:gs pos="100000">
                    <a:srgbClr val="54548C"/>
                  </a:gs>
                  <a:gs pos="100000">
                    <a:srgbClr xmlns:mc="http://schemas.openxmlformats.org/markup-compatibility/2006" xmlns:a14="http://schemas.microsoft.com/office/drawing/2010/main" val="000000" mc:Ignorable="a14" a14:legacySpreadsheetColorIndex="24">
                      <a:gamma/>
                      <a:shade val="46275"/>
                      <a:invGamma/>
                    </a:srgbClr>
                  </a:gs>
                </a:gsLst>
                <a:path path="rect">
                  <a:fillToRect l="50000" t="50000" r="50000" b="50000"/>
                </a:path>
              </a:gradFill>
              <a:ln w="12665">
                <a:solidFill>
                  <a:srgbClr val="000000"/>
                </a:solidFill>
                <a:prstDash val="solid"/>
              </a:ln>
            </c:spPr>
          </c:dPt>
          <c:dPt>
            <c:idx val="16"/>
            <c:invertIfNegative val="0"/>
            <c:bubble3D val="0"/>
          </c:dPt>
          <c:dPt>
            <c:idx val="17"/>
            <c:invertIfNegative val="0"/>
            <c:bubble3D val="0"/>
            <c:spPr>
              <a:gradFill rotWithShape="0">
                <a:gsLst>
                  <a:gs pos="0">
                    <a:srgbClr xmlns:mc="http://schemas.openxmlformats.org/markup-compatibility/2006" xmlns:a14="http://schemas.microsoft.com/office/drawing/2010/main" val="9999FF" mc:Ignorable="a14" a14:legacySpreadsheetColorIndex="24"/>
                  </a:gs>
                  <a:gs pos="100000">
                    <a:srgbClr val="54548C"/>
                  </a:gs>
                  <a:gs pos="100000">
                    <a:srgbClr xmlns:mc="http://schemas.openxmlformats.org/markup-compatibility/2006" xmlns:a14="http://schemas.microsoft.com/office/drawing/2010/main" val="000000" mc:Ignorable="a14" a14:legacySpreadsheetColorIndex="24">
                      <a:gamma/>
                      <a:shade val="46275"/>
                      <a:invGamma/>
                    </a:srgbClr>
                  </a:gs>
                </a:gsLst>
                <a:lin ang="5400000" scaled="1"/>
              </a:gradFill>
              <a:ln w="12665">
                <a:solidFill>
                  <a:srgbClr val="000000"/>
                </a:solidFill>
                <a:prstDash val="solid"/>
              </a:ln>
            </c:spPr>
          </c:dPt>
          <c:dPt>
            <c:idx val="18"/>
            <c:invertIfNegative val="0"/>
            <c:bubble3D val="0"/>
            <c:spPr>
              <a:gradFill rotWithShape="0">
                <a:gsLst>
                  <a:gs pos="100000">
                    <a:schemeClr val="accent2">
                      <a:lumMod val="75000"/>
                    </a:schemeClr>
                  </a:gs>
                  <a:gs pos="100000">
                    <a:srgbClr val="54548C"/>
                  </a:gs>
                  <a:gs pos="100000">
                    <a:srgbClr xmlns:mc="http://schemas.openxmlformats.org/markup-compatibility/2006" xmlns:a14="http://schemas.microsoft.com/office/drawing/2010/main" val="000000" mc:Ignorable="a14" a14:legacySpreadsheetColorIndex="24">
                      <a:gamma/>
                      <a:shade val="46275"/>
                      <a:invGamma/>
                    </a:srgbClr>
                  </a:gs>
                </a:gsLst>
                <a:path path="rect">
                  <a:fillToRect l="50000" t="50000" r="50000" b="50000"/>
                </a:path>
              </a:gradFill>
              <a:ln w="12665">
                <a:solidFill>
                  <a:srgbClr val="000000"/>
                </a:solidFill>
                <a:prstDash val="solid"/>
              </a:ln>
            </c:spPr>
          </c:dPt>
          <c:dPt>
            <c:idx val="19"/>
            <c:invertIfNegative val="0"/>
            <c:bubble3D val="0"/>
          </c:dPt>
          <c:dLbls>
            <c:dLbl>
              <c:idx val="0"/>
              <c:layout>
                <c:manualLayout>
                  <c:x val="3.1109160081942778E-3"/>
                  <c:y val="5.3713086213631536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1.2860940780119779E-2"/>
                  <c:y val="-2.529283416977810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1.2938987323687029E-3"/>
                  <c:y val="1.4479893102949185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5.8138787304792237E-3"/>
                  <c:y val="2.4981957446077247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3.66755384725284E-3"/>
                  <c:y val="4.2337309668324013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8"/>
              <c:layout>
                <c:manualLayout>
                  <c:x val="4.4428160263986417E-5"/>
                  <c:y val="3.8614419766403556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9"/>
              <c:layout>
                <c:manualLayout>
                  <c:x val="1.4455006118089509E-3"/>
                  <c:y val="1.9309652130174691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330">
                <a:noFill/>
              </a:ln>
            </c:spPr>
            <c:txPr>
              <a:bodyPr/>
              <a:lstStyle/>
              <a:p>
                <a:pPr>
                  <a:defRPr sz="922" b="0" i="0" u="none" strike="noStrike" baseline="0">
                    <a:solidFill>
                      <a:srgbClr val="000000"/>
                    </a:solidFill>
                    <a:latin typeface="GHEA Grapalat"/>
                    <a:ea typeface="GHEA Grapalat"/>
                    <a:cs typeface="GHEA Grapalat"/>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Sheet1!$B$1:$U$1</c:f>
              <c:strCache>
                <c:ptCount val="20"/>
                <c:pt idx="0">
                  <c:v>Կենդ.ևբուս.յուղեր</c:v>
                </c:pt>
                <c:pt idx="1">
                  <c:v>Թուղթևթղթ.իրեր</c:v>
                </c:pt>
                <c:pt idx="2">
                  <c:v>Փայտևփայտ.իրեր</c:v>
                </c:pt>
                <c:pt idx="3">
                  <c:v>Մեքենա.,սարք.ևմեխ.</c:v>
                </c:pt>
                <c:pt idx="4">
                  <c:v>Քիմիայիարդ.արտադրանք</c:v>
                </c:pt>
                <c:pt idx="5">
                  <c:v>Վերգետ.,օդ.,ջր.տրանսպորտ</c:v>
                </c:pt>
                <c:pt idx="6">
                  <c:v>Կոշկ.,գլխարկ,հովանոց</c:v>
                </c:pt>
                <c:pt idx="7">
                  <c:v>Պլաստմասս.,կաուչուկ</c:v>
                </c:pt>
                <c:pt idx="8">
                  <c:v>Իրերքարից,գիպսից</c:v>
                </c:pt>
                <c:pt idx="9">
                  <c:v>Կենդ.ծագմանարտ.</c:v>
                </c:pt>
                <c:pt idx="10">
                  <c:v>Տարբերարդ.ապրանքներ</c:v>
                </c:pt>
                <c:pt idx="11">
                  <c:v>Բուս.ծագ.արտ.</c:v>
                </c:pt>
                <c:pt idx="12">
                  <c:v>Մանածագործ.իրեր</c:v>
                </c:pt>
                <c:pt idx="13">
                  <c:v>Սարքեր և ապար.</c:v>
                </c:pt>
                <c:pt idx="14">
                  <c:v>Արվեստիստեղծագործ.</c:v>
                </c:pt>
                <c:pt idx="15">
                  <c:v>Թանկ.քարեր,մետաղ.</c:v>
                </c:pt>
                <c:pt idx="16">
                  <c:v>Կաշի,մորթիևդր.իրեր</c:v>
                </c:pt>
                <c:pt idx="17">
                  <c:v>Հանքահումք.արտ.</c:v>
                </c:pt>
                <c:pt idx="18">
                  <c:v>Ոչթանկ.մետ.ևիրեր</c:v>
                </c:pt>
                <c:pt idx="19">
                  <c:v>Պատրաստիսննդիարտ.</c:v>
                </c:pt>
              </c:strCache>
            </c:strRef>
          </c:cat>
          <c:val>
            <c:numRef>
              <c:f>Sheet1!$B$2:$U$2</c:f>
              <c:numCache>
                <c:formatCode>0.00</c:formatCode>
                <c:ptCount val="20"/>
                <c:pt idx="0" formatCode="0.000">
                  <c:v>-1.360630992622829E-3</c:v>
                </c:pt>
                <c:pt idx="1">
                  <c:v>-9.9028026278521926E-3</c:v>
                </c:pt>
                <c:pt idx="2">
                  <c:v>-2.0774694400130064E-2</c:v>
                </c:pt>
                <c:pt idx="3">
                  <c:v>-4.1714443873314619E-2</c:v>
                </c:pt>
                <c:pt idx="4">
                  <c:v>-4.4008061148532111E-2</c:v>
                </c:pt>
                <c:pt idx="5">
                  <c:v>-4.9217495715761728E-2</c:v>
                </c:pt>
                <c:pt idx="6" formatCode="0.0">
                  <c:v>-5.4687575113692079E-2</c:v>
                </c:pt>
                <c:pt idx="7" formatCode="0.0">
                  <c:v>-8.2168238040576269E-2</c:v>
                </c:pt>
                <c:pt idx="8" formatCode="0.0">
                  <c:v>-0.18224539246640722</c:v>
                </c:pt>
                <c:pt idx="9" formatCode="0.0">
                  <c:v>-0.18895813431043421</c:v>
                </c:pt>
                <c:pt idx="10" formatCode="0.0">
                  <c:v>-0.20193478193641254</c:v>
                </c:pt>
                <c:pt idx="11" formatCode="0.0">
                  <c:v>-0.22235770327405704</c:v>
                </c:pt>
                <c:pt idx="12" formatCode="0.0">
                  <c:v>-0.39363689907996025</c:v>
                </c:pt>
                <c:pt idx="13" formatCode="0.0">
                  <c:v>-0.40457573558952098</c:v>
                </c:pt>
                <c:pt idx="14" formatCode="0.0">
                  <c:v>-0.46398980242192478</c:v>
                </c:pt>
                <c:pt idx="15" formatCode="0.0">
                  <c:v>0.47423959949687</c:v>
                </c:pt>
                <c:pt idx="16" formatCode="0.0">
                  <c:v>-0.50794826505612212</c:v>
                </c:pt>
                <c:pt idx="17" formatCode="0.0">
                  <c:v>-0.73867719680453425</c:v>
                </c:pt>
                <c:pt idx="18" formatCode="0.0">
                  <c:v>0.82228450522630547</c:v>
                </c:pt>
                <c:pt idx="19" formatCode="0.0">
                  <c:v>-0.87442374390850353</c:v>
                </c:pt>
              </c:numCache>
            </c:numRef>
          </c:val>
        </c:ser>
        <c:dLbls>
          <c:showLegendKey val="0"/>
          <c:showVal val="0"/>
          <c:showCatName val="0"/>
          <c:showSerName val="0"/>
          <c:showPercent val="0"/>
          <c:showBubbleSize val="0"/>
        </c:dLbls>
        <c:gapWidth val="150"/>
        <c:axId val="377110304"/>
        <c:axId val="377117360"/>
      </c:barChart>
      <c:catAx>
        <c:axId val="377110304"/>
        <c:scaling>
          <c:orientation val="maxMin"/>
        </c:scaling>
        <c:delete val="0"/>
        <c:axPos val="b"/>
        <c:numFmt formatCode="0" sourceLinked="0"/>
        <c:majorTickMark val="none"/>
        <c:minorTickMark val="none"/>
        <c:tickLblPos val="low"/>
        <c:spPr>
          <a:ln w="3166">
            <a:solidFill>
              <a:srgbClr val="000000"/>
            </a:solidFill>
            <a:prstDash val="solid"/>
          </a:ln>
        </c:spPr>
        <c:txPr>
          <a:bodyPr rot="-5400000" vert="horz"/>
          <a:lstStyle/>
          <a:p>
            <a:pPr rtl="1">
              <a:defRPr sz="997" b="0" i="0" u="none" strike="noStrike" baseline="30000">
                <a:solidFill>
                  <a:srgbClr val="000000"/>
                </a:solidFill>
                <a:latin typeface="GHEA Grapalat"/>
                <a:ea typeface="GHEA Grapalat"/>
                <a:cs typeface="GHEA Grapalat"/>
              </a:defRPr>
            </a:pPr>
            <a:endParaRPr lang="ru-RU"/>
          </a:p>
        </c:txPr>
        <c:crossAx val="377117360"/>
        <c:crosses val="autoZero"/>
        <c:auto val="1"/>
        <c:lblAlgn val="ctr"/>
        <c:lblOffset val="100"/>
        <c:tickLblSkip val="1"/>
        <c:tickMarkSkip val="1"/>
        <c:noMultiLvlLbl val="0"/>
      </c:catAx>
      <c:valAx>
        <c:axId val="377117360"/>
        <c:scaling>
          <c:orientation val="minMax"/>
        </c:scaling>
        <c:delete val="1"/>
        <c:axPos val="l"/>
        <c:majorGridlines>
          <c:spPr>
            <a:ln w="3166">
              <a:solidFill>
                <a:srgbClr val="000000"/>
              </a:solidFill>
              <a:prstDash val="solid"/>
            </a:ln>
          </c:spPr>
        </c:majorGridlines>
        <c:title>
          <c:tx>
            <c:rich>
              <a:bodyPr rot="0" vert="horz"/>
              <a:lstStyle/>
              <a:p>
                <a:pPr algn="ctr">
                  <a:defRPr sz="898" b="1" i="0" u="none" strike="noStrike" baseline="0">
                    <a:solidFill>
                      <a:srgbClr val="000000"/>
                    </a:solidFill>
                    <a:latin typeface="GHEA Grapalat"/>
                    <a:ea typeface="GHEA Grapalat"/>
                    <a:cs typeface="GHEA Grapalat"/>
                  </a:defRPr>
                </a:pPr>
                <a:r>
                  <a:rPr lang="hy-AM"/>
                  <a:t> Լրիվ երկկողմանի առևտուր</a:t>
                </a:r>
              </a:p>
            </c:rich>
          </c:tx>
          <c:layout>
            <c:manualLayout>
              <c:xMode val="edge"/>
              <c:yMode val="edge"/>
              <c:x val="0.11492537313432835"/>
              <c:y val="1.7045454545454544E-2"/>
            </c:manualLayout>
          </c:layout>
          <c:overlay val="0"/>
          <c:spPr>
            <a:noFill/>
            <a:ln w="25330">
              <a:noFill/>
            </a:ln>
          </c:spPr>
        </c:title>
        <c:numFmt formatCode="0.000" sourceLinked="1"/>
        <c:majorTickMark val="out"/>
        <c:minorTickMark val="none"/>
        <c:tickLblPos val="nextTo"/>
        <c:crossAx val="377110304"/>
        <c:crosses val="max"/>
        <c:crossBetween val="between"/>
      </c:valAx>
      <c:spPr>
        <a:blipFill dpi="0" rotWithShape="0">
          <a:blip xmlns:r="http://schemas.openxmlformats.org/officeDocument/2006/relationships" r:embed="rId1"/>
          <a:srcRect/>
          <a:tile tx="0" ty="0" sx="100000" sy="100000" flip="none" algn="tl"/>
        </a:blipFill>
        <a:ln w="12665">
          <a:solidFill>
            <a:srgbClr val="808080"/>
          </a:solidFill>
          <a:prstDash val="solid"/>
        </a:ln>
      </c:spPr>
    </c:plotArea>
    <c:plotVisOnly val="1"/>
    <c:dispBlanksAs val="gap"/>
    <c:showDLblsOverMax val="0"/>
  </c:chart>
  <c:spPr>
    <a:noFill/>
    <a:ln w="3166">
      <a:solidFill>
        <a:srgbClr val="000000"/>
      </a:solidFill>
      <a:prstDash val="solid"/>
    </a:ln>
  </c:spPr>
  <c:txPr>
    <a:bodyPr/>
    <a:lstStyle/>
    <a:p>
      <a:pPr>
        <a:defRPr sz="1546" b="1" i="0" u="none" strike="noStrike" baseline="0">
          <a:solidFill>
            <a:srgbClr val="000000"/>
          </a:solidFill>
          <a:latin typeface="Arial"/>
          <a:ea typeface="Arial"/>
          <a:cs typeface="Arial"/>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Բացահայտված համեմատական առավելության գործակից </a:t>
            </a:r>
          </a:p>
        </c:rich>
      </c:tx>
      <c:overlay val="0"/>
    </c:title>
    <c:autoTitleDeleted val="0"/>
    <c:plotArea>
      <c:layout>
        <c:manualLayout>
          <c:layoutTarget val="inner"/>
          <c:xMode val="edge"/>
          <c:yMode val="edge"/>
          <c:x val="0.44762474523086848"/>
          <c:y val="9.0801197020183799E-2"/>
          <c:w val="0.51986744673675567"/>
          <c:h val="0.8481098128862925"/>
        </c:manualLayout>
      </c:layout>
      <c:barChart>
        <c:barDir val="bar"/>
        <c:grouping val="clustered"/>
        <c:varyColors val="0"/>
        <c:ser>
          <c:idx val="0"/>
          <c:order val="0"/>
          <c:tx>
            <c:strRef>
              <c:f>Sheet1!$B$1</c:f>
              <c:strCache>
                <c:ptCount val="1"/>
                <c:pt idx="0">
                  <c:v>2014</c:v>
                </c:pt>
              </c:strCache>
            </c:strRef>
          </c:tx>
          <c:invertIfNegative val="0"/>
          <c:dLbls>
            <c:spPr>
              <a:noFill/>
              <a:ln>
                <a:noFill/>
              </a:ln>
              <a:effectLst/>
            </c:spPr>
            <c:txPr>
              <a:bodyPr/>
              <a:lstStyle/>
              <a:p>
                <a:pPr>
                  <a:defRPr sz="7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Բուս.ծագմ. արտ.</c:v>
                </c:pt>
                <c:pt idx="1">
                  <c:v>Հանքահումքային արտադրանք</c:v>
                </c:pt>
                <c:pt idx="2">
                  <c:v>Իրեր քարից, գիպսից, ցեմենտից</c:v>
                </c:pt>
                <c:pt idx="3">
                  <c:v>Կենդանի կենդ. և կենդ. Ծագմ.արտ</c:v>
                </c:pt>
                <c:pt idx="4">
                  <c:v>Ոչ թանկ. մետ. և դր. պատր. իրեր</c:v>
                </c:pt>
                <c:pt idx="5">
                  <c:v>Թանկ. և կիսաթ.  քարեր, թանկ. մետ. և դր. իրեր</c:v>
                </c:pt>
                <c:pt idx="6">
                  <c:v>Պատրաստի սննդի արտադրանք</c:v>
                </c:pt>
              </c:strCache>
            </c:strRef>
          </c:cat>
          <c:val>
            <c:numRef>
              <c:f>Sheet1!$B$2:$B$8</c:f>
              <c:numCache>
                <c:formatCode>0.0</c:formatCode>
                <c:ptCount val="7"/>
                <c:pt idx="0">
                  <c:v>0.93775003526843437</c:v>
                </c:pt>
                <c:pt idx="1">
                  <c:v>1.4003279504677084</c:v>
                </c:pt>
                <c:pt idx="2">
                  <c:v>1.4688311711330209</c:v>
                </c:pt>
                <c:pt idx="3">
                  <c:v>1.6268395353396468</c:v>
                </c:pt>
                <c:pt idx="4">
                  <c:v>2.8628956246798465</c:v>
                </c:pt>
                <c:pt idx="5">
                  <c:v>4.5217309222981799</c:v>
                </c:pt>
                <c:pt idx="6">
                  <c:v>7.0854046752305058</c:v>
                </c:pt>
              </c:numCache>
            </c:numRef>
          </c:val>
        </c:ser>
        <c:dLbls>
          <c:showLegendKey val="0"/>
          <c:showVal val="0"/>
          <c:showCatName val="0"/>
          <c:showSerName val="0"/>
          <c:showPercent val="0"/>
          <c:showBubbleSize val="0"/>
        </c:dLbls>
        <c:gapWidth val="150"/>
        <c:axId val="377110696"/>
        <c:axId val="377113440"/>
      </c:barChart>
      <c:catAx>
        <c:axId val="377110696"/>
        <c:scaling>
          <c:orientation val="minMax"/>
        </c:scaling>
        <c:delete val="0"/>
        <c:axPos val="l"/>
        <c:numFmt formatCode="General" sourceLinked="1"/>
        <c:majorTickMark val="none"/>
        <c:minorTickMark val="none"/>
        <c:tickLblPos val="nextTo"/>
        <c:crossAx val="377113440"/>
        <c:crosses val="autoZero"/>
        <c:auto val="1"/>
        <c:lblAlgn val="ctr"/>
        <c:lblOffset val="100"/>
        <c:noMultiLvlLbl val="0"/>
      </c:catAx>
      <c:valAx>
        <c:axId val="377113440"/>
        <c:scaling>
          <c:orientation val="minMax"/>
          <c:max val="7.1"/>
          <c:min val="0"/>
        </c:scaling>
        <c:delete val="0"/>
        <c:axPos val="b"/>
        <c:majorGridlines/>
        <c:numFmt formatCode="0.0" sourceLinked="1"/>
        <c:majorTickMark val="none"/>
        <c:minorTickMark val="none"/>
        <c:tickLblPos val="nextTo"/>
        <c:crossAx val="377110696"/>
        <c:crosses val="autoZero"/>
        <c:crossBetween val="between"/>
      </c:valAx>
    </c:plotArea>
    <c:plotVisOnly val="1"/>
    <c:dispBlanksAs val="gap"/>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txPr>
    <a:bodyPr/>
    <a:lstStyle/>
    <a:p>
      <a:pPr>
        <a:defRPr sz="800"/>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Sheet1!$A$2</c:f>
              <c:strCache>
                <c:ptCount val="1"/>
                <c:pt idx="0">
                  <c:v>2014թ.</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Sheet1!$B$1:$M$1</c:f>
              <c:strCache>
                <c:ptCount val="12"/>
                <c:pt idx="0">
                  <c:v>հունվար</c:v>
                </c:pt>
                <c:pt idx="1">
                  <c:v>փետրվար</c:v>
                </c:pt>
                <c:pt idx="2">
                  <c:v>մարտ</c:v>
                </c:pt>
                <c:pt idx="3">
                  <c:v>ապրիլ </c:v>
                </c:pt>
                <c:pt idx="4">
                  <c:v>մայիս</c:v>
                </c:pt>
                <c:pt idx="5">
                  <c:v>հունիս</c:v>
                </c:pt>
                <c:pt idx="6">
                  <c:v>հուլիս</c:v>
                </c:pt>
                <c:pt idx="7">
                  <c:v>օգոստոս</c:v>
                </c:pt>
                <c:pt idx="8">
                  <c:v>սեպտեմբեր</c:v>
                </c:pt>
                <c:pt idx="9">
                  <c:v>հոկտեմբեր</c:v>
                </c:pt>
                <c:pt idx="10">
                  <c:v>նոյեմբեր</c:v>
                </c:pt>
                <c:pt idx="11">
                  <c:v>դեկտեմբեր</c:v>
                </c:pt>
              </c:strCache>
            </c:strRef>
          </c:cat>
          <c:val>
            <c:numRef>
              <c:f>Sheet1!$B$2:$M$2</c:f>
              <c:numCache>
                <c:formatCode>0.0</c:formatCode>
                <c:ptCount val="12"/>
                <c:pt idx="0">
                  <c:v>-0.17</c:v>
                </c:pt>
                <c:pt idx="1">
                  <c:v>-0.64</c:v>
                </c:pt>
                <c:pt idx="2">
                  <c:v>-0.38</c:v>
                </c:pt>
                <c:pt idx="3">
                  <c:v>-0.17</c:v>
                </c:pt>
                <c:pt idx="4">
                  <c:v>-0.01</c:v>
                </c:pt>
                <c:pt idx="5">
                  <c:v>0.06</c:v>
                </c:pt>
                <c:pt idx="6">
                  <c:v>0.17</c:v>
                </c:pt>
                <c:pt idx="7">
                  <c:v>0.08</c:v>
                </c:pt>
                <c:pt idx="8">
                  <c:v>0.05</c:v>
                </c:pt>
                <c:pt idx="9">
                  <c:v>-0.05</c:v>
                </c:pt>
                <c:pt idx="10">
                  <c:v>-0.38</c:v>
                </c:pt>
                <c:pt idx="11">
                  <c:v>-1.51</c:v>
                </c:pt>
              </c:numCache>
            </c:numRef>
          </c:val>
          <c:smooth val="0"/>
        </c:ser>
        <c:ser>
          <c:idx val="1"/>
          <c:order val="1"/>
          <c:tx>
            <c:strRef>
              <c:f>Sheet1!$A$3</c:f>
              <c:strCache>
                <c:ptCount val="1"/>
                <c:pt idx="0">
                  <c:v>2015թ.</c:v>
                </c:pt>
              </c:strCache>
            </c:strRef>
          </c:tx>
          <c:marker>
            <c:symbol val="square"/>
            <c:size val="5"/>
            <c:spPr>
              <a:noFill/>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Sheet1!$B$1:$M$1</c:f>
              <c:strCache>
                <c:ptCount val="12"/>
                <c:pt idx="0">
                  <c:v>հունվար</c:v>
                </c:pt>
                <c:pt idx="1">
                  <c:v>փետրվար</c:v>
                </c:pt>
                <c:pt idx="2">
                  <c:v>մարտ</c:v>
                </c:pt>
                <c:pt idx="3">
                  <c:v>ապրիլ </c:v>
                </c:pt>
                <c:pt idx="4">
                  <c:v>մայիս</c:v>
                </c:pt>
                <c:pt idx="5">
                  <c:v>հունիս</c:v>
                </c:pt>
                <c:pt idx="6">
                  <c:v>հուլիս</c:v>
                </c:pt>
                <c:pt idx="7">
                  <c:v>օգոստոս</c:v>
                </c:pt>
                <c:pt idx="8">
                  <c:v>սեպտեմբեր</c:v>
                </c:pt>
                <c:pt idx="9">
                  <c:v>հոկտեմբեր</c:v>
                </c:pt>
                <c:pt idx="10">
                  <c:v>նոյեմբեր</c:v>
                </c:pt>
                <c:pt idx="11">
                  <c:v>դեկտեմբեր</c:v>
                </c:pt>
              </c:strCache>
            </c:strRef>
          </c:cat>
          <c:val>
            <c:numRef>
              <c:f>Sheet1!$B$3:$M$3</c:f>
              <c:numCache>
                <c:formatCode>0.0</c:formatCode>
                <c:ptCount val="12"/>
                <c:pt idx="0">
                  <c:v>-14.37</c:v>
                </c:pt>
                <c:pt idx="1">
                  <c:v>-14.17</c:v>
                </c:pt>
                <c:pt idx="2">
                  <c:v>-13.88</c:v>
                </c:pt>
                <c:pt idx="3">
                  <c:v>-13.56</c:v>
                </c:pt>
                <c:pt idx="4">
                  <c:v>-13.64</c:v>
                </c:pt>
                <c:pt idx="5">
                  <c:v>-13.62</c:v>
                </c:pt>
              </c:numCache>
            </c:numRef>
          </c:val>
          <c:smooth val="0"/>
        </c:ser>
        <c:dLbls>
          <c:showLegendKey val="0"/>
          <c:showVal val="0"/>
          <c:showCatName val="0"/>
          <c:showSerName val="0"/>
          <c:showPercent val="0"/>
          <c:showBubbleSize val="0"/>
        </c:dLbls>
        <c:marker val="1"/>
        <c:smooth val="0"/>
        <c:axId val="377118928"/>
        <c:axId val="377114224"/>
      </c:lineChart>
      <c:catAx>
        <c:axId val="377118928"/>
        <c:scaling>
          <c:orientation val="minMax"/>
        </c:scaling>
        <c:delete val="0"/>
        <c:axPos val="b"/>
        <c:numFmt formatCode="General" sourceLinked="0"/>
        <c:majorTickMark val="out"/>
        <c:minorTickMark val="none"/>
        <c:tickLblPos val="nextTo"/>
        <c:crossAx val="377114224"/>
        <c:crosses val="autoZero"/>
        <c:auto val="1"/>
        <c:lblAlgn val="ctr"/>
        <c:lblOffset val="100"/>
        <c:noMultiLvlLbl val="0"/>
      </c:catAx>
      <c:valAx>
        <c:axId val="377114224"/>
        <c:scaling>
          <c:orientation val="minMax"/>
        </c:scaling>
        <c:delete val="0"/>
        <c:axPos val="l"/>
        <c:majorGridlines/>
        <c:numFmt formatCode="0.0" sourceLinked="1"/>
        <c:majorTickMark val="out"/>
        <c:minorTickMark val="none"/>
        <c:tickLblPos val="nextTo"/>
        <c:crossAx val="377118928"/>
        <c:crosses val="autoZero"/>
        <c:crossBetween val="between"/>
      </c:valAx>
    </c:plotArea>
    <c:legend>
      <c:legendPos val="b"/>
      <c:overlay val="0"/>
    </c:legend>
    <c:plotVisOnly val="1"/>
    <c:dispBlanksAs val="gap"/>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100" b="0" i="0" u="none" strike="noStrike" baseline="0">
                <a:solidFill>
                  <a:srgbClr val="000000"/>
                </a:solidFill>
                <a:latin typeface="GHEA Grapalat" pitchFamily="50" charset="0"/>
                <a:ea typeface="Arial Armenian"/>
                <a:cs typeface="Arial Armenian"/>
              </a:defRPr>
            </a:pPr>
            <a:r>
              <a:rPr lang="hy-AM" sz="1100" baseline="0">
                <a:latin typeface="GHEA Grapalat" pitchFamily="50" charset="0"/>
              </a:rPr>
              <a:t>Հարկաբյուջետային ազդակը 2012 թվականից եռամսյակներով</a:t>
            </a:r>
            <a:endParaRPr lang="en-US" sz="1100" baseline="0">
              <a:latin typeface="GHEA Grapalat" pitchFamily="50" charset="0"/>
            </a:endParaRPr>
          </a:p>
        </c:rich>
      </c:tx>
      <c:layout>
        <c:manualLayout>
          <c:xMode val="edge"/>
          <c:yMode val="edge"/>
          <c:x val="0.14206398348813212"/>
          <c:y val="5.7747558379236938E-2"/>
        </c:manualLayout>
      </c:layout>
      <c:overlay val="0"/>
      <c:spPr>
        <a:noFill/>
        <a:ln w="25400">
          <a:noFill/>
        </a:ln>
      </c:spPr>
    </c:title>
    <c:autoTitleDeleted val="0"/>
    <c:plotArea>
      <c:layout>
        <c:manualLayout>
          <c:layoutTarget val="inner"/>
          <c:xMode val="edge"/>
          <c:yMode val="edge"/>
          <c:x val="6.741573033707865E-2"/>
          <c:y val="0.20245398773006135"/>
          <c:w val="0.9101123595505618"/>
          <c:h val="0.62576687116564422"/>
        </c:manualLayout>
      </c:layout>
      <c:barChart>
        <c:barDir val="col"/>
        <c:grouping val="clustered"/>
        <c:varyColors val="0"/>
        <c:ser>
          <c:idx val="0"/>
          <c:order val="0"/>
          <c:tx>
            <c:strRef>
              <c:f>'Fiscal Yearly'!$C$3</c:f>
              <c:strCache>
                <c:ptCount val="1"/>
                <c:pt idx="0">
                  <c:v>եկամուտների ազդակ</c:v>
                </c:pt>
              </c:strCache>
            </c:strRef>
          </c:tx>
          <c:spPr>
            <a:solidFill>
              <a:srgbClr val="9999FF"/>
            </a:solidFill>
            <a:ln w="12700">
              <a:solidFill>
                <a:srgbClr val="000000"/>
              </a:solidFill>
              <a:prstDash val="solid"/>
            </a:ln>
          </c:spPr>
          <c:invertIfNegative val="0"/>
          <c:cat>
            <c:strRef>
              <c:f>'Fiscal Yearly'!$B$17:$B$30</c:f>
              <c:strCache>
                <c:ptCount val="14"/>
                <c:pt idx="0">
                  <c:v>2012Q1</c:v>
                </c:pt>
                <c:pt idx="1">
                  <c:v>2012Q2</c:v>
                </c:pt>
                <c:pt idx="2">
                  <c:v>2012Q3</c:v>
                </c:pt>
                <c:pt idx="3">
                  <c:v>2012Q4</c:v>
                </c:pt>
                <c:pt idx="4">
                  <c:v>2013Q1</c:v>
                </c:pt>
                <c:pt idx="5">
                  <c:v>2013Q2</c:v>
                </c:pt>
                <c:pt idx="6">
                  <c:v>2013Q3</c:v>
                </c:pt>
                <c:pt idx="7">
                  <c:v>2013Q4</c:v>
                </c:pt>
                <c:pt idx="8">
                  <c:v>2014Q1</c:v>
                </c:pt>
                <c:pt idx="9">
                  <c:v>2014Q2</c:v>
                </c:pt>
                <c:pt idx="10">
                  <c:v>2014Q3</c:v>
                </c:pt>
                <c:pt idx="11">
                  <c:v>2014Q4</c:v>
                </c:pt>
                <c:pt idx="12">
                  <c:v>2015Q1</c:v>
                </c:pt>
                <c:pt idx="13">
                  <c:v>2015Q2</c:v>
                </c:pt>
              </c:strCache>
            </c:strRef>
          </c:cat>
          <c:val>
            <c:numRef>
              <c:f>'Fiscal Yearly'!$C$17:$C$30</c:f>
              <c:numCache>
                <c:formatCode>0.0</c:formatCode>
                <c:ptCount val="14"/>
                <c:pt idx="0">
                  <c:v>0.88797868956453896</c:v>
                </c:pt>
                <c:pt idx="1">
                  <c:v>0.63821138359333496</c:v>
                </c:pt>
                <c:pt idx="2">
                  <c:v>-0.32176333489944547</c:v>
                </c:pt>
                <c:pt idx="3">
                  <c:v>-1.3412841477719859</c:v>
                </c:pt>
                <c:pt idx="4">
                  <c:v>-3.6419420034107559</c:v>
                </c:pt>
                <c:pt idx="5">
                  <c:v>-3.7009946665616384</c:v>
                </c:pt>
                <c:pt idx="6">
                  <c:v>-2.5935846302270216</c:v>
                </c:pt>
                <c:pt idx="7">
                  <c:v>-1.4626069217699285</c:v>
                </c:pt>
                <c:pt idx="8">
                  <c:v>-4.2841198129032906E-2</c:v>
                </c:pt>
                <c:pt idx="9" formatCode="0.00">
                  <c:v>-0.22861474372274562</c:v>
                </c:pt>
                <c:pt idx="10" formatCode="0.000">
                  <c:v>-0.15491056962395153</c:v>
                </c:pt>
                <c:pt idx="11" formatCode="0.000">
                  <c:v>-0.14065603099382601</c:v>
                </c:pt>
                <c:pt idx="12" formatCode="0.000">
                  <c:v>1.1101379743981685</c:v>
                </c:pt>
                <c:pt idx="13" formatCode="0.000">
                  <c:v>1.315066419089429</c:v>
                </c:pt>
              </c:numCache>
            </c:numRef>
          </c:val>
        </c:ser>
        <c:ser>
          <c:idx val="1"/>
          <c:order val="1"/>
          <c:tx>
            <c:strRef>
              <c:f>'Fiscal Yearly'!$D$3</c:f>
              <c:strCache>
                <c:ptCount val="1"/>
                <c:pt idx="0">
                  <c:v>ծախսերի ազդակ</c:v>
                </c:pt>
              </c:strCache>
            </c:strRef>
          </c:tx>
          <c:spPr>
            <a:solidFill>
              <a:srgbClr val="993366"/>
            </a:solidFill>
            <a:ln w="12700">
              <a:solidFill>
                <a:srgbClr val="000000"/>
              </a:solidFill>
              <a:prstDash val="solid"/>
            </a:ln>
          </c:spPr>
          <c:invertIfNegative val="0"/>
          <c:cat>
            <c:strRef>
              <c:f>'Fiscal Yearly'!$B$17:$B$30</c:f>
              <c:strCache>
                <c:ptCount val="14"/>
                <c:pt idx="0">
                  <c:v>2012Q1</c:v>
                </c:pt>
                <c:pt idx="1">
                  <c:v>2012Q2</c:v>
                </c:pt>
                <c:pt idx="2">
                  <c:v>2012Q3</c:v>
                </c:pt>
                <c:pt idx="3">
                  <c:v>2012Q4</c:v>
                </c:pt>
                <c:pt idx="4">
                  <c:v>2013Q1</c:v>
                </c:pt>
                <c:pt idx="5">
                  <c:v>2013Q2</c:v>
                </c:pt>
                <c:pt idx="6">
                  <c:v>2013Q3</c:v>
                </c:pt>
                <c:pt idx="7">
                  <c:v>2013Q4</c:v>
                </c:pt>
                <c:pt idx="8">
                  <c:v>2014Q1</c:v>
                </c:pt>
                <c:pt idx="9">
                  <c:v>2014Q2</c:v>
                </c:pt>
                <c:pt idx="10">
                  <c:v>2014Q3</c:v>
                </c:pt>
                <c:pt idx="11">
                  <c:v>2014Q4</c:v>
                </c:pt>
                <c:pt idx="12">
                  <c:v>2015Q1</c:v>
                </c:pt>
                <c:pt idx="13">
                  <c:v>2015Q2</c:v>
                </c:pt>
              </c:strCache>
            </c:strRef>
          </c:cat>
          <c:val>
            <c:numRef>
              <c:f>'Fiscal Yearly'!$D$17:$D$30</c:f>
              <c:numCache>
                <c:formatCode>0.0</c:formatCode>
                <c:ptCount val="14"/>
                <c:pt idx="0">
                  <c:v>-1.7823367797937857</c:v>
                </c:pt>
                <c:pt idx="1">
                  <c:v>-1.4921013982546298</c:v>
                </c:pt>
                <c:pt idx="2">
                  <c:v>-1.1895165916329506</c:v>
                </c:pt>
                <c:pt idx="3">
                  <c:v>-0.75603567472955946</c:v>
                </c:pt>
                <c:pt idx="4">
                  <c:v>0.19822334643036593</c:v>
                </c:pt>
                <c:pt idx="5">
                  <c:v>0.76223131221970319</c:v>
                </c:pt>
                <c:pt idx="6">
                  <c:v>0.41307032945320893</c:v>
                </c:pt>
                <c:pt idx="7">
                  <c:v>1.5491657350884933</c:v>
                </c:pt>
                <c:pt idx="8">
                  <c:v>1.5456315713575928</c:v>
                </c:pt>
                <c:pt idx="9" formatCode="0.00">
                  <c:v>0.60777549179058787</c:v>
                </c:pt>
                <c:pt idx="10" formatCode="0.000">
                  <c:v>-2.3454942860847212E-2</c:v>
                </c:pt>
                <c:pt idx="11" formatCode="0.000">
                  <c:v>-1.1423951694013001</c:v>
                </c:pt>
                <c:pt idx="12" formatCode="0.000">
                  <c:v>0.5801005229855557</c:v>
                </c:pt>
                <c:pt idx="13" formatCode="0.000">
                  <c:v>2.6271050753981493</c:v>
                </c:pt>
              </c:numCache>
            </c:numRef>
          </c:val>
        </c:ser>
        <c:dLbls>
          <c:showLegendKey val="0"/>
          <c:showVal val="0"/>
          <c:showCatName val="0"/>
          <c:showSerName val="0"/>
          <c:showPercent val="0"/>
          <c:showBubbleSize val="0"/>
        </c:dLbls>
        <c:gapWidth val="150"/>
        <c:axId val="377114616"/>
        <c:axId val="377115008"/>
      </c:barChart>
      <c:lineChart>
        <c:grouping val="standard"/>
        <c:varyColors val="0"/>
        <c:ser>
          <c:idx val="2"/>
          <c:order val="2"/>
          <c:tx>
            <c:strRef>
              <c:f>'Fiscal Yearly'!$E$3</c:f>
              <c:strCache>
                <c:ptCount val="1"/>
                <c:pt idx="0">
                  <c:v>հարկաբյուջետային ազդակ</c:v>
                </c:pt>
              </c:strCache>
            </c:strRef>
          </c:tx>
          <c:spPr>
            <a:ln w="25400">
              <a:solidFill>
                <a:srgbClr val="008000"/>
              </a:solidFill>
              <a:prstDash val="solid"/>
            </a:ln>
          </c:spPr>
          <c:marker>
            <c:symbol val="triangle"/>
            <c:size val="7"/>
            <c:spPr>
              <a:solidFill>
                <a:srgbClr val="FFFF00"/>
              </a:solidFill>
              <a:ln>
                <a:solidFill>
                  <a:srgbClr val="FFFF00"/>
                </a:solidFill>
                <a:prstDash val="solid"/>
              </a:ln>
            </c:spPr>
          </c:marker>
          <c:cat>
            <c:strRef>
              <c:f>'Fiscal Yearly'!$B$17:$B$30</c:f>
              <c:strCache>
                <c:ptCount val="14"/>
                <c:pt idx="0">
                  <c:v>2012Q1</c:v>
                </c:pt>
                <c:pt idx="1">
                  <c:v>2012Q2</c:v>
                </c:pt>
                <c:pt idx="2">
                  <c:v>2012Q3</c:v>
                </c:pt>
                <c:pt idx="3">
                  <c:v>2012Q4</c:v>
                </c:pt>
                <c:pt idx="4">
                  <c:v>2013Q1</c:v>
                </c:pt>
                <c:pt idx="5">
                  <c:v>2013Q2</c:v>
                </c:pt>
                <c:pt idx="6">
                  <c:v>2013Q3</c:v>
                </c:pt>
                <c:pt idx="7">
                  <c:v>2013Q4</c:v>
                </c:pt>
                <c:pt idx="8">
                  <c:v>2014Q1</c:v>
                </c:pt>
                <c:pt idx="9">
                  <c:v>2014Q2</c:v>
                </c:pt>
                <c:pt idx="10">
                  <c:v>2014Q3</c:v>
                </c:pt>
                <c:pt idx="11">
                  <c:v>2014Q4</c:v>
                </c:pt>
                <c:pt idx="12">
                  <c:v>2015Q1</c:v>
                </c:pt>
                <c:pt idx="13">
                  <c:v>2015Q2</c:v>
                </c:pt>
              </c:strCache>
            </c:strRef>
          </c:cat>
          <c:val>
            <c:numRef>
              <c:f>'Fiscal Yearly'!$E$17:$E$30</c:f>
              <c:numCache>
                <c:formatCode>0.0</c:formatCode>
                <c:ptCount val="14"/>
                <c:pt idx="0">
                  <c:v>-0.89435809022924673</c:v>
                </c:pt>
                <c:pt idx="1">
                  <c:v>-0.85389001466129488</c:v>
                </c:pt>
                <c:pt idx="2">
                  <c:v>-1.5112799265323962</c:v>
                </c:pt>
                <c:pt idx="3">
                  <c:v>-2.0973198225015453</c:v>
                </c:pt>
                <c:pt idx="4">
                  <c:v>-3.4437186569803901</c:v>
                </c:pt>
                <c:pt idx="5">
                  <c:v>-2.9387633543419351</c:v>
                </c:pt>
                <c:pt idx="6">
                  <c:v>-2.1805143007738126</c:v>
                </c:pt>
                <c:pt idx="7">
                  <c:v>8.6558813318564853E-2</c:v>
                </c:pt>
                <c:pt idx="8">
                  <c:v>1.5027903732285599</c:v>
                </c:pt>
                <c:pt idx="9" formatCode="0.00">
                  <c:v>0.37916074806784228</c:v>
                </c:pt>
                <c:pt idx="10" formatCode="0.000">
                  <c:v>-0.17836551248479873</c:v>
                </c:pt>
                <c:pt idx="11" formatCode="0.000">
                  <c:v>-1.2830512003951262</c:v>
                </c:pt>
                <c:pt idx="12" formatCode="0.000">
                  <c:v>1.6902384973837243</c:v>
                </c:pt>
                <c:pt idx="13" formatCode="0.000">
                  <c:v>3.9421714944875781</c:v>
                </c:pt>
              </c:numCache>
            </c:numRef>
          </c:val>
          <c:smooth val="0"/>
        </c:ser>
        <c:dLbls>
          <c:showLegendKey val="0"/>
          <c:showVal val="0"/>
          <c:showCatName val="0"/>
          <c:showSerName val="0"/>
          <c:showPercent val="0"/>
          <c:showBubbleSize val="0"/>
        </c:dLbls>
        <c:marker val="1"/>
        <c:smooth val="0"/>
        <c:axId val="377114616"/>
        <c:axId val="377115008"/>
      </c:lineChart>
      <c:catAx>
        <c:axId val="377114616"/>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ru-RU"/>
          </a:p>
        </c:txPr>
        <c:crossAx val="377115008"/>
        <c:crossesAt val="0"/>
        <c:auto val="0"/>
        <c:lblAlgn val="ctr"/>
        <c:lblOffset val="700"/>
        <c:tickLblSkip val="1"/>
        <c:tickMarkSkip val="1"/>
        <c:noMultiLvlLbl val="0"/>
      </c:catAx>
      <c:valAx>
        <c:axId val="377115008"/>
        <c:scaling>
          <c:orientation val="minMax"/>
        </c:scaling>
        <c:delete val="0"/>
        <c:axPos val="l"/>
        <c:majorGridlines>
          <c:spPr>
            <a:ln w="3175">
              <a:solidFill>
                <a:srgbClr val="000000"/>
              </a:solidFill>
              <a:prstDash val="solid"/>
            </a:ln>
          </c:spPr>
        </c:majorGridlines>
        <c:numFmt formatCode="#,##0" sourceLinked="0"/>
        <c:majorTickMark val="out"/>
        <c:minorTickMark val="out"/>
        <c:tickLblPos val="low"/>
        <c:spPr>
          <a:ln w="3175">
            <a:solidFill>
              <a:srgbClr val="000000"/>
            </a:solidFill>
            <a:prstDash val="solid"/>
          </a:ln>
        </c:spPr>
        <c:txPr>
          <a:bodyPr rot="0" vert="horz"/>
          <a:lstStyle/>
          <a:p>
            <a:pPr>
              <a:defRPr sz="1125" b="0" i="0" u="none" strike="noStrike" baseline="0">
                <a:solidFill>
                  <a:srgbClr val="000000"/>
                </a:solidFill>
                <a:latin typeface="Arial"/>
                <a:ea typeface="Arial"/>
                <a:cs typeface="Arial"/>
              </a:defRPr>
            </a:pPr>
            <a:endParaRPr lang="ru-RU"/>
          </a:p>
        </c:txPr>
        <c:crossAx val="377114616"/>
        <c:crosses val="autoZero"/>
        <c:crossBetween val="between"/>
      </c:valAx>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w="12700">
          <a:solidFill>
            <a:srgbClr val="808080"/>
          </a:solidFill>
          <a:prstDash val="solid"/>
        </a:ln>
        <a:scene3d>
          <a:camera prst="orthographicFront"/>
          <a:lightRig rig="flat" dir="t"/>
        </a:scene3d>
        <a:sp3d prstMaterial="matte">
          <a:bevelT/>
        </a:sp3d>
      </c:spPr>
    </c:plotArea>
    <c:legend>
      <c:legendPos val="r"/>
      <c:layout>
        <c:manualLayout>
          <c:xMode val="edge"/>
          <c:yMode val="edge"/>
          <c:x val="4.9759161336504487E-2"/>
          <c:y val="0.90797541770693302"/>
          <c:w val="0.92455861638996006"/>
          <c:h val="7.9754689200435269E-2"/>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GHEA Grapalat" pitchFamily="50" charset="0"/>
              <a:ea typeface="Arial Armenian"/>
              <a:cs typeface="Arial Armenian"/>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125"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752A2-7992-4427-BDC2-62CFB69DA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4497</Words>
  <Characters>25634</Characters>
  <Application>Microsoft Office Word</Application>
  <DocSecurity>0</DocSecurity>
  <Lines>213</Lines>
  <Paragraphs>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î º Ô º Î ² î ì àô Â Ú àô Ü</vt:lpstr>
      <vt:lpstr>î º Ô º Î ² î ì àô Â Ú àô Ü</vt:lpstr>
    </vt:vector>
  </TitlesOfParts>
  <Company>MoF</Company>
  <LinksUpToDate>false</LinksUpToDate>
  <CharactersWithSpaces>30071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î º Ô º Î ² î ì àô Â Ú àô Ü</dc:title>
  <dc:creator>EMMA</dc:creator>
  <cp:lastModifiedBy>user</cp:lastModifiedBy>
  <cp:revision>2</cp:revision>
  <cp:lastPrinted>2015-08-27T12:33:00Z</cp:lastPrinted>
  <dcterms:created xsi:type="dcterms:W3CDTF">2017-12-26T07:43:00Z</dcterms:created>
  <dcterms:modified xsi:type="dcterms:W3CDTF">2017-12-26T07:43:00Z</dcterms:modified>
</cp:coreProperties>
</file>