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E" w:rsidRPr="004E1F2F" w:rsidRDefault="0092084E" w:rsidP="0092084E">
      <w:pPr>
        <w:tabs>
          <w:tab w:val="left" w:pos="540"/>
        </w:tabs>
        <w:spacing w:line="360" w:lineRule="auto"/>
        <w:ind w:left="-284"/>
        <w:jc w:val="both"/>
        <w:rPr>
          <w:rFonts w:ascii="GHEA Grapalat" w:hAnsi="GHEA Grapalat" w:cs="Sylfaen"/>
          <w:u w:val="single"/>
          <w:lang w:val="ru-RU"/>
        </w:rPr>
      </w:pPr>
      <w:r>
        <w:rPr>
          <w:rFonts w:ascii="GHEA Grapalat" w:hAnsi="GHEA Grapalat" w:cs="Sylfaen"/>
          <w:u w:val="single"/>
          <w:lang w:val="hy-AM"/>
        </w:rPr>
        <w:t xml:space="preserve">Основные </w:t>
      </w:r>
      <w:r w:rsidRPr="009929BA">
        <w:rPr>
          <w:rFonts w:ascii="GHEA Grapalat" w:hAnsi="GHEA Grapalat" w:cs="Sylfaen"/>
          <w:u w:val="single"/>
          <w:lang w:val="hy-AM"/>
        </w:rPr>
        <w:t>макроэкономические показатели (Бюджетное послание Правительства РА 201</w:t>
      </w:r>
      <w:r w:rsidRPr="0092084E">
        <w:rPr>
          <w:rFonts w:ascii="GHEA Grapalat" w:hAnsi="GHEA Grapalat" w:cs="Sylfaen"/>
          <w:u w:val="single"/>
          <w:lang w:val="ru-RU"/>
        </w:rPr>
        <w:t>3</w:t>
      </w:r>
      <w:r w:rsidRPr="009929BA">
        <w:rPr>
          <w:rFonts w:ascii="GHEA Grapalat" w:hAnsi="GHEA Grapalat" w:cs="Sylfaen"/>
          <w:u w:val="single"/>
          <w:lang w:val="hy-AM"/>
        </w:rPr>
        <w:t>г.)</w:t>
      </w:r>
    </w:p>
    <w:p w:rsidR="0092084E" w:rsidRPr="0092084E" w:rsidRDefault="0092084E" w:rsidP="00741F5F">
      <w:pPr>
        <w:spacing w:after="0" w:line="360" w:lineRule="auto"/>
        <w:jc w:val="both"/>
        <w:rPr>
          <w:rFonts w:ascii="GHEA Grapalat" w:eastAsia="Times New Roman" w:hAnsi="GHEA Grapalat" w:cs="Sylfaen"/>
          <w:u w:val="single"/>
          <w:lang w:val="ru-RU"/>
        </w:rPr>
      </w:pPr>
    </w:p>
    <w:tbl>
      <w:tblPr>
        <w:tblpPr w:leftFromText="180" w:rightFromText="180" w:vertAnchor="text" w:horzAnchor="margin" w:tblpXSpec="right" w:tblpY="358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127"/>
        <w:gridCol w:w="1127"/>
        <w:gridCol w:w="1132"/>
        <w:gridCol w:w="1132"/>
        <w:gridCol w:w="1127"/>
      </w:tblGrid>
      <w:tr w:rsidR="00741F5F" w:rsidRPr="00741F5F" w:rsidTr="00656AD6">
        <w:trPr>
          <w:trHeight w:val="258"/>
          <w:tblHeader/>
        </w:trPr>
        <w:tc>
          <w:tcPr>
            <w:tcW w:w="4320" w:type="dxa"/>
            <w:vMerge w:val="restart"/>
            <w:shd w:val="clear" w:color="auto" w:fill="auto"/>
            <w:noWrap/>
          </w:tcPr>
          <w:p w:rsidR="00741F5F" w:rsidRPr="00741F5F" w:rsidRDefault="00D45D14" w:rsidP="00D45D14">
            <w:pPr>
              <w:spacing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9929BA">
              <w:rPr>
                <w:rFonts w:ascii="GHEA Grapalat" w:hAnsi="GHEA Grapalat" w:cs="Sylfaen"/>
                <w:lang w:val="hy-AM"/>
              </w:rPr>
              <w:t>Показатели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2009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2010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2011</w:t>
            </w:r>
          </w:p>
        </w:tc>
        <w:tc>
          <w:tcPr>
            <w:tcW w:w="1132" w:type="dxa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</w:rPr>
              <w:t>2012</w:t>
            </w:r>
          </w:p>
        </w:tc>
        <w:tc>
          <w:tcPr>
            <w:tcW w:w="1127" w:type="dxa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</w:rPr>
              <w:t>2013</w:t>
            </w:r>
          </w:p>
        </w:tc>
      </w:tr>
      <w:tr w:rsidR="00D45D14" w:rsidRPr="00741F5F" w:rsidTr="00521774">
        <w:trPr>
          <w:trHeight w:val="258"/>
          <w:tblHeader/>
        </w:trPr>
        <w:tc>
          <w:tcPr>
            <w:tcW w:w="4320" w:type="dxa"/>
            <w:vMerge/>
            <w:shd w:val="clear" w:color="auto" w:fill="auto"/>
            <w:noWrap/>
          </w:tcPr>
          <w:p w:rsidR="00D45D14" w:rsidRPr="00741F5F" w:rsidRDefault="00D45D14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D45D14" w:rsidRPr="00FB57DC" w:rsidRDefault="00D45D14" w:rsidP="00CB3EBC">
            <w:pPr>
              <w:pStyle w:val="1"/>
              <w:jc w:val="both"/>
            </w:pPr>
            <w:proofErr w:type="spellStart"/>
            <w:r w:rsidRPr="00FB57DC">
              <w:t>фактич</w:t>
            </w:r>
            <w:proofErr w:type="spellEnd"/>
            <w:r w:rsidRPr="00FB57DC">
              <w:t>.</w:t>
            </w:r>
          </w:p>
        </w:tc>
        <w:tc>
          <w:tcPr>
            <w:tcW w:w="1127" w:type="dxa"/>
            <w:vAlign w:val="center"/>
          </w:tcPr>
          <w:p w:rsidR="00D45D14" w:rsidRPr="00732217" w:rsidRDefault="00D45D14" w:rsidP="00CB3EBC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1132" w:type="dxa"/>
            <w:vAlign w:val="center"/>
          </w:tcPr>
          <w:p w:rsidR="00D45D14" w:rsidRPr="00732217" w:rsidRDefault="00D45D14" w:rsidP="00CB3EBC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1132" w:type="dxa"/>
            <w:vAlign w:val="center"/>
          </w:tcPr>
          <w:p w:rsidR="00D45D14" w:rsidRDefault="00D45D14" w:rsidP="00CB3EBC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  <w:tc>
          <w:tcPr>
            <w:tcW w:w="1127" w:type="dxa"/>
            <w:vAlign w:val="center"/>
          </w:tcPr>
          <w:p w:rsidR="00D45D14" w:rsidRDefault="00D45D14" w:rsidP="00CB3EBC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</w:tr>
      <w:tr w:rsidR="00121A63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121A63" w:rsidRPr="00C96645" w:rsidRDefault="00121A63" w:rsidP="004C2292">
            <w:pPr>
              <w:pStyle w:val="1"/>
              <w:jc w:val="left"/>
            </w:pPr>
            <w:proofErr w:type="spellStart"/>
            <w:r w:rsidRPr="001514BC">
              <w:t>Номинальный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  <w:r w:rsidRPr="001514BC">
              <w:t xml:space="preserve">, </w:t>
            </w:r>
            <w:proofErr w:type="spellStart"/>
            <w:r w:rsidRPr="001514BC">
              <w:t>млрд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драмов</w:t>
            </w:r>
            <w:proofErr w:type="spellEnd"/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3141.7</w:t>
            </w:r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3460.2</w:t>
            </w:r>
          </w:p>
        </w:tc>
        <w:tc>
          <w:tcPr>
            <w:tcW w:w="1132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3776.4</w:t>
            </w:r>
          </w:p>
        </w:tc>
        <w:tc>
          <w:tcPr>
            <w:tcW w:w="1132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4136.4</w:t>
            </w:r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4537.3</w:t>
            </w:r>
          </w:p>
        </w:tc>
      </w:tr>
      <w:tr w:rsidR="00121A63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121A63" w:rsidRPr="00C96645" w:rsidRDefault="00121A63" w:rsidP="004C2292">
            <w:pPr>
              <w:pStyle w:val="1"/>
              <w:jc w:val="left"/>
            </w:pPr>
            <w:proofErr w:type="spellStart"/>
            <w:r w:rsidRPr="001514BC">
              <w:t>Индекс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реального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85.9 </w:t>
            </w:r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102.2 </w:t>
            </w:r>
          </w:p>
        </w:tc>
        <w:tc>
          <w:tcPr>
            <w:tcW w:w="1132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104.7 </w:t>
            </w:r>
          </w:p>
        </w:tc>
        <w:tc>
          <w:tcPr>
            <w:tcW w:w="1132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107.1 </w:t>
            </w:r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106.2 </w:t>
            </w:r>
          </w:p>
        </w:tc>
      </w:tr>
      <w:tr w:rsidR="00121A63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121A63" w:rsidRPr="00C96645" w:rsidRDefault="00121A63" w:rsidP="004C2292">
            <w:pPr>
              <w:pStyle w:val="1"/>
              <w:jc w:val="left"/>
            </w:pPr>
            <w:proofErr w:type="spellStart"/>
            <w:r w:rsidRPr="001514BC">
              <w:t>Дефлятор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102.6 </w:t>
            </w:r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107.8 </w:t>
            </w:r>
          </w:p>
        </w:tc>
        <w:tc>
          <w:tcPr>
            <w:tcW w:w="1132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104.2 </w:t>
            </w:r>
          </w:p>
        </w:tc>
        <w:tc>
          <w:tcPr>
            <w:tcW w:w="1132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102.3 </w:t>
            </w:r>
          </w:p>
        </w:tc>
        <w:tc>
          <w:tcPr>
            <w:tcW w:w="1127" w:type="dxa"/>
            <w:vAlign w:val="bottom"/>
          </w:tcPr>
          <w:p w:rsidR="00121A63" w:rsidRPr="00741F5F" w:rsidRDefault="00121A6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103.2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741F5F" w:rsidRPr="004C2292" w:rsidRDefault="00121A63" w:rsidP="004C2292">
            <w:pPr>
              <w:spacing w:after="0" w:line="240" w:lineRule="auto"/>
              <w:rPr>
                <w:rFonts w:ascii="GHEA Grapalat" w:eastAsia="Times New Roman" w:hAnsi="GHEA Grapalat" w:cs="Sylfaen"/>
                <w:lang w:val="ru-RU"/>
              </w:rPr>
            </w:pPr>
            <w:r w:rsidRPr="00324848">
              <w:rPr>
                <w:rFonts w:ascii="GHEA Grapalat" w:hAnsi="GHEA Grapalat" w:cs="Sylfaen"/>
                <w:lang w:val="ru-RU"/>
              </w:rPr>
              <w:t>Индекс потребительских цен (конец срока)</w:t>
            </w:r>
            <w:r w:rsidR="004C2292" w:rsidRPr="004C2292">
              <w:rPr>
                <w:rFonts w:ascii="GHEA Grapalat" w:hAnsi="GHEA Grapalat" w:cs="Sylfaen"/>
                <w:lang w:val="ru-RU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106.5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109.4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104.7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104.0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104.0</w:t>
            </w:r>
          </w:p>
        </w:tc>
      </w:tr>
      <w:tr w:rsidR="004C2292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4C2292" w:rsidRPr="007D085D" w:rsidRDefault="004C2292" w:rsidP="004C2292">
            <w:pPr>
              <w:spacing w:line="240" w:lineRule="auto"/>
              <w:rPr>
                <w:rFonts w:ascii="GHEA Grapalat" w:hAnsi="GHEA Grapalat" w:cs="Sylfaen"/>
                <w:lang w:val="ru-RU"/>
              </w:rPr>
            </w:pPr>
            <w:r w:rsidRPr="00BC667A">
              <w:rPr>
                <w:rFonts w:ascii="GHEA Grapalat" w:hAnsi="GHEA Grapalat"/>
                <w:lang w:val="ru-RU"/>
              </w:rPr>
              <w:t>Инфляция (</w:t>
            </w:r>
            <w:proofErr w:type="spellStart"/>
            <w:r>
              <w:rPr>
                <w:rFonts w:ascii="GHEA Grapalat" w:hAnsi="GHEA Grapalat"/>
              </w:rPr>
              <w:t>конец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периода</w:t>
            </w:r>
            <w:proofErr w:type="spellEnd"/>
            <w:r w:rsidRPr="00BC667A">
              <w:rPr>
                <w:rFonts w:ascii="GHEA Grapalat" w:hAnsi="GHEA Grapalat"/>
                <w:lang w:val="ru-RU"/>
              </w:rPr>
              <w:t>), %</w:t>
            </w:r>
          </w:p>
        </w:tc>
        <w:tc>
          <w:tcPr>
            <w:tcW w:w="1127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6.5</w:t>
            </w:r>
          </w:p>
        </w:tc>
        <w:tc>
          <w:tcPr>
            <w:tcW w:w="1127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9.4</w:t>
            </w:r>
          </w:p>
        </w:tc>
        <w:tc>
          <w:tcPr>
            <w:tcW w:w="1132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4.7</w:t>
            </w:r>
          </w:p>
        </w:tc>
        <w:tc>
          <w:tcPr>
            <w:tcW w:w="1132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4.0</w:t>
            </w:r>
          </w:p>
        </w:tc>
        <w:tc>
          <w:tcPr>
            <w:tcW w:w="1127" w:type="dxa"/>
            <w:vAlign w:val="bottom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4.0 </w:t>
            </w:r>
          </w:p>
        </w:tc>
      </w:tr>
      <w:tr w:rsidR="004C2292" w:rsidRPr="00741F5F" w:rsidTr="00656AD6">
        <w:trPr>
          <w:trHeight w:val="516"/>
        </w:trPr>
        <w:tc>
          <w:tcPr>
            <w:tcW w:w="4320" w:type="dxa"/>
            <w:shd w:val="clear" w:color="auto" w:fill="auto"/>
          </w:tcPr>
          <w:p w:rsidR="004C2292" w:rsidRPr="00177820" w:rsidRDefault="004C2292" w:rsidP="004C2292">
            <w:pPr>
              <w:spacing w:line="240" w:lineRule="auto"/>
              <w:rPr>
                <w:rFonts w:ascii="GHEA Grapalat" w:hAnsi="GHEA Grapalat" w:cs="Sylfaen"/>
                <w:lang w:val="ru-RU"/>
              </w:rPr>
            </w:pPr>
            <w:r w:rsidRPr="00BC667A">
              <w:rPr>
                <w:rFonts w:ascii="GHEA Grapalat" w:hAnsi="GHEA Grapalat"/>
                <w:lang w:val="ru-RU"/>
              </w:rPr>
              <w:t>Инфляция (в среднем, за аналогич</w:t>
            </w:r>
            <w:r w:rsidRPr="00BC667A">
              <w:rPr>
                <w:rFonts w:ascii="GHEA Grapalat" w:hAnsi="GHEA Grapalat"/>
                <w:lang w:val="ru-RU"/>
              </w:rPr>
              <w:softHyphen/>
              <w:t>ный период прошлого года), %</w:t>
            </w:r>
          </w:p>
        </w:tc>
        <w:tc>
          <w:tcPr>
            <w:tcW w:w="1127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3.4</w:t>
            </w:r>
          </w:p>
        </w:tc>
        <w:tc>
          <w:tcPr>
            <w:tcW w:w="1127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8.2</w:t>
            </w:r>
          </w:p>
        </w:tc>
        <w:tc>
          <w:tcPr>
            <w:tcW w:w="1132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7.7</w:t>
            </w:r>
          </w:p>
        </w:tc>
        <w:tc>
          <w:tcPr>
            <w:tcW w:w="1132" w:type="dxa"/>
            <w:vAlign w:val="center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2.4</w:t>
            </w:r>
          </w:p>
        </w:tc>
        <w:tc>
          <w:tcPr>
            <w:tcW w:w="1127" w:type="dxa"/>
            <w:vAlign w:val="bottom"/>
          </w:tcPr>
          <w:p w:rsidR="004C2292" w:rsidRPr="00741F5F" w:rsidRDefault="004C2292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4.2 </w:t>
            </w:r>
          </w:p>
        </w:tc>
      </w:tr>
      <w:tr w:rsidR="00741F5F" w:rsidRPr="004C2292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741F5F" w:rsidRPr="00741F5F" w:rsidRDefault="004C2292" w:rsidP="00401E9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C667A">
              <w:rPr>
                <w:rFonts w:ascii="GHEA Grapalat" w:hAnsi="GHEA Grapalat"/>
                <w:i/>
                <w:iCs/>
                <w:u w:val="single"/>
                <w:lang w:val="ru-RU"/>
              </w:rPr>
              <w:t>Реальный рост ВВП по отраслям добавленной стоимости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375A6D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375A6D" w:rsidRPr="00BC667A" w:rsidRDefault="00375A6D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szCs w:val="20"/>
                <w:lang w:val="ru-RU"/>
              </w:rPr>
              <w:t>ВВП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-14.1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2.2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4.7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7.1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6.2</w:t>
            </w:r>
          </w:p>
        </w:tc>
      </w:tr>
      <w:tr w:rsidR="00375A6D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375A6D" w:rsidRPr="00BC667A" w:rsidRDefault="00375A6D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Промышленность</w:t>
            </w:r>
            <w:proofErr w:type="spellEnd"/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-6.9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9.2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</w:t>
            </w:r>
            <w:r w:rsidRPr="00741F5F">
              <w:rPr>
                <w:rFonts w:ascii="GHEA Grapalat" w:eastAsia="Times New Roman" w:hAnsi="GHEA Grapalat" w:cs="Sylfaen"/>
              </w:rPr>
              <w:t>6.0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9.4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9.2</w:t>
            </w:r>
          </w:p>
        </w:tc>
      </w:tr>
      <w:tr w:rsidR="00375A6D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375A6D" w:rsidRPr="00BC667A" w:rsidRDefault="00375A6D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Сельское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хозяйство</w:t>
            </w:r>
            <w:proofErr w:type="spellEnd"/>
            <w:r w:rsidRPr="00BC667A">
              <w:rPr>
                <w:szCs w:val="20"/>
              </w:rPr>
              <w:t xml:space="preserve"> 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6.0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-16.0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</w:t>
            </w:r>
            <w:r w:rsidRPr="00741F5F">
              <w:rPr>
                <w:rFonts w:ascii="GHEA Grapalat" w:eastAsia="Times New Roman" w:hAnsi="GHEA Grapalat" w:cs="Sylfaen"/>
              </w:rPr>
              <w:t>6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7.9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4.5</w:t>
            </w:r>
          </w:p>
        </w:tc>
      </w:tr>
      <w:tr w:rsidR="00375A6D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375A6D" w:rsidRPr="00BC667A" w:rsidRDefault="00375A6D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Строительство</w:t>
            </w:r>
            <w:proofErr w:type="spellEnd"/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-41.6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3.3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-12.5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2.2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3.5</w:t>
            </w:r>
          </w:p>
        </w:tc>
      </w:tr>
      <w:tr w:rsidR="00375A6D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375A6D" w:rsidRPr="00BC667A" w:rsidRDefault="00375A6D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Услуги</w:t>
            </w:r>
            <w:proofErr w:type="spellEnd"/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-3.3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4.1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</w:rPr>
              <w:t>4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t>.0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6.4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6.2</w:t>
            </w:r>
          </w:p>
        </w:tc>
      </w:tr>
      <w:tr w:rsidR="00375A6D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375A6D" w:rsidRPr="00BC667A" w:rsidRDefault="00375A6D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Чистые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налоги</w:t>
            </w:r>
            <w:proofErr w:type="spellEnd"/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-22.5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13.4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4.3</w:t>
            </w:r>
          </w:p>
        </w:tc>
        <w:tc>
          <w:tcPr>
            <w:tcW w:w="1132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10.0</w:t>
            </w:r>
          </w:p>
        </w:tc>
        <w:tc>
          <w:tcPr>
            <w:tcW w:w="1127" w:type="dxa"/>
            <w:vAlign w:val="bottom"/>
          </w:tcPr>
          <w:p w:rsidR="00375A6D" w:rsidRPr="00741F5F" w:rsidRDefault="00375A6D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8.0</w:t>
            </w:r>
          </w:p>
        </w:tc>
      </w:tr>
      <w:tr w:rsidR="00741F5F" w:rsidRPr="00401E93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741F5F" w:rsidRPr="00741F5F" w:rsidRDefault="00401E93" w:rsidP="00401E93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401E93">
              <w:rPr>
                <w:rFonts w:ascii="GHEA Grapalat" w:hAnsi="GHEA Grapalat"/>
                <w:i/>
                <w:iCs/>
                <w:u w:val="single"/>
                <w:lang w:val="ru-RU"/>
              </w:rPr>
              <w:t>Реальный рост расходных компонентов ВВП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401E93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Конечное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потребление</w:t>
            </w:r>
            <w:proofErr w:type="spellEnd"/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-4.0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3.9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3.4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6.0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5.0 </w:t>
            </w:r>
          </w:p>
        </w:tc>
      </w:tr>
      <w:tr w:rsidR="00401E93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Государственные</w:t>
            </w:r>
            <w:proofErr w:type="spellEnd"/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-1.2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3.9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7.7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-0.3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-0.3 </w:t>
            </w:r>
          </w:p>
        </w:tc>
      </w:tr>
      <w:tr w:rsidR="00401E93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Частные</w:t>
            </w:r>
            <w:proofErr w:type="spellEnd"/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-4.4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3.9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2.7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7.0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5.8 </w:t>
            </w:r>
          </w:p>
        </w:tc>
      </w:tr>
      <w:tr w:rsidR="00401E93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Валовое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накопление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капитала</w:t>
            </w:r>
            <w:proofErr w:type="spellEnd"/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-30.9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0.5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-4.7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3.4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8.7 </w:t>
            </w:r>
          </w:p>
        </w:tc>
      </w:tr>
      <w:tr w:rsidR="00401E93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Государственные</w:t>
            </w:r>
            <w:proofErr w:type="spellEnd"/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-10.0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-3.1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-6.8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25.5 </w:t>
            </w:r>
          </w:p>
        </w:tc>
      </w:tr>
      <w:tr w:rsidR="00401E93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proofErr w:type="spellStart"/>
            <w:r w:rsidRPr="00BC667A">
              <w:t>Частные</w:t>
            </w:r>
            <w:proofErr w:type="spellEnd"/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-37.0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-5.1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5.6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5.4 </w:t>
            </w:r>
          </w:p>
        </w:tc>
      </w:tr>
      <w:tr w:rsidR="00401E93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Экспорт товаров и услуг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-10.4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26.5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14.9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15.3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12.9 </w:t>
            </w:r>
          </w:p>
        </w:tc>
      </w:tr>
      <w:tr w:rsidR="00401E93" w:rsidRPr="00741F5F" w:rsidTr="00656AD6">
        <w:trPr>
          <w:trHeight w:val="272"/>
        </w:trPr>
        <w:tc>
          <w:tcPr>
            <w:tcW w:w="4320" w:type="dxa"/>
            <w:shd w:val="clear" w:color="auto" w:fill="auto"/>
          </w:tcPr>
          <w:p w:rsidR="00401E93" w:rsidRPr="00BC667A" w:rsidRDefault="00401E93" w:rsidP="00CB3EB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lastRenderedPageBreak/>
              <w:t>Импорт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товаров</w:t>
            </w:r>
            <w:proofErr w:type="spellEnd"/>
            <w:r w:rsidRPr="00BC667A">
              <w:t xml:space="preserve"> и </w:t>
            </w:r>
            <w:proofErr w:type="spellStart"/>
            <w:r w:rsidRPr="00BC667A">
              <w:t>услуг</w:t>
            </w:r>
            <w:proofErr w:type="spellEnd"/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-19.</w:t>
            </w:r>
            <w:r w:rsidRPr="00741F5F">
              <w:rPr>
                <w:rFonts w:ascii="GHEA Grapalat" w:eastAsia="Times New Roman" w:hAnsi="GHEA Grapalat" w:cs="Sylfaen"/>
              </w:rPr>
              <w:t>2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12.8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-2.3 </w:t>
            </w:r>
          </w:p>
        </w:tc>
        <w:tc>
          <w:tcPr>
            <w:tcW w:w="1132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7.0 </w:t>
            </w:r>
          </w:p>
        </w:tc>
        <w:tc>
          <w:tcPr>
            <w:tcW w:w="1127" w:type="dxa"/>
            <w:vAlign w:val="bottom"/>
          </w:tcPr>
          <w:p w:rsidR="00401E93" w:rsidRPr="00741F5F" w:rsidRDefault="00401E93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7.4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741F5F" w:rsidRPr="00741F5F" w:rsidRDefault="00B47E9B" w:rsidP="00741F5F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BC667A">
              <w:rPr>
                <w:rFonts w:ascii="GHEA Grapalat" w:hAnsi="GHEA Grapalat" w:cs="Courier New"/>
                <w:i/>
                <w:color w:val="000000"/>
                <w:u w:val="single"/>
                <w:lang w:val="ru-RU" w:eastAsia="ru-RU"/>
              </w:rPr>
              <w:t>Внешний сектор, в млн долл. США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FF02C1" w:rsidRPr="00BC667A" w:rsidRDefault="00FF02C1" w:rsidP="00F23917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 xml:space="preserve">Экспорт товаров и услуг 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1338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1937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2407 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2654 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2982 </w:t>
            </w: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FF02C1" w:rsidRPr="00BC667A" w:rsidRDefault="00FF02C1" w:rsidP="00F23917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Импорт товаров и услуг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-3688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-4212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-4797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-5049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-5315</w:t>
            </w: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FF02C1" w:rsidRPr="00BC667A" w:rsidRDefault="00FF02C1" w:rsidP="00F23917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 xml:space="preserve">Экспорт товаров 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749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1175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1580 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1770 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2035 </w:t>
            </w: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FF02C1" w:rsidRPr="00BC667A" w:rsidRDefault="00FF02C1" w:rsidP="00F23917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BC667A">
              <w:rPr>
                <w:lang w:val="ru-RU"/>
              </w:rPr>
              <w:t>Импорт товаров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-2830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-3208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-3658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-3859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-4071</w:t>
            </w: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FF02C1" w:rsidRPr="00BC667A" w:rsidRDefault="00FF02C1" w:rsidP="00F23917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Рост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экспорта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товаров</w:t>
            </w:r>
            <w:proofErr w:type="spellEnd"/>
            <w:r w:rsidRPr="00BC667A">
              <w:t>, %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-32.7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57.0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34.4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12.0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15.0</w:t>
            </w: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FF02C1" w:rsidRPr="00BC667A" w:rsidRDefault="00FF02C1" w:rsidP="00F23917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C667A">
              <w:t>Рост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импорта</w:t>
            </w:r>
            <w:proofErr w:type="spellEnd"/>
            <w:r w:rsidRPr="00BC667A">
              <w:rPr>
                <w:rFonts w:ascii="Courier New" w:hAnsi="Courier New"/>
              </w:rPr>
              <w:t> </w:t>
            </w:r>
            <w:proofErr w:type="spellStart"/>
            <w:r w:rsidRPr="00BC667A">
              <w:rPr>
                <w:rFonts w:cs="GHEA Grapalat"/>
              </w:rPr>
              <w:t>товаров</w:t>
            </w:r>
            <w:proofErr w:type="spellEnd"/>
            <w:r w:rsidRPr="00BC667A">
              <w:t>, %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-25.0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13.4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14.0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5.5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5.3</w:t>
            </w: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FF02C1" w:rsidRPr="00BC667A" w:rsidRDefault="00FF02C1" w:rsidP="00F23917">
            <w:pPr>
              <w:pStyle w:val="1"/>
              <w:jc w:val="left"/>
              <w:rPr>
                <w:rFonts w:cs="Sylfaen"/>
                <w:lang w:val="hy-AM"/>
              </w:rPr>
            </w:pPr>
            <w:proofErr w:type="spellStart"/>
            <w:r w:rsidRPr="00BC667A">
              <w:t>Текущий</w:t>
            </w:r>
            <w:proofErr w:type="spellEnd"/>
            <w:r w:rsidRPr="00BC667A">
              <w:t xml:space="preserve"> </w:t>
            </w:r>
            <w:proofErr w:type="spellStart"/>
            <w:r w:rsidRPr="00BC667A">
              <w:t>счет</w:t>
            </w:r>
            <w:proofErr w:type="spellEnd"/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-1369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-1373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-1108 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-1106 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-993 </w:t>
            </w:r>
          </w:p>
        </w:tc>
      </w:tr>
      <w:tr w:rsidR="00FF02C1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FF02C1" w:rsidRPr="00B26007" w:rsidRDefault="00FF02C1" w:rsidP="00F23917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Внешний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долг</w:t>
            </w:r>
            <w:proofErr w:type="spellEnd"/>
            <w:r w:rsidRPr="00B26007"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2967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3299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3568</w:t>
            </w:r>
          </w:p>
        </w:tc>
        <w:tc>
          <w:tcPr>
            <w:tcW w:w="1132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38</w:t>
            </w:r>
            <w:r w:rsidRPr="00741F5F">
              <w:rPr>
                <w:rFonts w:ascii="GHEA Grapalat" w:eastAsia="Times New Roman" w:hAnsi="GHEA Grapalat" w:cs="Sylfaen"/>
              </w:rPr>
              <w:t>97</w:t>
            </w:r>
          </w:p>
        </w:tc>
        <w:tc>
          <w:tcPr>
            <w:tcW w:w="1127" w:type="dxa"/>
            <w:vAlign w:val="center"/>
          </w:tcPr>
          <w:p w:rsidR="00FF02C1" w:rsidRPr="00741F5F" w:rsidRDefault="00FF02C1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40</w:t>
            </w:r>
            <w:r w:rsidRPr="00741F5F">
              <w:rPr>
                <w:rFonts w:ascii="GHEA Grapalat" w:eastAsia="Times New Roman" w:hAnsi="GHEA Grapalat" w:cs="Sylfaen"/>
              </w:rPr>
              <w:t>8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t>0</w:t>
            </w:r>
          </w:p>
        </w:tc>
      </w:tr>
      <w:tr w:rsidR="00741F5F" w:rsidRPr="00B668A7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B668A7" w:rsidRPr="00B668A7" w:rsidRDefault="00B668A7" w:rsidP="00741F5F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ru-RU"/>
              </w:rPr>
            </w:pPr>
            <w:r w:rsidRPr="00BC667A">
              <w:rPr>
                <w:rFonts w:ascii="GHEA Grapalat" w:hAnsi="GHEA Grapalat" w:cs="Courier New"/>
                <w:i/>
                <w:color w:val="000000"/>
                <w:u w:val="single"/>
                <w:lang w:val="ru-RU" w:eastAsia="ru-RU"/>
              </w:rPr>
              <w:t>Проценты по отношению к ВВП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741F5F" w:rsidRPr="00741F5F" w:rsidRDefault="00D85D0F" w:rsidP="009A09DA">
            <w:pPr>
              <w:spacing w:line="240" w:lineRule="auto"/>
              <w:rPr>
                <w:rFonts w:ascii="GHEA Grapalat" w:eastAsia="Times New Roman" w:hAnsi="GHEA Grapalat" w:cs="Arial"/>
                <w:lang w:val="hy-AM"/>
              </w:rPr>
            </w:pPr>
            <w:proofErr w:type="spellStart"/>
            <w:r w:rsidRPr="009A09DA">
              <w:rPr>
                <w:rFonts w:ascii="GHEA Grapalat" w:hAnsi="GHEA Grapalat" w:cs="Sylfaen"/>
              </w:rPr>
              <w:t>Баланс</w:t>
            </w:r>
            <w:proofErr w:type="spellEnd"/>
            <w:r w:rsidRPr="009A09D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A09DA">
              <w:rPr>
                <w:rFonts w:ascii="GHEA Grapalat" w:hAnsi="GHEA Grapalat" w:cs="Sylfaen"/>
              </w:rPr>
              <w:t>товаров</w:t>
            </w:r>
            <w:proofErr w:type="spellEnd"/>
            <w:r w:rsidRPr="009A09DA">
              <w:rPr>
                <w:rFonts w:ascii="GHEA Grapalat" w:hAnsi="GHEA Grapalat" w:cs="Sylfaen"/>
              </w:rPr>
              <w:t xml:space="preserve"> и </w:t>
            </w:r>
            <w:proofErr w:type="spellStart"/>
            <w:r w:rsidRPr="009A09DA">
              <w:rPr>
                <w:rFonts w:ascii="GHEA Grapalat" w:hAnsi="GHEA Grapalat" w:cs="Sylfaen"/>
              </w:rPr>
              <w:t>услуг</w:t>
            </w:r>
            <w:proofErr w:type="spellEnd"/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-27.2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-24.6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-23.6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-23.1 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-21.5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741F5F" w:rsidRPr="00741F5F" w:rsidRDefault="009A09DA" w:rsidP="009A09DA">
            <w:pPr>
              <w:spacing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9A09DA">
              <w:rPr>
                <w:rFonts w:ascii="GHEA Grapalat" w:hAnsi="GHEA Grapalat" w:cs="Sylfaen"/>
              </w:rPr>
              <w:t>Экспорт товаров и услуг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15.5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20.9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23.7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25.6 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27.5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741F5F" w:rsidRPr="00741F5F" w:rsidRDefault="009A09DA" w:rsidP="009A09DA">
            <w:pPr>
              <w:spacing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9A09DA">
              <w:rPr>
                <w:rFonts w:ascii="GHEA Grapalat" w:hAnsi="GHEA Grapalat" w:cs="Sylfaen"/>
              </w:rPr>
              <w:t>Импорт товаров и услуг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42.6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45.5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47.3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48.7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49.0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</w:tcPr>
          <w:p w:rsidR="00741F5F" w:rsidRPr="00741F5F" w:rsidRDefault="009A09DA" w:rsidP="009A09DA">
            <w:pPr>
              <w:spacing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9A09DA">
              <w:rPr>
                <w:rFonts w:ascii="GHEA Grapalat" w:hAnsi="GHEA Grapalat" w:cs="Sylfaen"/>
              </w:rPr>
              <w:t>Коммерческий счет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-24.1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-21.9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-20.5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-20.1 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-18.8 </w:t>
            </w:r>
          </w:p>
        </w:tc>
      </w:tr>
      <w:tr w:rsidR="00741F5F" w:rsidRPr="00741F5F" w:rsidTr="00656AD6">
        <w:trPr>
          <w:trHeight w:val="274"/>
        </w:trPr>
        <w:tc>
          <w:tcPr>
            <w:tcW w:w="4320" w:type="dxa"/>
            <w:shd w:val="clear" w:color="auto" w:fill="auto"/>
          </w:tcPr>
          <w:p w:rsidR="00741F5F" w:rsidRPr="00741F5F" w:rsidRDefault="009A09DA" w:rsidP="009A09DA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BC667A">
              <w:rPr>
                <w:rFonts w:ascii="GHEA Grapalat" w:hAnsi="GHEA Grapalat" w:cs="Sylfaen"/>
                <w:lang w:val="ru-RU"/>
              </w:rPr>
              <w:t>Текущий счет (включая официальные трансферты)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-15.8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-14.8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-10.9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-10.7 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-9.2 </w:t>
            </w:r>
          </w:p>
        </w:tc>
      </w:tr>
      <w:tr w:rsidR="00741F5F" w:rsidRPr="00741F5F" w:rsidTr="00656AD6">
        <w:trPr>
          <w:trHeight w:val="281"/>
        </w:trPr>
        <w:tc>
          <w:tcPr>
            <w:tcW w:w="4320" w:type="dxa"/>
            <w:shd w:val="clear" w:color="auto" w:fill="auto"/>
          </w:tcPr>
          <w:p w:rsidR="00741F5F" w:rsidRPr="00741F5F" w:rsidRDefault="009A09DA" w:rsidP="009A09DA">
            <w:pPr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BC667A">
              <w:rPr>
                <w:rFonts w:ascii="GHEA Grapalat" w:hAnsi="GHEA Grapalat" w:cs="Sylfaen"/>
                <w:lang w:val="ru-RU"/>
              </w:rPr>
              <w:t>Текущий счет (</w:t>
            </w:r>
            <w:r w:rsidRPr="003E2670">
              <w:rPr>
                <w:rFonts w:ascii="GHEA Grapalat" w:hAnsi="GHEA Grapalat" w:cs="Sylfaen"/>
                <w:lang w:val="ru-RU"/>
              </w:rPr>
              <w:t xml:space="preserve">без </w:t>
            </w:r>
            <w:r w:rsidRPr="00BC667A">
              <w:rPr>
                <w:rFonts w:ascii="GHEA Grapalat" w:hAnsi="GHEA Grapalat" w:cs="Sylfaen"/>
                <w:lang w:val="ru-RU"/>
              </w:rPr>
              <w:t>официальны</w:t>
            </w:r>
            <w:r w:rsidRPr="003E2670">
              <w:rPr>
                <w:rFonts w:ascii="GHEA Grapalat" w:hAnsi="GHEA Grapalat" w:cs="Sylfaen"/>
                <w:lang w:val="ru-RU"/>
              </w:rPr>
              <w:t>х</w:t>
            </w:r>
            <w:r w:rsidRPr="00BC667A">
              <w:rPr>
                <w:rFonts w:ascii="GHEA Grapalat" w:hAnsi="GHEA Grapalat" w:cs="Sylfaen"/>
                <w:lang w:val="ru-RU"/>
              </w:rPr>
              <w:t xml:space="preserve"> трансферт</w:t>
            </w:r>
            <w:r w:rsidRPr="003E2670">
              <w:rPr>
                <w:rFonts w:ascii="GHEA Grapalat" w:hAnsi="GHEA Grapalat" w:cs="Sylfaen"/>
                <w:lang w:val="ru-RU"/>
              </w:rPr>
              <w:t>ов</w:t>
            </w:r>
            <w:r w:rsidRPr="00BC667A">
              <w:rPr>
                <w:rFonts w:ascii="GHEA Grapalat" w:hAnsi="GHEA Grapalat" w:cs="Sylfaen"/>
                <w:lang w:val="ru-RU"/>
              </w:rPr>
              <w:t>)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-16.8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-15.8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-12.5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-11.1 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-9.5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741F5F" w:rsidRPr="00741F5F" w:rsidRDefault="009A09DA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Внешний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долг</w:t>
            </w:r>
            <w:proofErr w:type="spellEnd"/>
            <w:r w:rsidRPr="00B26007">
              <w:rPr>
                <w:rFonts w:ascii="GHEA Grapalat" w:hAnsi="GHEA Grapalat" w:cs="Sylfaen"/>
                <w:lang w:val="hy-AM"/>
              </w:rPr>
              <w:t xml:space="preserve">       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35.7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34.7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36.4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37.</w:t>
            </w:r>
            <w:r w:rsidRPr="00741F5F">
              <w:rPr>
                <w:rFonts w:ascii="GHEA Grapalat" w:eastAsia="Times New Roman" w:hAnsi="GHEA Grapalat" w:cs="Sylfaen"/>
              </w:rPr>
              <w:t>5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37.</w:t>
            </w:r>
            <w:r w:rsidRPr="00741F5F"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741F5F" w:rsidRPr="009A09DA" w:rsidRDefault="009A09DA" w:rsidP="00741F5F">
            <w:pPr>
              <w:spacing w:after="0" w:line="360" w:lineRule="auto"/>
              <w:rPr>
                <w:rFonts w:ascii="GHEA Grapalat" w:eastAsia="Times New Roman" w:hAnsi="GHEA Grapalat" w:cs="Sylfaen"/>
              </w:rPr>
            </w:pPr>
            <w:proofErr w:type="spellStart"/>
            <w:r w:rsidRPr="00BC667A">
              <w:rPr>
                <w:rFonts w:ascii="GHEA Grapalat" w:hAnsi="GHEA Grapalat" w:cs="Sylfaen"/>
              </w:rPr>
              <w:t>Импортное</w:t>
            </w:r>
            <w:proofErr w:type="spellEnd"/>
            <w:r w:rsidRPr="00BC6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C667A">
              <w:rPr>
                <w:rFonts w:ascii="GHEA Grapalat" w:hAnsi="GHEA Grapalat" w:cs="Sylfaen"/>
              </w:rPr>
              <w:t>покрытие</w:t>
            </w:r>
            <w:proofErr w:type="spellEnd"/>
            <w:r w:rsidRPr="00BC667A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BC667A">
              <w:rPr>
                <w:rFonts w:ascii="GHEA Grapalat" w:hAnsi="GHEA Grapalat" w:cs="Sylfaen"/>
              </w:rPr>
              <w:t>по</w:t>
            </w:r>
            <w:proofErr w:type="spellEnd"/>
            <w:r w:rsidRPr="00BC667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BC667A">
              <w:rPr>
                <w:rFonts w:ascii="GHEA Grapalat" w:hAnsi="GHEA Grapalat" w:cs="Sylfaen"/>
              </w:rPr>
              <w:t>месяцам</w:t>
            </w:r>
            <w:proofErr w:type="spellEnd"/>
            <w:r w:rsidRPr="00BC667A">
              <w:rPr>
                <w:rFonts w:ascii="GHEA Grapalat" w:hAnsi="GHEA Grapalat" w:cs="Sylfaen"/>
              </w:rPr>
              <w:t>)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6.5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5.3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4.9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3.9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3.2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shd w:val="clear" w:color="auto" w:fill="auto"/>
            <w:noWrap/>
          </w:tcPr>
          <w:p w:rsidR="00741F5F" w:rsidRPr="00741F5F" w:rsidRDefault="009A09DA" w:rsidP="007C1CE9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proofErr w:type="spellStart"/>
            <w:r w:rsidRPr="002A0412">
              <w:rPr>
                <w:rFonts w:ascii="GHEA Grapalat" w:hAnsi="GHEA Grapalat" w:cs="Sylfaen"/>
                <w:b/>
              </w:rPr>
              <w:t>Денежно-кредитный</w:t>
            </w:r>
            <w:proofErr w:type="spellEnd"/>
            <w:r w:rsidRPr="002A041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A0412">
              <w:rPr>
                <w:rFonts w:ascii="GHEA Grapalat" w:hAnsi="GHEA Grapalat" w:cs="Sylfaen"/>
                <w:b/>
              </w:rPr>
              <w:t>сектор</w:t>
            </w:r>
            <w:proofErr w:type="spellEnd"/>
            <w:r w:rsidR="00741F5F" w:rsidRPr="00741F5F">
              <w:rPr>
                <w:rFonts w:ascii="GHEA Grapalat" w:eastAsia="Times New Roman" w:hAnsi="GHEA Grapalat" w:cs="Times New Roman"/>
                <w:b/>
                <w:sz w:val="20"/>
                <w:szCs w:val="20"/>
                <w:vertAlign w:val="superscript"/>
                <w:lang w:val="hy-AM"/>
              </w:rPr>
              <w:footnoteReference w:id="1"/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noWrap/>
          </w:tcPr>
          <w:p w:rsidR="007C1CE9" w:rsidRPr="007C1CE9" w:rsidRDefault="007C1CE9" w:rsidP="00CC53C4">
            <w:pPr>
              <w:spacing w:after="0" w:line="240" w:lineRule="auto"/>
              <w:rPr>
                <w:rFonts w:ascii="GHEA Grapalat" w:eastAsia="Times New Roman" w:hAnsi="GHEA Grapalat" w:cs="Arial"/>
                <w:lang w:val="ru-RU"/>
              </w:rPr>
            </w:pPr>
            <w:r w:rsidRPr="00D51714">
              <w:rPr>
                <w:rFonts w:ascii="GHEA Grapalat" w:hAnsi="GHEA Grapalat" w:cs="Arial"/>
                <w:lang w:val="ru-RU"/>
              </w:rPr>
              <w:t xml:space="preserve">Рост денежной массы </w:t>
            </w:r>
            <w:r w:rsidRPr="00B26007">
              <w:rPr>
                <w:rFonts w:ascii="GHEA Grapalat" w:hAnsi="GHEA Grapalat" w:cs="Sylfaen"/>
                <w:lang w:val="hy-AM"/>
              </w:rPr>
              <w:t>(M2X</w:t>
            </w:r>
            <w:r w:rsidRPr="00D51714">
              <w:rPr>
                <w:rFonts w:ascii="GHEA Grapalat" w:hAnsi="GHEA Grapalat"/>
                <w:lang w:val="ru-RU"/>
              </w:rPr>
              <w:t xml:space="preserve"> конец периода), </w:t>
            </w:r>
            <w:r w:rsidRPr="00B26007">
              <w:rPr>
                <w:rFonts w:ascii="GHEA Grapalat" w:hAnsi="GHEA Grapalat" w:cs="Sylfaen"/>
                <w:lang w:val="hy-AM"/>
              </w:rPr>
              <w:t>%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15.1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11.8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23.7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17.8</w:t>
            </w:r>
          </w:p>
        </w:tc>
        <w:tc>
          <w:tcPr>
            <w:tcW w:w="1127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16.2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noWrap/>
          </w:tcPr>
          <w:p w:rsidR="00CC53C4" w:rsidRPr="00CC53C4" w:rsidRDefault="00CC53C4" w:rsidP="00CC53C4">
            <w:pPr>
              <w:spacing w:after="0" w:line="240" w:lineRule="auto"/>
              <w:rPr>
                <w:rFonts w:ascii="GHEA Grapalat" w:eastAsia="Times New Roman" w:hAnsi="GHEA Grapalat" w:cs="Sylfaen"/>
                <w:lang w:val="ru-RU"/>
              </w:rPr>
            </w:pPr>
            <w:r w:rsidRPr="00D51714">
              <w:rPr>
                <w:rFonts w:ascii="GHEA Grapalat" w:hAnsi="GHEA Grapalat" w:cs="Sylfaen"/>
                <w:lang w:val="ru-RU"/>
              </w:rPr>
              <w:t xml:space="preserve">Скорость денежного обращения </w:t>
            </w:r>
            <w:r w:rsidRPr="00B26007">
              <w:rPr>
                <w:rFonts w:ascii="GHEA Grapalat" w:hAnsi="GHEA Grapalat" w:cs="Sylfaen"/>
                <w:lang w:val="hy-AM"/>
              </w:rPr>
              <w:t>(</w:t>
            </w:r>
            <w:r w:rsidRPr="00D51714">
              <w:rPr>
                <w:rFonts w:ascii="GHEA Grapalat" w:hAnsi="GHEA Grapalat" w:cs="Sylfaen"/>
                <w:lang w:val="ru-RU"/>
              </w:rPr>
              <w:t>ВВП/</w:t>
            </w:r>
            <w:r w:rsidRPr="00B26007">
              <w:rPr>
                <w:rFonts w:ascii="GHEA Grapalat" w:hAnsi="GHEA Grapalat" w:cs="Sylfaen"/>
                <w:lang w:val="hy-AM"/>
              </w:rPr>
              <w:t>M2X</w:t>
            </w:r>
            <w:r w:rsidRPr="00D51714">
              <w:rPr>
                <w:rFonts w:ascii="GHEA Grapalat" w:hAnsi="GHEA Grapalat"/>
                <w:lang w:val="ru-RU"/>
              </w:rPr>
              <w:t xml:space="preserve"> в среднем)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4.0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4.0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3.7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3.4</w:t>
            </w:r>
          </w:p>
        </w:tc>
        <w:tc>
          <w:tcPr>
            <w:tcW w:w="1127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3.2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noWrap/>
          </w:tcPr>
          <w:p w:rsidR="00CC53C4" w:rsidRPr="00CC53C4" w:rsidRDefault="00CC53C4" w:rsidP="00741F5F">
            <w:pPr>
              <w:spacing w:after="0" w:line="360" w:lineRule="auto"/>
              <w:rPr>
                <w:rFonts w:ascii="GHEA Grapalat" w:eastAsia="Times New Roman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Денежный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мультипликатор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r w:rsidRPr="00B26007">
              <w:rPr>
                <w:rFonts w:ascii="GHEA Grapalat" w:hAnsi="GHEA Grapalat" w:cs="Sylfaen"/>
                <w:lang w:val="hy-AM"/>
              </w:rPr>
              <w:t>(M2X)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1.6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1.6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1.7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1.7</w:t>
            </w:r>
          </w:p>
        </w:tc>
        <w:tc>
          <w:tcPr>
            <w:tcW w:w="1127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1.8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noWrap/>
          </w:tcPr>
          <w:p w:rsidR="00CC53C4" w:rsidRPr="00CC53C4" w:rsidRDefault="00CC53C4" w:rsidP="00CC53C4">
            <w:pPr>
              <w:spacing w:after="0" w:line="240" w:lineRule="auto"/>
              <w:rPr>
                <w:rFonts w:ascii="GHEA Grapalat" w:eastAsia="Times New Roman" w:hAnsi="GHEA Grapalat" w:cs="Sylfaen"/>
                <w:lang w:val="ru-RU"/>
              </w:rPr>
            </w:pPr>
            <w:r w:rsidRPr="00A4642B">
              <w:rPr>
                <w:rFonts w:ascii="GHEA Grapalat" w:hAnsi="GHEA Grapalat" w:cs="Sylfaen"/>
                <w:lang w:val="ru-RU"/>
              </w:rPr>
              <w:t xml:space="preserve">Рост денежной массы </w:t>
            </w:r>
            <w:r w:rsidRPr="00D51714">
              <w:rPr>
                <w:rFonts w:ascii="GHEA Grapalat" w:hAnsi="GHEA Grapalat" w:cs="Arial"/>
                <w:lang w:val="ru-RU"/>
              </w:rPr>
              <w:t xml:space="preserve"> </w:t>
            </w:r>
            <w:r w:rsidRPr="00B26007">
              <w:rPr>
                <w:rFonts w:ascii="GHEA Grapalat" w:hAnsi="GHEA Grapalat" w:cs="Sylfaen"/>
                <w:lang w:val="hy-AM"/>
              </w:rPr>
              <w:t>(M2</w:t>
            </w:r>
            <w:r w:rsidRPr="00D51714">
              <w:rPr>
                <w:rFonts w:ascii="GHEA Grapalat" w:hAnsi="GHEA Grapalat"/>
                <w:lang w:val="ru-RU"/>
              </w:rPr>
              <w:t xml:space="preserve"> конец периода), </w:t>
            </w:r>
            <w:r w:rsidRPr="00B26007">
              <w:rPr>
                <w:rFonts w:ascii="GHEA Grapalat" w:hAnsi="GHEA Grapalat" w:cs="Sylfaen"/>
                <w:lang w:val="hy-AM"/>
              </w:rPr>
              <w:t>%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-16.2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15.7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26.4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16.9</w:t>
            </w:r>
          </w:p>
        </w:tc>
        <w:tc>
          <w:tcPr>
            <w:tcW w:w="1127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14.5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noWrap/>
          </w:tcPr>
          <w:p w:rsidR="00CC53C4" w:rsidRPr="00CC53C4" w:rsidRDefault="00CC53C4" w:rsidP="00CC53C4">
            <w:pPr>
              <w:spacing w:line="240" w:lineRule="auto"/>
              <w:rPr>
                <w:rFonts w:ascii="GHEA Grapalat" w:eastAsia="Times New Roman" w:hAnsi="GHEA Grapalat" w:cs="Sylfaen"/>
                <w:lang w:val="ru-RU"/>
              </w:rPr>
            </w:pPr>
            <w:r w:rsidRPr="002A0412">
              <w:rPr>
                <w:rFonts w:ascii="GHEA Grapalat" w:hAnsi="GHEA Grapalat" w:cs="Sylfaen"/>
                <w:lang w:val="ru-RU"/>
              </w:rPr>
              <w:lastRenderedPageBreak/>
              <w:t>Скорость обращения денежной массы</w:t>
            </w:r>
            <w:r w:rsidRPr="00CC53C4">
              <w:rPr>
                <w:rFonts w:ascii="GHEA Grapalat" w:hAnsi="GHEA Grapalat" w:cs="Sylfaen"/>
                <w:lang w:val="ru-RU"/>
              </w:rPr>
              <w:t xml:space="preserve"> </w:t>
            </w:r>
            <w:r w:rsidRPr="00B26007">
              <w:rPr>
                <w:rFonts w:ascii="GHEA Grapalat" w:hAnsi="GHEA Grapalat" w:cs="Sylfaen"/>
                <w:lang w:val="hy-AM"/>
              </w:rPr>
              <w:t>(</w:t>
            </w:r>
            <w:r w:rsidRPr="00D51714">
              <w:rPr>
                <w:rFonts w:ascii="GHEA Grapalat" w:hAnsi="GHEA Grapalat" w:cs="Sylfaen"/>
                <w:lang w:val="ru-RU"/>
              </w:rPr>
              <w:t>ВВП/</w:t>
            </w:r>
            <w:r w:rsidRPr="00B26007">
              <w:rPr>
                <w:rFonts w:ascii="GHEA Grapalat" w:hAnsi="GHEA Grapalat" w:cs="Sylfaen"/>
                <w:lang w:val="hy-AM"/>
              </w:rPr>
              <w:t>M2</w:t>
            </w:r>
            <w:r w:rsidRPr="00D51714">
              <w:rPr>
                <w:rFonts w:ascii="GHEA Grapalat" w:hAnsi="GHEA Grapalat"/>
                <w:lang w:val="ru-RU"/>
              </w:rPr>
              <w:t xml:space="preserve"> в среднем)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7.2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6.9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6.4 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5.8</w:t>
            </w:r>
          </w:p>
        </w:tc>
        <w:tc>
          <w:tcPr>
            <w:tcW w:w="1127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5.5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noWrap/>
          </w:tcPr>
          <w:p w:rsidR="00CC53C4" w:rsidRPr="00CC53C4" w:rsidRDefault="00CC53C4" w:rsidP="00741F5F">
            <w:pPr>
              <w:spacing w:after="0" w:line="360" w:lineRule="auto"/>
              <w:rPr>
                <w:rFonts w:ascii="GHEA Grapalat" w:eastAsia="Times New Roman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Денежный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мультипликатор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r w:rsidRPr="00B26007">
              <w:rPr>
                <w:rFonts w:ascii="GHEA Grapalat" w:hAnsi="GHEA Grapalat" w:cs="Sylfaen"/>
                <w:lang w:val="hy-AM"/>
              </w:rPr>
              <w:t>(M2)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1.2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1.3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1.2</w:t>
            </w:r>
          </w:p>
        </w:tc>
        <w:tc>
          <w:tcPr>
            <w:tcW w:w="1132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1.0</w:t>
            </w:r>
          </w:p>
        </w:tc>
        <w:tc>
          <w:tcPr>
            <w:tcW w:w="1127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1.0 </w:t>
            </w:r>
          </w:p>
        </w:tc>
      </w:tr>
      <w:tr w:rsidR="00741F5F" w:rsidRPr="00741F5F" w:rsidTr="00656AD6">
        <w:trPr>
          <w:trHeight w:val="258"/>
        </w:trPr>
        <w:tc>
          <w:tcPr>
            <w:tcW w:w="4320" w:type="dxa"/>
            <w:noWrap/>
          </w:tcPr>
          <w:p w:rsidR="00CC53C4" w:rsidRPr="00CC53C4" w:rsidRDefault="00CC53C4" w:rsidP="00741F5F">
            <w:pPr>
              <w:spacing w:after="0" w:line="360" w:lineRule="auto"/>
              <w:rPr>
                <w:rFonts w:ascii="GHEA Grapalat" w:eastAsia="Times New Roman" w:hAnsi="GHEA Grapalat" w:cs="Sylfaen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hAnsi="GHEA Grapalat" w:cs="Sylfaen"/>
              </w:rPr>
              <w:t>Денежная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база</w:t>
            </w:r>
            <w:proofErr w:type="spellEnd"/>
            <w:r>
              <w:rPr>
                <w:rFonts w:ascii="GHEA Grapalat" w:hAnsi="GHEA Grapalat" w:cs="Sylfaen"/>
              </w:rPr>
              <w:t xml:space="preserve"> (</w:t>
            </w:r>
            <w:r w:rsidRPr="00D51714">
              <w:rPr>
                <w:rFonts w:ascii="GHEA Grapalat" w:hAnsi="GHEA Grapalat"/>
                <w:lang w:val="ru-RU"/>
              </w:rPr>
              <w:t xml:space="preserve">конец периода), </w:t>
            </w:r>
            <w:r w:rsidRPr="00B26007">
              <w:rPr>
                <w:rFonts w:ascii="GHEA Grapalat" w:hAnsi="GHEA Grapalat" w:cs="Sylfaen"/>
                <w:lang w:val="hy-AM"/>
              </w:rPr>
              <w:t>%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13.8</w:t>
            </w:r>
          </w:p>
        </w:tc>
        <w:tc>
          <w:tcPr>
            <w:tcW w:w="1127" w:type="dxa"/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-0.8</w:t>
            </w:r>
          </w:p>
        </w:tc>
        <w:tc>
          <w:tcPr>
            <w:tcW w:w="1132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32.3 </w:t>
            </w:r>
          </w:p>
        </w:tc>
        <w:tc>
          <w:tcPr>
            <w:tcW w:w="1132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11.4 </w:t>
            </w:r>
          </w:p>
        </w:tc>
        <w:tc>
          <w:tcPr>
            <w:tcW w:w="1127" w:type="dxa"/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13.3</w:t>
            </w:r>
          </w:p>
        </w:tc>
      </w:tr>
    </w:tbl>
    <w:p w:rsidR="00741F5F" w:rsidRPr="00741F5F" w:rsidRDefault="00741F5F" w:rsidP="00741F5F">
      <w:pPr>
        <w:tabs>
          <w:tab w:val="left" w:pos="540"/>
        </w:tabs>
        <w:spacing w:after="0" w:line="360" w:lineRule="auto"/>
        <w:jc w:val="both"/>
        <w:rPr>
          <w:rFonts w:ascii="GHEA Grapalat" w:eastAsia="Times New Roman" w:hAnsi="GHEA Grapalat" w:cs="Sylfaen"/>
          <w:lang w:val="hy-AM"/>
        </w:rPr>
      </w:pPr>
    </w:p>
    <w:p w:rsidR="00631550" w:rsidRPr="00741F5F" w:rsidRDefault="00631550">
      <w:pPr>
        <w:rPr>
          <w:lang w:val="hy-AM"/>
        </w:rPr>
      </w:pPr>
    </w:p>
    <w:sectPr w:rsidR="00631550" w:rsidRPr="0074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86" w:rsidRDefault="00237686" w:rsidP="00741F5F">
      <w:pPr>
        <w:spacing w:after="0" w:line="240" w:lineRule="auto"/>
      </w:pPr>
      <w:r>
        <w:separator/>
      </w:r>
    </w:p>
  </w:endnote>
  <w:endnote w:type="continuationSeparator" w:id="0">
    <w:p w:rsidR="00237686" w:rsidRDefault="00237686" w:rsidP="0074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86" w:rsidRDefault="00237686" w:rsidP="00741F5F">
      <w:pPr>
        <w:spacing w:after="0" w:line="240" w:lineRule="auto"/>
      </w:pPr>
      <w:r>
        <w:separator/>
      </w:r>
    </w:p>
  </w:footnote>
  <w:footnote w:type="continuationSeparator" w:id="0">
    <w:p w:rsidR="00237686" w:rsidRDefault="00237686" w:rsidP="00741F5F">
      <w:pPr>
        <w:spacing w:after="0" w:line="240" w:lineRule="auto"/>
      </w:pPr>
      <w:r>
        <w:continuationSeparator/>
      </w:r>
    </w:p>
  </w:footnote>
  <w:footnote w:id="1">
    <w:p w:rsidR="00741F5F" w:rsidRPr="00D9163A" w:rsidRDefault="00741F5F" w:rsidP="00741F5F">
      <w:pPr>
        <w:pStyle w:val="BodyTextIndent2"/>
        <w:spacing w:line="240" w:lineRule="auto"/>
        <w:ind w:left="0"/>
        <w:rPr>
          <w:rFonts w:ascii="GHEA Grapalat" w:hAnsi="GHEA Grapalat" w:cs="Sylfaen"/>
          <w:i/>
          <w:i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6B"/>
    <w:rsid w:val="00121A63"/>
    <w:rsid w:val="00237686"/>
    <w:rsid w:val="002A7DD4"/>
    <w:rsid w:val="00375A6D"/>
    <w:rsid w:val="00401E93"/>
    <w:rsid w:val="00475A6B"/>
    <w:rsid w:val="004C2292"/>
    <w:rsid w:val="00631550"/>
    <w:rsid w:val="00656AD6"/>
    <w:rsid w:val="00741F5F"/>
    <w:rsid w:val="007C1CE9"/>
    <w:rsid w:val="0092084E"/>
    <w:rsid w:val="00994E60"/>
    <w:rsid w:val="009A09DA"/>
    <w:rsid w:val="00B47E9B"/>
    <w:rsid w:val="00B668A7"/>
    <w:rsid w:val="00C218E7"/>
    <w:rsid w:val="00CC53C4"/>
    <w:rsid w:val="00D45D14"/>
    <w:rsid w:val="00D85D0F"/>
    <w:rsid w:val="00E921EA"/>
    <w:rsid w:val="00EC656B"/>
    <w:rsid w:val="00F23917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1F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1F5F"/>
  </w:style>
  <w:style w:type="character" w:styleId="FootnoteReference">
    <w:name w:val="footnote reference"/>
    <w:basedOn w:val="DefaultParagraphFont"/>
    <w:semiHidden/>
    <w:rsid w:val="00741F5F"/>
    <w:rPr>
      <w:rFonts w:ascii="Arial Armenian" w:hAnsi="Arial Armenian"/>
      <w:sz w:val="20"/>
      <w:szCs w:val="20"/>
      <w:vertAlign w:val="superscript"/>
    </w:rPr>
  </w:style>
  <w:style w:type="character" w:customStyle="1" w:styleId="1Char">
    <w:name w:val="1.Աղյուսակ Տեքստ Char"/>
    <w:basedOn w:val="DefaultParagraphFont"/>
    <w:link w:val="1"/>
    <w:locked/>
    <w:rsid w:val="00D45D14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D45D14"/>
    <w:pPr>
      <w:spacing w:after="0" w:line="240" w:lineRule="auto"/>
      <w:contextualSpacing/>
      <w:jc w:val="center"/>
    </w:pPr>
    <w:rPr>
      <w:rFonts w:ascii="GHEA Grapalat" w:hAnsi="GHEA Grapalat" w:cs="Courier New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1F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1F5F"/>
  </w:style>
  <w:style w:type="character" w:styleId="FootnoteReference">
    <w:name w:val="footnote reference"/>
    <w:basedOn w:val="DefaultParagraphFont"/>
    <w:semiHidden/>
    <w:rsid w:val="00741F5F"/>
    <w:rPr>
      <w:rFonts w:ascii="Arial Armenian" w:hAnsi="Arial Armenian"/>
      <w:sz w:val="20"/>
      <w:szCs w:val="20"/>
      <w:vertAlign w:val="superscript"/>
    </w:rPr>
  </w:style>
  <w:style w:type="character" w:customStyle="1" w:styleId="1Char">
    <w:name w:val="1.Աղյուսակ Տեքստ Char"/>
    <w:basedOn w:val="DefaultParagraphFont"/>
    <w:link w:val="1"/>
    <w:locked/>
    <w:rsid w:val="00D45D14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D45D14"/>
    <w:pPr>
      <w:spacing w:after="0" w:line="240" w:lineRule="auto"/>
      <w:contextualSpacing/>
      <w:jc w:val="center"/>
    </w:pPr>
    <w:rPr>
      <w:rFonts w:ascii="GHEA Grapalat" w:hAnsi="GHEA Grapalat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18</cp:revision>
  <dcterms:created xsi:type="dcterms:W3CDTF">2017-12-20T07:13:00Z</dcterms:created>
  <dcterms:modified xsi:type="dcterms:W3CDTF">2017-12-22T09:11:00Z</dcterms:modified>
</cp:coreProperties>
</file>