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D1" w:rsidRDefault="007B01D1" w:rsidP="000454D1">
      <w:pPr>
        <w:spacing w:line="240" w:lineRule="auto"/>
        <w:ind w:left="-567"/>
        <w:jc w:val="center"/>
        <w:rPr>
          <w:bCs/>
          <w:u w:val="single"/>
          <w:lang w:val="ru-RU"/>
        </w:rPr>
      </w:pPr>
      <w:r w:rsidRPr="000923B2">
        <w:rPr>
          <w:bCs/>
          <w:u w:val="single"/>
          <w:lang w:val="ru-RU"/>
        </w:rPr>
        <w:t>Основные макроэкономические показатели</w:t>
      </w:r>
    </w:p>
    <w:p w:rsidR="007B01D1" w:rsidRDefault="007B01D1" w:rsidP="000454D1">
      <w:pPr>
        <w:spacing w:line="240" w:lineRule="auto"/>
        <w:ind w:left="-567"/>
        <w:jc w:val="center"/>
        <w:rPr>
          <w:bCs/>
          <w:u w:val="single"/>
          <w:lang w:val="ru-RU"/>
        </w:rPr>
      </w:pPr>
      <w:r w:rsidRPr="000923B2">
        <w:rPr>
          <w:bCs/>
          <w:u w:val="single"/>
          <w:lang w:val="ru-RU"/>
        </w:rPr>
        <w:t>(Программа государственных среднесрочных расходов на 2017-2019гг.)</w:t>
      </w:r>
    </w:p>
    <w:p w:rsidR="000454D1" w:rsidRPr="000923B2" w:rsidRDefault="000454D1" w:rsidP="000454D1">
      <w:pPr>
        <w:spacing w:line="240" w:lineRule="auto"/>
        <w:ind w:left="-567"/>
        <w:jc w:val="center"/>
        <w:rPr>
          <w:u w:val="single"/>
          <w:lang w:val="ru-RU"/>
        </w:rPr>
      </w:pPr>
    </w:p>
    <w:tbl>
      <w:tblPr>
        <w:tblW w:w="11250" w:type="dxa"/>
        <w:tblCellSpacing w:w="15" w:type="dxa"/>
        <w:tblInd w:w="-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9"/>
        <w:gridCol w:w="1161"/>
        <w:gridCol w:w="1079"/>
        <w:gridCol w:w="1079"/>
        <w:gridCol w:w="1239"/>
        <w:gridCol w:w="1036"/>
        <w:gridCol w:w="1036"/>
        <w:gridCol w:w="1051"/>
      </w:tblGrid>
      <w:tr w:rsidR="007B01D1" w:rsidRPr="007B01D1" w:rsidTr="0062470A">
        <w:trPr>
          <w:tblCellSpacing w:w="15" w:type="dxa"/>
        </w:trPr>
        <w:tc>
          <w:tcPr>
            <w:tcW w:w="3524" w:type="dxa"/>
            <w:vMerge w:val="restart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Показатели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2013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2014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2015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2016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2017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2018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ind w:right="73"/>
            </w:pPr>
            <w:r w:rsidRPr="007B01D1">
              <w:t>2019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01D1" w:rsidRPr="007B01D1" w:rsidRDefault="007B01D1" w:rsidP="007B01D1"/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фактич</w:t>
            </w:r>
            <w:proofErr w:type="spellEnd"/>
            <w:r w:rsidRPr="007B01D1">
              <w:t>.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фактич</w:t>
            </w:r>
            <w:proofErr w:type="spellEnd"/>
            <w:r w:rsidRPr="007B01D1">
              <w:t>.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фактич</w:t>
            </w:r>
            <w:proofErr w:type="spellEnd"/>
            <w:r w:rsidRPr="007B01D1">
              <w:t>.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программа</w:t>
            </w:r>
            <w:proofErr w:type="spellEnd"/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предпол</w:t>
            </w:r>
            <w:proofErr w:type="spellEnd"/>
            <w:r w:rsidRPr="007B01D1">
              <w:t>.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предпол</w:t>
            </w:r>
            <w:proofErr w:type="spellEnd"/>
            <w:r w:rsidRPr="007B01D1">
              <w:t>.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предпол</w:t>
            </w:r>
            <w:proofErr w:type="spellEnd"/>
            <w:r w:rsidRPr="007B01D1">
              <w:t>.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Номинальный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ВВП</w:t>
            </w:r>
            <w:proofErr w:type="spellEnd"/>
            <w:r w:rsidRPr="007B01D1">
              <w:t xml:space="preserve">, </w:t>
            </w:r>
            <w:proofErr w:type="spellStart"/>
            <w:r w:rsidRPr="007B01D1">
              <w:t>млрд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драмов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4555.6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4828.6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5032.1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5269.1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5551.3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5919.4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6372.0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Индекс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реального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ВВП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103.3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103.6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103.0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103.7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104.0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104.1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Индекс-дефлятор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ВВП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103.4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102.3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101.2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101.0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101.4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102.5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103.4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Инфляция</w:t>
            </w:r>
            <w:proofErr w:type="spellEnd"/>
            <w:r w:rsidRPr="007B01D1">
              <w:t xml:space="preserve"> (</w:t>
            </w:r>
            <w:proofErr w:type="spellStart"/>
            <w:r w:rsidRPr="007B01D1">
              <w:t>конец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периода</w:t>
            </w:r>
            <w:proofErr w:type="spellEnd"/>
            <w:r w:rsidRPr="007B01D1">
              <w:t xml:space="preserve">), </w:t>
            </w:r>
            <w:proofErr w:type="spellStart"/>
            <w:r w:rsidRPr="007B01D1">
              <w:t>проценты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5.6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-0.1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0.1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rPr>
                <w:lang w:val="ru-RU"/>
              </w:rPr>
              <w:t>Инфляция (в среднем, за аналогичный период прошлого года), проценты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5.8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3.02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3.7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-1.2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</w:tr>
      <w:tr w:rsidR="007B01D1" w:rsidRPr="00760AD4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rPr>
                <w:b/>
                <w:bCs/>
                <w:u w:val="single"/>
                <w:lang w:val="ru-RU"/>
              </w:rPr>
              <w:t>Реальный рост ВВП за счет добавленной стоимости отраслей, проценты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ВВП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3.3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3.0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3.7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4.1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Промышленность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6.3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-0.9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7.6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6.0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6.1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Сельское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хозяйство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7.6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6.1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13.2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3.3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4.3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Строительство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-7.4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-4.5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-3.1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-0.2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0.2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1.5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Услуги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3.1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6.7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0.6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5.6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4.1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Чистые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налоги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-5.1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3.2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  <w:p w:rsidR="0062470A" w:rsidRDefault="0062470A" w:rsidP="007B01D1">
            <w:pPr>
              <w:rPr>
                <w:lang w:val="ru-RU"/>
              </w:rPr>
            </w:pPr>
          </w:p>
          <w:p w:rsidR="0062470A" w:rsidRPr="0062470A" w:rsidRDefault="0062470A" w:rsidP="007B01D1">
            <w:pPr>
              <w:rPr>
                <w:lang w:val="ru-RU"/>
              </w:rPr>
            </w:pPr>
            <w:bookmarkStart w:id="0" w:name="_GoBack"/>
            <w:bookmarkEnd w:id="0"/>
          </w:p>
        </w:tc>
      </w:tr>
      <w:tr w:rsidR="007B01D1" w:rsidRPr="00760AD4" w:rsidTr="0062470A">
        <w:trPr>
          <w:tblCellSpacing w:w="15" w:type="dxa"/>
        </w:trPr>
        <w:tc>
          <w:tcPr>
            <w:tcW w:w="11190" w:type="dxa"/>
            <w:gridSpan w:val="8"/>
            <w:vAlign w:val="center"/>
            <w:hideMark/>
          </w:tcPr>
          <w:p w:rsidR="007B01D1" w:rsidRPr="007B01D1" w:rsidRDefault="007B01D1" w:rsidP="007B01D1">
            <w:pPr>
              <w:rPr>
                <w:lang w:val="ru-RU"/>
              </w:rPr>
            </w:pPr>
            <w:r w:rsidRPr="007B01D1">
              <w:rPr>
                <w:b/>
                <w:bCs/>
                <w:u w:val="single"/>
                <w:lang w:val="ru-RU"/>
              </w:rPr>
              <w:lastRenderedPageBreak/>
              <w:t>Реальный рост расходных компонентов ВВП, проценты</w:t>
            </w:r>
          </w:p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Конечное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потребление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1.7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0.7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-6.3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Государственные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7.6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-1.2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4.5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-0.3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-2.0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-0.7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-1.7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Частные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0.9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1.0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-7.9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4.3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4.7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Валовое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накопление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капитала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-9.1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-3.0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-2.9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-4.7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1A57C4" w:rsidRDefault="007B01D1" w:rsidP="001A57C4">
            <w:pPr>
              <w:rPr>
                <w:lang w:val="ru-RU"/>
              </w:rPr>
            </w:pPr>
            <w:proofErr w:type="spellStart"/>
            <w:r w:rsidRPr="007B01D1">
              <w:t>Государственны</w:t>
            </w:r>
            <w:proofErr w:type="spellEnd"/>
            <w:r w:rsidR="001A57C4">
              <w:rPr>
                <w:lang w:val="ru-RU"/>
              </w:rPr>
              <w:t>й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-6.9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17.0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-31.3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26.6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1A57C4" w:rsidRDefault="007B01D1" w:rsidP="001A57C4">
            <w:pPr>
              <w:rPr>
                <w:lang w:val="ru-RU"/>
              </w:rPr>
            </w:pPr>
            <w:proofErr w:type="spellStart"/>
            <w:r w:rsidRPr="007B01D1">
              <w:t>Частны</w:t>
            </w:r>
            <w:proofErr w:type="spellEnd"/>
            <w:r w:rsidR="001A57C4">
              <w:rPr>
                <w:lang w:val="ru-RU"/>
              </w:rPr>
              <w:t>й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-9.5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-4.2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-6.6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Экспорт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8.6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6.4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4.9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15.4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7.2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Импорт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-2.1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-1.0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-16.3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5.6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r w:rsidRPr="007B01D1">
              <w:rPr>
                <w:u w:val="single"/>
              </w:rPr>
              <w:t> 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</w:tr>
      <w:tr w:rsidR="007B01D1" w:rsidRPr="00760AD4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rPr>
                <w:lang w:val="ru-RU"/>
              </w:rPr>
              <w:t>Внешний сектор (млн долларов США)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Экспорт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3156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3319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3139.7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3388.3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3575.9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3784.5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4016.8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Импорт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5365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5468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4357.4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4452.1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4679.5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4922.6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5191.7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Экспорт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1636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1698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1626.4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1816.7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1943.9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2089.7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2256.8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Импорт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3728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3754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2780.3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2816.4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2983.2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3163.4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3367.3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Рост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экспорта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, </w:t>
            </w:r>
            <w:proofErr w:type="spellStart"/>
            <w:r w:rsidRPr="007B01D1">
              <w:t>проценты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7.9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-4.2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11.7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7.5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8.0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Рост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импорта</w:t>
            </w:r>
            <w:proofErr w:type="spellEnd"/>
            <w:r w:rsidRPr="007B01D1">
              <w:t> 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, </w:t>
            </w:r>
            <w:proofErr w:type="spellStart"/>
            <w:r w:rsidRPr="007B01D1">
              <w:t>проценты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2.8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0.7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-25.9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1.3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5.9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6.4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Текущий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счет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-845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-849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-279.3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-291.1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-373.4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-436.2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-514.9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</w:tr>
      <w:tr w:rsidR="007B01D1" w:rsidRPr="00760AD4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0454D1" w:rsidP="000454D1">
            <w:pPr>
              <w:rPr>
                <w:lang w:val="ru-RU"/>
              </w:rPr>
            </w:pPr>
            <w:r>
              <w:rPr>
                <w:b/>
                <w:bCs/>
                <w:u w:val="single"/>
                <w:lang w:val="ru-RU"/>
              </w:rPr>
              <w:t>П</w:t>
            </w:r>
            <w:r w:rsidR="007B01D1" w:rsidRPr="007B01D1">
              <w:rPr>
                <w:b/>
                <w:bCs/>
                <w:u w:val="single"/>
                <w:lang w:val="ru-RU"/>
              </w:rPr>
              <w:t>роцент</w:t>
            </w:r>
            <w:r>
              <w:rPr>
                <w:b/>
                <w:bCs/>
                <w:u w:val="single"/>
                <w:lang w:val="ru-RU"/>
              </w:rPr>
              <w:t>ы</w:t>
            </w:r>
            <w:r w:rsidR="007B01D1" w:rsidRPr="007B01D1">
              <w:rPr>
                <w:b/>
                <w:bCs/>
                <w:u w:val="single"/>
                <w:lang w:val="ru-RU"/>
              </w:rPr>
              <w:t xml:space="preserve"> по отношению к ВВП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t> 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lastRenderedPageBreak/>
              <w:t>Баланс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-19.9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-18.5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-11.6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-9.9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-9.9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-9.6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-9.2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Экспорт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28.4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28.6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29.8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31.4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31.9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31.8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31.4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Импорт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товаров</w:t>
            </w:r>
            <w:proofErr w:type="spellEnd"/>
            <w:r w:rsidRPr="007B01D1">
              <w:t xml:space="preserve"> и </w:t>
            </w:r>
            <w:proofErr w:type="spellStart"/>
            <w:r w:rsidRPr="007B01D1">
              <w:t>услуг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48.2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47.1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41.4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41.3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41.8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41.4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40.6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Торговый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счет</w:t>
            </w:r>
            <w:proofErr w:type="spellEnd"/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-18.8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-17.7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-11.0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-9.3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-9.3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-9.0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-8.7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rPr>
                <w:lang w:val="ru-RU"/>
              </w:rPr>
              <w:t>Текущий счет (включая официальные переводы)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-7.6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-7.3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-2.7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-2.7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-3.3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-3.7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-4.0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Pr>
              <w:rPr>
                <w:lang w:val="ru-RU"/>
              </w:rPr>
            </w:pPr>
            <w:r w:rsidRPr="007B01D1">
              <w:rPr>
                <w:lang w:val="ru-RU"/>
              </w:rPr>
              <w:t>Расчетный счет (без официальных переводов)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-8.7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-8.2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-3.7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-3.4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-3.8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-4.1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-4.2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 </w:t>
            </w:r>
          </w:p>
        </w:tc>
      </w:tr>
      <w:tr w:rsidR="007B01D1" w:rsidRPr="007B01D1" w:rsidTr="0062470A">
        <w:trPr>
          <w:tblCellSpacing w:w="15" w:type="dxa"/>
        </w:trPr>
        <w:tc>
          <w:tcPr>
            <w:tcW w:w="3524" w:type="dxa"/>
            <w:vAlign w:val="center"/>
            <w:hideMark/>
          </w:tcPr>
          <w:p w:rsidR="005000CE" w:rsidRPr="007B01D1" w:rsidRDefault="007B01D1" w:rsidP="007B01D1">
            <w:proofErr w:type="spellStart"/>
            <w:r w:rsidRPr="007B01D1">
              <w:t>Импортное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покрытие</w:t>
            </w:r>
            <w:proofErr w:type="spellEnd"/>
            <w:r w:rsidRPr="007B01D1">
              <w:t xml:space="preserve"> (</w:t>
            </w:r>
            <w:proofErr w:type="spellStart"/>
            <w:r w:rsidRPr="007B01D1">
              <w:t>по</w:t>
            </w:r>
            <w:proofErr w:type="spellEnd"/>
            <w:r w:rsidRPr="007B01D1">
              <w:t xml:space="preserve"> </w:t>
            </w:r>
            <w:proofErr w:type="spellStart"/>
            <w:r w:rsidRPr="007B01D1">
              <w:t>месяцам</w:t>
            </w:r>
            <w:proofErr w:type="spellEnd"/>
            <w:r w:rsidRPr="007B01D1">
              <w:t>)</w:t>
            </w:r>
          </w:p>
        </w:tc>
        <w:tc>
          <w:tcPr>
            <w:tcW w:w="1131" w:type="dxa"/>
            <w:vAlign w:val="center"/>
            <w:hideMark/>
          </w:tcPr>
          <w:p w:rsidR="005000CE" w:rsidRPr="007B01D1" w:rsidRDefault="007B01D1" w:rsidP="007B01D1">
            <w:r w:rsidRPr="007B01D1">
              <w:t>5.0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3.3</w:t>
            </w:r>
          </w:p>
        </w:tc>
        <w:tc>
          <w:tcPr>
            <w:tcW w:w="1049" w:type="dxa"/>
            <w:vAlign w:val="center"/>
            <w:hideMark/>
          </w:tcPr>
          <w:p w:rsidR="005000CE" w:rsidRPr="007B01D1" w:rsidRDefault="007B01D1" w:rsidP="007B01D1">
            <w:r w:rsidRPr="007B01D1">
              <w:t>4.9</w:t>
            </w:r>
          </w:p>
        </w:tc>
        <w:tc>
          <w:tcPr>
            <w:tcW w:w="1209" w:type="dxa"/>
            <w:vAlign w:val="center"/>
            <w:hideMark/>
          </w:tcPr>
          <w:p w:rsidR="005000CE" w:rsidRPr="007B01D1" w:rsidRDefault="007B01D1" w:rsidP="007B01D1">
            <w:r w:rsidRPr="007B01D1">
              <w:t>4.8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4.8</w:t>
            </w:r>
          </w:p>
        </w:tc>
        <w:tc>
          <w:tcPr>
            <w:tcW w:w="1006" w:type="dxa"/>
            <w:vAlign w:val="center"/>
            <w:hideMark/>
          </w:tcPr>
          <w:p w:rsidR="005000CE" w:rsidRPr="007B01D1" w:rsidRDefault="007B01D1" w:rsidP="007B01D1">
            <w:r w:rsidRPr="007B01D1">
              <w:t>4.7</w:t>
            </w:r>
          </w:p>
        </w:tc>
      </w:tr>
    </w:tbl>
    <w:p w:rsidR="007B01D1" w:rsidRPr="007B01D1" w:rsidRDefault="007B01D1" w:rsidP="007B01D1">
      <w:pPr>
        <w:rPr>
          <w:lang w:val="ru-RU"/>
        </w:rPr>
      </w:pPr>
      <w:r w:rsidRPr="007B01D1">
        <w:t> </w:t>
      </w:r>
    </w:p>
    <w:p w:rsidR="00631550" w:rsidRPr="007B01D1" w:rsidRDefault="00631550">
      <w:pPr>
        <w:rPr>
          <w:lang w:val="ru-RU"/>
        </w:rPr>
      </w:pPr>
    </w:p>
    <w:sectPr w:rsidR="00631550" w:rsidRPr="007B01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C3"/>
    <w:rsid w:val="000454D1"/>
    <w:rsid w:val="000923B2"/>
    <w:rsid w:val="001A57C4"/>
    <w:rsid w:val="005000CE"/>
    <w:rsid w:val="0062470A"/>
    <w:rsid w:val="00631550"/>
    <w:rsid w:val="00760AD4"/>
    <w:rsid w:val="007B01D1"/>
    <w:rsid w:val="008D4BCD"/>
    <w:rsid w:val="00994E60"/>
    <w:rsid w:val="00C218E7"/>
    <w:rsid w:val="00EC656B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 Doydoyan</dc:creator>
  <cp:keywords/>
  <dc:description/>
  <cp:lastModifiedBy>Elina mamikonyan</cp:lastModifiedBy>
  <cp:revision>9</cp:revision>
  <dcterms:created xsi:type="dcterms:W3CDTF">2017-12-19T06:55:00Z</dcterms:created>
  <dcterms:modified xsi:type="dcterms:W3CDTF">2017-12-22T10:39:00Z</dcterms:modified>
</cp:coreProperties>
</file>