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70" w:rsidRDefault="00E27D70" w:rsidP="00E27D70">
      <w:pPr>
        <w:rPr>
          <w:rFonts w:ascii="GHEA Grapalat" w:hAnsi="GHEA Grapalat" w:cs="Sylfaen"/>
          <w:szCs w:val="22"/>
          <w:u w:val="single"/>
        </w:rPr>
      </w:pPr>
      <w:r>
        <w:rPr>
          <w:rFonts w:ascii="GHEA Grapalat" w:hAnsi="GHEA Grapalat" w:cs="Sylfaen"/>
          <w:szCs w:val="22"/>
          <w:u w:val="single"/>
        </w:rPr>
        <w:t>Annex: Key Macroeconomic Indicators</w:t>
      </w:r>
    </w:p>
    <w:p w:rsidR="00C042EA" w:rsidRPr="00363E4C" w:rsidRDefault="00C042EA" w:rsidP="008D41DB">
      <w:pPr>
        <w:tabs>
          <w:tab w:val="left" w:pos="10080"/>
          <w:tab w:val="left" w:pos="10260"/>
        </w:tabs>
        <w:ind w:left="-180" w:right="540" w:hanging="180"/>
        <w:rPr>
          <w:rFonts w:ascii="GHEA Grapalat" w:hAnsi="GHEA Grapalat" w:cs="Sylfaen"/>
          <w:sz w:val="20"/>
          <w:szCs w:val="20"/>
        </w:rPr>
      </w:pPr>
    </w:p>
    <w:p w:rsidR="002F7295" w:rsidRPr="00363E4C" w:rsidRDefault="002F7295" w:rsidP="002F7295">
      <w:pPr>
        <w:rPr>
          <w:rFonts w:ascii="GHEA Grapalat" w:hAnsi="GHEA Grapalat"/>
          <w:i/>
          <w:sz w:val="22"/>
          <w:szCs w:val="22"/>
          <w:u w:val="single"/>
        </w:rPr>
      </w:pPr>
    </w:p>
    <w:tbl>
      <w:tblPr>
        <w:tblW w:w="10324" w:type="dxa"/>
        <w:tblInd w:w="-882" w:type="dxa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64"/>
        <w:gridCol w:w="990"/>
        <w:gridCol w:w="990"/>
        <w:gridCol w:w="1170"/>
        <w:gridCol w:w="1080"/>
        <w:gridCol w:w="1080"/>
        <w:gridCol w:w="1080"/>
      </w:tblGrid>
      <w:tr w:rsidR="005976E7" w:rsidRPr="00363E4C" w:rsidTr="00E27D70">
        <w:trPr>
          <w:trHeight w:val="258"/>
        </w:trPr>
        <w:tc>
          <w:tcPr>
            <w:tcW w:w="2970" w:type="dxa"/>
            <w:vMerge w:val="restart"/>
            <w:shd w:val="clear" w:color="auto" w:fill="548DD4" w:themeFill="text2" w:themeFillTint="99"/>
            <w:noWrap/>
          </w:tcPr>
          <w:p w:rsidR="005976E7" w:rsidRPr="00363E4C" w:rsidRDefault="00E27D70" w:rsidP="00B972B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Indicators</w:t>
            </w:r>
          </w:p>
        </w:tc>
        <w:tc>
          <w:tcPr>
            <w:tcW w:w="964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</w:t>
            </w: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9B06D4" w:rsidRDefault="005976E7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2022</w:t>
            </w:r>
          </w:p>
        </w:tc>
      </w:tr>
      <w:tr w:rsidR="005976E7" w:rsidRPr="00363E4C" w:rsidTr="00E27D70">
        <w:trPr>
          <w:trHeight w:val="261"/>
        </w:trPr>
        <w:tc>
          <w:tcPr>
            <w:tcW w:w="2970" w:type="dxa"/>
            <w:vMerge/>
            <w:shd w:val="clear" w:color="auto" w:fill="548DD4" w:themeFill="text2" w:themeFillTint="99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548DD4" w:themeFill="text2" w:themeFillTint="99"/>
          </w:tcPr>
          <w:p w:rsidR="005976E7" w:rsidRPr="00363E4C" w:rsidRDefault="00E27D70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Actual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5976E7" w:rsidRPr="00363E4C" w:rsidRDefault="00E27D70" w:rsidP="00B972B2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Actual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:rsidR="005976E7" w:rsidRPr="005976E7" w:rsidRDefault="00E27D70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eastAsia="Calibri"/>
                <w:b/>
                <w:bCs/>
              </w:rPr>
              <w:t>Actual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5976E7" w:rsidRPr="000C5007" w:rsidRDefault="00E27D70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eastAsia="Calibri"/>
                <w:b/>
                <w:bCs/>
              </w:rPr>
              <w:t>Program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E27D70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Forecast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363E4C" w:rsidRDefault="00E27D70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Forecast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5976E7" w:rsidRPr="009B06D4" w:rsidRDefault="00E27D70" w:rsidP="00B972B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eastAsia="Calibri"/>
                <w:b/>
                <w:bCs/>
              </w:rPr>
              <w:t>Forecast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Nominal GDP, AMD Billion</w:t>
            </w:r>
            <w:r>
              <w:rPr>
                <w:rFonts w:ascii="Courier New" w:eastAsia="Calibri" w:hAnsi="Courier New"/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5,067.3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5,564.5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6,005.1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6,455.3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6,975.4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9F53AE" w:rsidP="009F53A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7,615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9F53AE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8,320.6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Real GDP Index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100.2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107.5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105.2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105.4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104.9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105.0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9F53AE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105.1</w:t>
            </w:r>
          </w:p>
        </w:tc>
      </w:tr>
      <w:tr w:rsidR="005976E7" w:rsidRPr="00363E4C" w:rsidTr="000338EA">
        <w:trPr>
          <w:trHeight w:val="417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GDP Deflator Index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100.3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102.1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102.5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102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103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104.0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9F53AE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104.0</w:t>
            </w:r>
          </w:p>
        </w:tc>
      </w:tr>
      <w:tr w:rsidR="005976E7" w:rsidRPr="00363E4C" w:rsidTr="00E27D70">
        <w:trPr>
          <w:trHeight w:val="615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Inflation (End of Period), Percent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-1.1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1.8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F53AE" w:rsidRDefault="009F53AE" w:rsidP="009F53AE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9F53AE" w:rsidRPr="009F53AE" w:rsidRDefault="009F53AE" w:rsidP="009F53AE">
            <w:pPr>
              <w:spacing w:line="48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</w:tr>
      <w:tr w:rsidR="005976E7" w:rsidRPr="00363E4C" w:rsidTr="00E27D70">
        <w:trPr>
          <w:trHeight w:val="948"/>
        </w:trPr>
        <w:tc>
          <w:tcPr>
            <w:tcW w:w="297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Inflation (Average, over the Same Period Last Year), Percent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-1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1.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</w:t>
            </w: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265C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0C500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4.0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</w:tcPr>
          <w:p w:rsidR="005976E7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  <w:p w:rsidR="009F53AE" w:rsidRPr="009F53AE" w:rsidRDefault="009F53AE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4.0</w:t>
            </w:r>
          </w:p>
        </w:tc>
      </w:tr>
      <w:tr w:rsidR="005976E7" w:rsidRPr="00363E4C" w:rsidTr="009A620D">
        <w:trPr>
          <w:trHeight w:val="258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5976E7" w:rsidRPr="00363E4C" w:rsidRDefault="00734F2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>Real GDP Growth by Value Added of Branches, Percent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tcBorders>
              <w:top w:val="nil"/>
            </w:tcBorders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DD0146">
              <w:rPr>
                <w:rFonts w:eastAsia="Calibri"/>
                <w:b/>
                <w:bCs/>
              </w:rPr>
              <w:t>GDP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0.2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5.1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ind w:firstLineChars="100" w:firstLine="24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D0146">
              <w:rPr>
                <w:rFonts w:eastAsia="Calibri"/>
                <w:b/>
                <w:bCs/>
              </w:rPr>
              <w:t>Industry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7.6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11.8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3.9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4.2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734F23" w:rsidP="00B972B2">
            <w:pPr>
              <w:ind w:firstLineChars="100" w:firstLine="24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D0146">
              <w:rPr>
                <w:rFonts w:eastAsia="Calibri"/>
                <w:b/>
                <w:bCs/>
              </w:rPr>
              <w:t>Agriculture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-5.0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-5.1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1B4B96" w:rsidRDefault="001B4B96" w:rsidP="001B4B96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   -8.5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0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0.5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2.0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ind w:firstLineChars="100" w:firstLine="24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D0146">
              <w:rPr>
                <w:rFonts w:eastAsia="Calibri"/>
                <w:b/>
                <w:bCs/>
              </w:rPr>
              <w:t>Construction</w:t>
            </w:r>
            <w:r w:rsidR="005976E7" w:rsidRPr="00363E4C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-14.1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2.8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0.8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2.5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3.0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ind w:firstLineChars="100" w:firstLine="24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D0146">
              <w:rPr>
                <w:rFonts w:eastAsia="Calibri"/>
                <w:b/>
                <w:bCs/>
              </w:rPr>
              <w:t>Services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10.6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9.3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8.0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6.5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BD3D8D" w:rsidRDefault="00BD3D8D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6.2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734F23" w:rsidP="00B972B2">
            <w:pPr>
              <w:ind w:firstLineChars="100" w:firstLine="24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D0146">
              <w:rPr>
                <w:rFonts w:eastAsia="Calibri"/>
                <w:b/>
                <w:bCs/>
              </w:rPr>
              <w:t>Net Taxes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-3.7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9.7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8.0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5.3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1B4B96" w:rsidRDefault="001B4B96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5.3</w:t>
            </w:r>
          </w:p>
        </w:tc>
      </w:tr>
      <w:tr w:rsidR="005976E7" w:rsidRPr="00363E4C" w:rsidTr="00E27D70">
        <w:trPr>
          <w:trHeight w:val="202"/>
        </w:trPr>
        <w:tc>
          <w:tcPr>
            <w:tcW w:w="2970" w:type="dxa"/>
            <w:tcBorders>
              <w:bottom w:val="nil"/>
            </w:tcBorders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5976E7" w:rsidRPr="00363E4C" w:rsidTr="009A620D">
        <w:trPr>
          <w:trHeight w:val="258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</w:tcPr>
          <w:p w:rsidR="005976E7" w:rsidRPr="00363E4C" w:rsidRDefault="00734F2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>Real Growth of GDP Expenditure Components, Percent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Final Consumption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10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734F23" w:rsidP="00B972B2">
            <w:pPr>
              <w:ind w:firstLineChars="300" w:firstLine="723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State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-2.4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-2.1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7.4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-4.1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734F23" w:rsidP="00B972B2">
            <w:pPr>
              <w:ind w:firstLineChars="300" w:firstLine="723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bCs/>
              </w:rPr>
              <w:t>Private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-1.0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12.7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4.8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5976E7" w:rsidRPr="00363E4C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bCs/>
                <w:sz w:val="22"/>
              </w:rPr>
              <w:t>Gross Accumulation of Capital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-8.7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15.4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2B1D97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26.8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5976E7" w:rsidRPr="00363E4C">
              <w:rPr>
                <w:rFonts w:ascii="GHEA Grapalat" w:hAnsi="GHEA Grapalat"/>
                <w:sz w:val="20"/>
                <w:szCs w:val="20"/>
              </w:rPr>
              <w:t>.7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7.2</w:t>
            </w:r>
          </w:p>
        </w:tc>
      </w:tr>
      <w:tr w:rsidR="005976E7" w:rsidRPr="00363E4C" w:rsidTr="00E27D70">
        <w:trPr>
          <w:trHeight w:val="507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Export of Services and Goods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19.1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18</w:t>
            </w:r>
            <w:r w:rsidR="005976E7" w:rsidRPr="00363E4C">
              <w:rPr>
                <w:rFonts w:ascii="GHEA Grapalat" w:hAnsi="GHEA Grapalat" w:cs="Arial"/>
                <w:bCs/>
                <w:sz w:val="20"/>
                <w:szCs w:val="20"/>
              </w:rPr>
              <w:t>.7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7.1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8.0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8.5</w:t>
            </w:r>
          </w:p>
        </w:tc>
      </w:tr>
      <w:tr w:rsidR="005976E7" w:rsidRPr="00363E4C" w:rsidTr="00E27D70">
        <w:trPr>
          <w:trHeight w:val="660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Import of Services and Goods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63E4C">
              <w:rPr>
                <w:rFonts w:ascii="GHEA Grapalat" w:hAnsi="GHEA Grapalat" w:cs="Arial"/>
                <w:bCs/>
                <w:sz w:val="20"/>
                <w:szCs w:val="20"/>
              </w:rPr>
              <w:t>7.6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94094A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24.6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2B1D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12.7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3C593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E3339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4.8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0434A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503524" w:rsidRDefault="00503524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5.4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tcBorders>
              <w:bottom w:val="nil"/>
            </w:tcBorders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5976E7" w:rsidRPr="00363E4C" w:rsidTr="009A620D">
        <w:trPr>
          <w:trHeight w:val="135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</w:tcPr>
          <w:p w:rsidR="005976E7" w:rsidRPr="00363E4C" w:rsidRDefault="00734F23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>External Sector (USD Million)</w:t>
            </w:r>
          </w:p>
        </w:tc>
      </w:tr>
      <w:tr w:rsidR="005976E7" w:rsidRPr="00363E4C" w:rsidTr="00E27D70">
        <w:trPr>
          <w:trHeight w:val="495"/>
        </w:trPr>
        <w:tc>
          <w:tcPr>
            <w:tcW w:w="2970" w:type="dxa"/>
            <w:tcBorders>
              <w:top w:val="nil"/>
            </w:tcBorders>
            <w:shd w:val="clear" w:color="auto" w:fill="C6D9F1" w:themeFill="text2" w:themeFillTint="33"/>
          </w:tcPr>
          <w:p w:rsidR="005976E7" w:rsidRPr="00363E4C" w:rsidRDefault="00734F23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Export of Services and Goods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3,500.4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CE1122" w:rsidRDefault="005976E7" w:rsidP="00CE112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</w:t>
            </w:r>
            <w:r w:rsidR="00CE1122">
              <w:rPr>
                <w:rFonts w:ascii="GHEA Grapalat" w:hAnsi="GHEA Grapalat"/>
                <w:sz w:val="20"/>
                <w:szCs w:val="20"/>
                <w:lang w:val="hy-AM"/>
              </w:rPr>
              <w:t>306.8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8D4BAB" w:rsidP="008D4BA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4,669.0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8D634B" w:rsidRDefault="008D634B" w:rsidP="00B972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4,982.8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8D634B" w:rsidRDefault="008D634B" w:rsidP="00B972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5,431.2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5,980.5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5976E7" w:rsidRDefault="005976E7" w:rsidP="00B972B2">
            <w:pPr>
              <w:ind w:right="-108"/>
              <w:rPr>
                <w:rFonts w:ascii="GHEA Grapalat" w:hAnsi="GHEA Grapalat"/>
                <w:sz w:val="20"/>
                <w:szCs w:val="20"/>
              </w:rPr>
            </w:pPr>
          </w:p>
          <w:p w:rsidR="004124B0" w:rsidRDefault="004124B0" w:rsidP="00B972B2">
            <w:pPr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6,619.5</w:t>
            </w:r>
          </w:p>
          <w:p w:rsidR="000338EA" w:rsidRPr="004124B0" w:rsidRDefault="000338EA" w:rsidP="00B972B2">
            <w:pPr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76E7" w:rsidRPr="00363E4C" w:rsidTr="00E27D70">
        <w:trPr>
          <w:trHeight w:val="660"/>
        </w:trPr>
        <w:tc>
          <w:tcPr>
            <w:tcW w:w="2970" w:type="dxa"/>
            <w:shd w:val="clear" w:color="auto" w:fill="C6D9F1" w:themeFill="text2" w:themeFillTint="33"/>
          </w:tcPr>
          <w:p w:rsidR="004124B0" w:rsidRDefault="00734F23" w:rsidP="004124B0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Import of Services and Goods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:rsidR="004124B0" w:rsidRPr="004124B0" w:rsidRDefault="004124B0" w:rsidP="004124B0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C042EA">
            <w:pPr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4,516.2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5,710.1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6,582.8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6,911.9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8D634B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7,350.1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7,841.3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338EA" w:rsidRPr="00363E4C" w:rsidRDefault="004124B0" w:rsidP="000338EA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8,391.6</w:t>
            </w:r>
          </w:p>
        </w:tc>
      </w:tr>
      <w:tr w:rsidR="005976E7" w:rsidRPr="00363E4C" w:rsidTr="00E27D70">
        <w:trPr>
          <w:trHeight w:val="65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E26C49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Export of Goods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1,890.7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2,385.2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2,606.2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>775.6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3,025.4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3,358.2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0338EA" w:rsidRPr="004124B0" w:rsidRDefault="000338EA" w:rsidP="000338E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124B0">
              <w:rPr>
                <w:rFonts w:ascii="GHEA Grapalat" w:hAnsi="GHEA Grapalat"/>
                <w:sz w:val="20"/>
                <w:szCs w:val="20"/>
                <w:lang w:val="hy-AM"/>
              </w:rPr>
              <w:t>3,761.2</w:t>
            </w:r>
            <w:bookmarkStart w:id="0" w:name="_GoBack"/>
            <w:bookmarkEnd w:id="0"/>
          </w:p>
        </w:tc>
      </w:tr>
      <w:tr w:rsidR="005976E7" w:rsidRPr="00363E4C" w:rsidTr="00E27D70">
        <w:trPr>
          <w:trHeight w:val="75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E26C49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Import of Goods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2,835.1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3,760.7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4,372.2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8D634B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4,590.8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4,843.3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5,133.9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C042EA" w:rsidRDefault="00C042EA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5,467.6</w:t>
            </w:r>
          </w:p>
        </w:tc>
      </w:tr>
      <w:tr w:rsidR="005976E7" w:rsidRPr="00363E4C" w:rsidTr="00E27D70">
        <w:trPr>
          <w:trHeight w:val="165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E26C49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Goods Export Growth, Percent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16.4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26.2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9.3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C042EA" w:rsidRDefault="00C042EA" w:rsidP="00C042EA">
            <w:pPr>
              <w:rPr>
                <w:rFonts w:ascii="GHEA Grapalat" w:hAnsi="GHEA Grapalat"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sz w:val="20"/>
                <w:szCs w:val="22"/>
                <w:lang w:val="hy-AM"/>
              </w:rPr>
              <w:t xml:space="preserve">  12.0</w:t>
            </w:r>
          </w:p>
        </w:tc>
      </w:tr>
      <w:tr w:rsidR="005976E7" w:rsidRPr="00363E4C" w:rsidTr="00E27D70">
        <w:trPr>
          <w:trHeight w:val="435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E26C49" w:rsidP="00E26C49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Goods Import Growth, Percent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32.6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16.3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6.0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C042EA" w:rsidRPr="00C042EA" w:rsidRDefault="00C042EA" w:rsidP="00C042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6.5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  <w:noWrap/>
          </w:tcPr>
          <w:p w:rsidR="005976E7" w:rsidRPr="00363E4C" w:rsidRDefault="00FE40DC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lastRenderedPageBreak/>
              <w:t>Current Account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-238.1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CE1122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-279.7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976E7" w:rsidRPr="00363E4C" w:rsidRDefault="008D4BA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-1.130.6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-915.4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-911.1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363E4C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-843.6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8D634B" w:rsidRDefault="008D634B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-730.4</w:t>
            </w:r>
          </w:p>
        </w:tc>
      </w:tr>
      <w:tr w:rsidR="005976E7" w:rsidRPr="00363E4C" w:rsidTr="00E27D70">
        <w:trPr>
          <w:trHeight w:val="327"/>
        </w:trPr>
        <w:tc>
          <w:tcPr>
            <w:tcW w:w="2970" w:type="dxa"/>
            <w:tcBorders>
              <w:bottom w:val="nil"/>
            </w:tcBorders>
            <w:shd w:val="clear" w:color="auto" w:fill="C6D9F1" w:themeFill="text2" w:themeFillTint="33"/>
            <w:noWrap/>
          </w:tcPr>
          <w:p w:rsidR="005976E7" w:rsidRPr="00363E4C" w:rsidRDefault="005976E7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C6D9F1" w:themeFill="text2" w:themeFillTint="33"/>
          </w:tcPr>
          <w:p w:rsidR="005976E7" w:rsidRPr="00363E4C" w:rsidRDefault="005976E7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5976E7" w:rsidRPr="00363E4C" w:rsidTr="00FE40DC">
        <w:trPr>
          <w:trHeight w:val="80"/>
        </w:trPr>
        <w:tc>
          <w:tcPr>
            <w:tcW w:w="10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</w:tcPr>
          <w:p w:rsidR="005976E7" w:rsidRPr="00363E4C" w:rsidRDefault="00FE40DC" w:rsidP="00B972B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u w:val="single"/>
              </w:rPr>
              <w:t>Over the GDP, Percent</w:t>
            </w:r>
          </w:p>
        </w:tc>
      </w:tr>
      <w:tr w:rsidR="005976E7" w:rsidRPr="00363E4C" w:rsidTr="00E27D70">
        <w:trPr>
          <w:trHeight w:val="405"/>
        </w:trPr>
        <w:tc>
          <w:tcPr>
            <w:tcW w:w="2970" w:type="dxa"/>
            <w:tcBorders>
              <w:top w:val="nil"/>
            </w:tcBorders>
            <w:shd w:val="clear" w:color="auto" w:fill="C6D9F1" w:themeFill="text2" w:themeFillTint="33"/>
            <w:noWrap/>
          </w:tcPr>
          <w:p w:rsidR="005976E7" w:rsidRPr="00363E4C" w:rsidRDefault="00FE40DC" w:rsidP="00B972B2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bCs/>
              </w:rPr>
              <w:t>Goods and Services Balance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-9.6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-12.2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-15.4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-14.7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-13.8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-12.5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9A620D" w:rsidRPr="009A620D" w:rsidRDefault="009A620D" w:rsidP="00114B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-11.1</w:t>
            </w:r>
          </w:p>
        </w:tc>
      </w:tr>
      <w:tr w:rsidR="005976E7" w:rsidRPr="00363E4C" w:rsidTr="00E27D70">
        <w:trPr>
          <w:trHeight w:val="930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FE40DC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Export of Services and Goods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33.2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37.4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37.6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40.1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A620D" w:rsidRPr="009A620D" w:rsidRDefault="00114B4F" w:rsidP="00114B4F">
            <w:pPr>
              <w:spacing w:before="24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="009A620D">
              <w:rPr>
                <w:rFonts w:ascii="GHEA Grapalat" w:hAnsi="GHEA Grapalat"/>
                <w:sz w:val="20"/>
                <w:szCs w:val="20"/>
                <w:lang w:val="hy-AM"/>
              </w:rPr>
              <w:t>41.4</w:t>
            </w:r>
          </w:p>
        </w:tc>
      </w:tr>
      <w:tr w:rsidR="005976E7" w:rsidRPr="00363E4C" w:rsidTr="00E27D70">
        <w:trPr>
          <w:trHeight w:val="435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FE40DC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Import of Services and Goods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42.8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49.5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52.6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9A620D" w:rsidRDefault="009A620D" w:rsidP="009A620D">
            <w:pPr>
              <w:spacing w:line="48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52.5</w:t>
            </w:r>
          </w:p>
        </w:tc>
      </w:tr>
      <w:tr w:rsidR="005976E7" w:rsidRPr="00363E4C" w:rsidTr="000338EA">
        <w:trPr>
          <w:trHeight w:val="183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FE40DC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DD0146">
              <w:rPr>
                <w:rFonts w:eastAsia="Calibri"/>
                <w:b/>
                <w:bCs/>
              </w:rPr>
              <w:t>Commercial Account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-9.0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-11.9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-14.2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-13.8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-13.1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-11.9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Pr="009A620D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-10.7</w:t>
            </w:r>
          </w:p>
        </w:tc>
      </w:tr>
      <w:tr w:rsidR="005976E7" w:rsidRPr="00363E4C" w:rsidTr="00E27D70">
        <w:trPr>
          <w:trHeight w:val="258"/>
        </w:trPr>
        <w:tc>
          <w:tcPr>
            <w:tcW w:w="2970" w:type="dxa"/>
            <w:shd w:val="clear" w:color="auto" w:fill="C6D9F1" w:themeFill="text2" w:themeFillTint="33"/>
          </w:tcPr>
          <w:p w:rsidR="005976E7" w:rsidRPr="00363E4C" w:rsidRDefault="00FE40DC" w:rsidP="00B972B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2"/>
              </w:rPr>
              <w:t>Current Account (including Official Transfers)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976E7" w:rsidRPr="00363E4C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3E4C">
              <w:rPr>
                <w:rFonts w:ascii="GHEA Grapalat" w:hAnsi="GHEA Grapalat"/>
                <w:sz w:val="20"/>
                <w:szCs w:val="20"/>
              </w:rPr>
              <w:t>-2.3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-2.4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-9.1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-7.0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-6.6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5976E7" w:rsidRPr="00363E4C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-5.7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5976E7" w:rsidRDefault="005976E7" w:rsidP="00B972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A620D" w:rsidRPr="009A620D" w:rsidRDefault="009A620D" w:rsidP="00B972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-4.6</w:t>
            </w:r>
          </w:p>
        </w:tc>
      </w:tr>
    </w:tbl>
    <w:p w:rsidR="002F7295" w:rsidRPr="00363E4C" w:rsidRDefault="002F7295" w:rsidP="002F7295">
      <w:pPr>
        <w:pStyle w:val="BodyTextIndent2"/>
        <w:spacing w:line="240" w:lineRule="auto"/>
        <w:ind w:left="0" w:firstLine="0"/>
        <w:rPr>
          <w:rFonts w:ascii="GHEA Grapalat" w:hAnsi="GHEA Grapalat" w:cs="Sylfaen"/>
          <w:i/>
          <w:iCs/>
          <w:sz w:val="22"/>
          <w:szCs w:val="22"/>
          <w:lang w:val="ru-RU"/>
        </w:rPr>
      </w:pPr>
    </w:p>
    <w:p w:rsidR="00CD7FA3" w:rsidRPr="00CD7FA3" w:rsidRDefault="00CD7FA3" w:rsidP="009C0F01">
      <w:pPr>
        <w:spacing w:line="360" w:lineRule="auto"/>
        <w:ind w:left="-993" w:firstLine="284"/>
        <w:jc w:val="both"/>
        <w:rPr>
          <w:rFonts w:ascii="Sylfaen" w:hAnsi="Sylfaen"/>
          <w:lang w:val="fr-FR"/>
        </w:rPr>
      </w:pPr>
    </w:p>
    <w:sectPr w:rsidR="00CD7FA3" w:rsidRPr="00CD7FA3" w:rsidSect="00FE40DC">
      <w:pgSz w:w="12240" w:h="15840"/>
      <w:pgMar w:top="180" w:right="0" w:bottom="1440" w:left="1440" w:header="708" w:footer="708" w:gutter="0"/>
      <w:pgBorders w:offsetFrom="page">
        <w:top w:val="single" w:sz="4" w:space="24" w:color="F2F2F2" w:themeColor="background1" w:themeShade="F2"/>
        <w:left w:val="single" w:sz="4" w:space="24" w:color="F2F2F2" w:themeColor="background1" w:themeShade="F2"/>
        <w:bottom w:val="single" w:sz="4" w:space="24" w:color="F2F2F2" w:themeColor="background1" w:themeShade="F2"/>
        <w:right w:val="single" w:sz="4" w:space="24" w:color="F2F2F2" w:themeColor="background1" w:themeShade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1E"/>
    <w:rsid w:val="000338EA"/>
    <w:rsid w:val="00037943"/>
    <w:rsid w:val="000434A3"/>
    <w:rsid w:val="00043785"/>
    <w:rsid w:val="00054A66"/>
    <w:rsid w:val="000B2BE8"/>
    <w:rsid w:val="000C5007"/>
    <w:rsid w:val="0010118B"/>
    <w:rsid w:val="00114B4F"/>
    <w:rsid w:val="001218AE"/>
    <w:rsid w:val="00142D82"/>
    <w:rsid w:val="00166B5C"/>
    <w:rsid w:val="001674AD"/>
    <w:rsid w:val="00167F53"/>
    <w:rsid w:val="00186238"/>
    <w:rsid w:val="001B4B96"/>
    <w:rsid w:val="001B529E"/>
    <w:rsid w:val="001E0029"/>
    <w:rsid w:val="001F178A"/>
    <w:rsid w:val="00237477"/>
    <w:rsid w:val="0025331F"/>
    <w:rsid w:val="00265CDC"/>
    <w:rsid w:val="00294464"/>
    <w:rsid w:val="002A18B9"/>
    <w:rsid w:val="002B1D97"/>
    <w:rsid w:val="002C0D91"/>
    <w:rsid w:val="002C43DF"/>
    <w:rsid w:val="002C4846"/>
    <w:rsid w:val="002F3C03"/>
    <w:rsid w:val="002F4549"/>
    <w:rsid w:val="002F4E65"/>
    <w:rsid w:val="002F7295"/>
    <w:rsid w:val="00301292"/>
    <w:rsid w:val="00303A0B"/>
    <w:rsid w:val="00350512"/>
    <w:rsid w:val="003B34EB"/>
    <w:rsid w:val="003B44B8"/>
    <w:rsid w:val="003C5934"/>
    <w:rsid w:val="003E5F62"/>
    <w:rsid w:val="004022EB"/>
    <w:rsid w:val="004124B0"/>
    <w:rsid w:val="00432DBD"/>
    <w:rsid w:val="00496B94"/>
    <w:rsid w:val="004B4823"/>
    <w:rsid w:val="004B731E"/>
    <w:rsid w:val="004D1DD4"/>
    <w:rsid w:val="00503524"/>
    <w:rsid w:val="00515913"/>
    <w:rsid w:val="00516921"/>
    <w:rsid w:val="005252F1"/>
    <w:rsid w:val="00540B08"/>
    <w:rsid w:val="005976E7"/>
    <w:rsid w:val="005C35B7"/>
    <w:rsid w:val="005E700F"/>
    <w:rsid w:val="005F11EF"/>
    <w:rsid w:val="006436D4"/>
    <w:rsid w:val="00664D72"/>
    <w:rsid w:val="00672974"/>
    <w:rsid w:val="006735EA"/>
    <w:rsid w:val="006906A1"/>
    <w:rsid w:val="006941FC"/>
    <w:rsid w:val="006977A8"/>
    <w:rsid w:val="006B78F9"/>
    <w:rsid w:val="006C0230"/>
    <w:rsid w:val="006C2537"/>
    <w:rsid w:val="006E6CBC"/>
    <w:rsid w:val="006F54C1"/>
    <w:rsid w:val="00734F23"/>
    <w:rsid w:val="007B1FAC"/>
    <w:rsid w:val="007E0D13"/>
    <w:rsid w:val="007E3C54"/>
    <w:rsid w:val="007E68FB"/>
    <w:rsid w:val="007F4750"/>
    <w:rsid w:val="0080245E"/>
    <w:rsid w:val="00803323"/>
    <w:rsid w:val="0080564A"/>
    <w:rsid w:val="008205FF"/>
    <w:rsid w:val="008365EE"/>
    <w:rsid w:val="00855876"/>
    <w:rsid w:val="00884504"/>
    <w:rsid w:val="008B6DEF"/>
    <w:rsid w:val="008C1A2B"/>
    <w:rsid w:val="008D26D7"/>
    <w:rsid w:val="008D41DB"/>
    <w:rsid w:val="008D4BAB"/>
    <w:rsid w:val="008D634B"/>
    <w:rsid w:val="008E3FEC"/>
    <w:rsid w:val="0094094A"/>
    <w:rsid w:val="00944978"/>
    <w:rsid w:val="00965FCE"/>
    <w:rsid w:val="009A1193"/>
    <w:rsid w:val="009A430F"/>
    <w:rsid w:val="009A620D"/>
    <w:rsid w:val="009B06D4"/>
    <w:rsid w:val="009C0F01"/>
    <w:rsid w:val="009D51F5"/>
    <w:rsid w:val="009F53AE"/>
    <w:rsid w:val="00A20DD6"/>
    <w:rsid w:val="00A35205"/>
    <w:rsid w:val="00A474E5"/>
    <w:rsid w:val="00A618DB"/>
    <w:rsid w:val="00A73216"/>
    <w:rsid w:val="00A956FB"/>
    <w:rsid w:val="00AC7400"/>
    <w:rsid w:val="00AD02E7"/>
    <w:rsid w:val="00AE19D1"/>
    <w:rsid w:val="00AE4A97"/>
    <w:rsid w:val="00B1220F"/>
    <w:rsid w:val="00B134EE"/>
    <w:rsid w:val="00B265C7"/>
    <w:rsid w:val="00B8502F"/>
    <w:rsid w:val="00BA295C"/>
    <w:rsid w:val="00BD3D8D"/>
    <w:rsid w:val="00C042EA"/>
    <w:rsid w:val="00C2736C"/>
    <w:rsid w:val="00C3195F"/>
    <w:rsid w:val="00C5014C"/>
    <w:rsid w:val="00CC3CF2"/>
    <w:rsid w:val="00CD18AE"/>
    <w:rsid w:val="00CD7FA3"/>
    <w:rsid w:val="00CE1122"/>
    <w:rsid w:val="00D1244C"/>
    <w:rsid w:val="00D444EF"/>
    <w:rsid w:val="00D4536D"/>
    <w:rsid w:val="00D63E07"/>
    <w:rsid w:val="00DB7F15"/>
    <w:rsid w:val="00DC0CBA"/>
    <w:rsid w:val="00E126DD"/>
    <w:rsid w:val="00E26C49"/>
    <w:rsid w:val="00E27D70"/>
    <w:rsid w:val="00E33397"/>
    <w:rsid w:val="00E54612"/>
    <w:rsid w:val="00E87B66"/>
    <w:rsid w:val="00E941FB"/>
    <w:rsid w:val="00E97871"/>
    <w:rsid w:val="00EA4FB0"/>
    <w:rsid w:val="00EB22C7"/>
    <w:rsid w:val="00F0691E"/>
    <w:rsid w:val="00F50616"/>
    <w:rsid w:val="00F6155C"/>
    <w:rsid w:val="00F95720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8B74"/>
  <w15:docId w15:val="{95AB60D2-9C45-4465-B7A9-295D9C3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8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E68FB"/>
    <w:rPr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2F7295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uiPriority w:val="99"/>
    <w:semiHidden/>
    <w:rsid w:val="002F729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2F7295"/>
    <w:rPr>
      <w:rFonts w:ascii="Arial Armenian" w:eastAsia="Times New Roman" w:hAnsi="Arial Armeni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78EA-B00F-4499-98AF-445EF5C5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Araqelyan</dc:creator>
  <cp:lastModifiedBy>Emma Baghdasaryan</cp:lastModifiedBy>
  <cp:revision>2</cp:revision>
  <cp:lastPrinted>2018-07-20T09:35:00Z</cp:lastPrinted>
  <dcterms:created xsi:type="dcterms:W3CDTF">2019-10-01T11:41:00Z</dcterms:created>
  <dcterms:modified xsi:type="dcterms:W3CDTF">2019-10-01T11:41:00Z</dcterms:modified>
</cp:coreProperties>
</file>