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2F" w:rsidRPr="000D1131" w:rsidRDefault="00490F2F" w:rsidP="00490F2F">
      <w:pPr>
        <w:shd w:val="clear" w:color="auto" w:fill="FFFFFF"/>
        <w:jc w:val="center"/>
        <w:rPr>
          <w:rFonts w:ascii="inherit" w:hAnsi="inherit" w:cs="Helvetica"/>
          <w:b/>
          <w:noProof w:val="0"/>
          <w:lang w:val="en-US" w:eastAsia="ru-RU"/>
        </w:rPr>
      </w:pPr>
      <w:r w:rsidRPr="000D1131">
        <w:rPr>
          <w:rFonts w:ascii="Sylfaen" w:hAnsi="Sylfaen" w:cs="Sylfaen"/>
          <w:b/>
          <w:noProof w:val="0"/>
          <w:lang w:val="ru-RU" w:eastAsia="ru-RU"/>
        </w:rPr>
        <w:t>ՀԱՅԱՍՏԱՆԻ</w:t>
      </w:r>
      <w:r w:rsidRPr="000D1131">
        <w:rPr>
          <w:rFonts w:ascii="inherit" w:hAnsi="inherit" w:cs="Helvetica"/>
          <w:b/>
          <w:noProof w:val="0"/>
          <w:lang w:val="en-US" w:eastAsia="ru-RU"/>
        </w:rPr>
        <w:t xml:space="preserve"> </w:t>
      </w:r>
      <w:r w:rsidRPr="000D1131">
        <w:rPr>
          <w:rFonts w:ascii="Sylfaen" w:hAnsi="Sylfaen" w:cs="Sylfaen"/>
          <w:b/>
          <w:noProof w:val="0"/>
          <w:lang w:val="ru-RU" w:eastAsia="ru-RU"/>
        </w:rPr>
        <w:t>ՀԱՆՐԱՊԵՏՈՒԹՅԱՆ</w:t>
      </w:r>
      <w:r w:rsidRPr="000D1131">
        <w:rPr>
          <w:rFonts w:ascii="inherit" w:hAnsi="inherit" w:cs="Helvetica"/>
          <w:b/>
          <w:noProof w:val="0"/>
          <w:lang w:val="en-US" w:eastAsia="ru-RU"/>
        </w:rPr>
        <w:t xml:space="preserve"> 2015 </w:t>
      </w:r>
      <w:r w:rsidRPr="000D1131">
        <w:rPr>
          <w:rFonts w:ascii="Sylfaen" w:hAnsi="Sylfaen" w:cs="Sylfaen"/>
          <w:b/>
          <w:noProof w:val="0"/>
          <w:lang w:val="ru-RU" w:eastAsia="ru-RU"/>
        </w:rPr>
        <w:t>ԹՎԱԿԱՆԻ</w:t>
      </w:r>
      <w:r w:rsidRPr="000D1131">
        <w:rPr>
          <w:rFonts w:ascii="inherit" w:hAnsi="inherit" w:cs="Helvetica"/>
          <w:b/>
          <w:noProof w:val="0"/>
          <w:lang w:val="en-US" w:eastAsia="ru-RU"/>
        </w:rPr>
        <w:t xml:space="preserve"> </w:t>
      </w:r>
      <w:r w:rsidRPr="000D1131">
        <w:rPr>
          <w:rFonts w:ascii="Sylfaen" w:hAnsi="Sylfaen" w:cs="Sylfaen"/>
          <w:b/>
          <w:noProof w:val="0"/>
          <w:lang w:val="ru-RU" w:eastAsia="ru-RU"/>
        </w:rPr>
        <w:t>ՊԵՏԱԿԱՆ</w:t>
      </w:r>
    </w:p>
    <w:p w:rsidR="00490F2F" w:rsidRPr="000D1131" w:rsidRDefault="00490F2F" w:rsidP="00490F2F">
      <w:pPr>
        <w:shd w:val="clear" w:color="auto" w:fill="FFFFFF"/>
        <w:jc w:val="center"/>
        <w:rPr>
          <w:rFonts w:ascii="inherit" w:hAnsi="inherit" w:cs="Helvetica"/>
          <w:b/>
          <w:noProof w:val="0"/>
          <w:lang w:val="en-US" w:eastAsia="ru-RU"/>
        </w:rPr>
      </w:pPr>
      <w:r w:rsidRPr="000D1131">
        <w:rPr>
          <w:rFonts w:ascii="Sylfaen" w:hAnsi="Sylfaen" w:cs="Sylfaen"/>
          <w:b/>
          <w:noProof w:val="0"/>
          <w:lang w:val="ru-RU" w:eastAsia="ru-RU"/>
        </w:rPr>
        <w:t>ԲՅՈՒՋԵԻ</w:t>
      </w:r>
      <w:r w:rsidRPr="000D1131">
        <w:rPr>
          <w:rFonts w:ascii="inherit" w:hAnsi="inherit" w:cs="Helvetica"/>
          <w:b/>
          <w:noProof w:val="0"/>
          <w:lang w:val="en-US" w:eastAsia="ru-RU"/>
        </w:rPr>
        <w:t xml:space="preserve"> </w:t>
      </w:r>
      <w:r w:rsidRPr="000D1131">
        <w:rPr>
          <w:rFonts w:ascii="Sylfaen" w:hAnsi="Sylfaen" w:cs="Sylfaen"/>
          <w:b/>
          <w:noProof w:val="0"/>
          <w:lang w:val="ru-RU" w:eastAsia="ru-RU"/>
        </w:rPr>
        <w:t>ԿԱՏԱՐՄԱՆ</w:t>
      </w:r>
      <w:r w:rsidRPr="000D1131">
        <w:rPr>
          <w:rFonts w:ascii="inherit" w:hAnsi="inherit" w:cs="Helvetica"/>
          <w:b/>
          <w:noProof w:val="0"/>
          <w:lang w:val="en-US" w:eastAsia="ru-RU"/>
        </w:rPr>
        <w:t xml:space="preserve"> </w:t>
      </w:r>
      <w:r w:rsidRPr="000D1131">
        <w:rPr>
          <w:rFonts w:ascii="Sylfaen" w:hAnsi="Sylfaen" w:cs="Sylfaen"/>
          <w:b/>
          <w:noProof w:val="0"/>
          <w:lang w:val="ru-RU" w:eastAsia="ru-RU"/>
        </w:rPr>
        <w:t>ՎԵՐԱԲԵՐՅԱԼ</w:t>
      </w:r>
    </w:p>
    <w:p w:rsidR="00490F2F" w:rsidRPr="00F244D1" w:rsidRDefault="00490F2F" w:rsidP="00490F2F">
      <w:pPr>
        <w:rPr>
          <w:rFonts w:ascii="GHEA Grapalat" w:hAnsi="GHEA Grapalat"/>
          <w:sz w:val="22"/>
          <w:szCs w:val="22"/>
          <w:lang w:val="en-US"/>
        </w:rPr>
      </w:pPr>
    </w:p>
    <w:p w:rsidR="00490F2F" w:rsidRPr="00F244D1" w:rsidRDefault="00490F2F" w:rsidP="00490F2F">
      <w:pPr>
        <w:rPr>
          <w:rFonts w:ascii="GHEA Grapalat" w:hAnsi="GHEA Grapalat"/>
          <w:sz w:val="22"/>
          <w:szCs w:val="22"/>
          <w:lang w:val="en-US"/>
        </w:rPr>
      </w:pPr>
    </w:p>
    <w:p w:rsidR="00490F2F" w:rsidRPr="00383D45" w:rsidRDefault="00490F2F" w:rsidP="00490F2F">
      <w:pPr>
        <w:pStyle w:val="1"/>
        <w:spacing w:before="120"/>
        <w:rPr>
          <w:rFonts w:ascii="GHEA Grapalat" w:hAnsi="GHEA Grapalat" w:cs="Sylfaen"/>
          <w:sz w:val="22"/>
          <w:szCs w:val="22"/>
          <w:lang w:val="af-ZA"/>
        </w:rPr>
      </w:pPr>
      <w:bookmarkStart w:id="0" w:name="_Toc290409637"/>
      <w:bookmarkStart w:id="1" w:name="_Toc291747226"/>
      <w:bookmarkStart w:id="2" w:name="_Toc291747555"/>
      <w:bookmarkStart w:id="3" w:name="_Toc291747925"/>
      <w:bookmarkStart w:id="4" w:name="_Toc322445707"/>
      <w:bookmarkStart w:id="5" w:name="_Toc322445785"/>
      <w:bookmarkStart w:id="6" w:name="_Toc353882533"/>
      <w:bookmarkStart w:id="7" w:name="_Toc354657490"/>
      <w:bookmarkStart w:id="8" w:name="_Toc354658844"/>
      <w:bookmarkStart w:id="9" w:name="_Toc385937079"/>
      <w:bookmarkStart w:id="10" w:name="_Toc390271436"/>
      <w:bookmarkStart w:id="11" w:name="_Toc417292091"/>
      <w:bookmarkStart w:id="12" w:name="_Toc448908370"/>
      <w:bookmarkStart w:id="13" w:name="_Toc448912547"/>
      <w:bookmarkStart w:id="14" w:name="_Toc448913276"/>
      <w:r w:rsidRPr="00383D45">
        <w:rPr>
          <w:rFonts w:ascii="GHEA Grapalat" w:hAnsi="GHEA Grapalat" w:cs="Sylfaen"/>
          <w:sz w:val="22"/>
          <w:szCs w:val="22"/>
        </w:rPr>
        <w:t>ՀԱՅԱՍՏԱՆԻ</w:t>
      </w:r>
      <w:r w:rsidRPr="00383D45">
        <w:rPr>
          <w:rFonts w:ascii="GHEA Grapalat" w:hAnsi="GHEA Grapalat" w:cs="Sylfaen"/>
          <w:sz w:val="22"/>
          <w:szCs w:val="22"/>
          <w:lang w:val="af-ZA"/>
        </w:rPr>
        <w:t xml:space="preserve"> </w:t>
      </w:r>
      <w:r w:rsidRPr="00383D45">
        <w:rPr>
          <w:rFonts w:ascii="GHEA Grapalat" w:hAnsi="GHEA Grapalat" w:cs="Sylfaen"/>
          <w:sz w:val="22"/>
          <w:szCs w:val="22"/>
        </w:rPr>
        <w:t>ՀԱՆՐԱՊԵՏՈՒԹՅԱՆ</w:t>
      </w:r>
      <w:r w:rsidRPr="00383D45">
        <w:rPr>
          <w:rFonts w:ascii="GHEA Grapalat" w:hAnsi="GHEA Grapalat" w:cs="Sylfaen"/>
          <w:sz w:val="22"/>
          <w:szCs w:val="22"/>
          <w:lang w:val="af-ZA"/>
        </w:rPr>
        <w:t xml:space="preserve"> </w:t>
      </w:r>
      <w:r w:rsidRPr="00383D45">
        <w:rPr>
          <w:rFonts w:ascii="GHEA Grapalat" w:hAnsi="GHEA Grapalat" w:cs="Sylfaen"/>
          <w:sz w:val="22"/>
          <w:szCs w:val="22"/>
        </w:rPr>
        <w:t>ՏՆՏԵՍՈՒԹՅԱՆ</w:t>
      </w:r>
      <w:bookmarkEnd w:id="4"/>
      <w:bookmarkEnd w:id="5"/>
      <w:bookmarkEnd w:id="6"/>
      <w:bookmarkEnd w:id="7"/>
      <w:bookmarkEnd w:id="8"/>
      <w:bookmarkEnd w:id="9"/>
      <w:bookmarkEnd w:id="10"/>
      <w:bookmarkEnd w:id="11"/>
      <w:bookmarkEnd w:id="12"/>
      <w:bookmarkEnd w:id="13"/>
      <w:bookmarkEnd w:id="14"/>
      <w:r w:rsidRPr="00383D45">
        <w:rPr>
          <w:rFonts w:ascii="GHEA Grapalat" w:hAnsi="GHEA Grapalat" w:cs="Sylfaen"/>
          <w:sz w:val="22"/>
          <w:szCs w:val="22"/>
          <w:lang w:val="af-ZA"/>
        </w:rPr>
        <w:t xml:space="preserve"> </w:t>
      </w:r>
    </w:p>
    <w:p w:rsidR="00490F2F" w:rsidRPr="00383D45" w:rsidRDefault="00490F2F" w:rsidP="00490F2F">
      <w:pPr>
        <w:pStyle w:val="1"/>
        <w:ind w:left="539"/>
        <w:rPr>
          <w:rFonts w:ascii="GHEA Grapalat" w:hAnsi="GHEA Grapalat" w:cs="Sylfaen"/>
          <w:sz w:val="22"/>
          <w:szCs w:val="22"/>
          <w:lang w:val="af-ZA"/>
        </w:rPr>
      </w:pPr>
      <w:bookmarkStart w:id="15" w:name="_Toc322445708"/>
      <w:bookmarkStart w:id="16" w:name="_Toc322445786"/>
      <w:bookmarkStart w:id="17" w:name="_Toc353882534"/>
      <w:bookmarkStart w:id="18" w:name="_Toc354657491"/>
      <w:bookmarkStart w:id="19" w:name="_Toc354658845"/>
      <w:bookmarkStart w:id="20" w:name="_Toc385937080"/>
      <w:bookmarkStart w:id="21" w:name="_Toc417292092"/>
      <w:bookmarkStart w:id="22" w:name="_Toc448908371"/>
      <w:bookmarkStart w:id="23" w:name="_Toc448912548"/>
      <w:bookmarkStart w:id="24" w:name="_Toc448913277"/>
      <w:r w:rsidRPr="00383D45">
        <w:rPr>
          <w:rFonts w:ascii="GHEA Grapalat" w:hAnsi="GHEA Grapalat" w:cs="Sylfaen"/>
          <w:sz w:val="22"/>
          <w:szCs w:val="22"/>
        </w:rPr>
        <w:t>ԸՆԴՀԱՆՈՒՐ</w:t>
      </w:r>
      <w:bookmarkStart w:id="25" w:name="_Toc290409638"/>
      <w:bookmarkEnd w:id="0"/>
      <w:r w:rsidRPr="00383D45">
        <w:rPr>
          <w:rFonts w:ascii="GHEA Grapalat" w:hAnsi="GHEA Grapalat" w:cs="Sylfaen"/>
          <w:sz w:val="22"/>
          <w:szCs w:val="22"/>
          <w:lang w:val="af-ZA"/>
        </w:rPr>
        <w:t xml:space="preserve"> </w:t>
      </w:r>
      <w:r w:rsidRPr="00383D45">
        <w:rPr>
          <w:rFonts w:ascii="GHEA Grapalat" w:hAnsi="GHEA Grapalat" w:cs="Sylfaen"/>
          <w:sz w:val="22"/>
          <w:szCs w:val="22"/>
        </w:rPr>
        <w:t>ԲՆՈՒԹԱԳԻՐԸ</w:t>
      </w:r>
      <w:r w:rsidRPr="00383D45">
        <w:rPr>
          <w:rFonts w:ascii="GHEA Grapalat" w:hAnsi="GHEA Grapalat" w:cs="Sylfaen"/>
          <w:sz w:val="22"/>
          <w:szCs w:val="22"/>
          <w:lang w:val="af-ZA"/>
        </w:rPr>
        <w:t xml:space="preserve"> 2015 </w:t>
      </w:r>
      <w:r w:rsidRPr="00383D45">
        <w:rPr>
          <w:rFonts w:ascii="GHEA Grapalat" w:hAnsi="GHEA Grapalat" w:cs="Sylfaen"/>
          <w:sz w:val="22"/>
          <w:szCs w:val="22"/>
        </w:rPr>
        <w:t>ԹՎԱԿԱՆԻՆ</w:t>
      </w:r>
      <w:bookmarkEnd w:id="1"/>
      <w:bookmarkEnd w:id="2"/>
      <w:bookmarkEnd w:id="3"/>
      <w:bookmarkEnd w:id="15"/>
      <w:bookmarkEnd w:id="16"/>
      <w:bookmarkEnd w:id="17"/>
      <w:bookmarkEnd w:id="18"/>
      <w:bookmarkEnd w:id="19"/>
      <w:bookmarkEnd w:id="20"/>
      <w:bookmarkEnd w:id="21"/>
      <w:bookmarkEnd w:id="22"/>
      <w:bookmarkEnd w:id="23"/>
      <w:bookmarkEnd w:id="24"/>
      <w:bookmarkEnd w:id="25"/>
    </w:p>
    <w:p w:rsidR="00490F2F" w:rsidRPr="00383D45" w:rsidRDefault="00490F2F" w:rsidP="00490F2F">
      <w:pPr>
        <w:ind w:firstLine="540"/>
        <w:jc w:val="both"/>
        <w:rPr>
          <w:rFonts w:ascii="GHEA Grapalat" w:hAnsi="GHEA Grapalat"/>
          <w:sz w:val="22"/>
          <w:szCs w:val="22"/>
          <w:lang w:val="af-ZA"/>
        </w:rPr>
      </w:pPr>
    </w:p>
    <w:p w:rsidR="00490F2F" w:rsidRPr="00383D45" w:rsidRDefault="00490F2F" w:rsidP="00490F2F">
      <w:pPr>
        <w:tabs>
          <w:tab w:val="num" w:pos="0"/>
        </w:tabs>
        <w:spacing w:line="360" w:lineRule="auto"/>
        <w:ind w:firstLine="540"/>
        <w:jc w:val="both"/>
        <w:rPr>
          <w:rFonts w:ascii="GHEA Grapalat" w:hAnsi="GHEA Grapalat" w:cs="Sylfaen"/>
          <w:sz w:val="22"/>
          <w:szCs w:val="22"/>
        </w:rPr>
      </w:pPr>
      <w:r w:rsidRPr="00383D45">
        <w:rPr>
          <w:rFonts w:ascii="GHEA Grapalat" w:hAnsi="GHEA Grapalat" w:cs="Sylfaen"/>
          <w:sz w:val="22"/>
          <w:szCs w:val="22"/>
        </w:rPr>
        <w:t>2015 թվականի տարեկան տվյալների ամփոփումը ցույց տվեց, որ տնտեսության զարգացման միտումները շարունակվում են, սակայն նախորդ տարվա համեմատ</w:t>
      </w:r>
      <w:r w:rsidRPr="00640A89">
        <w:rPr>
          <w:rFonts w:ascii="GHEA Grapalat" w:hAnsi="GHEA Grapalat" w:cs="Sylfaen"/>
          <w:sz w:val="22"/>
          <w:szCs w:val="22"/>
          <w:lang w:val="af-ZA"/>
        </w:rPr>
        <w:t>`</w:t>
      </w:r>
      <w:r w:rsidRPr="00383D45">
        <w:rPr>
          <w:rFonts w:ascii="GHEA Grapalat" w:hAnsi="GHEA Grapalat" w:cs="Sylfaen"/>
          <w:sz w:val="22"/>
          <w:szCs w:val="22"/>
        </w:rPr>
        <w:t xml:space="preserve"> ավելի դանդաղ տեմպերով: Տարվա առաջին կեսին տնտեսական աճը դրսևորեց արագացման միտումներ, սակայն տարեվերջին այն էապես դանդաղեց</w:t>
      </w:r>
      <w:r w:rsidRPr="00640A89">
        <w:rPr>
          <w:rFonts w:ascii="GHEA Grapalat" w:hAnsi="GHEA Grapalat" w:cs="Sylfaen"/>
          <w:sz w:val="22"/>
          <w:szCs w:val="22"/>
          <w:lang w:val="af-ZA"/>
        </w:rPr>
        <w:t>,</w:t>
      </w:r>
      <w:r w:rsidRPr="00383D45">
        <w:rPr>
          <w:rFonts w:ascii="GHEA Grapalat" w:hAnsi="GHEA Grapalat" w:cs="Sylfaen"/>
          <w:sz w:val="22"/>
          <w:szCs w:val="22"/>
        </w:rPr>
        <w:t xml:space="preserve"> և տարեկան աճը կազմեց 3.0%՝ կրելով հիմնական գործընկեր երկրների տնտեսական անբարենպաստ զարգացումների, մետաղների միջազգային գների նվազման, Ռուսաստանից ներհոսող դրամական փոխանցումների կրճատման արդյունքում իրական տնօրինվող եկամտի նվազման, ինչպես նաև տնտեսությունում վարկավորման մակարդակի նվազման ազդեցությունը, որոնք էապես հակազդվեցին իրականացված հակացիկլիկ հարկաբյուջետային քաղաքականությամբ: Նշված զարգացումների արդյունքում արձանագրվել է ընթացիկ հաշվի բարելավում` պայմանավորված հիմնականում ներմուծման էական կրճատմամբ:</w:t>
      </w:r>
    </w:p>
    <w:p w:rsidR="00490F2F" w:rsidRPr="00383D45" w:rsidRDefault="00490F2F" w:rsidP="00490F2F">
      <w:pPr>
        <w:tabs>
          <w:tab w:val="num" w:pos="0"/>
        </w:tabs>
        <w:spacing w:line="360" w:lineRule="auto"/>
        <w:ind w:firstLine="540"/>
        <w:jc w:val="both"/>
        <w:rPr>
          <w:rFonts w:ascii="GHEA Grapalat" w:hAnsi="GHEA Grapalat" w:cs="Sylfaen"/>
          <w:sz w:val="22"/>
          <w:szCs w:val="22"/>
        </w:rPr>
      </w:pPr>
      <w:r w:rsidRPr="00383D45">
        <w:rPr>
          <w:rFonts w:ascii="GHEA Grapalat" w:hAnsi="GHEA Grapalat" w:cs="Sylfaen"/>
          <w:sz w:val="22"/>
          <w:szCs w:val="22"/>
        </w:rPr>
        <w:t>2015 թվականին միջին գնաճը կազմել է 3.7%: Արձանագրվել է պետական բյուջեի եկամուտների անվանական շուրջ 2.0% աճ, ծախսերի գծով` 14.1% աճ: Ամբողջական պահանջարկի խթանման և մասնավոր ներդրումների թույլ ակտիվության բացասական հետևանքները մեղմելու նպատակով 2015 թվականի ընթացքում իրականացվել է ընդլայնող հարկաբյուջետային քաղաքականություն:</w:t>
      </w:r>
    </w:p>
    <w:p w:rsidR="00490F2F" w:rsidRPr="00383D45" w:rsidRDefault="00490F2F" w:rsidP="00490F2F">
      <w:pPr>
        <w:autoSpaceDE w:val="0"/>
        <w:autoSpaceDN w:val="0"/>
        <w:adjustRightInd w:val="0"/>
        <w:spacing w:line="336" w:lineRule="auto"/>
        <w:ind w:firstLine="540"/>
        <w:jc w:val="both"/>
        <w:rPr>
          <w:rFonts w:ascii="GHEA Grapalat" w:hAnsi="GHEA Grapalat" w:cs="Sylfaen"/>
          <w:b/>
          <w:i/>
          <w:sz w:val="22"/>
          <w:szCs w:val="22"/>
          <w:lang w:val="af-ZA"/>
        </w:rPr>
      </w:pPr>
    </w:p>
    <w:p w:rsidR="00490F2F" w:rsidRPr="00640A89" w:rsidRDefault="00490F2F" w:rsidP="00490F2F">
      <w:pPr>
        <w:autoSpaceDE w:val="0"/>
        <w:autoSpaceDN w:val="0"/>
        <w:adjustRightInd w:val="0"/>
        <w:spacing w:line="480" w:lineRule="auto"/>
        <w:ind w:firstLine="540"/>
        <w:jc w:val="both"/>
        <w:rPr>
          <w:rFonts w:ascii="GHEA Grapalat" w:hAnsi="GHEA Grapalat"/>
          <w:sz w:val="22"/>
          <w:szCs w:val="22"/>
          <w:lang w:val="af-ZA"/>
        </w:rPr>
      </w:pPr>
      <w:r w:rsidRPr="00383D45">
        <w:rPr>
          <w:rFonts w:ascii="GHEA Grapalat" w:hAnsi="GHEA Grapalat" w:cs="Sylfaen"/>
          <w:b/>
          <w:i/>
          <w:sz w:val="22"/>
          <w:szCs w:val="22"/>
        </w:rPr>
        <w:t>Համախառն առաջարկ</w:t>
      </w:r>
    </w:p>
    <w:p w:rsidR="00490F2F" w:rsidRPr="00383D45" w:rsidRDefault="00490F2F" w:rsidP="00490F2F">
      <w:pPr>
        <w:autoSpaceDE w:val="0"/>
        <w:autoSpaceDN w:val="0"/>
        <w:adjustRightInd w:val="0"/>
        <w:spacing w:line="336" w:lineRule="auto"/>
        <w:ind w:firstLine="540"/>
        <w:jc w:val="both"/>
        <w:rPr>
          <w:rFonts w:ascii="GHEA Grapalat" w:hAnsi="GHEA Grapalat" w:cs="Sylfaen"/>
          <w:sz w:val="22"/>
          <w:szCs w:val="22"/>
        </w:rPr>
      </w:pPr>
      <w:r w:rsidRPr="00383D45">
        <w:rPr>
          <w:rFonts w:ascii="GHEA Grapalat" w:hAnsi="GHEA Grapalat"/>
          <w:sz w:val="22"/>
          <w:szCs w:val="22"/>
        </w:rPr>
        <w:t xml:space="preserve">2015 թվականին արտաքին աշխարհից եկող ոչ բարենպաստ տնտեսական զարգացումների՝ գործընկեր երկրներում տնտեսական ակտիվության և հումքային ապրանքների գների նվազման պայմաններում, տնտեսությունը շարունակում է աճել, ընդ որում՝ հիմնականում արտահանելի ճյուղերի հաշվին: </w:t>
      </w:r>
      <w:r w:rsidRPr="00383D45">
        <w:rPr>
          <w:rFonts w:ascii="GHEA Grapalat" w:hAnsi="GHEA Grapalat" w:cs="Sylfaen"/>
          <w:sz w:val="22"/>
          <w:szCs w:val="22"/>
        </w:rPr>
        <w:t>Նախորդ տարվա նկատմամբ գրանցվել է ՀՆԱ-ի 3.0% աճ, ինչը զիջում է նախորդ տարվա ցուցանիշը 0.5 տոկոսային կետով: Ընդ որում ՀՆԱ-ի աճին նպաստել են գյուղատնտեսությունը (2.1 տոկոսային կետ), արդյունաբերությունը (1.0 տոկոսային կետ) և ծառայությունների (0.8 տոկոսային կետ) աճերը, իսկ շինարարությունը (0.4 տոկոսային կետ) բացասա</w:t>
      </w:r>
      <w:r w:rsidRPr="00383D45">
        <w:rPr>
          <w:rFonts w:ascii="GHEA Grapalat" w:hAnsi="GHEA Grapalat" w:cs="Sylfaen"/>
          <w:sz w:val="22"/>
          <w:szCs w:val="22"/>
          <w:lang w:val="en-US"/>
        </w:rPr>
        <w:t>բար</w:t>
      </w:r>
      <w:r w:rsidRPr="00383D45">
        <w:rPr>
          <w:rFonts w:ascii="GHEA Grapalat" w:hAnsi="GHEA Grapalat" w:cs="Sylfaen"/>
          <w:sz w:val="22"/>
          <w:szCs w:val="22"/>
        </w:rPr>
        <w:t xml:space="preserve"> է նպաստել տնտեսական աճին: Գործընկեր երկրների տնտեսություններից եկող բացասական զարգացումներն իրենց արտացոլումն են գտել հիմնականում իրական տնօրինվող եկամտի նվազման վրա՝ </w:t>
      </w:r>
      <w:r w:rsidRPr="00383D45">
        <w:rPr>
          <w:rFonts w:ascii="GHEA Grapalat" w:hAnsi="GHEA Grapalat" w:cs="Sylfaen"/>
          <w:sz w:val="22"/>
          <w:szCs w:val="22"/>
        </w:rPr>
        <w:lastRenderedPageBreak/>
        <w:t>նպաստելով ծառայությունների նախորդ տարվա համեմատ ցածր աճի ձևավորմանը: Ընդ որում</w:t>
      </w:r>
      <w:r w:rsidRPr="00796991">
        <w:rPr>
          <w:rFonts w:ascii="GHEA Grapalat" w:hAnsi="GHEA Grapalat" w:cs="Sylfaen"/>
          <w:sz w:val="22"/>
          <w:szCs w:val="22"/>
          <w:lang w:val="af-ZA"/>
        </w:rPr>
        <w:t>,</w:t>
      </w:r>
      <w:r w:rsidRPr="00383D45">
        <w:rPr>
          <w:rFonts w:ascii="GHEA Grapalat" w:hAnsi="GHEA Grapalat" w:cs="Sylfaen"/>
          <w:sz w:val="22"/>
          <w:szCs w:val="22"/>
        </w:rPr>
        <w:t xml:space="preserve"> առևտուրը, որը ներառված է ծառայություններում, նվազել է: </w:t>
      </w:r>
    </w:p>
    <w:p w:rsidR="00490F2F" w:rsidRPr="00640A89" w:rsidRDefault="00490F2F" w:rsidP="00490F2F">
      <w:pPr>
        <w:tabs>
          <w:tab w:val="num" w:pos="720"/>
        </w:tabs>
        <w:spacing w:line="360" w:lineRule="auto"/>
        <w:ind w:firstLine="540"/>
        <w:jc w:val="both"/>
        <w:rPr>
          <w:rFonts w:ascii="GHEA Grapalat" w:hAnsi="GHEA Grapalat" w:cs="Sylfaen"/>
          <w:b/>
          <w:i/>
          <w:sz w:val="22"/>
          <w:szCs w:val="22"/>
          <w:lang w:val="af-ZA"/>
        </w:rPr>
      </w:pPr>
    </w:p>
    <w:p w:rsidR="00490F2F" w:rsidRPr="00640A89" w:rsidRDefault="00490F2F" w:rsidP="00490F2F">
      <w:pPr>
        <w:tabs>
          <w:tab w:val="num" w:pos="720"/>
        </w:tabs>
        <w:spacing w:line="360" w:lineRule="auto"/>
        <w:ind w:firstLine="540"/>
        <w:jc w:val="both"/>
        <w:rPr>
          <w:rFonts w:ascii="GHEA Grapalat" w:hAnsi="GHEA Grapalat" w:cs="Sylfaen"/>
          <w:b/>
          <w:i/>
          <w:sz w:val="22"/>
          <w:szCs w:val="22"/>
          <w:lang w:val="af-ZA"/>
        </w:rPr>
      </w:pPr>
    </w:p>
    <w:p w:rsidR="00490F2F" w:rsidRPr="00383D45" w:rsidRDefault="00490F2F" w:rsidP="00490F2F">
      <w:pPr>
        <w:tabs>
          <w:tab w:val="num" w:pos="720"/>
        </w:tabs>
        <w:spacing w:line="360" w:lineRule="auto"/>
        <w:ind w:firstLine="540"/>
        <w:jc w:val="both"/>
        <w:rPr>
          <w:rFonts w:ascii="GHEA Grapalat" w:hAnsi="GHEA Grapalat"/>
          <w:sz w:val="22"/>
          <w:szCs w:val="22"/>
        </w:rPr>
      </w:pPr>
      <w:r w:rsidRPr="00383D45">
        <w:rPr>
          <w:rFonts w:ascii="GHEA Grapalat" w:hAnsi="GHEA Grapalat" w:cs="Sylfaen"/>
          <w:b/>
          <w:i/>
          <w:sz w:val="22"/>
          <w:szCs w:val="22"/>
        </w:rPr>
        <w:t>Գծապատկեր 1.</w:t>
      </w:r>
      <w:r w:rsidRPr="00640A89">
        <w:rPr>
          <w:rFonts w:ascii="GHEA Grapalat" w:hAnsi="GHEA Grapalat" w:cs="Sylfaen"/>
          <w:b/>
          <w:i/>
          <w:sz w:val="22"/>
          <w:szCs w:val="22"/>
          <w:lang w:val="af-ZA"/>
        </w:rPr>
        <w:t xml:space="preserve"> </w:t>
      </w:r>
      <w:r w:rsidRPr="00383D45">
        <w:rPr>
          <w:rFonts w:ascii="GHEA Grapalat" w:hAnsi="GHEA Grapalat"/>
          <w:sz w:val="22"/>
          <w:szCs w:val="22"/>
        </w:rPr>
        <w:t>2014-2015 թվականներին տնտեսության ճյուղերի ավելացված արժեքների նպաստումները ՀՆԱ-ի իրական աճին, տոկոսային կետ:</w:t>
      </w:r>
    </w:p>
    <w:p w:rsidR="00490F2F" w:rsidRPr="00383D45" w:rsidRDefault="00490F2F" w:rsidP="00490F2F">
      <w:pPr>
        <w:tabs>
          <w:tab w:val="num" w:pos="720"/>
        </w:tabs>
        <w:spacing w:line="360" w:lineRule="auto"/>
        <w:ind w:firstLine="540"/>
        <w:jc w:val="both"/>
        <w:rPr>
          <w:rFonts w:ascii="GHEA Grapalat" w:hAnsi="GHEA Grapalat"/>
          <w:sz w:val="22"/>
          <w:szCs w:val="22"/>
        </w:rPr>
      </w:pPr>
    </w:p>
    <w:p w:rsidR="00490F2F" w:rsidRPr="00383D45" w:rsidRDefault="00490F2F" w:rsidP="00490F2F">
      <w:pPr>
        <w:tabs>
          <w:tab w:val="right" w:pos="8640"/>
        </w:tabs>
        <w:spacing w:line="360" w:lineRule="auto"/>
        <w:ind w:firstLine="540"/>
        <w:jc w:val="both"/>
        <w:rPr>
          <w:rFonts w:ascii="GHEA Grapalat" w:hAnsi="GHEA Grapalat" w:cs="Sylfaen"/>
          <w:b/>
          <w:i/>
          <w:sz w:val="22"/>
          <w:szCs w:val="22"/>
        </w:rPr>
      </w:pPr>
      <w:r w:rsidRPr="00383D45">
        <w:rPr>
          <w:rFonts w:ascii="GHEA Grapalat" w:hAnsi="GHEA Grapalat"/>
          <w:sz w:val="22"/>
          <w:szCs w:val="22"/>
          <w:lang w:val="ru-RU" w:eastAsia="ru-RU"/>
        </w:rPr>
        <w:drawing>
          <wp:anchor distT="0" distB="0" distL="114300" distR="114300" simplePos="0" relativeHeight="251660288" behindDoc="0" locked="0" layoutInCell="1" allowOverlap="1">
            <wp:simplePos x="0" y="0"/>
            <wp:positionH relativeFrom="column">
              <wp:posOffset>3370580</wp:posOffset>
            </wp:positionH>
            <wp:positionV relativeFrom="paragraph">
              <wp:posOffset>-10795</wp:posOffset>
            </wp:positionV>
            <wp:extent cx="3206750" cy="1962785"/>
            <wp:effectExtent l="4445" t="0" r="0" b="3175"/>
            <wp:wrapSquare wrapText="bothSides"/>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383D45">
        <w:rPr>
          <w:rFonts w:ascii="GHEA Grapalat" w:hAnsi="GHEA Grapalat"/>
          <w:sz w:val="22"/>
          <w:szCs w:val="22"/>
          <w:lang w:val="ru-RU"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188335" cy="2054225"/>
            <wp:effectExtent l="1270" t="635" r="1270" b="2540"/>
            <wp:wrapSquare wrapText="bothSides"/>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cs="Sylfaen"/>
          <w:b/>
          <w:i/>
          <w:sz w:val="22"/>
          <w:szCs w:val="22"/>
        </w:rPr>
        <w:t>Արդյունաբերություն</w:t>
      </w:r>
      <w:r w:rsidRPr="00383D45">
        <w:rPr>
          <w:rStyle w:val="a7"/>
          <w:rFonts w:ascii="GHEA Grapalat" w:hAnsi="GHEA Grapalat" w:cs="Sylfaen"/>
          <w:b/>
          <w:i/>
          <w:sz w:val="22"/>
          <w:szCs w:val="22"/>
        </w:rPr>
        <w:footnoteReference w:id="1"/>
      </w:r>
      <w:r w:rsidRPr="00640A89">
        <w:rPr>
          <w:rFonts w:ascii="GHEA Grapalat" w:hAnsi="GHEA Grapalat" w:cs="Sylfaen"/>
          <w:b/>
          <w:i/>
          <w:sz w:val="22"/>
          <w:szCs w:val="22"/>
        </w:rPr>
        <w:t xml:space="preserve">: </w:t>
      </w:r>
      <w:r w:rsidRPr="00383D45">
        <w:rPr>
          <w:rFonts w:ascii="GHEA Grapalat" w:hAnsi="GHEA Grapalat"/>
          <w:sz w:val="22"/>
          <w:szCs w:val="22"/>
        </w:rPr>
        <w:t>2015 թվականին արդյունաբերությունն աճել է պայմանավորված հանքագործական արդյունաբերությամբ: Արձանագրվել է արդյունաբերական արտադրանքի թողարկման ծավալի 5.2% աճ: Չնայած միջազգային շուկայում մետաղների գների նվազման միտումին</w:t>
      </w:r>
      <w:r w:rsidRPr="00383D45">
        <w:rPr>
          <w:rStyle w:val="a7"/>
          <w:rFonts w:ascii="GHEA Grapalat" w:hAnsi="GHEA Grapalat"/>
          <w:sz w:val="22"/>
          <w:szCs w:val="22"/>
        </w:rPr>
        <w:footnoteReference w:id="2"/>
      </w:r>
      <w:r w:rsidRPr="00383D45">
        <w:rPr>
          <w:rFonts w:ascii="GHEA Grapalat" w:hAnsi="GHEA Grapalat"/>
          <w:sz w:val="22"/>
          <w:szCs w:val="22"/>
        </w:rPr>
        <w:t xml:space="preserve">՝ արդյունաբերությանը հիմնականում նպաստել է հանքագործական արդյունաբերության 50.4% աճը, որը </w:t>
      </w:r>
      <w:r w:rsidRPr="00383D45">
        <w:rPr>
          <w:rFonts w:ascii="GHEA Grapalat" w:hAnsi="GHEA Grapalat" w:cs="Sylfaen"/>
          <w:sz w:val="22"/>
          <w:szCs w:val="22"/>
        </w:rPr>
        <w:t>պայմանավորված է Թեղուտի հանքավայրի շահագործմամբ</w:t>
      </w:r>
      <w:r w:rsidRPr="00383D45">
        <w:rPr>
          <w:rFonts w:ascii="GHEA Grapalat" w:hAnsi="GHEA Grapalat"/>
          <w:sz w:val="22"/>
          <w:szCs w:val="22"/>
        </w:rPr>
        <w:t>:</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sz w:val="22"/>
          <w:szCs w:val="22"/>
        </w:rPr>
        <w:t>Մշակող արդյունաբերությունը նվազել է՝ հիմնականում կրելով արտաքին տնտեսական զարգացումների ազդեցությունը:</w:t>
      </w:r>
      <w:r w:rsidRPr="00383D45">
        <w:rPr>
          <w:rFonts w:ascii="GHEA Grapalat" w:hAnsi="GHEA Grapalat"/>
          <w:b/>
          <w:sz w:val="22"/>
          <w:szCs w:val="22"/>
        </w:rPr>
        <w:t xml:space="preserve"> </w:t>
      </w:r>
      <w:r w:rsidRPr="00383D45">
        <w:rPr>
          <w:rFonts w:ascii="GHEA Grapalat" w:hAnsi="GHEA Grapalat"/>
          <w:sz w:val="22"/>
          <w:szCs w:val="22"/>
        </w:rPr>
        <w:t>Մշակող արդյունաբերությունը նվազել է 5.6%-ով, ինչը պայմանավորված է եղել հիմնականում սննդամթերքի (9%), հիմնային մետաղների (15%) և խմիչքների (19.7%) արտադրության ծավալների նվազմամբ: Մշակող արդյունաբերությանը բացասա</w:t>
      </w:r>
      <w:r w:rsidRPr="00640A89">
        <w:rPr>
          <w:rFonts w:ascii="GHEA Grapalat" w:hAnsi="GHEA Grapalat"/>
          <w:sz w:val="22"/>
          <w:szCs w:val="22"/>
        </w:rPr>
        <w:t>բար</w:t>
      </w:r>
      <w:r w:rsidRPr="00383D45">
        <w:rPr>
          <w:rFonts w:ascii="GHEA Grapalat" w:hAnsi="GHEA Grapalat"/>
          <w:sz w:val="22"/>
          <w:szCs w:val="22"/>
        </w:rPr>
        <w:t xml:space="preserve"> նպաստող ենթաճյուղերի ցուցանիշները պայմանավորված են ինչպես գործընկեր երկրների (հիմնականում Ռուսաստանի) տնտեսական զարգացումների արդյունքում արտաքին պահանջարկի նվազմամբ, այնպես էլ դրամական փոխանցումների անկման հետևանքով իրական տնօրինվող եկամտի նվազմամբ: Մշակող արդյունաբերությանն էական դրական նպաստում է ունեցել ծխախոտային </w:t>
      </w:r>
      <w:r w:rsidRPr="00383D45">
        <w:rPr>
          <w:rFonts w:ascii="GHEA Grapalat" w:hAnsi="GHEA Grapalat"/>
          <w:sz w:val="22"/>
          <w:szCs w:val="22"/>
        </w:rPr>
        <w:lastRenderedPageBreak/>
        <w:t xml:space="preserve">արտադրատեսակների արտադրության 49.1% աճը, որը պայմանավորված է ծխախոտի արտահանման ծավալների աճով: </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sz w:val="22"/>
          <w:szCs w:val="22"/>
        </w:rPr>
        <w:t>Էլեկտրաէներգիայի և ջրամատակարարման ճյուղեր</w:t>
      </w:r>
      <w:r w:rsidRPr="00640A89">
        <w:rPr>
          <w:rFonts w:ascii="GHEA Grapalat" w:hAnsi="GHEA Grapalat"/>
          <w:sz w:val="22"/>
          <w:szCs w:val="22"/>
        </w:rPr>
        <w:t>ն</w:t>
      </w:r>
      <w:r w:rsidRPr="00383D45">
        <w:rPr>
          <w:rFonts w:ascii="GHEA Grapalat" w:hAnsi="GHEA Grapalat"/>
          <w:sz w:val="22"/>
          <w:szCs w:val="22"/>
        </w:rPr>
        <w:t xml:space="preserve"> աճի ցուցանիշներ են արձանագրել:</w:t>
      </w:r>
      <w:r w:rsidRPr="00383D45">
        <w:rPr>
          <w:rFonts w:ascii="GHEA Grapalat" w:hAnsi="GHEA Grapalat"/>
          <w:b/>
          <w:sz w:val="22"/>
          <w:szCs w:val="22"/>
        </w:rPr>
        <w:t xml:space="preserve"> </w:t>
      </w:r>
      <w:r w:rsidRPr="00383D45">
        <w:rPr>
          <w:rFonts w:ascii="GHEA Grapalat" w:hAnsi="GHEA Grapalat"/>
          <w:sz w:val="22"/>
          <w:szCs w:val="22"/>
        </w:rPr>
        <w:t>Էլեկտրաէներգիայի և ջրամատակարարման ճյուղերում արձանագրվել է համապատասխանաբար 6.7% և 10.1% աճ: Էլեկտրաէներգիայի աճը պայմանավորված է եղել էլեկտրաէներգիայի արտահանման 7% աճով և ներմուծման 15.6% նվազմամբ: Արդյունքում` էլեկտրաէներգիայի զուտ արտահանումն աճել է 11.2%-ով: Էլեկտրաէներգիայի արտադրության աճը հիմնականում ապահովվել է ՀԱԷԿ-ի և ՀԷԿ-երի կողմից արտադրության ծավալների համապատասխանաբար 13.1% և 10.7% աճերի հաշվին, իսկ Ջէկ-երի կողմից արտադրված էլեկտրաէներգիան նվազել է 14.8%-ով:</w:t>
      </w:r>
    </w:p>
    <w:p w:rsidR="00490F2F" w:rsidRPr="00383D45" w:rsidRDefault="00490F2F" w:rsidP="00490F2F">
      <w:pPr>
        <w:pStyle w:val="3"/>
        <w:spacing w:after="0" w:line="360" w:lineRule="auto"/>
        <w:ind w:left="0" w:firstLine="540"/>
        <w:jc w:val="both"/>
        <w:rPr>
          <w:rFonts w:ascii="GHEA Grapalat" w:hAnsi="GHEA Grapalat"/>
          <w:sz w:val="22"/>
          <w:szCs w:val="22"/>
        </w:rPr>
      </w:pPr>
      <w:r w:rsidRPr="00383D45">
        <w:rPr>
          <w:rFonts w:ascii="GHEA Grapalat" w:hAnsi="GHEA Grapalat" w:cs="Sylfaen"/>
          <w:b/>
          <w:i/>
          <w:sz w:val="22"/>
          <w:szCs w:val="22"/>
        </w:rPr>
        <w:t>Գյուղատնտեսություն</w:t>
      </w:r>
      <w:r w:rsidRPr="00640A89">
        <w:rPr>
          <w:rFonts w:ascii="GHEA Grapalat" w:hAnsi="GHEA Grapalat" w:cs="Sylfaen"/>
          <w:b/>
          <w:i/>
          <w:sz w:val="22"/>
          <w:szCs w:val="22"/>
        </w:rPr>
        <w:t>:</w:t>
      </w:r>
      <w:r w:rsidRPr="00383D45">
        <w:rPr>
          <w:rFonts w:ascii="GHEA Grapalat" w:hAnsi="GHEA Grapalat" w:cs="Sylfaen"/>
          <w:b/>
          <w:i/>
          <w:sz w:val="22"/>
          <w:szCs w:val="22"/>
        </w:rPr>
        <w:t xml:space="preserve"> </w:t>
      </w:r>
      <w:r w:rsidRPr="00383D45">
        <w:rPr>
          <w:rFonts w:ascii="GHEA Grapalat" w:hAnsi="GHEA Grapalat" w:cs="Sylfaen"/>
          <w:sz w:val="22"/>
          <w:szCs w:val="22"/>
        </w:rPr>
        <w:t>Գյուղատնտեսությունը երկնիշ աճի ցուցանիշ է արձանագրել` պայմանավորված թե</w:t>
      </w:r>
      <w:r w:rsidRPr="00640A89">
        <w:rPr>
          <w:rFonts w:ascii="GHEA Grapalat" w:hAnsi="GHEA Grapalat" w:cs="Sylfaen"/>
          <w:sz w:val="22"/>
          <w:szCs w:val="22"/>
        </w:rPr>
        <w:t>´</w:t>
      </w:r>
      <w:r w:rsidRPr="00383D45">
        <w:rPr>
          <w:rFonts w:ascii="GHEA Grapalat" w:hAnsi="GHEA Grapalat" w:cs="Sylfaen"/>
          <w:sz w:val="22"/>
          <w:szCs w:val="22"/>
        </w:rPr>
        <w:t xml:space="preserve"> էքստենսիվ, թե</w:t>
      </w:r>
      <w:r w:rsidRPr="00640A89">
        <w:rPr>
          <w:rFonts w:ascii="GHEA Grapalat" w:hAnsi="GHEA Grapalat" w:cs="Sylfaen"/>
          <w:sz w:val="22"/>
          <w:szCs w:val="22"/>
        </w:rPr>
        <w:t>´</w:t>
      </w:r>
      <w:r w:rsidRPr="00383D45">
        <w:rPr>
          <w:rFonts w:ascii="GHEA Grapalat" w:hAnsi="GHEA Grapalat" w:cs="Sylfaen"/>
          <w:sz w:val="22"/>
          <w:szCs w:val="22"/>
        </w:rPr>
        <w:t xml:space="preserve"> ինտենսիվ գործոններով: </w:t>
      </w:r>
      <w:r w:rsidRPr="00383D45">
        <w:rPr>
          <w:rFonts w:ascii="GHEA Grapalat" w:hAnsi="GHEA Grapalat"/>
          <w:sz w:val="22"/>
          <w:szCs w:val="22"/>
        </w:rPr>
        <w:t>2015 թվականին գյուղատնտեսության համախառն թողարկումն աճել է իրական արտահայտությամբ 11.5%-ով: Գյուղատնտեսության աճը հիմնականում պայմանավորված է եղել բուսաբուծության 15.2% աճով, որն ուղեկցվել է ցանքատարածությունների 5.7% աճով և բնակլիմայական բարենպաստ պայմաններով: Բուսաբուծության աճին ամենամեծ նպաստումն են ունեցել պտուղ, հատապտղի և բանջարեղենի՝ համապատասխանաբար 35% և 10% աճերը: Անասնաբուծությունը և ձկնորսությունը նույնպես նպաստել են գյուղա</w:t>
      </w:r>
      <w:r w:rsidRPr="00383D45">
        <w:rPr>
          <w:rFonts w:ascii="GHEA Grapalat" w:hAnsi="GHEA Grapalat"/>
          <w:sz w:val="22"/>
          <w:szCs w:val="22"/>
        </w:rPr>
        <w:softHyphen/>
        <w:t>տնտեսությանը՝ աճելով համապատասխանաբար 6.1%</w:t>
      </w:r>
      <w:r w:rsidRPr="00640A89">
        <w:rPr>
          <w:rFonts w:ascii="GHEA Grapalat" w:hAnsi="GHEA Grapalat"/>
          <w:sz w:val="22"/>
          <w:szCs w:val="22"/>
        </w:rPr>
        <w:t>-ով</w:t>
      </w:r>
      <w:r w:rsidRPr="00383D45">
        <w:rPr>
          <w:rFonts w:ascii="GHEA Grapalat" w:hAnsi="GHEA Grapalat"/>
          <w:sz w:val="22"/>
          <w:szCs w:val="22"/>
        </w:rPr>
        <w:t xml:space="preserve"> և 6.4%-ով: Անասնաբու</w:t>
      </w:r>
      <w:r w:rsidRPr="00383D45">
        <w:rPr>
          <w:rFonts w:ascii="GHEA Grapalat" w:hAnsi="GHEA Grapalat"/>
          <w:sz w:val="22"/>
          <w:szCs w:val="22"/>
        </w:rPr>
        <w:softHyphen/>
        <w:t>ծութ</w:t>
      </w:r>
      <w:r w:rsidRPr="00383D45">
        <w:rPr>
          <w:rFonts w:ascii="GHEA Grapalat" w:hAnsi="GHEA Grapalat"/>
          <w:sz w:val="22"/>
          <w:szCs w:val="22"/>
        </w:rPr>
        <w:softHyphen/>
        <w:t>յան ճյուղի աճը պայմանավորված է եղել հիմնականում մսի արտադրության 7.8% աճով: Կաթի և ձվի արտադրությունները նույնպես աճել են՝ համապատասխանաբար 4.0</w:t>
      </w:r>
      <w:r w:rsidRPr="00640A89">
        <w:rPr>
          <w:rFonts w:ascii="GHEA Grapalat" w:hAnsi="GHEA Grapalat"/>
          <w:sz w:val="22"/>
          <w:szCs w:val="22"/>
        </w:rPr>
        <w:t>%-ով</w:t>
      </w:r>
      <w:r w:rsidRPr="00383D45">
        <w:rPr>
          <w:rFonts w:ascii="GHEA Grapalat" w:hAnsi="GHEA Grapalat"/>
          <w:sz w:val="22"/>
          <w:szCs w:val="22"/>
        </w:rPr>
        <w:t xml:space="preserve"> և 2.8%-ով: Գյուղատնտեսության աճն ուղեկցվել է նաև ոլորտում ներդրումների (կապիտալ շինարարության) 61.9% աճով:</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cs="Sylfaen"/>
          <w:b/>
          <w:i/>
          <w:sz w:val="22"/>
          <w:szCs w:val="22"/>
        </w:rPr>
        <w:t>Շինարարություն</w:t>
      </w:r>
      <w:r w:rsidRPr="00640A89">
        <w:rPr>
          <w:rFonts w:ascii="GHEA Grapalat" w:hAnsi="GHEA Grapalat" w:cs="Sylfaen"/>
          <w:b/>
          <w:i/>
          <w:sz w:val="22"/>
          <w:szCs w:val="22"/>
        </w:rPr>
        <w:t>:</w:t>
      </w:r>
      <w:r w:rsidRPr="00383D45">
        <w:rPr>
          <w:rFonts w:ascii="GHEA Grapalat" w:hAnsi="GHEA Grapalat" w:cs="Sylfaen"/>
          <w:b/>
          <w:i/>
          <w:sz w:val="22"/>
          <w:szCs w:val="22"/>
        </w:rPr>
        <w:t xml:space="preserve"> </w:t>
      </w:r>
      <w:r w:rsidRPr="00383D45">
        <w:rPr>
          <w:rFonts w:ascii="GHEA Grapalat" w:hAnsi="GHEA Grapalat" w:cs="Sylfaen"/>
          <w:sz w:val="22"/>
          <w:szCs w:val="22"/>
        </w:rPr>
        <w:t>Չնայած 2015 թվականին 2014 թվականի համեմատ շինարարության ճյուղի ավելացված արժեքի շուրջ 4% նվազմանը, իրականացված շի</w:t>
      </w:r>
      <w:r w:rsidRPr="00383D45">
        <w:rPr>
          <w:rFonts w:ascii="GHEA Grapalat" w:hAnsi="GHEA Grapalat" w:cs="Sylfaen"/>
          <w:sz w:val="22"/>
          <w:szCs w:val="22"/>
        </w:rPr>
        <w:softHyphen/>
        <w:t>նա</w:t>
      </w:r>
      <w:r w:rsidRPr="00383D45">
        <w:rPr>
          <w:rFonts w:ascii="GHEA Grapalat" w:hAnsi="GHEA Grapalat" w:cs="Sylfaen"/>
          <w:sz w:val="22"/>
          <w:szCs w:val="22"/>
        </w:rPr>
        <w:softHyphen/>
        <w:t>րա</w:t>
      </w:r>
      <w:r w:rsidRPr="00383D45">
        <w:rPr>
          <w:rFonts w:ascii="GHEA Grapalat" w:hAnsi="GHEA Grapalat" w:cs="Sylfaen"/>
          <w:sz w:val="22"/>
          <w:szCs w:val="22"/>
        </w:rPr>
        <w:softHyphen/>
        <w:t>րու</w:t>
      </w:r>
      <w:r w:rsidRPr="00383D45">
        <w:rPr>
          <w:rFonts w:ascii="GHEA Grapalat" w:hAnsi="GHEA Grapalat" w:cs="Sylfaen"/>
          <w:sz w:val="22"/>
          <w:szCs w:val="22"/>
        </w:rPr>
        <w:softHyphen/>
        <w:t xml:space="preserve">թյան ծավալները մի փոքր աճել են` պայմանավորված միջանկյալ սպառման աճով: Շինարարության ծավալների աճը տեղի է ունեցել հիմնականում միջազգային վարկային միջոցների հաշվին: </w:t>
      </w:r>
      <w:r w:rsidRPr="00383D45">
        <w:rPr>
          <w:rFonts w:ascii="GHEA Grapalat" w:hAnsi="GHEA Grapalat"/>
          <w:sz w:val="22"/>
          <w:szCs w:val="22"/>
        </w:rPr>
        <w:t>2015 թվականին ֆինանսավորման բոլոր աղբյուրների հաշվին իրականացված շի</w:t>
      </w:r>
      <w:r w:rsidRPr="00383D45">
        <w:rPr>
          <w:rFonts w:ascii="GHEA Grapalat" w:hAnsi="GHEA Grapalat"/>
          <w:sz w:val="22"/>
          <w:szCs w:val="22"/>
        </w:rPr>
        <w:softHyphen/>
        <w:t>նա</w:t>
      </w:r>
      <w:r w:rsidRPr="00383D45">
        <w:rPr>
          <w:rFonts w:ascii="GHEA Grapalat" w:hAnsi="GHEA Grapalat"/>
          <w:sz w:val="22"/>
          <w:szCs w:val="22"/>
        </w:rPr>
        <w:softHyphen/>
        <w:t>րա</w:t>
      </w:r>
      <w:r w:rsidRPr="00383D45">
        <w:rPr>
          <w:rFonts w:ascii="GHEA Grapalat" w:hAnsi="GHEA Grapalat"/>
          <w:sz w:val="22"/>
          <w:szCs w:val="22"/>
        </w:rPr>
        <w:softHyphen/>
        <w:t>րու</w:t>
      </w:r>
      <w:r w:rsidRPr="00383D45">
        <w:rPr>
          <w:rFonts w:ascii="GHEA Grapalat" w:hAnsi="GHEA Grapalat"/>
          <w:sz w:val="22"/>
          <w:szCs w:val="22"/>
        </w:rPr>
        <w:softHyphen/>
        <w:t>թյան ծավալները նախորդ տարվա նկատմամբ աճել են 0.3%-ով: Ճյու</w:t>
      </w:r>
      <w:r w:rsidRPr="00383D45">
        <w:rPr>
          <w:rFonts w:ascii="GHEA Grapalat" w:hAnsi="GHEA Grapalat"/>
          <w:sz w:val="22"/>
          <w:szCs w:val="22"/>
        </w:rPr>
        <w:softHyphen/>
        <w:t xml:space="preserve">ղի աճին հիմնականում նպաստել </w:t>
      </w:r>
      <w:r w:rsidRPr="00640A89">
        <w:rPr>
          <w:rFonts w:ascii="GHEA Grapalat" w:hAnsi="GHEA Grapalat"/>
          <w:sz w:val="22"/>
          <w:szCs w:val="22"/>
        </w:rPr>
        <w:t>է</w:t>
      </w:r>
      <w:r w:rsidRPr="00383D45">
        <w:rPr>
          <w:rFonts w:ascii="GHEA Grapalat" w:hAnsi="GHEA Grapalat"/>
          <w:sz w:val="22"/>
          <w:szCs w:val="22"/>
        </w:rPr>
        <w:t xml:space="preserve"> միջազգային վարկային միջոցների</w:t>
      </w:r>
      <w:r w:rsidRPr="00640A89">
        <w:rPr>
          <w:rFonts w:ascii="GHEA Grapalat" w:hAnsi="GHEA Grapalat"/>
          <w:sz w:val="22"/>
          <w:szCs w:val="22"/>
        </w:rPr>
        <w:t xml:space="preserve"> </w:t>
      </w:r>
      <w:r w:rsidRPr="00383D45">
        <w:rPr>
          <w:rFonts w:ascii="GHEA Grapalat" w:hAnsi="GHEA Grapalat"/>
          <w:sz w:val="22"/>
          <w:szCs w:val="22"/>
        </w:rPr>
        <w:t>(20.5%) և մարդասիրական օգնության միջոցների (73.0%) հաշվին իրականացված շինարարության ծավալների աճը: Շինարարության աճի</w:t>
      </w:r>
      <w:r w:rsidRPr="00640A89">
        <w:rPr>
          <w:rFonts w:ascii="GHEA Grapalat" w:hAnsi="GHEA Grapalat"/>
          <w:sz w:val="22"/>
          <w:szCs w:val="22"/>
        </w:rPr>
        <w:t xml:space="preserve"> վրա</w:t>
      </w:r>
      <w:r w:rsidRPr="00383D45">
        <w:rPr>
          <w:rFonts w:ascii="GHEA Grapalat" w:hAnsi="GHEA Grapalat"/>
          <w:sz w:val="22"/>
          <w:szCs w:val="22"/>
        </w:rPr>
        <w:t xml:space="preserve"> բացասական ազդեցություն է ունեցել հիմնականում համայնքների միջոցների հաշվին իրականացված շինարարության ծավալների 56.2%</w:t>
      </w:r>
      <w:r w:rsidRPr="00640A89">
        <w:rPr>
          <w:rFonts w:ascii="GHEA Grapalat" w:hAnsi="GHEA Grapalat"/>
          <w:sz w:val="22"/>
          <w:szCs w:val="22"/>
        </w:rPr>
        <w:t>-ով</w:t>
      </w:r>
      <w:r w:rsidRPr="00383D45">
        <w:rPr>
          <w:rFonts w:ascii="GHEA Grapalat" w:hAnsi="GHEA Grapalat"/>
          <w:sz w:val="22"/>
          <w:szCs w:val="22"/>
        </w:rPr>
        <w:t xml:space="preserve"> նվազումը: </w:t>
      </w:r>
      <w:r w:rsidRPr="00383D45">
        <w:rPr>
          <w:rFonts w:ascii="GHEA Grapalat" w:hAnsi="GHEA Grapalat"/>
          <w:sz w:val="22"/>
          <w:szCs w:val="22"/>
        </w:rPr>
        <w:lastRenderedPageBreak/>
        <w:t>Շինարարության ծավալների դանդաղ աճը ուղեկցվել է նաև ոլորտի վարկավորման ծավալների նվազմամբ</w:t>
      </w:r>
      <w:r w:rsidRPr="00383D45">
        <w:rPr>
          <w:rStyle w:val="a7"/>
          <w:rFonts w:ascii="GHEA Grapalat" w:hAnsi="GHEA Grapalat" w:cs="Sylfaen"/>
          <w:sz w:val="22"/>
          <w:szCs w:val="22"/>
        </w:rPr>
        <w:footnoteReference w:id="3"/>
      </w:r>
      <w:r w:rsidRPr="00383D45">
        <w:rPr>
          <w:rFonts w:ascii="GHEA Grapalat" w:hAnsi="GHEA Grapalat"/>
          <w:sz w:val="22"/>
          <w:szCs w:val="22"/>
        </w:rPr>
        <w:t>:</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sz w:val="22"/>
          <w:szCs w:val="22"/>
        </w:rPr>
        <w:t>Շինարարության աճին, ըստ տնտեսական գործունեության տեսակների, 2015 թվականին հիմնականում նպաստել են մշակույթ, զվարճություններ, հանգիստ (2.6 անգամ), անշարժ գույքի հետ կապված (10.1%), առողջապահություն, բնակչության սոցիալական սպասարկում (3.4 անգամ) և գյուղատնտեսության (61.91%) գործունեության տեսակների մասով իրականացված շինարարության ծավալները:</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sz w:val="22"/>
          <w:szCs w:val="22"/>
        </w:rPr>
        <w:t>Ըստ տնտեսական գործունեության տեսակների 2015 թվականին շինարարությանը բացասա</w:t>
      </w:r>
      <w:r w:rsidRPr="00640A89">
        <w:rPr>
          <w:rFonts w:ascii="GHEA Grapalat" w:hAnsi="GHEA Grapalat"/>
          <w:sz w:val="22"/>
          <w:szCs w:val="22"/>
        </w:rPr>
        <w:t>բար</w:t>
      </w:r>
      <w:r w:rsidRPr="00383D45">
        <w:rPr>
          <w:rFonts w:ascii="GHEA Grapalat" w:hAnsi="GHEA Grapalat"/>
          <w:sz w:val="22"/>
          <w:szCs w:val="22"/>
        </w:rPr>
        <w:t xml:space="preserve"> են նպաստել հիմնականում մշակող արդյունաբերության հետ կապված գործունեությանը (72.7%), տրանսպորտին (21.4%), կրթությանը (33.3%) և հանքագործական արդյունաբերությանն (55.9%) ուղղ</w:t>
      </w:r>
      <w:r w:rsidRPr="00383D45">
        <w:rPr>
          <w:rFonts w:ascii="GHEA Grapalat" w:hAnsi="GHEA Grapalat"/>
          <w:sz w:val="22"/>
          <w:szCs w:val="22"/>
        </w:rPr>
        <w:softHyphen/>
        <w:t>վող շինարարության ծավալների նվազումները:</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b/>
          <w:i/>
          <w:sz w:val="22"/>
          <w:szCs w:val="22"/>
        </w:rPr>
        <w:t>Ծառայություններ և առևտուր</w:t>
      </w:r>
      <w:r w:rsidRPr="00640A89">
        <w:rPr>
          <w:rFonts w:ascii="GHEA Grapalat" w:hAnsi="GHEA Grapalat"/>
          <w:b/>
          <w:i/>
          <w:sz w:val="22"/>
          <w:szCs w:val="22"/>
        </w:rPr>
        <w:t>:</w:t>
      </w:r>
      <w:r w:rsidRPr="00383D45">
        <w:rPr>
          <w:rFonts w:ascii="GHEA Grapalat" w:hAnsi="GHEA Grapalat"/>
          <w:b/>
          <w:i/>
          <w:sz w:val="22"/>
          <w:szCs w:val="22"/>
        </w:rPr>
        <w:t xml:space="preserve"> </w:t>
      </w:r>
      <w:r w:rsidRPr="00383D45">
        <w:rPr>
          <w:rFonts w:ascii="GHEA Grapalat" w:hAnsi="GHEA Grapalat" w:cs="Sylfaen"/>
          <w:sz w:val="22"/>
          <w:szCs w:val="22"/>
        </w:rPr>
        <w:t>Ծառայությունների</w:t>
      </w:r>
      <w:r w:rsidRPr="00383D45">
        <w:rPr>
          <w:rFonts w:ascii="GHEA Grapalat" w:hAnsi="GHEA Grapalat"/>
          <w:sz w:val="22"/>
          <w:szCs w:val="22"/>
        </w:rPr>
        <w:t xml:space="preserve"> աճը</w:t>
      </w:r>
      <w:r w:rsidRPr="00640A89">
        <w:rPr>
          <w:rFonts w:ascii="GHEA Grapalat" w:hAnsi="GHEA Grapalat"/>
          <w:sz w:val="22"/>
          <w:szCs w:val="22"/>
        </w:rPr>
        <w:t>՝</w:t>
      </w:r>
      <w:r w:rsidRPr="00383D45">
        <w:rPr>
          <w:rFonts w:ascii="GHEA Grapalat" w:hAnsi="GHEA Grapalat"/>
          <w:sz w:val="22"/>
          <w:szCs w:val="22"/>
        </w:rPr>
        <w:t xml:space="preserve"> դանդաղել, իսկ ա</w:t>
      </w:r>
      <w:r w:rsidRPr="00383D45">
        <w:rPr>
          <w:rFonts w:ascii="GHEA Grapalat" w:hAnsi="GHEA Grapalat" w:cs="Sylfaen"/>
          <w:sz w:val="22"/>
          <w:szCs w:val="22"/>
        </w:rPr>
        <w:t xml:space="preserve">ռևտրի ծավալները նվազել են` կրելով </w:t>
      </w:r>
      <w:r w:rsidRPr="00383D45">
        <w:rPr>
          <w:rFonts w:ascii="GHEA Grapalat" w:hAnsi="GHEA Grapalat"/>
          <w:sz w:val="22"/>
          <w:szCs w:val="22"/>
        </w:rPr>
        <w:t>հիմնականում բնակչության տնօրինվող եկամուտների և վարկավորման ծավալների նվազման ազդեցությունը: 2015 թվականի ընթացքում մատուցված ծառա</w:t>
      </w:r>
      <w:r w:rsidRPr="00383D45">
        <w:rPr>
          <w:rFonts w:ascii="GHEA Grapalat" w:hAnsi="GHEA Grapalat"/>
          <w:sz w:val="22"/>
          <w:szCs w:val="22"/>
        </w:rPr>
        <w:softHyphen/>
        <w:t>յու</w:t>
      </w:r>
      <w:r w:rsidRPr="00383D45">
        <w:rPr>
          <w:rFonts w:ascii="GHEA Grapalat" w:hAnsi="GHEA Grapalat"/>
          <w:sz w:val="22"/>
          <w:szCs w:val="22"/>
        </w:rPr>
        <w:softHyphen/>
        <w:t>թյունների ծավալը նախորդ տարվա նկատմամբ աճել է 2.7%-ով, ինչին հիմնականում նպաստել է մշակույթ, զվարճու</w:t>
      </w:r>
      <w:r w:rsidRPr="00383D45">
        <w:rPr>
          <w:rFonts w:ascii="GHEA Grapalat" w:hAnsi="GHEA Grapalat"/>
          <w:sz w:val="22"/>
          <w:szCs w:val="22"/>
        </w:rPr>
        <w:softHyphen/>
        <w:t>թյուն</w:t>
      </w:r>
      <w:r w:rsidRPr="00383D45">
        <w:rPr>
          <w:rFonts w:ascii="GHEA Grapalat" w:hAnsi="GHEA Grapalat"/>
          <w:sz w:val="22"/>
          <w:szCs w:val="22"/>
        </w:rPr>
        <w:softHyphen/>
        <w:t>ներ և հանգիստ գործունեության հետ կապված մատուցված ծառայությունների 68.1% աճը: Տրանսպորտի ոլորտում մատուցված ծառայությունների ծավալների 19.9% նվազումը բացասական նպաստում է ունեցել ոլորտի աճին, ինչը պայմանավորված է ցամաքային տրանսպորտի ենթաոլորտում մատուցված ծառայությունների 14.9% նվազմամբ:</w:t>
      </w:r>
    </w:p>
    <w:p w:rsidR="00490F2F" w:rsidRPr="00383D45" w:rsidRDefault="00490F2F" w:rsidP="00490F2F">
      <w:pPr>
        <w:tabs>
          <w:tab w:val="right" w:pos="8640"/>
        </w:tabs>
        <w:spacing w:line="360" w:lineRule="auto"/>
        <w:ind w:firstLine="540"/>
        <w:jc w:val="both"/>
        <w:rPr>
          <w:rFonts w:ascii="GHEA Grapalat" w:hAnsi="GHEA Grapalat" w:cs="Sylfaen"/>
          <w:sz w:val="22"/>
          <w:szCs w:val="22"/>
        </w:rPr>
      </w:pPr>
      <w:r w:rsidRPr="00383D45">
        <w:rPr>
          <w:rFonts w:ascii="GHEA Grapalat" w:hAnsi="GHEA Grapalat"/>
          <w:sz w:val="22"/>
          <w:szCs w:val="22"/>
        </w:rPr>
        <w:t xml:space="preserve">2015 թվականին առևտրի շրջանառությունը նվազել է 8%-ով, ինչը պայմանավորված է եղել </w:t>
      </w:r>
      <w:r w:rsidRPr="00383D45">
        <w:rPr>
          <w:rFonts w:ascii="GHEA Grapalat" w:hAnsi="GHEA Grapalat" w:cs="Sylfaen"/>
          <w:sz w:val="22"/>
          <w:szCs w:val="22"/>
        </w:rPr>
        <w:t>մանրածախ</w:t>
      </w:r>
      <w:r w:rsidRPr="00383D45">
        <w:rPr>
          <w:rFonts w:ascii="GHEA Grapalat" w:hAnsi="GHEA Grapalat"/>
          <w:sz w:val="22"/>
          <w:szCs w:val="22"/>
        </w:rPr>
        <w:t xml:space="preserve">, </w:t>
      </w:r>
      <w:r w:rsidRPr="00383D45">
        <w:rPr>
          <w:rFonts w:ascii="GHEA Grapalat" w:hAnsi="GHEA Grapalat" w:cs="Sylfaen"/>
          <w:sz w:val="22"/>
          <w:szCs w:val="22"/>
        </w:rPr>
        <w:t>մեծածախ և ավտոմեքենաների առևտրի շրջանառության ծավալների համապատաս</w:t>
      </w:r>
      <w:r w:rsidRPr="00383D45">
        <w:rPr>
          <w:rFonts w:ascii="GHEA Grapalat" w:hAnsi="GHEA Grapalat" w:cs="Sylfaen"/>
          <w:sz w:val="22"/>
          <w:szCs w:val="22"/>
        </w:rPr>
        <w:softHyphen/>
        <w:t>խանաբար 10.1%, 4.2% և 9.8% նվազմամբ:</w:t>
      </w:r>
    </w:p>
    <w:p w:rsidR="00490F2F" w:rsidRPr="00383D45" w:rsidRDefault="00490F2F" w:rsidP="00490F2F">
      <w:pPr>
        <w:tabs>
          <w:tab w:val="right" w:pos="8640"/>
        </w:tabs>
        <w:spacing w:line="360" w:lineRule="auto"/>
        <w:ind w:firstLine="540"/>
        <w:jc w:val="both"/>
        <w:rPr>
          <w:rFonts w:ascii="GHEA Grapalat" w:hAnsi="GHEA Grapalat"/>
          <w:sz w:val="22"/>
          <w:szCs w:val="22"/>
        </w:rPr>
      </w:pPr>
      <w:r w:rsidRPr="00383D45">
        <w:rPr>
          <w:rFonts w:ascii="GHEA Grapalat" w:hAnsi="GHEA Grapalat" w:cs="Sylfaen"/>
          <w:sz w:val="22"/>
          <w:szCs w:val="22"/>
        </w:rPr>
        <w:t xml:space="preserve"> Առևտրի նվազումը և ծառայությունների</w:t>
      </w:r>
      <w:r w:rsidRPr="00383D45">
        <w:rPr>
          <w:rFonts w:ascii="GHEA Grapalat" w:hAnsi="GHEA Grapalat"/>
          <w:sz w:val="22"/>
          <w:szCs w:val="22"/>
        </w:rPr>
        <w:t xml:space="preserve"> դանդաղ աճը հիմնականում արտերկրից ստացված դրամական փոխանցումների զուտ ներհոսքի կտրուկ նվազման արդյունքում բնակչության իրական տնօրինվող եկամուտների կրճատման, ինչպես նաև վարկավորման իրական ծավալների նվազման հետևանք են</w:t>
      </w:r>
      <w:r w:rsidRPr="00383D45">
        <w:rPr>
          <w:rStyle w:val="a7"/>
          <w:rFonts w:ascii="GHEA Grapalat" w:hAnsi="GHEA Grapalat" w:cs="Sylfaen"/>
          <w:sz w:val="22"/>
          <w:szCs w:val="22"/>
        </w:rPr>
        <w:footnoteReference w:id="4"/>
      </w:r>
      <w:r w:rsidRPr="00383D45">
        <w:rPr>
          <w:rFonts w:ascii="GHEA Grapalat" w:hAnsi="GHEA Grapalat"/>
          <w:sz w:val="22"/>
          <w:szCs w:val="22"/>
        </w:rPr>
        <w:t>:</w:t>
      </w:r>
    </w:p>
    <w:p w:rsidR="00490F2F" w:rsidRPr="00383D45" w:rsidRDefault="00490F2F" w:rsidP="00490F2F">
      <w:pPr>
        <w:tabs>
          <w:tab w:val="right" w:pos="8640"/>
        </w:tabs>
        <w:spacing w:line="360" w:lineRule="auto"/>
        <w:ind w:firstLine="540"/>
        <w:contextualSpacing/>
        <w:jc w:val="both"/>
        <w:rPr>
          <w:rFonts w:ascii="GHEA Grapalat" w:hAnsi="GHEA Grapalat" w:cs="Sylfaen"/>
          <w:sz w:val="22"/>
          <w:szCs w:val="22"/>
        </w:rPr>
      </w:pPr>
      <w:r w:rsidRPr="00383D45">
        <w:rPr>
          <w:rFonts w:ascii="GHEA Grapalat" w:hAnsi="GHEA Grapalat"/>
          <w:b/>
          <w:i/>
          <w:sz w:val="22"/>
          <w:szCs w:val="22"/>
        </w:rPr>
        <w:t>Տրանսպորտ և կապ</w:t>
      </w:r>
      <w:r w:rsidRPr="00640A89">
        <w:rPr>
          <w:rFonts w:ascii="GHEA Grapalat" w:hAnsi="GHEA Grapalat"/>
          <w:b/>
          <w:i/>
          <w:sz w:val="22"/>
          <w:szCs w:val="22"/>
        </w:rPr>
        <w:t>:</w:t>
      </w:r>
      <w:r w:rsidRPr="00383D45">
        <w:rPr>
          <w:rFonts w:ascii="GHEA Grapalat" w:hAnsi="GHEA Grapalat"/>
          <w:b/>
          <w:i/>
          <w:sz w:val="22"/>
          <w:szCs w:val="22"/>
        </w:rPr>
        <w:t xml:space="preserve"> </w:t>
      </w:r>
      <w:r w:rsidRPr="00383D45">
        <w:rPr>
          <w:rFonts w:ascii="GHEA Grapalat" w:hAnsi="GHEA Grapalat" w:cs="Sylfaen"/>
          <w:sz w:val="22"/>
          <w:szCs w:val="22"/>
        </w:rPr>
        <w:t>2015 թվականին հանրապետությունում ընդհանուր օգտագործման տրանսպորտով բեռնափոխադրումների ծավալ</w:t>
      </w:r>
      <w:r w:rsidRPr="00640A89">
        <w:rPr>
          <w:rFonts w:ascii="GHEA Grapalat" w:hAnsi="GHEA Grapalat" w:cs="Sylfaen"/>
          <w:sz w:val="22"/>
          <w:szCs w:val="22"/>
        </w:rPr>
        <w:t>ն</w:t>
      </w:r>
      <w:r w:rsidRPr="00383D45">
        <w:rPr>
          <w:rFonts w:ascii="GHEA Grapalat" w:hAnsi="GHEA Grapalat" w:cs="Sylfaen"/>
          <w:sz w:val="22"/>
          <w:szCs w:val="22"/>
        </w:rPr>
        <w:t xml:space="preserve"> աճի, իսկ ուղևորափոխադրումների ծավալը</w:t>
      </w:r>
      <w:r w:rsidRPr="00640A89">
        <w:rPr>
          <w:rFonts w:ascii="GHEA Grapalat" w:hAnsi="GHEA Grapalat" w:cs="Sylfaen"/>
          <w:sz w:val="22"/>
          <w:szCs w:val="22"/>
        </w:rPr>
        <w:t>՝</w:t>
      </w:r>
      <w:r w:rsidRPr="00383D45">
        <w:rPr>
          <w:rFonts w:ascii="GHEA Grapalat" w:hAnsi="GHEA Grapalat" w:cs="Sylfaen"/>
          <w:sz w:val="22"/>
          <w:szCs w:val="22"/>
        </w:rPr>
        <w:t xml:space="preserve"> նվազման միտում է դրսևորել:</w:t>
      </w:r>
    </w:p>
    <w:p w:rsidR="00490F2F" w:rsidRPr="00383D45" w:rsidRDefault="00490F2F" w:rsidP="00490F2F">
      <w:pPr>
        <w:tabs>
          <w:tab w:val="right" w:pos="8640"/>
        </w:tabs>
        <w:spacing w:line="360" w:lineRule="auto"/>
        <w:ind w:firstLine="540"/>
        <w:contextualSpacing/>
        <w:jc w:val="both"/>
        <w:rPr>
          <w:rFonts w:ascii="GHEA Grapalat" w:hAnsi="GHEA Grapalat" w:cs="Sylfaen"/>
          <w:sz w:val="22"/>
          <w:szCs w:val="22"/>
        </w:rPr>
      </w:pPr>
      <w:r w:rsidRPr="00383D45">
        <w:rPr>
          <w:rFonts w:ascii="GHEA Grapalat" w:hAnsi="GHEA Grapalat" w:cs="Sylfaen"/>
          <w:sz w:val="22"/>
          <w:szCs w:val="22"/>
        </w:rPr>
        <w:lastRenderedPageBreak/>
        <w:t>Ընդհանուր օգտագործման տրանսպորտով բեռնափոխադրումների ծավալն աճել է հիմնականում ավտոմոբիլային տրանսպորտի միջոցներով իրականացված փոխադրումների հաշվին: Արձանագրվել է 2014 թվականի համեմատ բեռնափո</w:t>
      </w:r>
      <w:r w:rsidRPr="00383D45">
        <w:rPr>
          <w:rFonts w:ascii="GHEA Grapalat" w:hAnsi="GHEA Grapalat" w:cs="Sylfaen"/>
          <w:sz w:val="22"/>
          <w:szCs w:val="22"/>
        </w:rPr>
        <w:softHyphen/>
        <w:t>խադրումների ծավալի 8.8% աճ, ինչը պայմանավորված է եղել ավտոմոբիլային տրանսպորտով բեռնափոխադրումների 27.5% աճով` հիմնականում ներհան</w:t>
      </w:r>
      <w:r w:rsidRPr="00383D45">
        <w:rPr>
          <w:rFonts w:ascii="GHEA Grapalat" w:hAnsi="GHEA Grapalat" w:cs="Sylfaen"/>
          <w:sz w:val="22"/>
          <w:szCs w:val="22"/>
        </w:rPr>
        <w:softHyphen/>
        <w:t>րապետական բեռնափոխադրումների աճի հաշվին: Ընդհանուր օգտագործման տրանսպորտի մյուս տեսակներով բեռնափոխադրումների նվազում է արձանագրվել</w:t>
      </w:r>
      <w:r w:rsidRPr="00640A89">
        <w:rPr>
          <w:rFonts w:ascii="GHEA Grapalat" w:hAnsi="GHEA Grapalat" w:cs="Sylfaen"/>
          <w:sz w:val="22"/>
          <w:szCs w:val="22"/>
        </w:rPr>
        <w:t>.</w:t>
      </w:r>
      <w:r w:rsidRPr="00383D45">
        <w:rPr>
          <w:rFonts w:ascii="GHEA Grapalat" w:hAnsi="GHEA Grapalat" w:cs="Sylfaen"/>
          <w:sz w:val="22"/>
          <w:szCs w:val="22"/>
        </w:rPr>
        <w:t xml:space="preserve"> երկաթուղային տրանսպորտ</w:t>
      </w:r>
      <w:r w:rsidRPr="00640A89">
        <w:rPr>
          <w:rFonts w:ascii="GHEA Grapalat" w:hAnsi="GHEA Grapalat" w:cs="Sylfaen"/>
          <w:sz w:val="22"/>
          <w:szCs w:val="22"/>
        </w:rPr>
        <w:t>ով բեռնափոխադրումները</w:t>
      </w:r>
      <w:r w:rsidRPr="00383D45">
        <w:rPr>
          <w:rFonts w:ascii="GHEA Grapalat" w:hAnsi="GHEA Grapalat" w:cs="Sylfaen"/>
          <w:sz w:val="22"/>
          <w:szCs w:val="22"/>
        </w:rPr>
        <w:t xml:space="preserve"> նվազել </w:t>
      </w:r>
      <w:r w:rsidRPr="00640A89">
        <w:rPr>
          <w:rFonts w:ascii="GHEA Grapalat" w:hAnsi="GHEA Grapalat" w:cs="Sylfaen"/>
          <w:sz w:val="22"/>
          <w:szCs w:val="22"/>
        </w:rPr>
        <w:t>են</w:t>
      </w:r>
      <w:r w:rsidRPr="00383D45">
        <w:rPr>
          <w:rFonts w:ascii="GHEA Grapalat" w:hAnsi="GHEA Grapalat" w:cs="Sylfaen"/>
          <w:sz w:val="22"/>
          <w:szCs w:val="22"/>
        </w:rPr>
        <w:t xml:space="preserve"> 17.2%-ով, որը պայմանավորված է հիմնականում ներհանրապետական բեռնա</w:t>
      </w:r>
      <w:r w:rsidRPr="00383D45">
        <w:rPr>
          <w:rFonts w:ascii="GHEA Grapalat" w:hAnsi="GHEA Grapalat" w:cs="Sylfaen"/>
          <w:sz w:val="22"/>
          <w:szCs w:val="22"/>
        </w:rPr>
        <w:softHyphen/>
        <w:t>փո</w:t>
      </w:r>
      <w:r w:rsidRPr="00383D45">
        <w:rPr>
          <w:rFonts w:ascii="GHEA Grapalat" w:hAnsi="GHEA Grapalat" w:cs="Sylfaen"/>
          <w:sz w:val="22"/>
          <w:szCs w:val="22"/>
        </w:rPr>
        <w:softHyphen/>
        <w:t>խա</w:t>
      </w:r>
      <w:r w:rsidRPr="00383D45">
        <w:rPr>
          <w:rFonts w:ascii="GHEA Grapalat" w:hAnsi="GHEA Grapalat" w:cs="Sylfaen"/>
          <w:sz w:val="22"/>
          <w:szCs w:val="22"/>
        </w:rPr>
        <w:softHyphen/>
        <w:t>դրումների 17.4% նվազմամբ, օդային տրանսպորտով</w:t>
      </w:r>
      <w:r w:rsidRPr="00383D45">
        <w:rPr>
          <w:rStyle w:val="a7"/>
          <w:rFonts w:ascii="GHEA Grapalat" w:hAnsi="GHEA Grapalat" w:cs="Sylfaen"/>
          <w:i/>
          <w:sz w:val="22"/>
          <w:szCs w:val="22"/>
        </w:rPr>
        <w:footnoteReference w:id="5"/>
      </w:r>
      <w:r w:rsidRPr="00383D45">
        <w:rPr>
          <w:rFonts w:ascii="GHEA Grapalat" w:hAnsi="GHEA Grapalat" w:cs="Sylfaen"/>
          <w:sz w:val="22"/>
          <w:szCs w:val="22"/>
        </w:rPr>
        <w:t xml:space="preserve"> և մայրուղային խողովակաշարային տրանսպորտով բեռնափո</w:t>
      </w:r>
      <w:r w:rsidRPr="00383D45">
        <w:rPr>
          <w:rFonts w:ascii="GHEA Grapalat" w:hAnsi="GHEA Grapalat" w:cs="Sylfaen"/>
          <w:sz w:val="22"/>
          <w:szCs w:val="22"/>
        </w:rPr>
        <w:softHyphen/>
        <w:t>խա</w:t>
      </w:r>
      <w:r w:rsidRPr="00383D45">
        <w:rPr>
          <w:rFonts w:ascii="GHEA Grapalat" w:hAnsi="GHEA Grapalat" w:cs="Sylfaen"/>
          <w:sz w:val="22"/>
          <w:szCs w:val="22"/>
        </w:rPr>
        <w:softHyphen/>
        <w:t>դրումները նույնպես նվազել են</w:t>
      </w:r>
      <w:r w:rsidRPr="00640A89">
        <w:rPr>
          <w:rFonts w:ascii="GHEA Grapalat" w:hAnsi="GHEA Grapalat" w:cs="Sylfaen"/>
          <w:sz w:val="22"/>
          <w:szCs w:val="22"/>
        </w:rPr>
        <w:t>`</w:t>
      </w:r>
      <w:r w:rsidRPr="00383D45">
        <w:rPr>
          <w:rFonts w:ascii="GHEA Grapalat" w:hAnsi="GHEA Grapalat" w:cs="Sylfaen"/>
          <w:sz w:val="22"/>
          <w:szCs w:val="22"/>
        </w:rPr>
        <w:t xml:space="preserve"> համապատասխանաբար 1.9%</w:t>
      </w:r>
      <w:r w:rsidRPr="00640A89">
        <w:rPr>
          <w:rFonts w:ascii="GHEA Grapalat" w:hAnsi="GHEA Grapalat" w:cs="Sylfaen"/>
          <w:sz w:val="22"/>
          <w:szCs w:val="22"/>
        </w:rPr>
        <w:t>-ով</w:t>
      </w:r>
      <w:r w:rsidRPr="00383D45">
        <w:rPr>
          <w:rFonts w:ascii="GHEA Grapalat" w:hAnsi="GHEA Grapalat" w:cs="Sylfaen"/>
          <w:sz w:val="22"/>
          <w:szCs w:val="22"/>
        </w:rPr>
        <w:t xml:space="preserve"> և 3.9%-ով: </w:t>
      </w:r>
    </w:p>
    <w:p w:rsidR="00490F2F" w:rsidRPr="00383D45" w:rsidRDefault="00490F2F" w:rsidP="00490F2F">
      <w:pPr>
        <w:tabs>
          <w:tab w:val="right" w:pos="8640"/>
        </w:tabs>
        <w:spacing w:line="360" w:lineRule="auto"/>
        <w:ind w:firstLine="540"/>
        <w:contextualSpacing/>
        <w:jc w:val="both"/>
        <w:rPr>
          <w:rFonts w:ascii="GHEA Grapalat" w:hAnsi="GHEA Grapalat" w:cs="Sylfaen"/>
          <w:sz w:val="22"/>
          <w:szCs w:val="22"/>
        </w:rPr>
      </w:pPr>
      <w:r w:rsidRPr="00383D45">
        <w:rPr>
          <w:rFonts w:ascii="GHEA Grapalat" w:hAnsi="GHEA Grapalat" w:cs="Sylfaen"/>
          <w:sz w:val="22"/>
          <w:szCs w:val="22"/>
        </w:rPr>
        <w:t>Ընդհանուր օգտագործման տրանսպորտով ուղևորափոխադրումների ծավալը նվազել է հիմնականում ավտոմոբիլային տրանսպորտային միջոցներով իրականացված փոխադրումների կրճատման արդյունքում: 2015 թվականին ուղևորափոխադրումների ծավալը նվազել է 7.5%-ով: Ուղևորափոխադրումները նվազել են հիմնականում ավտոմոբիլային տրանսպորտով ուղևորափոխադրումների 8.2% նվազման հետևանքով: Երկաթուղային և օդային տրանսպորտով ուղևորափոխադրումները նույնպես նվազել են` համապատասխանաբար 7.7%</w:t>
      </w:r>
      <w:r w:rsidRPr="00640A89">
        <w:rPr>
          <w:rFonts w:ascii="GHEA Grapalat" w:hAnsi="GHEA Grapalat" w:cs="Sylfaen"/>
          <w:sz w:val="22"/>
          <w:szCs w:val="22"/>
        </w:rPr>
        <w:t>-ով</w:t>
      </w:r>
      <w:r w:rsidRPr="00383D45">
        <w:rPr>
          <w:rFonts w:ascii="GHEA Grapalat" w:hAnsi="GHEA Grapalat" w:cs="Sylfaen"/>
          <w:sz w:val="22"/>
          <w:szCs w:val="22"/>
        </w:rPr>
        <w:t xml:space="preserve"> և 7.9%-ով: </w:t>
      </w:r>
    </w:p>
    <w:p w:rsidR="00490F2F" w:rsidRPr="00383D45" w:rsidRDefault="00490F2F" w:rsidP="00490F2F">
      <w:pPr>
        <w:spacing w:line="360" w:lineRule="auto"/>
        <w:ind w:firstLine="540"/>
        <w:contextualSpacing/>
        <w:jc w:val="both"/>
        <w:rPr>
          <w:rFonts w:ascii="GHEA Grapalat" w:hAnsi="GHEA Grapalat" w:cs="Sylfaen"/>
          <w:sz w:val="22"/>
          <w:szCs w:val="22"/>
        </w:rPr>
      </w:pPr>
      <w:r w:rsidRPr="00383D45">
        <w:rPr>
          <w:rFonts w:ascii="GHEA Grapalat" w:hAnsi="GHEA Grapalat" w:cs="Sylfaen"/>
          <w:sz w:val="22"/>
          <w:szCs w:val="22"/>
        </w:rPr>
        <w:t>2015 թվականին կապի ծառայությունները նվազման միտում են դրսևորել: Հեռուստառադիո</w:t>
      </w:r>
      <w:r w:rsidRPr="00640A89">
        <w:rPr>
          <w:rFonts w:ascii="GHEA Grapalat" w:hAnsi="GHEA Grapalat" w:cs="Sylfaen"/>
          <w:sz w:val="22"/>
          <w:szCs w:val="22"/>
        </w:rPr>
        <w:t>-</w:t>
      </w:r>
      <w:r w:rsidRPr="00383D45">
        <w:rPr>
          <w:rFonts w:ascii="GHEA Grapalat" w:hAnsi="GHEA Grapalat" w:cs="Sylfaen"/>
          <w:sz w:val="22"/>
          <w:szCs w:val="22"/>
        </w:rPr>
        <w:t>ծրագրերի կազմման և հեռարձակման, հեռահաղորդակցության գործունեությունից ստացված հասույթը նախորդ տարվա նկատմամբ նվազել է 6.3%-ով, ինչը հիմնականում պայմանավորված է եղել հեռահաղորդակցման ծառայությունների 6.7%-ով կրճատմամբ</w:t>
      </w:r>
      <w:r w:rsidRPr="00640A89">
        <w:rPr>
          <w:rFonts w:ascii="GHEA Grapalat" w:hAnsi="GHEA Grapalat" w:cs="Sylfaen"/>
          <w:sz w:val="22"/>
          <w:szCs w:val="22"/>
        </w:rPr>
        <w:t>,</w:t>
      </w:r>
      <w:r w:rsidRPr="00383D45">
        <w:rPr>
          <w:rFonts w:ascii="GHEA Grapalat" w:hAnsi="GHEA Grapalat" w:cs="Sylfaen"/>
          <w:sz w:val="22"/>
          <w:szCs w:val="22"/>
        </w:rPr>
        <w:t xml:space="preserve"> ինչն էլ պատճառ է բջջային հեռահաղորդակցման ծառայությունների</w:t>
      </w:r>
      <w:r w:rsidRPr="00640A89">
        <w:rPr>
          <w:rFonts w:ascii="GHEA Grapalat" w:hAnsi="GHEA Grapalat" w:cs="Sylfaen"/>
          <w:sz w:val="22"/>
          <w:szCs w:val="22"/>
        </w:rPr>
        <w:t>՝</w:t>
      </w:r>
      <w:r w:rsidRPr="00383D45">
        <w:rPr>
          <w:rFonts w:ascii="GHEA Grapalat" w:hAnsi="GHEA Grapalat" w:cs="Sylfaen"/>
          <w:sz w:val="22"/>
          <w:szCs w:val="22"/>
        </w:rPr>
        <w:t xml:space="preserve"> և</w:t>
      </w:r>
      <w:r w:rsidRPr="00640A89">
        <w:rPr>
          <w:rFonts w:ascii="GHEA Grapalat" w:hAnsi="GHEA Grapalat" w:cs="Sylfaen"/>
          <w:sz w:val="22"/>
          <w:szCs w:val="22"/>
        </w:rPr>
        <w:t>´</w:t>
      </w:r>
      <w:r w:rsidRPr="00383D45">
        <w:rPr>
          <w:rFonts w:ascii="GHEA Grapalat" w:hAnsi="GHEA Grapalat" w:cs="Sylfaen"/>
          <w:sz w:val="22"/>
          <w:szCs w:val="22"/>
        </w:rPr>
        <w:t xml:space="preserve"> անվական, և</w:t>
      </w:r>
      <w:r w:rsidRPr="00640A89">
        <w:rPr>
          <w:rFonts w:ascii="GHEA Grapalat" w:hAnsi="GHEA Grapalat" w:cs="Sylfaen"/>
          <w:sz w:val="22"/>
          <w:szCs w:val="22"/>
        </w:rPr>
        <w:t>´</w:t>
      </w:r>
      <w:r w:rsidRPr="00383D45">
        <w:rPr>
          <w:rFonts w:ascii="GHEA Grapalat" w:hAnsi="GHEA Grapalat" w:cs="Sylfaen"/>
          <w:sz w:val="22"/>
          <w:szCs w:val="22"/>
        </w:rPr>
        <w:t xml:space="preserve"> իրական արտահայտությամբ 8.8% նվազման:</w:t>
      </w:r>
    </w:p>
    <w:p w:rsidR="00490F2F" w:rsidRPr="00640A89" w:rsidRDefault="00490F2F" w:rsidP="00490F2F">
      <w:pPr>
        <w:tabs>
          <w:tab w:val="right" w:pos="8640"/>
        </w:tabs>
        <w:spacing w:line="360" w:lineRule="auto"/>
        <w:ind w:firstLine="540"/>
        <w:jc w:val="both"/>
        <w:rPr>
          <w:rFonts w:ascii="GHEA Grapalat" w:hAnsi="GHEA Grapalat"/>
          <w:b/>
          <w:sz w:val="22"/>
          <w:szCs w:val="22"/>
        </w:rPr>
      </w:pPr>
    </w:p>
    <w:p w:rsidR="00490F2F" w:rsidRPr="00383D45" w:rsidRDefault="00490F2F" w:rsidP="00490F2F">
      <w:pPr>
        <w:autoSpaceDE w:val="0"/>
        <w:autoSpaceDN w:val="0"/>
        <w:adjustRightInd w:val="0"/>
        <w:spacing w:line="480" w:lineRule="auto"/>
        <w:ind w:firstLine="540"/>
        <w:jc w:val="both"/>
        <w:rPr>
          <w:rFonts w:ascii="GHEA Grapalat" w:hAnsi="GHEA Grapalat" w:cs="Sylfaen"/>
          <w:sz w:val="22"/>
          <w:szCs w:val="22"/>
        </w:rPr>
      </w:pPr>
      <w:r w:rsidRPr="00383D45">
        <w:rPr>
          <w:rFonts w:ascii="GHEA Grapalat" w:hAnsi="GHEA Grapalat" w:cs="Sylfaen"/>
          <w:b/>
          <w:i/>
          <w:sz w:val="22"/>
          <w:szCs w:val="22"/>
        </w:rPr>
        <w:t>Համախառն</w:t>
      </w:r>
      <w:r w:rsidRPr="00383D45">
        <w:rPr>
          <w:rFonts w:ascii="GHEA Grapalat" w:hAnsi="GHEA Grapalat"/>
          <w:b/>
          <w:i/>
          <w:sz w:val="22"/>
          <w:szCs w:val="22"/>
        </w:rPr>
        <w:t xml:space="preserve"> </w:t>
      </w:r>
      <w:r w:rsidRPr="00383D45">
        <w:rPr>
          <w:rFonts w:ascii="GHEA Grapalat" w:hAnsi="GHEA Grapalat" w:cs="Sylfaen"/>
          <w:b/>
          <w:i/>
          <w:sz w:val="22"/>
          <w:szCs w:val="22"/>
        </w:rPr>
        <w:t>պահանջարկ</w:t>
      </w:r>
      <w:r w:rsidRPr="00383D45">
        <w:rPr>
          <w:rFonts w:ascii="GHEA Grapalat" w:hAnsi="GHEA Grapalat"/>
          <w:b/>
          <w:i/>
          <w:sz w:val="22"/>
          <w:szCs w:val="22"/>
        </w:rPr>
        <w:t xml:space="preserve"> </w:t>
      </w:r>
    </w:p>
    <w:p w:rsidR="00490F2F" w:rsidRPr="00383D45" w:rsidRDefault="00490F2F" w:rsidP="00490F2F">
      <w:pPr>
        <w:autoSpaceDE w:val="0"/>
        <w:autoSpaceDN w:val="0"/>
        <w:adjustRightInd w:val="0"/>
        <w:spacing w:line="336" w:lineRule="auto"/>
        <w:ind w:firstLine="540"/>
        <w:jc w:val="both"/>
        <w:rPr>
          <w:rFonts w:ascii="GHEA Grapalat" w:hAnsi="GHEA Grapalat" w:cs="Arial LatArm"/>
          <w:sz w:val="22"/>
          <w:szCs w:val="22"/>
        </w:rPr>
      </w:pPr>
      <w:r w:rsidRPr="00383D45">
        <w:rPr>
          <w:rFonts w:ascii="GHEA Grapalat" w:hAnsi="GHEA Grapalat" w:cs="Arial LatArm"/>
          <w:sz w:val="22"/>
          <w:szCs w:val="22"/>
        </w:rPr>
        <w:t>2015 թվականի տնտեսական աճն ուղեկցվել է ներքին պահանջարկի նվազմամբ և զուտ արտահանման բարելավմամբ:</w:t>
      </w:r>
    </w:p>
    <w:p w:rsidR="00490F2F" w:rsidRPr="00383D45" w:rsidRDefault="00490F2F" w:rsidP="00490F2F">
      <w:pPr>
        <w:autoSpaceDE w:val="0"/>
        <w:autoSpaceDN w:val="0"/>
        <w:adjustRightInd w:val="0"/>
        <w:spacing w:line="336" w:lineRule="auto"/>
        <w:ind w:firstLine="540"/>
        <w:jc w:val="both"/>
        <w:rPr>
          <w:rFonts w:ascii="GHEA Grapalat" w:hAnsi="GHEA Grapalat"/>
          <w:b/>
          <w:sz w:val="22"/>
          <w:szCs w:val="22"/>
        </w:rPr>
      </w:pPr>
      <w:r w:rsidRPr="00383D45">
        <w:rPr>
          <w:rFonts w:ascii="GHEA Grapalat" w:hAnsi="GHEA Grapalat"/>
          <w:b/>
          <w:i/>
          <w:sz w:val="22"/>
          <w:szCs w:val="22"/>
        </w:rPr>
        <w:t>Սպառում</w:t>
      </w:r>
      <w:r w:rsidRPr="00640A89">
        <w:rPr>
          <w:rFonts w:ascii="GHEA Grapalat" w:hAnsi="GHEA Grapalat"/>
          <w:b/>
          <w:i/>
          <w:sz w:val="22"/>
          <w:szCs w:val="22"/>
        </w:rPr>
        <w:t>:</w:t>
      </w:r>
      <w:r w:rsidRPr="00383D45">
        <w:rPr>
          <w:rFonts w:ascii="GHEA Grapalat" w:hAnsi="GHEA Grapalat"/>
          <w:b/>
          <w:sz w:val="22"/>
          <w:szCs w:val="22"/>
        </w:rPr>
        <w:t xml:space="preserve"> </w:t>
      </w:r>
      <w:r w:rsidRPr="00383D45">
        <w:rPr>
          <w:rFonts w:ascii="GHEA Grapalat" w:hAnsi="GHEA Grapalat"/>
          <w:sz w:val="22"/>
          <w:szCs w:val="22"/>
        </w:rPr>
        <w:t xml:space="preserve">Վերջնական սպառումը նվազել է՝ պայմանավորված մասնավոր հատվածի սպառման ծախսերի նվազմամբ, որի ազդեցությունը տնտեսության վրա մեղմվել է խթանող հարկաբյուջետային քաղաքականության միջոցով: 2015 թվականին վերջնական սպառումը նախորդ տարվա նկատմամբ իրական արտահայտությամբ նվազել է 6.5%-ով: Վերջնական </w:t>
      </w:r>
      <w:r w:rsidRPr="00383D45">
        <w:rPr>
          <w:rFonts w:ascii="GHEA Grapalat" w:hAnsi="GHEA Grapalat"/>
          <w:sz w:val="22"/>
          <w:szCs w:val="22"/>
        </w:rPr>
        <w:lastRenderedPageBreak/>
        <w:t>սպառման կառուցվածքում պետական և մասնավոր սպառման տեսակարար կշիռները 2015 թվականին կազմել են համապատասխանաբար 15.1% և 84.9%, ընդ որում</w:t>
      </w:r>
      <w:r w:rsidRPr="00640A89">
        <w:rPr>
          <w:rFonts w:ascii="GHEA Grapalat" w:hAnsi="GHEA Grapalat"/>
          <w:sz w:val="22"/>
          <w:szCs w:val="22"/>
        </w:rPr>
        <w:t>՝</w:t>
      </w:r>
      <w:r w:rsidRPr="00383D45">
        <w:rPr>
          <w:rFonts w:ascii="GHEA Grapalat" w:hAnsi="GHEA Grapalat"/>
          <w:sz w:val="22"/>
          <w:szCs w:val="22"/>
        </w:rPr>
        <w:t xml:space="preserve"> խթանող հարկաբյուջետային քաղաքականության արդյունքում պետական սպառումը նախորդ տարվա համեմատ իրական արտահայտությամբ աճել է շուրջ 3.1%-ով, իսկ ներհոսող դրամական փոխանցումների նվազմամբ պայմանավորված մասնավոր հատվածի տնօրինվող եկամտի նվազման և վարկավորման ծավալների իրական նվազման հետևանքով մասնավոր սպառում</w:t>
      </w:r>
      <w:r w:rsidRPr="00640A89">
        <w:rPr>
          <w:rFonts w:ascii="GHEA Grapalat" w:hAnsi="GHEA Grapalat"/>
          <w:sz w:val="22"/>
          <w:szCs w:val="22"/>
        </w:rPr>
        <w:t>ն</w:t>
      </w:r>
      <w:r w:rsidRPr="00383D45">
        <w:rPr>
          <w:rFonts w:ascii="GHEA Grapalat" w:hAnsi="GHEA Grapalat"/>
          <w:sz w:val="22"/>
          <w:szCs w:val="22"/>
        </w:rPr>
        <w:t xml:space="preserve"> իրական արտահայտությամբ նվազել է 7.9%-ով: </w:t>
      </w:r>
    </w:p>
    <w:p w:rsidR="00490F2F" w:rsidRPr="00640A89" w:rsidRDefault="00490F2F" w:rsidP="00490F2F">
      <w:pPr>
        <w:tabs>
          <w:tab w:val="num" w:pos="0"/>
        </w:tabs>
        <w:spacing w:line="360" w:lineRule="auto"/>
        <w:ind w:firstLine="540"/>
        <w:jc w:val="both"/>
        <w:rPr>
          <w:rFonts w:ascii="GHEA Grapalat" w:hAnsi="GHEA Grapalat"/>
          <w:sz w:val="22"/>
          <w:szCs w:val="22"/>
        </w:rPr>
      </w:pPr>
      <w:r w:rsidRPr="00383D45">
        <w:rPr>
          <w:rFonts w:ascii="GHEA Grapalat" w:hAnsi="GHEA Grapalat"/>
          <w:b/>
          <w:i/>
          <w:sz w:val="22"/>
          <w:szCs w:val="22"/>
        </w:rPr>
        <w:t>Ներդրումներ</w:t>
      </w:r>
      <w:r w:rsidRPr="00640A89">
        <w:rPr>
          <w:rFonts w:ascii="GHEA Grapalat" w:hAnsi="GHEA Grapalat"/>
          <w:b/>
          <w:i/>
          <w:sz w:val="22"/>
          <w:szCs w:val="22"/>
        </w:rPr>
        <w:t>:</w:t>
      </w:r>
      <w:r w:rsidRPr="00383D45">
        <w:rPr>
          <w:rFonts w:ascii="GHEA Grapalat" w:hAnsi="GHEA Grapalat"/>
          <w:b/>
          <w:i/>
          <w:sz w:val="22"/>
          <w:szCs w:val="22"/>
        </w:rPr>
        <w:t xml:space="preserve"> </w:t>
      </w:r>
      <w:r w:rsidRPr="00383D45">
        <w:rPr>
          <w:rFonts w:ascii="GHEA Grapalat" w:hAnsi="GHEA Grapalat"/>
          <w:sz w:val="22"/>
          <w:szCs w:val="22"/>
        </w:rPr>
        <w:t>Կապիտալ ներդրումները նվազել են՝ պայմանավորված մասնավոր ներդրումների նվազմամբ: 2015 թվականին կապիտալ ներդրումները նախորդ տարվա նկատմամբ իրական արտահայտությամբ նվազել են 5.1%-ով` պայմանավորված մասնավոր ներդրումների շուրջ 8.9% իրական նվազմամբ: Մասնավոր ներդրումների նվազմանը նպաստել են շինարարության նվազումը, տնտեսության իրական հատվածի վարկավորման ծավալների իրական նվազումը և օտարերկրյա ուղղակի ներդրումների նվազումը: Մասնավոր ներդրումների թույլ ակտիվության բացասական հետևանքները մեղմելու նպատակով իրականացվել է խթանող հարկաբյուջետային քաղաքականություն, որի արդյունքում 2015 թվականին պետական ներդրումներն իրական արտահայտությամբ աճել են 15.7%-ով:</w:t>
      </w:r>
    </w:p>
    <w:p w:rsidR="00490F2F" w:rsidRPr="00383D45" w:rsidRDefault="00490F2F" w:rsidP="00490F2F">
      <w:pPr>
        <w:tabs>
          <w:tab w:val="num" w:pos="0"/>
        </w:tabs>
        <w:spacing w:line="360" w:lineRule="auto"/>
        <w:ind w:firstLine="540"/>
        <w:jc w:val="both"/>
        <w:rPr>
          <w:rFonts w:ascii="GHEA Grapalat" w:hAnsi="GHEA Grapalat"/>
          <w:sz w:val="22"/>
          <w:szCs w:val="22"/>
        </w:rPr>
      </w:pPr>
      <w:r w:rsidRPr="00383D45">
        <w:rPr>
          <w:rFonts w:ascii="GHEA Grapalat" w:hAnsi="GHEA Grapalat"/>
          <w:sz w:val="22"/>
          <w:szCs w:val="22"/>
        </w:rPr>
        <w:t>Ներդրումների փոփոխությանը դրական</w:t>
      </w:r>
      <w:r w:rsidRPr="00640A89">
        <w:rPr>
          <w:rFonts w:ascii="GHEA Grapalat" w:hAnsi="GHEA Grapalat"/>
          <w:sz w:val="22"/>
          <w:szCs w:val="22"/>
        </w:rPr>
        <w:t>որեն</w:t>
      </w:r>
      <w:r w:rsidRPr="00383D45">
        <w:rPr>
          <w:rFonts w:ascii="GHEA Grapalat" w:hAnsi="GHEA Grapalat"/>
          <w:sz w:val="22"/>
          <w:szCs w:val="22"/>
        </w:rPr>
        <w:t xml:space="preserve"> </w:t>
      </w:r>
      <w:r w:rsidRPr="00640A89">
        <w:rPr>
          <w:rFonts w:ascii="GHEA Grapalat" w:hAnsi="GHEA Grapalat"/>
          <w:sz w:val="22"/>
          <w:szCs w:val="22"/>
        </w:rPr>
        <w:t>է</w:t>
      </w:r>
      <w:r w:rsidRPr="00383D45">
        <w:rPr>
          <w:rFonts w:ascii="GHEA Grapalat" w:hAnsi="GHEA Grapalat"/>
          <w:sz w:val="22"/>
          <w:szCs w:val="22"/>
        </w:rPr>
        <w:t xml:space="preserve"> նպաստել ծառայությունների և գյուղատնտեսության ճյուղում կատարված ներդրումների աճը, բացասական նպաստում </w:t>
      </w:r>
      <w:r w:rsidRPr="00640A89">
        <w:rPr>
          <w:rFonts w:ascii="GHEA Grapalat" w:hAnsi="GHEA Grapalat"/>
          <w:sz w:val="22"/>
          <w:szCs w:val="22"/>
        </w:rPr>
        <w:t>է</w:t>
      </w:r>
      <w:r w:rsidRPr="00383D45">
        <w:rPr>
          <w:rFonts w:ascii="GHEA Grapalat" w:hAnsi="GHEA Grapalat"/>
          <w:sz w:val="22"/>
          <w:szCs w:val="22"/>
        </w:rPr>
        <w:t xml:space="preserve"> ունեցել արդյունաբերության ճյուղում կատարված ներդրումների նվազումը</w:t>
      </w:r>
      <w:r w:rsidRPr="00383D45">
        <w:rPr>
          <w:rStyle w:val="a7"/>
          <w:rFonts w:ascii="GHEA Grapalat" w:hAnsi="GHEA Grapalat"/>
          <w:sz w:val="22"/>
          <w:szCs w:val="22"/>
        </w:rPr>
        <w:footnoteReference w:id="6"/>
      </w:r>
      <w:r w:rsidRPr="00383D45">
        <w:rPr>
          <w:rFonts w:ascii="GHEA Grapalat" w:hAnsi="GHEA Grapalat"/>
          <w:sz w:val="22"/>
          <w:szCs w:val="22"/>
        </w:rPr>
        <w:t xml:space="preserve">: </w:t>
      </w:r>
    </w:p>
    <w:p w:rsidR="00490F2F" w:rsidRPr="00640A89" w:rsidRDefault="00490F2F" w:rsidP="00490F2F">
      <w:pPr>
        <w:tabs>
          <w:tab w:val="num" w:pos="0"/>
        </w:tabs>
        <w:spacing w:line="360" w:lineRule="auto"/>
        <w:ind w:firstLine="540"/>
        <w:jc w:val="both"/>
        <w:rPr>
          <w:rFonts w:ascii="GHEA Grapalat" w:hAnsi="GHEA Grapalat"/>
          <w:sz w:val="22"/>
          <w:szCs w:val="22"/>
        </w:rPr>
      </w:pPr>
      <w:r>
        <w:rPr>
          <w:rFonts w:ascii="GHEA Grapalat" w:hAnsi="GHEA Grapalat"/>
          <w:b/>
          <w:i/>
          <w:sz w:val="22"/>
          <w:szCs w:val="22"/>
        </w:rPr>
        <w:t>Զուտ արտահանում</w:t>
      </w:r>
      <w:r w:rsidRPr="00640A89">
        <w:rPr>
          <w:rFonts w:ascii="GHEA Grapalat" w:hAnsi="GHEA Grapalat"/>
          <w:b/>
          <w:i/>
          <w:sz w:val="22"/>
          <w:szCs w:val="22"/>
        </w:rPr>
        <w:t>:</w:t>
      </w:r>
      <w:r w:rsidRPr="00383D45">
        <w:rPr>
          <w:rFonts w:ascii="GHEA Grapalat" w:hAnsi="GHEA Grapalat"/>
          <w:b/>
          <w:i/>
          <w:sz w:val="22"/>
          <w:szCs w:val="22"/>
        </w:rPr>
        <w:t xml:space="preserve"> </w:t>
      </w:r>
      <w:r w:rsidRPr="00383D45">
        <w:rPr>
          <w:rFonts w:ascii="GHEA Grapalat" w:hAnsi="GHEA Grapalat"/>
          <w:sz w:val="22"/>
          <w:szCs w:val="22"/>
        </w:rPr>
        <w:t>Զուտ արտահանումը բարելավվել է՝ հիմնականում պայմանավորված ներմուծման նվազմամբ:</w:t>
      </w:r>
      <w:r w:rsidRPr="00383D45">
        <w:rPr>
          <w:rFonts w:ascii="GHEA Grapalat" w:hAnsi="GHEA Grapalat"/>
          <w:b/>
          <w:i/>
          <w:sz w:val="22"/>
          <w:szCs w:val="22"/>
        </w:rPr>
        <w:t xml:space="preserve"> </w:t>
      </w:r>
      <w:r w:rsidRPr="00383D45">
        <w:rPr>
          <w:rFonts w:ascii="GHEA Grapalat" w:hAnsi="GHEA Grapalat"/>
          <w:sz w:val="22"/>
          <w:szCs w:val="22"/>
        </w:rPr>
        <w:t>2015 թվականին ապրանքների և ծառայությունների արտահանման իրական դրամային ծավալները նախորդ տարվա համեմատ աճել են 4.9%-ով` հիմնականում արտահանվող որոշ ապրանքատեսակների</w:t>
      </w:r>
      <w:r w:rsidRPr="00640A89">
        <w:rPr>
          <w:rFonts w:ascii="GHEA Grapalat" w:hAnsi="GHEA Grapalat"/>
          <w:sz w:val="22"/>
          <w:szCs w:val="22"/>
        </w:rPr>
        <w:t>,</w:t>
      </w:r>
      <w:r w:rsidRPr="00383D45">
        <w:rPr>
          <w:rFonts w:ascii="GHEA Grapalat" w:hAnsi="GHEA Grapalat"/>
          <w:sz w:val="22"/>
          <w:szCs w:val="22"/>
        </w:rPr>
        <w:t xml:space="preserve"> որոշ երկրների նկատմամբ գնային մրցունակության բարելավման և հանքարդյունահանման ոլորտում նախկինում կատարված ներդ</w:t>
      </w:r>
      <w:r w:rsidRPr="00796991">
        <w:rPr>
          <w:rFonts w:ascii="GHEA Grapalat" w:hAnsi="GHEA Grapalat"/>
          <w:sz w:val="22"/>
          <w:szCs w:val="22"/>
        </w:rPr>
        <w:t>ր</w:t>
      </w:r>
      <w:r w:rsidRPr="00383D45">
        <w:rPr>
          <w:rFonts w:ascii="GHEA Grapalat" w:hAnsi="GHEA Grapalat"/>
          <w:sz w:val="22"/>
          <w:szCs w:val="22"/>
        </w:rPr>
        <w:t>ումներով պայմանավորված նոր հանքավայրերի շահագործման շնորհիվ: Մյուս կողմից, ապրանքների և ծառայությունների ներմուծում</w:t>
      </w:r>
      <w:r w:rsidRPr="00640A89">
        <w:rPr>
          <w:rFonts w:ascii="GHEA Grapalat" w:hAnsi="GHEA Grapalat"/>
          <w:sz w:val="22"/>
          <w:szCs w:val="22"/>
        </w:rPr>
        <w:t>ն</w:t>
      </w:r>
      <w:r w:rsidRPr="00383D45">
        <w:rPr>
          <w:rFonts w:ascii="GHEA Grapalat" w:hAnsi="GHEA Grapalat"/>
          <w:sz w:val="22"/>
          <w:szCs w:val="22"/>
        </w:rPr>
        <w:t xml:space="preserve"> իրական արտահայտությամբ նվազել է 16.3%-ով, ինչը հիմնականում պայմանավորված է եղել բնակչության տնօրինվող եկամտի իրական նվազմամբ և տնտեսական ակտիվության ցածր մակարդակով:</w:t>
      </w:r>
    </w:p>
    <w:p w:rsidR="00490F2F" w:rsidRPr="00383D45" w:rsidRDefault="00490F2F" w:rsidP="00490F2F">
      <w:pPr>
        <w:tabs>
          <w:tab w:val="right" w:pos="8640"/>
        </w:tabs>
        <w:spacing w:line="360" w:lineRule="auto"/>
        <w:ind w:firstLine="540"/>
        <w:jc w:val="both"/>
        <w:rPr>
          <w:rFonts w:ascii="GHEA Grapalat" w:hAnsi="GHEA Grapalat" w:cs="Sylfaen"/>
          <w:bCs/>
          <w:sz w:val="22"/>
          <w:szCs w:val="22"/>
          <w:lang w:eastAsia="ru-RU" w:bidi="he-IL"/>
        </w:rPr>
      </w:pPr>
      <w:r w:rsidRPr="00383D45">
        <w:rPr>
          <w:rFonts w:ascii="GHEA Grapalat" w:hAnsi="GHEA Grapalat"/>
          <w:b/>
          <w:i/>
          <w:sz w:val="22"/>
          <w:szCs w:val="22"/>
        </w:rPr>
        <w:t>Գներ և սակագներ</w:t>
      </w:r>
      <w:r w:rsidRPr="00640A89">
        <w:rPr>
          <w:rFonts w:ascii="GHEA Grapalat" w:hAnsi="GHEA Grapalat"/>
          <w:b/>
          <w:i/>
          <w:sz w:val="22"/>
          <w:szCs w:val="22"/>
        </w:rPr>
        <w:t>:</w:t>
      </w:r>
      <w:r w:rsidRPr="00383D45">
        <w:rPr>
          <w:rFonts w:ascii="GHEA Grapalat" w:hAnsi="GHEA Grapalat"/>
          <w:b/>
          <w:sz w:val="22"/>
          <w:szCs w:val="22"/>
        </w:rPr>
        <w:t xml:space="preserve"> </w:t>
      </w:r>
      <w:r w:rsidRPr="00383D45">
        <w:rPr>
          <w:rFonts w:ascii="GHEA Grapalat" w:hAnsi="GHEA Grapalat"/>
          <w:sz w:val="22"/>
          <w:szCs w:val="22"/>
        </w:rPr>
        <w:t>2015 թվականի առաջին կիսամյակի ընթացքում 12-ամսյա գնաճն աստիճանաբար աճել է</w:t>
      </w:r>
      <w:r w:rsidRPr="00640A89">
        <w:rPr>
          <w:rFonts w:ascii="GHEA Grapalat" w:hAnsi="GHEA Grapalat"/>
          <w:sz w:val="22"/>
          <w:szCs w:val="22"/>
        </w:rPr>
        <w:t>՝</w:t>
      </w:r>
      <w:r w:rsidRPr="00383D45">
        <w:rPr>
          <w:rFonts w:ascii="GHEA Grapalat" w:hAnsi="GHEA Grapalat"/>
          <w:sz w:val="22"/>
          <w:szCs w:val="22"/>
        </w:rPr>
        <w:t xml:space="preserve"> մոտենալով նպատակային ցուցանիշի տատանումների թույլատրելի </w:t>
      </w:r>
      <w:r w:rsidRPr="00383D45">
        <w:rPr>
          <w:rFonts w:ascii="GHEA Grapalat" w:hAnsi="GHEA Grapalat"/>
          <w:sz w:val="22"/>
          <w:szCs w:val="22"/>
        </w:rPr>
        <w:lastRenderedPageBreak/>
        <w:t>միջակայքի վերին սահմանին` կազմելով 5.5%:</w:t>
      </w:r>
      <w:r w:rsidRPr="00640A89">
        <w:rPr>
          <w:rFonts w:ascii="GHEA Grapalat" w:hAnsi="GHEA Grapalat"/>
          <w:sz w:val="22"/>
          <w:szCs w:val="22"/>
        </w:rPr>
        <w:t xml:space="preserve"> </w:t>
      </w:r>
      <w:r w:rsidRPr="00383D45">
        <w:rPr>
          <w:rFonts w:ascii="GHEA Grapalat" w:hAnsi="GHEA Grapalat"/>
          <w:sz w:val="22"/>
          <w:szCs w:val="22"/>
        </w:rPr>
        <w:t>Տարվա երկրորդ կեսից 12-ամսյա գնաճը սկսել է նվազել` ձևավորելով ցածր գնաճային միջավայր</w:t>
      </w:r>
      <w:r w:rsidRPr="00640A89">
        <w:rPr>
          <w:rFonts w:ascii="GHEA Grapalat" w:hAnsi="GHEA Grapalat"/>
          <w:sz w:val="22"/>
          <w:szCs w:val="22"/>
        </w:rPr>
        <w:t>՝</w:t>
      </w:r>
      <w:r w:rsidRPr="00383D45">
        <w:rPr>
          <w:rFonts w:ascii="GHEA Grapalat" w:hAnsi="GHEA Grapalat"/>
          <w:sz w:val="22"/>
          <w:szCs w:val="22"/>
        </w:rPr>
        <w:t xml:space="preserve"> դեկտեմբերին արձանագրելով 0.1% գնանկում: Առաջին կիսամյակի ընթացքում ՀՀ ԿԲ-ն անփոփոխ է թողել վերաֆինանսավորման տոկոսադրույքը` 10.5%</w:t>
      </w:r>
      <w:r w:rsidRPr="00640A89">
        <w:rPr>
          <w:rFonts w:ascii="GHEA Grapalat" w:hAnsi="GHEA Grapalat"/>
          <w:sz w:val="22"/>
          <w:szCs w:val="22"/>
        </w:rPr>
        <w:t>-ի</w:t>
      </w:r>
      <w:r w:rsidRPr="00383D45">
        <w:rPr>
          <w:rFonts w:ascii="GHEA Grapalat" w:hAnsi="GHEA Grapalat"/>
          <w:sz w:val="22"/>
          <w:szCs w:val="22"/>
        </w:rPr>
        <w:t xml:space="preserve"> մակարդակում, սակայն իրականացրել է մակրոպրուդենցիալ մի շարք միջոցառումներ</w:t>
      </w:r>
      <w:r w:rsidRPr="00383D45">
        <w:rPr>
          <w:rStyle w:val="a7"/>
          <w:rFonts w:ascii="GHEA Grapalat" w:hAnsi="GHEA Grapalat"/>
          <w:sz w:val="22"/>
          <w:szCs w:val="22"/>
        </w:rPr>
        <w:footnoteReference w:id="7"/>
      </w:r>
      <w:r w:rsidRPr="00383D45">
        <w:rPr>
          <w:rFonts w:ascii="GHEA Grapalat" w:hAnsi="GHEA Grapalat"/>
          <w:sz w:val="22"/>
          <w:szCs w:val="22"/>
        </w:rPr>
        <w:t>: Հաշվի առնելով տարվա երկրորդ կեսից առկա ցածր գնաճային միջավայրը և արտաքին ու ներքին հատվածից ոչ գնաճային ազդեցությունները` ՀՀ ԿԲ-ն աստիճանաբար իջեցրել է վերաֆինանսավորման տոկոսադրույքը</w:t>
      </w:r>
      <w:r w:rsidRPr="00640A89">
        <w:rPr>
          <w:rFonts w:ascii="GHEA Grapalat" w:hAnsi="GHEA Grapalat"/>
          <w:sz w:val="22"/>
          <w:szCs w:val="22"/>
        </w:rPr>
        <w:t>՝</w:t>
      </w:r>
      <w:r w:rsidRPr="00383D45">
        <w:rPr>
          <w:rFonts w:ascii="GHEA Grapalat" w:hAnsi="GHEA Grapalat"/>
          <w:sz w:val="22"/>
          <w:szCs w:val="22"/>
        </w:rPr>
        <w:t xml:space="preserve"> տարեվերջում սահմանելով 8.75%:</w:t>
      </w:r>
    </w:p>
    <w:p w:rsidR="00490F2F" w:rsidRPr="00383D45" w:rsidRDefault="00490F2F" w:rsidP="00490F2F">
      <w:pPr>
        <w:tabs>
          <w:tab w:val="right" w:pos="8640"/>
        </w:tabs>
        <w:spacing w:line="360" w:lineRule="auto"/>
        <w:ind w:firstLine="540"/>
        <w:jc w:val="both"/>
        <w:rPr>
          <w:rFonts w:ascii="GHEA Grapalat" w:hAnsi="GHEA Grapalat" w:cs="Sylfaen"/>
          <w:color w:val="000000"/>
          <w:sz w:val="22"/>
          <w:szCs w:val="22"/>
          <w:lang w:val="it-IT"/>
        </w:rPr>
      </w:pPr>
      <w:r w:rsidRPr="00383D45">
        <w:rPr>
          <w:rFonts w:ascii="GHEA Grapalat" w:hAnsi="GHEA Grapalat" w:cs="Sylfaen"/>
          <w:color w:val="000000"/>
          <w:sz w:val="22"/>
          <w:szCs w:val="22"/>
          <w:lang w:val="it-IT"/>
        </w:rPr>
        <w:t xml:space="preserve">ՀՀ սպառողական շուկայում արձանագրված </w:t>
      </w:r>
      <w:r w:rsidRPr="00383D45">
        <w:rPr>
          <w:rFonts w:ascii="GHEA Grapalat" w:hAnsi="GHEA Grapalat"/>
          <w:color w:val="000000"/>
          <w:sz w:val="22"/>
          <w:szCs w:val="22"/>
        </w:rPr>
        <w:t xml:space="preserve">0.1% </w:t>
      </w:r>
      <w:r w:rsidRPr="00383D45">
        <w:rPr>
          <w:rFonts w:ascii="GHEA Grapalat" w:hAnsi="GHEA Grapalat" w:cs="Sylfaen"/>
          <w:color w:val="000000"/>
          <w:sz w:val="22"/>
          <w:szCs w:val="22"/>
          <w:lang w:val="it-IT"/>
        </w:rPr>
        <w:t>12-ամսյա գնանկումը առավելապես պայմանավորվել է պարենային ապրանքների (ներառյալ</w:t>
      </w:r>
      <w:r>
        <w:rPr>
          <w:rFonts w:ascii="GHEA Grapalat" w:hAnsi="GHEA Grapalat" w:cs="Sylfaen"/>
          <w:color w:val="000000"/>
          <w:sz w:val="22"/>
          <w:szCs w:val="22"/>
          <w:lang w:val="it-IT"/>
        </w:rPr>
        <w:t>՝</w:t>
      </w:r>
      <w:r w:rsidRPr="00383D45">
        <w:rPr>
          <w:rFonts w:ascii="GHEA Grapalat" w:hAnsi="GHEA Grapalat" w:cs="Sylfaen"/>
          <w:color w:val="000000"/>
          <w:sz w:val="22"/>
          <w:szCs w:val="22"/>
          <w:lang w:val="it-IT"/>
        </w:rPr>
        <w:t xml:space="preserve"> ոգելից խմիչքը և ծխախոտ) ապրանքախմբում արձանագրված 3.7% գնանկումով </w:t>
      </w:r>
      <w:r w:rsidRPr="00383D45">
        <w:rPr>
          <w:rFonts w:ascii="GHEA Grapalat" w:hAnsi="GHEA Grapalat" w:cs="Sylfaen"/>
          <w:color w:val="000000"/>
          <w:sz w:val="22"/>
          <w:szCs w:val="22"/>
        </w:rPr>
        <w:t>(բացասական նպաստումը գնաճին` 1.8 տոկոսային կետ)</w:t>
      </w:r>
      <w:r w:rsidRPr="00383D45">
        <w:rPr>
          <w:rFonts w:ascii="GHEA Grapalat" w:hAnsi="GHEA Grapalat" w:cs="Sylfaen"/>
          <w:color w:val="000000"/>
          <w:sz w:val="22"/>
          <w:szCs w:val="22"/>
          <w:lang w:val="it-IT"/>
        </w:rPr>
        <w:t xml:space="preserve">, ոչ պարենային ապրանքների խմբում արձանագրված 3.4% գնաճով </w:t>
      </w:r>
      <w:r w:rsidRPr="00383D45">
        <w:rPr>
          <w:rFonts w:ascii="GHEA Grapalat" w:hAnsi="GHEA Grapalat" w:cs="Sylfaen"/>
          <w:color w:val="000000"/>
          <w:sz w:val="22"/>
          <w:szCs w:val="22"/>
        </w:rPr>
        <w:t xml:space="preserve">(դրական նպաստումը գնաճին` 0.7 տոկոսային կետ) </w:t>
      </w:r>
      <w:r w:rsidRPr="00383D45">
        <w:rPr>
          <w:rFonts w:ascii="GHEA Grapalat" w:hAnsi="GHEA Grapalat" w:cs="Sylfaen"/>
          <w:color w:val="000000"/>
          <w:sz w:val="22"/>
          <w:szCs w:val="22"/>
          <w:lang w:val="it-IT"/>
        </w:rPr>
        <w:t xml:space="preserve">և բնակչությանը մատուցված ծառայությունների ոլորտում արձանագրված 3.2% սակագների հավելաճով </w:t>
      </w:r>
      <w:r w:rsidRPr="00383D45">
        <w:rPr>
          <w:rFonts w:ascii="GHEA Grapalat" w:hAnsi="GHEA Grapalat" w:cs="Sylfaen"/>
          <w:color w:val="000000"/>
          <w:sz w:val="22"/>
          <w:szCs w:val="22"/>
        </w:rPr>
        <w:t>(դրական նպաստումը գնաճին` 0.98 տոկոսային կետ)</w:t>
      </w:r>
      <w:r w:rsidRPr="00383D45">
        <w:rPr>
          <w:rFonts w:ascii="GHEA Grapalat" w:hAnsi="GHEA Grapalat" w:cs="Sylfaen"/>
          <w:color w:val="000000"/>
          <w:sz w:val="22"/>
          <w:szCs w:val="22"/>
          <w:lang w:val="it-IT"/>
        </w:rPr>
        <w:t xml:space="preserve">: 2015 թվականի դեկտեմբերին էլեկտրաէներգիայի վաճառքի ծառայությունների սակագնի հավելաճի ազդեցությունը ՍԳԻ վրա կազմել է 0.7 տոկոսային կետ: </w:t>
      </w:r>
    </w:p>
    <w:p w:rsidR="00490F2F" w:rsidRPr="00383D45" w:rsidRDefault="00490F2F" w:rsidP="00490F2F">
      <w:pPr>
        <w:tabs>
          <w:tab w:val="right" w:pos="8640"/>
        </w:tabs>
        <w:spacing w:line="360" w:lineRule="auto"/>
        <w:ind w:firstLine="540"/>
        <w:jc w:val="both"/>
        <w:rPr>
          <w:rFonts w:ascii="GHEA Grapalat" w:hAnsi="GHEA Grapalat" w:cs="Sylfaen"/>
          <w:bCs/>
          <w:sz w:val="22"/>
          <w:szCs w:val="22"/>
          <w:lang w:eastAsia="ru-RU" w:bidi="he-IL"/>
        </w:rPr>
      </w:pPr>
      <w:r w:rsidRPr="00383D45">
        <w:rPr>
          <w:rFonts w:ascii="GHEA Grapalat" w:hAnsi="GHEA Grapalat" w:cs="Sylfaen"/>
          <w:color w:val="000000"/>
          <w:sz w:val="22"/>
          <w:szCs w:val="22"/>
          <w:lang w:val="it-IT"/>
        </w:rPr>
        <w:t>2015 թվականի միջին գնաճը կազմել է 3.7%, որը հիմնականում պայմանավորվել է պարենային ապրանքների (ներառյալ</w:t>
      </w:r>
      <w:r>
        <w:rPr>
          <w:rFonts w:ascii="GHEA Grapalat" w:hAnsi="GHEA Grapalat" w:cs="Sylfaen"/>
          <w:color w:val="000000"/>
          <w:sz w:val="22"/>
          <w:szCs w:val="22"/>
          <w:lang w:val="it-IT"/>
        </w:rPr>
        <w:t>՝</w:t>
      </w:r>
      <w:r w:rsidRPr="00383D45">
        <w:rPr>
          <w:rFonts w:ascii="GHEA Grapalat" w:hAnsi="GHEA Grapalat" w:cs="Sylfaen"/>
          <w:color w:val="000000"/>
          <w:sz w:val="22"/>
          <w:szCs w:val="22"/>
          <w:lang w:val="it-IT"/>
        </w:rPr>
        <w:t xml:space="preserve"> ոգելից խմիչք և ծխախոտ) գների 3.0% աճով (նպաստումը գնաճին` 1.5 տոկոսային կետ), ոչ պարենային ապրանքների գների 5.6% աճով (նպաստումը գնաճին` 1.2 տոկոսային կետ) և ծառայությունների սակագների 3.0% աճով (նպաստումը գնաճին` 1 տոկոսային կետ):</w:t>
      </w:r>
    </w:p>
    <w:p w:rsidR="00490F2F" w:rsidRPr="00383D45" w:rsidRDefault="00490F2F" w:rsidP="00490F2F">
      <w:pPr>
        <w:spacing w:line="360" w:lineRule="auto"/>
        <w:ind w:firstLine="540"/>
        <w:jc w:val="both"/>
        <w:rPr>
          <w:rFonts w:ascii="GHEA Grapalat" w:hAnsi="GHEA Grapalat" w:cs="Arial LatArm"/>
          <w:sz w:val="22"/>
          <w:szCs w:val="22"/>
          <w:lang w:val="it-IT"/>
        </w:rPr>
      </w:pPr>
      <w:r w:rsidRPr="00383D45">
        <w:rPr>
          <w:rFonts w:ascii="GHEA Grapalat" w:hAnsi="GHEA Grapalat" w:cs="Sylfaen"/>
          <w:b/>
          <w:i/>
          <w:sz w:val="22"/>
          <w:szCs w:val="22"/>
        </w:rPr>
        <w:t>Աշխատանքի</w:t>
      </w:r>
      <w:r w:rsidRPr="00640A89">
        <w:rPr>
          <w:rFonts w:ascii="GHEA Grapalat" w:hAnsi="GHEA Grapalat" w:cs="Sylfaen"/>
          <w:b/>
          <w:i/>
          <w:sz w:val="22"/>
          <w:szCs w:val="22"/>
        </w:rPr>
        <w:t xml:space="preserve"> </w:t>
      </w:r>
      <w:r w:rsidRPr="00383D45">
        <w:rPr>
          <w:rFonts w:ascii="GHEA Grapalat" w:hAnsi="GHEA Grapalat" w:cs="Sylfaen"/>
          <w:b/>
          <w:i/>
          <w:sz w:val="22"/>
          <w:szCs w:val="22"/>
        </w:rPr>
        <w:t>շուկա</w:t>
      </w:r>
      <w:r w:rsidRPr="00640A89">
        <w:rPr>
          <w:rFonts w:ascii="GHEA Grapalat" w:hAnsi="GHEA Grapalat" w:cs="Arial LatArm"/>
          <w:b/>
          <w:i/>
          <w:sz w:val="22"/>
          <w:szCs w:val="22"/>
        </w:rPr>
        <w:t>:</w:t>
      </w:r>
      <w:r w:rsidRPr="00383D45">
        <w:rPr>
          <w:rFonts w:ascii="GHEA Grapalat" w:hAnsi="GHEA Grapalat" w:cs="Arial LatArm"/>
          <w:b/>
          <w:sz w:val="22"/>
          <w:szCs w:val="22"/>
        </w:rPr>
        <w:t xml:space="preserve"> </w:t>
      </w:r>
      <w:r w:rsidRPr="00383D45">
        <w:rPr>
          <w:rFonts w:ascii="GHEA Grapalat" w:hAnsi="GHEA Grapalat" w:cs="Arial LatArm"/>
          <w:sz w:val="22"/>
          <w:szCs w:val="22"/>
        </w:rPr>
        <w:t>Իրական և անվանական աշխատավարձերն աճել են</w:t>
      </w:r>
      <w:r w:rsidRPr="00383D45">
        <w:rPr>
          <w:rFonts w:ascii="GHEA Grapalat" w:hAnsi="GHEA Grapalat" w:cs="Arial LatArm"/>
          <w:sz w:val="22"/>
          <w:szCs w:val="22"/>
          <w:lang w:val="it-IT"/>
        </w:rPr>
        <w:t xml:space="preserve">` </w:t>
      </w:r>
      <w:r w:rsidRPr="00383D45">
        <w:rPr>
          <w:rFonts w:ascii="GHEA Grapalat" w:hAnsi="GHEA Grapalat" w:cs="Arial LatArm"/>
          <w:sz w:val="22"/>
          <w:szCs w:val="22"/>
        </w:rPr>
        <w:t>գերազանցելով վերջին տարիներին դրսևորած միտումները</w:t>
      </w:r>
      <w:r w:rsidRPr="00383D45">
        <w:rPr>
          <w:rFonts w:ascii="GHEA Grapalat" w:hAnsi="GHEA Grapalat" w:cs="Arial LatArm"/>
          <w:sz w:val="22"/>
          <w:szCs w:val="22"/>
          <w:lang w:val="it-IT"/>
        </w:rPr>
        <w:t xml:space="preserve">: </w:t>
      </w:r>
      <w:r w:rsidRPr="00383D45">
        <w:rPr>
          <w:rFonts w:ascii="GHEA Grapalat" w:hAnsi="GHEA Grapalat"/>
          <w:sz w:val="22"/>
          <w:szCs w:val="22"/>
        </w:rPr>
        <w:t xml:space="preserve">2015 </w:t>
      </w:r>
      <w:r w:rsidRPr="00383D45">
        <w:rPr>
          <w:rFonts w:ascii="GHEA Grapalat" w:hAnsi="GHEA Grapalat" w:cs="Sylfaen"/>
          <w:sz w:val="22"/>
          <w:szCs w:val="22"/>
        </w:rPr>
        <w:t>թվականին միջին ամսական անվանական աշխատավարձը</w:t>
      </w:r>
      <w:r w:rsidRPr="00383D45">
        <w:rPr>
          <w:rFonts w:ascii="GHEA Grapalat" w:hAnsi="GHEA Grapalat" w:cs="Arial LatArm"/>
          <w:sz w:val="22"/>
          <w:szCs w:val="22"/>
        </w:rPr>
        <w:t xml:space="preserve"> 2014 </w:t>
      </w:r>
      <w:r w:rsidRPr="00383D45">
        <w:rPr>
          <w:rFonts w:ascii="GHEA Grapalat" w:hAnsi="GHEA Grapalat" w:cs="Sylfaen"/>
          <w:sz w:val="22"/>
          <w:szCs w:val="22"/>
        </w:rPr>
        <w:t>թվականի նկատմամբ աճել է</w:t>
      </w:r>
      <w:r w:rsidRPr="00383D45">
        <w:rPr>
          <w:rFonts w:ascii="GHEA Grapalat" w:hAnsi="GHEA Grapalat" w:cs="Arial LatArm"/>
          <w:sz w:val="22"/>
          <w:szCs w:val="22"/>
        </w:rPr>
        <w:t xml:space="preserve"> 7.8%</w:t>
      </w:r>
      <w:r w:rsidRPr="00383D45">
        <w:rPr>
          <w:rFonts w:ascii="GHEA Grapalat" w:hAnsi="GHEA Grapalat" w:cs="Sylfaen"/>
          <w:sz w:val="22"/>
          <w:szCs w:val="22"/>
        </w:rPr>
        <w:t>-ով` կազմելով 184647 դրամ</w:t>
      </w:r>
      <w:r w:rsidRPr="00383D45">
        <w:rPr>
          <w:rStyle w:val="a7"/>
          <w:rFonts w:ascii="GHEA Grapalat" w:hAnsi="GHEA Grapalat" w:cs="Sylfaen"/>
          <w:sz w:val="22"/>
          <w:szCs w:val="22"/>
        </w:rPr>
        <w:footnoteReference w:id="8"/>
      </w:r>
      <w:r w:rsidRPr="00383D45">
        <w:rPr>
          <w:rFonts w:ascii="GHEA Grapalat" w:hAnsi="GHEA Grapalat" w:cs="Arial LatArm"/>
          <w:sz w:val="22"/>
          <w:szCs w:val="22"/>
        </w:rPr>
        <w:t>: Միջին ամսական անվանական աշխատավարձը պետական և ոչ պետական հատվածներում աճել է 8.8%</w:t>
      </w:r>
      <w:r w:rsidRPr="00640A89">
        <w:rPr>
          <w:rFonts w:ascii="GHEA Grapalat" w:hAnsi="GHEA Grapalat" w:cs="Arial LatArm"/>
          <w:sz w:val="22"/>
          <w:szCs w:val="22"/>
        </w:rPr>
        <w:t>-ով</w:t>
      </w:r>
      <w:r w:rsidRPr="00383D45">
        <w:rPr>
          <w:rFonts w:ascii="GHEA Grapalat" w:hAnsi="GHEA Grapalat" w:cs="Arial LatArm"/>
          <w:sz w:val="22"/>
          <w:szCs w:val="22"/>
        </w:rPr>
        <w:t xml:space="preserve"> և 6.6%-ով` կազմելով համապատասխանաբար` 164889 </w:t>
      </w:r>
      <w:r w:rsidRPr="00383D45">
        <w:rPr>
          <w:rFonts w:ascii="GHEA Grapalat" w:hAnsi="GHEA Grapalat" w:cs="Sylfaen"/>
          <w:sz w:val="22"/>
          <w:szCs w:val="22"/>
        </w:rPr>
        <w:t>և</w:t>
      </w:r>
      <w:r w:rsidRPr="00383D45">
        <w:rPr>
          <w:rFonts w:ascii="GHEA Grapalat" w:hAnsi="GHEA Grapalat" w:cs="Arial LatArm"/>
          <w:sz w:val="22"/>
          <w:szCs w:val="22"/>
        </w:rPr>
        <w:t xml:space="preserve"> 212195 </w:t>
      </w:r>
      <w:r w:rsidRPr="00383D45">
        <w:rPr>
          <w:rFonts w:ascii="GHEA Grapalat" w:hAnsi="GHEA Grapalat" w:cs="Sylfaen"/>
          <w:sz w:val="22"/>
          <w:szCs w:val="22"/>
        </w:rPr>
        <w:t>դրամ</w:t>
      </w:r>
      <w:r w:rsidRPr="00383D45">
        <w:rPr>
          <w:rFonts w:ascii="GHEA Grapalat" w:hAnsi="GHEA Grapalat" w:cs="Arial LatArm"/>
          <w:sz w:val="22"/>
          <w:szCs w:val="22"/>
        </w:rPr>
        <w:t>: Ի</w:t>
      </w:r>
      <w:r w:rsidRPr="00383D45">
        <w:rPr>
          <w:rFonts w:ascii="GHEA Grapalat" w:hAnsi="GHEA Grapalat" w:cs="Sylfaen"/>
          <w:sz w:val="22"/>
          <w:szCs w:val="22"/>
        </w:rPr>
        <w:t>րական աշխատավարձը</w:t>
      </w:r>
      <w:r w:rsidRPr="00383D45">
        <w:rPr>
          <w:rFonts w:ascii="GHEA Grapalat" w:hAnsi="GHEA Grapalat" w:cs="Arial LatArm"/>
          <w:sz w:val="22"/>
          <w:szCs w:val="22"/>
        </w:rPr>
        <w:t xml:space="preserve"> 2014 </w:t>
      </w:r>
      <w:r w:rsidRPr="00383D45">
        <w:rPr>
          <w:rFonts w:ascii="GHEA Grapalat" w:hAnsi="GHEA Grapalat" w:cs="Sylfaen"/>
          <w:sz w:val="22"/>
          <w:szCs w:val="22"/>
        </w:rPr>
        <w:t>թվականի համեմատ</w:t>
      </w:r>
      <w:r w:rsidRPr="00383D45">
        <w:rPr>
          <w:rFonts w:ascii="GHEA Grapalat" w:hAnsi="GHEA Grapalat" w:cs="Arial LatArm"/>
          <w:sz w:val="22"/>
          <w:szCs w:val="22"/>
        </w:rPr>
        <w:t xml:space="preserve"> աճել </w:t>
      </w:r>
      <w:r w:rsidRPr="00383D45">
        <w:rPr>
          <w:rFonts w:ascii="GHEA Grapalat" w:hAnsi="GHEA Grapalat" w:cs="Sylfaen"/>
          <w:sz w:val="22"/>
          <w:szCs w:val="22"/>
        </w:rPr>
        <w:t>է</w:t>
      </w:r>
      <w:r w:rsidRPr="00383D45">
        <w:rPr>
          <w:rFonts w:ascii="GHEA Grapalat" w:hAnsi="GHEA Grapalat" w:cs="Arial LatArm"/>
          <w:sz w:val="22"/>
          <w:szCs w:val="22"/>
        </w:rPr>
        <w:t xml:space="preserve"> 3.9%-</w:t>
      </w:r>
      <w:r w:rsidRPr="00383D45">
        <w:rPr>
          <w:rFonts w:ascii="GHEA Grapalat" w:hAnsi="GHEA Grapalat" w:cs="Sylfaen"/>
          <w:sz w:val="22"/>
          <w:szCs w:val="22"/>
        </w:rPr>
        <w:t>ով</w:t>
      </w:r>
      <w:r w:rsidRPr="00383D45">
        <w:rPr>
          <w:rFonts w:ascii="GHEA Grapalat" w:hAnsi="GHEA Grapalat" w:cs="Arial LatArm"/>
          <w:sz w:val="22"/>
          <w:szCs w:val="22"/>
        </w:rPr>
        <w:t xml:space="preserve">, </w:t>
      </w:r>
      <w:r w:rsidRPr="00383D45">
        <w:rPr>
          <w:rFonts w:ascii="GHEA Grapalat" w:hAnsi="GHEA Grapalat" w:cs="Arial LatArm"/>
          <w:sz w:val="22"/>
          <w:szCs w:val="22"/>
        </w:rPr>
        <w:lastRenderedPageBreak/>
        <w:t>իսկ իրական արտադրողականությունը</w:t>
      </w:r>
      <w:r w:rsidRPr="00383D45">
        <w:rPr>
          <w:rFonts w:ascii="GHEA Grapalat" w:hAnsi="GHEA Grapalat" w:cs="Arial LatArm"/>
          <w:sz w:val="22"/>
          <w:szCs w:val="22"/>
          <w:lang w:val="it-IT"/>
        </w:rPr>
        <w:t>`</w:t>
      </w:r>
      <w:r w:rsidRPr="00383D45">
        <w:rPr>
          <w:rFonts w:ascii="GHEA Grapalat" w:hAnsi="GHEA Grapalat" w:cs="Arial LatArm"/>
          <w:sz w:val="22"/>
          <w:szCs w:val="22"/>
        </w:rPr>
        <w:t xml:space="preserve"> 8.9%-ով: Արդյունքում տնտեսությունում կրճատվել է միավոր աշխատուժի ծախսը՝ նպաստելով տնտեսության մրցունակության բարձրացմանը:</w:t>
      </w:r>
    </w:p>
    <w:p w:rsidR="00490F2F" w:rsidRPr="00383D45" w:rsidRDefault="00490F2F" w:rsidP="00490F2F">
      <w:pPr>
        <w:spacing w:line="360" w:lineRule="auto"/>
        <w:ind w:firstLine="540"/>
        <w:jc w:val="both"/>
        <w:rPr>
          <w:rFonts w:ascii="GHEA Grapalat" w:hAnsi="GHEA Grapalat" w:cs="Sylfaen"/>
          <w:b/>
          <w:sz w:val="22"/>
          <w:szCs w:val="22"/>
          <w:u w:val="single"/>
          <w:lang w:val="it-IT"/>
        </w:rPr>
      </w:pPr>
      <w:r w:rsidRPr="00383D45">
        <w:rPr>
          <w:rFonts w:ascii="GHEA Grapalat" w:hAnsi="GHEA Grapalat" w:cs="Sylfaen"/>
          <w:sz w:val="22"/>
          <w:szCs w:val="22"/>
          <w:lang w:val="en-US"/>
        </w:rPr>
        <w:t>Գ</w:t>
      </w:r>
      <w:r w:rsidRPr="00383D45">
        <w:rPr>
          <w:rFonts w:ascii="GHEA Grapalat" w:hAnsi="GHEA Grapalat" w:cs="Sylfaen"/>
          <w:sz w:val="22"/>
          <w:szCs w:val="22"/>
        </w:rPr>
        <w:t xml:space="preserve">ործազրկության մակարդակը </w:t>
      </w:r>
      <w:r w:rsidRPr="00383D45">
        <w:rPr>
          <w:rFonts w:ascii="GHEA Grapalat" w:hAnsi="GHEA Grapalat" w:cs="Arial LatArm"/>
          <w:sz w:val="22"/>
          <w:szCs w:val="22"/>
        </w:rPr>
        <w:t xml:space="preserve">2015 թվականին </w:t>
      </w:r>
      <w:r w:rsidRPr="00383D45">
        <w:rPr>
          <w:rFonts w:ascii="GHEA Grapalat" w:hAnsi="GHEA Grapalat" w:cs="Sylfaen"/>
          <w:sz w:val="22"/>
          <w:szCs w:val="22"/>
        </w:rPr>
        <w:t>աճի միտում է ցուցաբերել</w:t>
      </w:r>
      <w:r w:rsidRPr="00383D45">
        <w:rPr>
          <w:rFonts w:ascii="GHEA Grapalat" w:hAnsi="GHEA Grapalat" w:cs="Sylfaen"/>
          <w:sz w:val="22"/>
          <w:szCs w:val="22"/>
          <w:lang w:val="it-IT"/>
        </w:rPr>
        <w:t xml:space="preserve">` </w:t>
      </w:r>
      <w:r w:rsidRPr="00383D45">
        <w:rPr>
          <w:rFonts w:ascii="GHEA Grapalat" w:hAnsi="GHEA Grapalat" w:cs="Arial LatArm"/>
          <w:sz w:val="22"/>
          <w:szCs w:val="22"/>
        </w:rPr>
        <w:t>աճ</w:t>
      </w:r>
      <w:r w:rsidRPr="00383D45">
        <w:rPr>
          <w:rFonts w:ascii="GHEA Grapalat" w:hAnsi="GHEA Grapalat" w:cs="Sylfaen"/>
          <w:sz w:val="22"/>
          <w:szCs w:val="22"/>
        </w:rPr>
        <w:t>ել</w:t>
      </w:r>
      <w:r w:rsidRPr="00383D45">
        <w:rPr>
          <w:rFonts w:ascii="GHEA Grapalat" w:hAnsi="GHEA Grapalat" w:cs="Sylfaen"/>
          <w:sz w:val="22"/>
          <w:szCs w:val="22"/>
          <w:lang w:val="en-US"/>
        </w:rPr>
        <w:t>ով</w:t>
      </w:r>
      <w:r w:rsidRPr="00383D45">
        <w:rPr>
          <w:rFonts w:ascii="GHEA Grapalat" w:hAnsi="GHEA Grapalat" w:cs="Sylfaen"/>
          <w:sz w:val="22"/>
          <w:szCs w:val="22"/>
        </w:rPr>
        <w:t xml:space="preserve"> 0.9 տոկոսային կետով</w:t>
      </w:r>
      <w:r w:rsidRPr="00383D45">
        <w:rPr>
          <w:rFonts w:ascii="GHEA Grapalat" w:hAnsi="GHEA Grapalat" w:cs="Sylfaen"/>
          <w:sz w:val="22"/>
          <w:szCs w:val="22"/>
          <w:lang w:val="it-IT"/>
        </w:rPr>
        <w:t xml:space="preserve"> </w:t>
      </w:r>
      <w:r w:rsidRPr="00383D45">
        <w:rPr>
          <w:rFonts w:ascii="GHEA Grapalat" w:hAnsi="GHEA Grapalat" w:cs="Sylfaen"/>
          <w:sz w:val="22"/>
          <w:szCs w:val="22"/>
          <w:lang w:val="en-US"/>
        </w:rPr>
        <w:t>և</w:t>
      </w:r>
      <w:r w:rsidRPr="00383D45">
        <w:rPr>
          <w:rFonts w:ascii="GHEA Grapalat" w:hAnsi="GHEA Grapalat" w:cs="Sylfaen"/>
          <w:sz w:val="22"/>
          <w:szCs w:val="22"/>
        </w:rPr>
        <w:t xml:space="preserve"> կազմելով 18.5</w:t>
      </w:r>
      <w:r w:rsidRPr="00383D45">
        <w:rPr>
          <w:rFonts w:ascii="GHEA Grapalat" w:hAnsi="GHEA Grapalat" w:cs="Arial LatArm"/>
          <w:sz w:val="22"/>
          <w:szCs w:val="22"/>
        </w:rPr>
        <w:t>%</w:t>
      </w:r>
      <w:r w:rsidRPr="00383D45">
        <w:rPr>
          <w:rFonts w:ascii="GHEA Grapalat" w:hAnsi="GHEA Grapalat" w:cs="Sylfaen"/>
          <w:sz w:val="22"/>
          <w:szCs w:val="22"/>
        </w:rPr>
        <w:t>, որն ուղեկցվել է տնտեսական աճի տեմպի դանդաղ</w:t>
      </w:r>
      <w:r w:rsidRPr="00383D45">
        <w:rPr>
          <w:rFonts w:ascii="GHEA Grapalat" w:hAnsi="GHEA Grapalat" w:cs="Sylfaen"/>
          <w:sz w:val="22"/>
          <w:szCs w:val="22"/>
          <w:lang w:val="ru-RU"/>
        </w:rPr>
        <w:t>եց</w:t>
      </w:r>
      <w:r w:rsidRPr="00383D45">
        <w:rPr>
          <w:rFonts w:ascii="GHEA Grapalat" w:hAnsi="GHEA Grapalat" w:cs="Sylfaen"/>
          <w:sz w:val="22"/>
          <w:szCs w:val="22"/>
        </w:rPr>
        <w:t xml:space="preserve">մամբ: </w:t>
      </w:r>
    </w:p>
    <w:p w:rsidR="00490F2F" w:rsidRPr="00640A89" w:rsidRDefault="00490F2F" w:rsidP="00490F2F">
      <w:pPr>
        <w:tabs>
          <w:tab w:val="num" w:pos="720"/>
        </w:tabs>
        <w:spacing w:line="360" w:lineRule="auto"/>
        <w:ind w:firstLine="567"/>
        <w:jc w:val="both"/>
        <w:rPr>
          <w:rFonts w:ascii="GHEA Grapalat" w:hAnsi="GHEA Grapalat" w:cs="Sylfaen"/>
          <w:sz w:val="22"/>
          <w:szCs w:val="22"/>
          <w:lang w:val="it-IT"/>
        </w:rPr>
      </w:pPr>
    </w:p>
    <w:p w:rsidR="00490F2F" w:rsidRPr="00640A89" w:rsidRDefault="00490F2F" w:rsidP="00490F2F">
      <w:pPr>
        <w:autoSpaceDE w:val="0"/>
        <w:autoSpaceDN w:val="0"/>
        <w:adjustRightInd w:val="0"/>
        <w:spacing w:line="480" w:lineRule="auto"/>
        <w:ind w:firstLine="540"/>
        <w:jc w:val="both"/>
        <w:rPr>
          <w:rFonts w:ascii="GHEA Grapalat" w:hAnsi="GHEA Grapalat" w:cs="Sylfaen"/>
          <w:sz w:val="22"/>
          <w:szCs w:val="22"/>
          <w:lang w:val="it-IT"/>
        </w:rPr>
      </w:pPr>
      <w:r w:rsidRPr="00383D45">
        <w:rPr>
          <w:rFonts w:ascii="GHEA Grapalat" w:hAnsi="GHEA Grapalat" w:cs="Sylfaen"/>
          <w:b/>
          <w:i/>
          <w:sz w:val="22"/>
          <w:szCs w:val="22"/>
          <w:lang w:val="en-US"/>
        </w:rPr>
        <w:t>Արտաքին</w:t>
      </w:r>
      <w:r w:rsidRPr="00640A89">
        <w:rPr>
          <w:rFonts w:ascii="GHEA Grapalat" w:hAnsi="GHEA Grapalat" w:cs="Sylfaen"/>
          <w:b/>
          <w:i/>
          <w:sz w:val="22"/>
          <w:szCs w:val="22"/>
          <w:lang w:val="it-IT"/>
        </w:rPr>
        <w:t xml:space="preserve"> </w:t>
      </w:r>
      <w:r w:rsidRPr="00383D45">
        <w:rPr>
          <w:rFonts w:ascii="GHEA Grapalat" w:hAnsi="GHEA Grapalat" w:cs="Sylfaen"/>
          <w:b/>
          <w:i/>
          <w:sz w:val="22"/>
          <w:szCs w:val="22"/>
          <w:lang w:val="en-US"/>
        </w:rPr>
        <w:t>հատված</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sz w:val="22"/>
          <w:szCs w:val="22"/>
        </w:rPr>
        <w:t>2015 թվականին ընթացիկ հաշվի պակասուրդը կրճատվել է` բարելավելով նախորդ տարիների համապատասխան ցուցանիշը, ինչը հիմնականում պայմանավորված էր համախառն ազգային տնօրինվող եկամտի իրական նվազման հետևանքով ներմուծման նշանակալի անկմամբ: Այնուհանդերձ, 2015 թվականին ձևավորվել է տնտեսության արտաքին հատվածը բնութագրող մյուս ցուցանիշների վատթարացում. տարեսկզբից նվազել են Հայաստան ներհոսող տրանսֆերտները և գործոնային եկամուտները, որին զուգընթաց կրճատվել են նաև արտահանման ծավալները` հակազդելով ընթացիկ հաշվի բարելավմանը: Մյուս կողմից, Հայաստան ներհոսող տրանսֆերտների և գործոնային եկամուտների կրճատումը համախառն ազգային տնօրինվող եկամտի նվազման պատճառ է դարձել, որն էլ հանգեց</w:t>
      </w:r>
      <w:r>
        <w:rPr>
          <w:rFonts w:ascii="GHEA Grapalat" w:hAnsi="GHEA Grapalat" w:cs="Sylfaen"/>
          <w:sz w:val="22"/>
          <w:szCs w:val="22"/>
          <w:lang w:val="en-US"/>
        </w:rPr>
        <w:t>ր</w:t>
      </w:r>
      <w:r w:rsidRPr="00383D45">
        <w:rPr>
          <w:rFonts w:ascii="GHEA Grapalat" w:hAnsi="GHEA Grapalat" w:cs="Sylfaen"/>
          <w:sz w:val="22"/>
          <w:szCs w:val="22"/>
        </w:rPr>
        <w:t xml:space="preserve">ել է ներմուծվող ապրանքների սպառման անկմանը` արդյունքում բարելավելով ընթացիկ հաշիվը: </w:t>
      </w:r>
    </w:p>
    <w:p w:rsidR="00490F2F" w:rsidRPr="00383D45" w:rsidRDefault="00490F2F" w:rsidP="00490F2F">
      <w:pPr>
        <w:tabs>
          <w:tab w:val="left" w:pos="0"/>
          <w:tab w:val="left" w:pos="900"/>
        </w:tabs>
        <w:spacing w:line="360" w:lineRule="auto"/>
        <w:ind w:firstLine="567"/>
        <w:jc w:val="both"/>
        <w:rPr>
          <w:rFonts w:ascii="GHEA Grapalat" w:hAnsi="GHEA Grapalat" w:cs="Sylfaen"/>
          <w:sz w:val="22"/>
          <w:szCs w:val="22"/>
        </w:rPr>
      </w:pPr>
      <w:r w:rsidRPr="00383D45">
        <w:rPr>
          <w:rFonts w:ascii="GHEA Grapalat" w:hAnsi="GHEA Grapalat" w:cs="Arial LatArm"/>
          <w:sz w:val="22"/>
          <w:szCs w:val="22"/>
        </w:rPr>
        <w:t>2015 թվականն առանձնացել է ապրանքների և ծառայությունների հաշվեկշռի զգալի բարելավմամբ` արտահանման նվազման համեմատ ներմուծման առաջանցիկ կրճատման հաշվին (համապատասխանաբար` 5.4</w:t>
      </w:r>
      <w:r w:rsidRPr="00640A89">
        <w:rPr>
          <w:rFonts w:ascii="GHEA Grapalat" w:hAnsi="GHEA Grapalat" w:cs="Arial LatArm"/>
          <w:sz w:val="22"/>
          <w:szCs w:val="22"/>
        </w:rPr>
        <w:t>%-ով</w:t>
      </w:r>
      <w:r w:rsidRPr="00383D45">
        <w:rPr>
          <w:rFonts w:ascii="GHEA Grapalat" w:hAnsi="GHEA Grapalat" w:cs="Arial LatArm"/>
          <w:sz w:val="22"/>
          <w:szCs w:val="22"/>
        </w:rPr>
        <w:t xml:space="preserve"> և 20.3%-ով): Դրա հետ մեկտեղ տարվա ընթացքում արձանագրվել է սկզբնական և երկրորդային եկամուտների կրճատում (համապատասխանաբար 25.5</w:t>
      </w:r>
      <w:r w:rsidRPr="00640A89">
        <w:rPr>
          <w:rFonts w:ascii="GHEA Grapalat" w:hAnsi="GHEA Grapalat" w:cs="Arial LatArm"/>
          <w:sz w:val="22"/>
          <w:szCs w:val="22"/>
        </w:rPr>
        <w:t>%-ով</w:t>
      </w:r>
      <w:r w:rsidRPr="00383D45">
        <w:rPr>
          <w:rFonts w:ascii="GHEA Grapalat" w:hAnsi="GHEA Grapalat" w:cs="Arial LatArm"/>
          <w:sz w:val="22"/>
          <w:szCs w:val="22"/>
        </w:rPr>
        <w:t xml:space="preserve"> և 29.5%-ով): Արդյունքում նշված գործոնները նպաստել են ընթացիկ հաշվի պակասուրդի</w:t>
      </w:r>
      <w:r w:rsidRPr="00383D45">
        <w:rPr>
          <w:rFonts w:ascii="GHEA Grapalat" w:hAnsi="GHEA Grapalat" w:cs="Sylfaen"/>
          <w:sz w:val="22"/>
          <w:szCs w:val="22"/>
          <w:vertAlign w:val="superscript"/>
        </w:rPr>
        <w:footnoteReference w:id="9"/>
      </w:r>
      <w:r w:rsidRPr="00383D45">
        <w:rPr>
          <w:rFonts w:ascii="GHEA Grapalat" w:hAnsi="GHEA Grapalat" w:cs="Arial LatArm"/>
          <w:sz w:val="22"/>
          <w:szCs w:val="22"/>
        </w:rPr>
        <w:t xml:space="preserve"> կրճատմանը մինչև ՀՆԱ-ի 2.6</w:t>
      </w:r>
      <w:r w:rsidRPr="00640A89">
        <w:rPr>
          <w:rFonts w:ascii="GHEA Grapalat" w:hAnsi="GHEA Grapalat" w:cs="Arial LatArm"/>
          <w:sz w:val="22"/>
          <w:szCs w:val="22"/>
        </w:rPr>
        <w:t>%-</w:t>
      </w:r>
      <w:r w:rsidRPr="00383D45">
        <w:rPr>
          <w:rFonts w:ascii="GHEA Grapalat" w:hAnsi="GHEA Grapalat" w:cs="Arial LatArm"/>
          <w:sz w:val="22"/>
          <w:szCs w:val="22"/>
        </w:rPr>
        <w:t>ը` նախորդ տարվա ցուցանիշը բարելավելով 4.6 տոկոսային կետով (տե´ս Գծապատկեր</w:t>
      </w:r>
      <w:r w:rsidRPr="00383D45">
        <w:rPr>
          <w:rFonts w:ascii="GHEA Grapalat" w:hAnsi="GHEA Grapalat" w:cs="Sylfaen"/>
          <w:sz w:val="22"/>
          <w:szCs w:val="22"/>
        </w:rPr>
        <w:t xml:space="preserve"> 2):</w:t>
      </w:r>
    </w:p>
    <w:p w:rsidR="00490F2F" w:rsidRPr="00383D45" w:rsidRDefault="00490F2F" w:rsidP="00490F2F">
      <w:pPr>
        <w:tabs>
          <w:tab w:val="left" w:pos="0"/>
          <w:tab w:val="left" w:pos="900"/>
        </w:tabs>
        <w:ind w:firstLine="567"/>
        <w:jc w:val="both"/>
        <w:rPr>
          <w:rFonts w:ascii="GHEA Grapalat" w:hAnsi="GHEA Grapalat" w:cs="Sylfaen"/>
          <w:sz w:val="22"/>
          <w:szCs w:val="22"/>
        </w:rPr>
      </w:pPr>
    </w:p>
    <w:p w:rsidR="00490F2F" w:rsidRPr="00383D45" w:rsidRDefault="00490F2F" w:rsidP="00490F2F">
      <w:pPr>
        <w:tabs>
          <w:tab w:val="left" w:pos="0"/>
          <w:tab w:val="left" w:pos="900"/>
        </w:tabs>
        <w:spacing w:line="360" w:lineRule="auto"/>
        <w:ind w:firstLine="567"/>
        <w:jc w:val="both"/>
        <w:rPr>
          <w:rFonts w:ascii="GHEA Grapalat" w:hAnsi="GHEA Grapalat" w:cs="Sylfaen"/>
          <w:sz w:val="22"/>
          <w:szCs w:val="22"/>
        </w:rPr>
      </w:pPr>
      <w:r w:rsidRPr="00383D45">
        <w:rPr>
          <w:rFonts w:ascii="GHEA Grapalat" w:hAnsi="GHEA Grapalat" w:cs="Sylfaen"/>
          <w:b/>
          <w:sz w:val="22"/>
          <w:szCs w:val="22"/>
        </w:rPr>
        <w:t>Գծապատկեր 2.</w:t>
      </w:r>
      <w:r w:rsidRPr="00383D45">
        <w:rPr>
          <w:rFonts w:ascii="GHEA Grapalat" w:hAnsi="GHEA Grapalat" w:cs="Sylfaen"/>
          <w:sz w:val="22"/>
          <w:szCs w:val="22"/>
        </w:rPr>
        <w:t xml:space="preserve"> Ընթացիկ հաշվի դինամիկան և բաղադրատարրերը (մլն ԱՄՆ դոլար)</w:t>
      </w:r>
    </w:p>
    <w:p w:rsidR="00490F2F" w:rsidRPr="00383D45" w:rsidRDefault="00490F2F" w:rsidP="00490F2F">
      <w:pPr>
        <w:spacing w:line="360" w:lineRule="auto"/>
        <w:ind w:firstLine="567"/>
        <w:jc w:val="both"/>
        <w:rPr>
          <w:rFonts w:ascii="GHEA Grapalat" w:hAnsi="GHEA Grapalat" w:cs="Sylfaen"/>
          <w:sz w:val="22"/>
          <w:szCs w:val="22"/>
          <w:lang w:val="en-US"/>
        </w:rPr>
      </w:pPr>
      <w:r w:rsidRPr="00383D45">
        <w:rPr>
          <w:rFonts w:ascii="GHEA Grapalat" w:hAnsi="GHEA Grapalat"/>
          <w:sz w:val="22"/>
          <w:szCs w:val="22"/>
          <w:lang w:val="ru-RU" w:eastAsia="ru-RU"/>
        </w:rPr>
        <w:lastRenderedPageBreak/>
        <w:drawing>
          <wp:inline distT="0" distB="0" distL="0" distR="0">
            <wp:extent cx="6267450" cy="35623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0F2F" w:rsidRPr="00383D45" w:rsidRDefault="00490F2F" w:rsidP="00490F2F">
      <w:pPr>
        <w:tabs>
          <w:tab w:val="left" w:pos="0"/>
          <w:tab w:val="left" w:pos="900"/>
        </w:tabs>
        <w:spacing w:line="360" w:lineRule="auto"/>
        <w:ind w:firstLine="567"/>
        <w:jc w:val="both"/>
        <w:rPr>
          <w:rFonts w:ascii="GHEA Grapalat" w:hAnsi="GHEA Grapalat" w:cs="Sylfaen"/>
          <w:sz w:val="22"/>
          <w:szCs w:val="22"/>
        </w:rPr>
      </w:pPr>
      <w:r w:rsidRPr="00383D45">
        <w:rPr>
          <w:rFonts w:ascii="GHEA Grapalat" w:hAnsi="GHEA Grapalat" w:cs="Sylfaen"/>
          <w:sz w:val="22"/>
          <w:szCs w:val="22"/>
        </w:rPr>
        <w:t>201</w:t>
      </w:r>
      <w:r w:rsidRPr="00383D45">
        <w:rPr>
          <w:rFonts w:ascii="GHEA Grapalat" w:hAnsi="GHEA Grapalat" w:cs="Sylfaen"/>
          <w:sz w:val="22"/>
          <w:szCs w:val="22"/>
          <w:lang w:val="en-US"/>
        </w:rPr>
        <w:t>5</w:t>
      </w:r>
      <w:r w:rsidRPr="00383D45">
        <w:rPr>
          <w:rFonts w:ascii="GHEA Grapalat" w:hAnsi="GHEA Grapalat" w:cs="Sylfaen"/>
          <w:sz w:val="22"/>
          <w:szCs w:val="22"/>
        </w:rPr>
        <w:t xml:space="preserve"> թվականին ապրանքների գծով արտաքին առևտրի բացասական մնացորդը նախորդ տարվա համեմատ </w:t>
      </w:r>
      <w:r w:rsidRPr="00383D45">
        <w:rPr>
          <w:rFonts w:ascii="GHEA Grapalat" w:hAnsi="GHEA Grapalat" w:cs="Sylfaen"/>
          <w:sz w:val="22"/>
          <w:szCs w:val="22"/>
          <w:lang w:val="en-US"/>
        </w:rPr>
        <w:t>կրճատվել</w:t>
      </w:r>
      <w:r w:rsidRPr="00383D45">
        <w:rPr>
          <w:rFonts w:ascii="GHEA Grapalat" w:hAnsi="GHEA Grapalat" w:cs="Sylfaen"/>
          <w:sz w:val="22"/>
          <w:szCs w:val="22"/>
        </w:rPr>
        <w:t xml:space="preserve"> է </w:t>
      </w:r>
      <w:r w:rsidRPr="00383D45">
        <w:rPr>
          <w:rFonts w:ascii="GHEA Grapalat" w:hAnsi="GHEA Grapalat" w:cs="Sylfaen"/>
          <w:sz w:val="22"/>
          <w:szCs w:val="22"/>
          <w:lang w:val="en-US"/>
        </w:rPr>
        <w:t>մոտ 902</w:t>
      </w:r>
      <w:r w:rsidRPr="00383D45">
        <w:rPr>
          <w:rFonts w:ascii="GHEA Grapalat" w:hAnsi="GHEA Grapalat" w:cs="Sylfaen"/>
          <w:sz w:val="22"/>
          <w:szCs w:val="22"/>
        </w:rPr>
        <w:t xml:space="preserve"> մլն ԱՄՆ դոլարով և կազմել</w:t>
      </w:r>
      <w:r w:rsidRPr="00383D45">
        <w:rPr>
          <w:rFonts w:ascii="GHEA Grapalat" w:hAnsi="GHEA Grapalat" w:cs="Sylfaen"/>
          <w:sz w:val="22"/>
          <w:szCs w:val="22"/>
          <w:lang w:val="en-US"/>
        </w:rPr>
        <w:t xml:space="preserve"> է</w:t>
      </w:r>
      <w:r w:rsidRPr="00383D45">
        <w:rPr>
          <w:rFonts w:ascii="GHEA Grapalat" w:hAnsi="GHEA Grapalat" w:cs="Sylfaen"/>
          <w:sz w:val="22"/>
          <w:szCs w:val="22"/>
        </w:rPr>
        <w:t xml:space="preserve"> ՀՆԱ-ի </w:t>
      </w:r>
      <w:r w:rsidRPr="00383D45">
        <w:rPr>
          <w:rFonts w:ascii="GHEA Grapalat" w:hAnsi="GHEA Grapalat" w:cs="Sylfaen"/>
          <w:sz w:val="22"/>
          <w:szCs w:val="22"/>
          <w:lang w:val="en-US"/>
        </w:rPr>
        <w:t>10.9%-</w:t>
      </w:r>
      <w:r w:rsidRPr="00383D45">
        <w:rPr>
          <w:rFonts w:ascii="GHEA Grapalat" w:hAnsi="GHEA Grapalat" w:cs="Sylfaen"/>
          <w:sz w:val="22"/>
          <w:szCs w:val="22"/>
        </w:rPr>
        <w:t xml:space="preserve">ը </w:t>
      </w:r>
      <w:r w:rsidRPr="00383D45">
        <w:rPr>
          <w:rFonts w:ascii="GHEA Grapalat" w:hAnsi="GHEA Grapalat" w:cs="Sylfaen"/>
          <w:sz w:val="22"/>
          <w:szCs w:val="22"/>
          <w:lang w:val="en-US"/>
        </w:rPr>
        <w:t>(</w:t>
      </w:r>
      <w:r w:rsidRPr="00383D45">
        <w:rPr>
          <w:rFonts w:ascii="GHEA Grapalat" w:hAnsi="GHEA Grapalat" w:cs="Sylfaen"/>
          <w:sz w:val="22"/>
          <w:szCs w:val="22"/>
        </w:rPr>
        <w:t>նախորդ տա</w:t>
      </w:r>
      <w:r w:rsidRPr="00383D45">
        <w:rPr>
          <w:rFonts w:ascii="GHEA Grapalat" w:hAnsi="GHEA Grapalat" w:cs="Sylfaen"/>
          <w:sz w:val="22"/>
          <w:szCs w:val="22"/>
          <w:lang w:val="en-US"/>
        </w:rPr>
        <w:t>րի՝ 17.7</w:t>
      </w:r>
      <w:r w:rsidRPr="00383D45">
        <w:rPr>
          <w:rFonts w:ascii="GHEA Grapalat" w:hAnsi="GHEA Grapalat" w:cs="Sylfaen"/>
          <w:sz w:val="22"/>
          <w:szCs w:val="22"/>
        </w:rPr>
        <w:t>%</w:t>
      </w:r>
      <w:r w:rsidRPr="00383D45">
        <w:rPr>
          <w:rFonts w:ascii="GHEA Grapalat" w:hAnsi="GHEA Grapalat" w:cs="Sylfaen"/>
          <w:sz w:val="22"/>
          <w:szCs w:val="22"/>
          <w:lang w:val="en-US"/>
        </w:rPr>
        <w:t>)` նպաստելով ընթացիկ հաշվի բարելավմանը</w:t>
      </w:r>
      <w:r w:rsidRPr="00383D45">
        <w:rPr>
          <w:rFonts w:ascii="GHEA Grapalat" w:hAnsi="GHEA Grapalat" w:cs="Sylfaen"/>
          <w:sz w:val="22"/>
          <w:szCs w:val="22"/>
        </w:rPr>
        <w:t xml:space="preserve">: </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sz w:val="22"/>
          <w:szCs w:val="22"/>
        </w:rPr>
        <w:t>Ապրանքների և ծառայությունների արտահանման կշիռը ՀՆԱ-ում (միջին հակումը) 2015 թվականին կազմել է 29.7% (նախորդ տարի՝ 28.5%): Ապրանքների և ծառայությունների ներմուծման միջին հակումը 2015 թվականին կազմել է 41.3%` նախորդ տարվա 47%-ի դիմաց:</w:t>
      </w:r>
    </w:p>
    <w:p w:rsidR="00490F2F" w:rsidRPr="00383D45" w:rsidRDefault="00490F2F" w:rsidP="00490F2F">
      <w:pPr>
        <w:tabs>
          <w:tab w:val="num" w:pos="720"/>
        </w:tabs>
        <w:spacing w:line="360" w:lineRule="auto"/>
        <w:ind w:firstLine="567"/>
        <w:jc w:val="both"/>
        <w:rPr>
          <w:rFonts w:ascii="GHEA Grapalat" w:hAnsi="GHEA Grapalat" w:cs="Arial LatArm"/>
          <w:b/>
          <w:sz w:val="22"/>
          <w:szCs w:val="22"/>
        </w:rPr>
      </w:pPr>
      <w:r w:rsidRPr="00383D45">
        <w:rPr>
          <w:rFonts w:ascii="GHEA Grapalat" w:hAnsi="GHEA Grapalat"/>
          <w:i/>
          <w:sz w:val="22"/>
          <w:szCs w:val="22"/>
        </w:rPr>
        <w:t>Արտաքին առևտուր (դոլարային արտահայտությամբ)</w:t>
      </w:r>
      <w:r w:rsidRPr="00383D45">
        <w:rPr>
          <w:rFonts w:ascii="GHEA Grapalat" w:hAnsi="GHEA Grapalat" w:cs="Sylfaen"/>
          <w:b/>
          <w:i/>
          <w:sz w:val="22"/>
          <w:szCs w:val="22"/>
          <w:vertAlign w:val="superscript"/>
        </w:rPr>
        <w:footnoteReference w:id="10"/>
      </w:r>
      <w:r w:rsidRPr="00383D45">
        <w:rPr>
          <w:rFonts w:ascii="GHEA Grapalat" w:hAnsi="GHEA Grapalat"/>
          <w:i/>
          <w:sz w:val="22"/>
          <w:szCs w:val="22"/>
        </w:rPr>
        <w:t>:</w:t>
      </w:r>
      <w:r w:rsidRPr="00383D45">
        <w:rPr>
          <w:rFonts w:ascii="GHEA Grapalat" w:hAnsi="GHEA Grapalat"/>
          <w:sz w:val="22"/>
          <w:szCs w:val="22"/>
        </w:rPr>
        <w:t xml:space="preserve"> </w:t>
      </w:r>
      <w:r w:rsidRPr="00383D45">
        <w:rPr>
          <w:rFonts w:ascii="GHEA Grapalat" w:hAnsi="GHEA Grapalat" w:cs="Arial LatArm"/>
          <w:sz w:val="22"/>
          <w:szCs w:val="22"/>
        </w:rPr>
        <w:t>2015 թվականին կրճատվել են և՛ արտաքին առևտրաշրջանառությունը</w:t>
      </w:r>
      <w:r w:rsidRPr="00640A89">
        <w:rPr>
          <w:rFonts w:ascii="GHEA Grapalat" w:hAnsi="GHEA Grapalat" w:cs="Arial LatArm"/>
          <w:sz w:val="22"/>
          <w:szCs w:val="22"/>
        </w:rPr>
        <w:t>,</w:t>
      </w:r>
      <w:r w:rsidRPr="00383D45">
        <w:rPr>
          <w:rFonts w:ascii="GHEA Grapalat" w:hAnsi="GHEA Grapalat" w:cs="Arial LatArm"/>
          <w:sz w:val="22"/>
          <w:szCs w:val="22"/>
        </w:rPr>
        <w:t xml:space="preserve"> և՛ առևտրային հաշվեկշռի բացասական մնացորդը:</w:t>
      </w:r>
      <w:r w:rsidRPr="00383D45">
        <w:rPr>
          <w:rFonts w:ascii="GHEA Grapalat" w:hAnsi="GHEA Grapalat" w:cs="Arial LatArm"/>
          <w:b/>
          <w:sz w:val="22"/>
          <w:szCs w:val="22"/>
        </w:rPr>
        <w:t xml:space="preserve"> </w:t>
      </w:r>
      <w:r w:rsidRPr="00383D45">
        <w:rPr>
          <w:rFonts w:ascii="GHEA Grapalat" w:hAnsi="GHEA Grapalat" w:cs="Arial LatArm"/>
          <w:sz w:val="22"/>
          <w:szCs w:val="22"/>
        </w:rPr>
        <w:t xml:space="preserve">2015 </w:t>
      </w:r>
      <w:r w:rsidRPr="00383D45">
        <w:rPr>
          <w:rFonts w:ascii="GHEA Grapalat" w:hAnsi="GHEA Grapalat" w:cs="Sylfaen"/>
          <w:sz w:val="22"/>
          <w:szCs w:val="22"/>
        </w:rPr>
        <w:t>թվականին ապրանքների</w:t>
      </w:r>
      <w:r w:rsidRPr="00383D45">
        <w:rPr>
          <w:rFonts w:ascii="GHEA Grapalat" w:hAnsi="GHEA Grapalat" w:cs="Arial LatArm"/>
          <w:sz w:val="22"/>
          <w:szCs w:val="22"/>
        </w:rPr>
        <w:t xml:space="preserve"> գ</w:t>
      </w:r>
      <w:r w:rsidRPr="00383D45">
        <w:rPr>
          <w:rFonts w:ascii="GHEA Grapalat" w:hAnsi="GHEA Grapalat" w:cs="Sylfaen"/>
          <w:sz w:val="22"/>
          <w:szCs w:val="22"/>
        </w:rPr>
        <w:t>ծով արտաքին առևտրի բացասական մնացորդը</w:t>
      </w:r>
      <w:r w:rsidRPr="00383D45">
        <w:rPr>
          <w:rFonts w:ascii="GHEA Grapalat" w:hAnsi="GHEA Grapalat" w:cs="Arial LatArm"/>
          <w:sz w:val="22"/>
          <w:szCs w:val="22"/>
        </w:rPr>
        <w:t xml:space="preserve"> (</w:t>
      </w:r>
      <w:r w:rsidRPr="00383D45">
        <w:rPr>
          <w:rFonts w:ascii="GHEA Grapalat" w:hAnsi="GHEA Grapalat" w:cs="Sylfaen"/>
          <w:sz w:val="22"/>
          <w:szCs w:val="22"/>
        </w:rPr>
        <w:t>տե</w:t>
      </w:r>
      <w:r w:rsidRPr="00640A89">
        <w:rPr>
          <w:rFonts w:ascii="GHEA Grapalat" w:hAnsi="GHEA Grapalat" w:cs="Arial LatArm"/>
          <w:sz w:val="22"/>
          <w:szCs w:val="22"/>
        </w:rPr>
        <w:t>´</w:t>
      </w:r>
      <w:r w:rsidRPr="00383D45">
        <w:rPr>
          <w:rFonts w:ascii="GHEA Grapalat" w:hAnsi="GHEA Grapalat" w:cs="Sylfaen"/>
          <w:sz w:val="22"/>
          <w:szCs w:val="22"/>
        </w:rPr>
        <w:t>ս</w:t>
      </w:r>
      <w:r w:rsidRPr="00383D45">
        <w:rPr>
          <w:rFonts w:ascii="GHEA Grapalat" w:hAnsi="GHEA Grapalat" w:cs="Arial LatArm"/>
          <w:sz w:val="22"/>
          <w:szCs w:val="22"/>
        </w:rPr>
        <w:t xml:space="preserve"> Գ</w:t>
      </w:r>
      <w:r w:rsidRPr="00383D45">
        <w:rPr>
          <w:rFonts w:ascii="GHEA Grapalat" w:hAnsi="GHEA Grapalat" w:cs="Sylfaen"/>
          <w:sz w:val="22"/>
          <w:szCs w:val="22"/>
        </w:rPr>
        <w:t>ծապատկեր</w:t>
      </w:r>
      <w:r w:rsidRPr="00383D45">
        <w:rPr>
          <w:rFonts w:ascii="GHEA Grapalat" w:hAnsi="GHEA Grapalat" w:cs="Arial LatArm"/>
          <w:sz w:val="22"/>
          <w:szCs w:val="22"/>
        </w:rPr>
        <w:t xml:space="preserve"> 3) </w:t>
      </w:r>
      <w:r w:rsidRPr="00383D45">
        <w:rPr>
          <w:rFonts w:ascii="GHEA Grapalat" w:hAnsi="GHEA Grapalat" w:cs="Sylfaen"/>
          <w:sz w:val="22"/>
          <w:szCs w:val="22"/>
        </w:rPr>
        <w:t>կազմել է 1767.1 մլն ԱՄՆ դոլար` նախորդ տարվա նկատմամբ բարելավվելով 38.6%-ով (հիմնականում պայմանավորված ներմուծման կրճատմամբ)</w:t>
      </w:r>
      <w:r w:rsidRPr="00383D45">
        <w:rPr>
          <w:rFonts w:ascii="GHEA Grapalat" w:hAnsi="GHEA Grapalat" w:cs="Sylfaen"/>
          <w:sz w:val="22"/>
          <w:szCs w:val="22"/>
          <w:vertAlign w:val="superscript"/>
        </w:rPr>
        <w:footnoteReference w:id="11"/>
      </w:r>
      <w:r w:rsidRPr="00383D45">
        <w:rPr>
          <w:rFonts w:ascii="GHEA Grapalat" w:hAnsi="GHEA Grapalat" w:cs="Arial LatArm"/>
          <w:sz w:val="22"/>
          <w:szCs w:val="22"/>
        </w:rPr>
        <w:t>:</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b/>
          <w:i/>
          <w:sz w:val="22"/>
          <w:szCs w:val="22"/>
        </w:rPr>
        <w:t xml:space="preserve">Գծապատկեր 3. </w:t>
      </w:r>
      <w:r w:rsidRPr="00383D45">
        <w:rPr>
          <w:rFonts w:ascii="GHEA Grapalat" w:hAnsi="GHEA Grapalat" w:cs="Sylfaen"/>
          <w:sz w:val="22"/>
          <w:szCs w:val="22"/>
        </w:rPr>
        <w:t>Առևտրային հաշվեկշռի դինամիկան (մլն ԱՄՆ դոլար)</w:t>
      </w:r>
    </w:p>
    <w:p w:rsidR="00490F2F" w:rsidRPr="00383D45" w:rsidRDefault="00490F2F" w:rsidP="00490F2F">
      <w:pPr>
        <w:tabs>
          <w:tab w:val="num" w:pos="270"/>
        </w:tabs>
        <w:spacing w:line="360" w:lineRule="auto"/>
        <w:ind w:firstLine="567"/>
        <w:jc w:val="center"/>
        <w:rPr>
          <w:rFonts w:ascii="GHEA Grapalat" w:hAnsi="GHEA Grapalat" w:cs="Sylfaen"/>
          <w:sz w:val="22"/>
          <w:szCs w:val="22"/>
        </w:rPr>
      </w:pPr>
      <w:r w:rsidRPr="00383D45">
        <w:rPr>
          <w:rFonts w:ascii="GHEA Grapalat" w:hAnsi="GHEA Grapalat" w:cs="Sylfaen"/>
          <w:sz w:val="22"/>
          <w:szCs w:val="22"/>
          <w:lang w:val="ru-RU" w:eastAsia="ru-RU"/>
        </w:rPr>
        <w:lastRenderedPageBreak/>
        <w:drawing>
          <wp:inline distT="0" distB="0" distL="0" distR="0">
            <wp:extent cx="5905500" cy="29432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F2F" w:rsidRPr="00383D45" w:rsidRDefault="00490F2F" w:rsidP="00490F2F">
      <w:pPr>
        <w:tabs>
          <w:tab w:val="num" w:pos="720"/>
        </w:tabs>
        <w:spacing w:line="360" w:lineRule="auto"/>
        <w:ind w:firstLine="567"/>
        <w:jc w:val="both"/>
        <w:rPr>
          <w:rFonts w:ascii="GHEA Grapalat" w:hAnsi="GHEA Grapalat" w:cs="Sylfaen"/>
          <w:sz w:val="22"/>
          <w:szCs w:val="22"/>
          <w:lang w:val="en-US"/>
        </w:rPr>
      </w:pPr>
      <w:r w:rsidRPr="00383D45">
        <w:rPr>
          <w:rFonts w:ascii="GHEA Grapalat" w:hAnsi="GHEA Grapalat" w:cs="Sylfaen"/>
          <w:sz w:val="22"/>
          <w:szCs w:val="22"/>
        </w:rPr>
        <w:tab/>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sz w:val="22"/>
          <w:szCs w:val="22"/>
          <w:lang w:val="en-US"/>
        </w:rPr>
        <w:tab/>
      </w:r>
      <w:r w:rsidRPr="00383D45">
        <w:rPr>
          <w:rFonts w:ascii="GHEA Grapalat" w:hAnsi="GHEA Grapalat" w:cs="Sylfaen"/>
          <w:sz w:val="22"/>
          <w:szCs w:val="22"/>
        </w:rPr>
        <w:t>Արտաքին ապրանքաշրջանառությունը 2015 թվականի</w:t>
      </w:r>
      <w:r w:rsidRPr="00383D45">
        <w:rPr>
          <w:rFonts w:ascii="GHEA Grapalat" w:hAnsi="GHEA Grapalat" w:cs="Sylfaen"/>
          <w:sz w:val="22"/>
          <w:szCs w:val="22"/>
          <w:lang w:val="en-US"/>
        </w:rPr>
        <w:t>ն</w:t>
      </w:r>
      <w:r w:rsidRPr="00383D45">
        <w:rPr>
          <w:rFonts w:ascii="GHEA Grapalat" w:hAnsi="GHEA Grapalat" w:cs="Sylfaen"/>
          <w:sz w:val="22"/>
          <w:szCs w:val="22"/>
        </w:rPr>
        <w:t xml:space="preserve"> կազմել է </w:t>
      </w:r>
      <w:r w:rsidRPr="00383D45">
        <w:rPr>
          <w:rFonts w:ascii="GHEA Grapalat" w:hAnsi="GHEA Grapalat" w:cs="Sylfaen"/>
          <w:sz w:val="22"/>
          <w:szCs w:val="22"/>
          <w:lang w:val="en-US"/>
        </w:rPr>
        <w:t>4740.9</w:t>
      </w:r>
      <w:r w:rsidRPr="00383D45">
        <w:rPr>
          <w:rFonts w:ascii="GHEA Grapalat" w:hAnsi="GHEA Grapalat" w:cs="Sylfaen"/>
          <w:sz w:val="22"/>
          <w:szCs w:val="22"/>
        </w:rPr>
        <w:t xml:space="preserve"> մլն ԱՄՆ դոլար` նախորդ տարվա համեմատ նվազելով շուրջ 20.</w:t>
      </w:r>
      <w:r w:rsidRPr="00383D45">
        <w:rPr>
          <w:rFonts w:ascii="GHEA Grapalat" w:hAnsi="GHEA Grapalat" w:cs="Sylfaen"/>
          <w:sz w:val="22"/>
          <w:szCs w:val="22"/>
          <w:lang w:val="en-US"/>
        </w:rPr>
        <w:t>6</w:t>
      </w:r>
      <w:r w:rsidRPr="00383D45">
        <w:rPr>
          <w:rFonts w:ascii="GHEA Grapalat" w:hAnsi="GHEA Grapalat" w:cs="Sylfaen"/>
          <w:sz w:val="22"/>
          <w:szCs w:val="22"/>
        </w:rPr>
        <w:t xml:space="preserve">%-ով: Հաշվետու տարում դոլարային արտահայտությամբ նվազել են արտահանման և ներմուծման ծավալները. արտահանումը նվազել է </w:t>
      </w:r>
      <w:r w:rsidRPr="00383D45">
        <w:rPr>
          <w:rFonts w:ascii="GHEA Grapalat" w:hAnsi="GHEA Grapalat" w:cs="Sylfaen"/>
          <w:sz w:val="22"/>
          <w:szCs w:val="22"/>
          <w:lang w:val="en-US"/>
        </w:rPr>
        <w:t>3.9</w:t>
      </w:r>
      <w:r w:rsidRPr="00383D45">
        <w:rPr>
          <w:rFonts w:ascii="GHEA Grapalat" w:hAnsi="GHEA Grapalat" w:cs="Sylfaen"/>
          <w:sz w:val="22"/>
          <w:szCs w:val="22"/>
        </w:rPr>
        <w:t xml:space="preserve">%-ով` կազմելով </w:t>
      </w:r>
      <w:r w:rsidRPr="00383D45">
        <w:rPr>
          <w:rFonts w:ascii="GHEA Grapalat" w:hAnsi="GHEA Grapalat" w:cs="Sylfaen"/>
          <w:sz w:val="22"/>
          <w:szCs w:val="22"/>
          <w:lang w:val="en-US"/>
        </w:rPr>
        <w:t>1486.9</w:t>
      </w:r>
      <w:r w:rsidRPr="00383D45">
        <w:rPr>
          <w:rFonts w:ascii="GHEA Grapalat" w:hAnsi="GHEA Grapalat" w:cs="Sylfaen"/>
          <w:sz w:val="22"/>
          <w:szCs w:val="22"/>
        </w:rPr>
        <w:t xml:space="preserve"> մլն ԱՄՆ դոլար, իսկ ներմուծումը` 26.</w:t>
      </w:r>
      <w:r w:rsidRPr="00383D45">
        <w:rPr>
          <w:rFonts w:ascii="GHEA Grapalat" w:hAnsi="GHEA Grapalat" w:cs="Sylfaen"/>
          <w:sz w:val="22"/>
          <w:szCs w:val="22"/>
          <w:lang w:val="en-US"/>
        </w:rPr>
        <w:t>5</w:t>
      </w:r>
      <w:r w:rsidRPr="00383D45">
        <w:rPr>
          <w:rFonts w:ascii="GHEA Grapalat" w:hAnsi="GHEA Grapalat" w:cs="Sylfaen"/>
          <w:sz w:val="22"/>
          <w:szCs w:val="22"/>
        </w:rPr>
        <w:t xml:space="preserve">%-ով և կազմել է </w:t>
      </w:r>
      <w:r w:rsidRPr="00383D45">
        <w:rPr>
          <w:rFonts w:ascii="GHEA Grapalat" w:hAnsi="GHEA Grapalat" w:cs="Sylfaen"/>
          <w:sz w:val="22"/>
          <w:szCs w:val="22"/>
          <w:lang w:val="en-US"/>
        </w:rPr>
        <w:t>3254</w:t>
      </w:r>
      <w:r w:rsidRPr="00383D45">
        <w:rPr>
          <w:rFonts w:ascii="GHEA Grapalat" w:hAnsi="GHEA Grapalat" w:cs="Sylfaen"/>
          <w:sz w:val="22"/>
          <w:szCs w:val="22"/>
        </w:rPr>
        <w:t xml:space="preserve"> մլն ԱՄՆ դոլար:</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Arial LatArm"/>
          <w:sz w:val="22"/>
          <w:szCs w:val="22"/>
        </w:rPr>
        <w:t xml:space="preserve">Ներմուծման ծավալները կտրուկ կրճատվել են, ընդ որում` ներմուծման անկումը տեղի է ունեցել գրեթե բոլոր ապրանքախմբերի գծով: </w:t>
      </w:r>
      <w:r w:rsidRPr="00383D45">
        <w:rPr>
          <w:rFonts w:ascii="GHEA Grapalat" w:hAnsi="GHEA Grapalat" w:cs="Sylfaen"/>
          <w:sz w:val="22"/>
          <w:szCs w:val="22"/>
        </w:rPr>
        <w:t>2015 թվականի</w:t>
      </w:r>
      <w:r w:rsidRPr="00640A89">
        <w:rPr>
          <w:rFonts w:ascii="GHEA Grapalat" w:hAnsi="GHEA Grapalat" w:cs="Sylfaen"/>
          <w:sz w:val="22"/>
          <w:szCs w:val="22"/>
        </w:rPr>
        <w:t>ն</w:t>
      </w:r>
      <w:r w:rsidRPr="00383D45">
        <w:rPr>
          <w:rFonts w:ascii="GHEA Grapalat" w:hAnsi="GHEA Grapalat" w:cs="Sylfaen"/>
          <w:sz w:val="22"/>
          <w:szCs w:val="22"/>
        </w:rPr>
        <w:t xml:space="preserve"> ներմուծման նվազումը հիմնականում </w:t>
      </w:r>
      <w:r w:rsidRPr="00383D45">
        <w:rPr>
          <w:rFonts w:ascii="GHEA Grapalat" w:hAnsi="GHEA Grapalat" w:cs="Arial LatArm"/>
          <w:sz w:val="22"/>
          <w:szCs w:val="22"/>
        </w:rPr>
        <w:t>պայմանավորվել է արտահանման խնդիրներով և ներքին պահանջարկի կրճատմամբ:</w:t>
      </w:r>
      <w:r w:rsidRPr="00640A89">
        <w:rPr>
          <w:rFonts w:ascii="GHEA Grapalat" w:hAnsi="GHEA Grapalat" w:cs="Arial LatArm"/>
          <w:sz w:val="22"/>
          <w:szCs w:val="22"/>
        </w:rPr>
        <w:t xml:space="preserve"> </w:t>
      </w:r>
      <w:r w:rsidRPr="00383D45">
        <w:rPr>
          <w:rFonts w:ascii="GHEA Grapalat" w:hAnsi="GHEA Grapalat" w:cs="Sylfaen"/>
          <w:sz w:val="22"/>
          <w:szCs w:val="22"/>
        </w:rPr>
        <w:t>Մասնավորապես</w:t>
      </w:r>
      <w:r w:rsidRPr="00640A89">
        <w:rPr>
          <w:rFonts w:ascii="GHEA Grapalat" w:hAnsi="GHEA Grapalat" w:cs="Sylfaen"/>
          <w:sz w:val="22"/>
          <w:szCs w:val="22"/>
        </w:rPr>
        <w:t>՝</w:t>
      </w:r>
      <w:r w:rsidRPr="00383D45">
        <w:rPr>
          <w:rFonts w:ascii="GHEA Grapalat" w:hAnsi="GHEA Grapalat" w:cs="Sylfaen"/>
          <w:sz w:val="22"/>
          <w:szCs w:val="22"/>
        </w:rPr>
        <w:t xml:space="preserve"> նվազման 4.2 տոկոսային կետը պայմանավորվել է «Թանկարժեք և կիսաթանկարժեք քարեր, թանկարժեք մետաղներ և դրանցից իրեր» ապրանքախմբով, որոնք միջանկյալ սպառման բնույթ ունեն (ներմուծվում են վերամշակման և հետագայում արտահանման նպատակով) և հաշվի առնելով ադամանդի արտահանման դժվարություններն արտաքին շուկաներում (խմբի արտահանումը կրճատվել է 10.6%-ով, այդ թվում` ադամանդի արտահանումը` 34.4%-ով)</w:t>
      </w:r>
      <w:r w:rsidRPr="00640A89">
        <w:rPr>
          <w:rFonts w:ascii="GHEA Grapalat" w:hAnsi="GHEA Grapalat" w:cs="Sylfaen"/>
          <w:sz w:val="22"/>
          <w:szCs w:val="22"/>
        </w:rPr>
        <w:t>՝</w:t>
      </w:r>
      <w:r w:rsidRPr="00383D45">
        <w:rPr>
          <w:rFonts w:ascii="GHEA Grapalat" w:hAnsi="GHEA Grapalat" w:cs="Sylfaen"/>
          <w:sz w:val="22"/>
          <w:szCs w:val="22"/>
        </w:rPr>
        <w:t xml:space="preserve"> կրճատվել է նաև համապատասխան հումքի ներմուծումը: Հաջորդ նշանակալի ազդեցությունը թողել է ներմուծման կառուցվածքում ամենամեծ` 19</w:t>
      </w:r>
      <w:r w:rsidRPr="00640A89">
        <w:rPr>
          <w:rFonts w:ascii="GHEA Grapalat" w:hAnsi="GHEA Grapalat" w:cs="Sylfaen"/>
          <w:sz w:val="22"/>
          <w:szCs w:val="22"/>
        </w:rPr>
        <w:t>.</w:t>
      </w:r>
      <w:r w:rsidRPr="00383D45">
        <w:rPr>
          <w:rFonts w:ascii="GHEA Grapalat" w:hAnsi="GHEA Grapalat" w:cs="Sylfaen"/>
          <w:sz w:val="22"/>
          <w:szCs w:val="22"/>
        </w:rPr>
        <w:t>8</w:t>
      </w:r>
      <w:r w:rsidRPr="00640A89">
        <w:rPr>
          <w:rFonts w:ascii="GHEA Grapalat" w:hAnsi="GHEA Grapalat" w:cs="Sylfaen"/>
          <w:sz w:val="22"/>
          <w:szCs w:val="22"/>
        </w:rPr>
        <w:t>%</w:t>
      </w:r>
      <w:r w:rsidRPr="00383D45">
        <w:rPr>
          <w:rFonts w:ascii="GHEA Grapalat" w:hAnsi="GHEA Grapalat" w:cs="Sylfaen"/>
          <w:sz w:val="22"/>
          <w:szCs w:val="22"/>
        </w:rPr>
        <w:t xml:space="preserve"> կշիռ ունեցող «Հանքահումքային արտադրանք» ապրանքախումբը, որը ներմուծման նվազմանը ամենաբարձր` 4.8 տոկոսային կետ նպաստումն է ունեցել, ինչը հիմնականում պայմանավորված էր ներքին պահանջարկի կրճատմամբ` կապված բարենպաստ եղանակային պայմաններով (ձմռան տաք ամիսներով) և բնակչության էներգակիրների (այդ թվում` գազի) սպառման կրճատմամբ: Ներմուծման նվազմանը համապատասխանաբար 3.9 և 3.4 տոկոսային կետերով նպաստել </w:t>
      </w:r>
      <w:r w:rsidRPr="00640A89">
        <w:rPr>
          <w:rFonts w:ascii="GHEA Grapalat" w:hAnsi="GHEA Grapalat" w:cs="Sylfaen"/>
          <w:sz w:val="22"/>
          <w:szCs w:val="22"/>
        </w:rPr>
        <w:t>է</w:t>
      </w:r>
      <w:r w:rsidRPr="00383D45">
        <w:rPr>
          <w:rFonts w:ascii="GHEA Grapalat" w:hAnsi="GHEA Grapalat" w:cs="Sylfaen"/>
          <w:sz w:val="22"/>
          <w:szCs w:val="22"/>
        </w:rPr>
        <w:t xml:space="preserve"> նաև «Մեքենաներ, </w:t>
      </w:r>
      <w:r w:rsidRPr="00383D45">
        <w:rPr>
          <w:rFonts w:ascii="GHEA Grapalat" w:hAnsi="GHEA Grapalat" w:cs="Sylfaen"/>
          <w:sz w:val="22"/>
          <w:szCs w:val="22"/>
        </w:rPr>
        <w:lastRenderedPageBreak/>
        <w:t>սարքավորումներ և մեխանիզմներ» և «Վերգետնյա օդային և ջրային տրանսպորտի միջոցներ» ապրանքախմբերի նվազումը, ինչը հիմնականում բազային էֆեկտ ունի` պայմանավորված ինչպես 2014 թվականի տ</w:t>
      </w:r>
      <w:r w:rsidRPr="00796991">
        <w:rPr>
          <w:rFonts w:ascii="GHEA Grapalat" w:hAnsi="GHEA Grapalat" w:cs="Sylfaen"/>
          <w:sz w:val="22"/>
          <w:szCs w:val="22"/>
        </w:rPr>
        <w:t>ա</w:t>
      </w:r>
      <w:r w:rsidRPr="00383D45">
        <w:rPr>
          <w:rFonts w:ascii="GHEA Grapalat" w:hAnsi="GHEA Grapalat" w:cs="Sylfaen"/>
          <w:sz w:val="22"/>
          <w:szCs w:val="22"/>
        </w:rPr>
        <w:t>րեվերջի արտարժութային շուկայում տեղի ունեցած իրադարձություններով, այնպես էլ ԵԱՏՄ-ին միանալու հետ կապված</w:t>
      </w:r>
      <w:r w:rsidRPr="00640A89">
        <w:rPr>
          <w:rFonts w:ascii="GHEA Grapalat" w:hAnsi="GHEA Grapalat" w:cs="Sylfaen"/>
          <w:sz w:val="22"/>
          <w:szCs w:val="22"/>
        </w:rPr>
        <w:t>՝</w:t>
      </w:r>
      <w:r w:rsidRPr="00383D45">
        <w:rPr>
          <w:rFonts w:ascii="GHEA Grapalat" w:hAnsi="GHEA Grapalat" w:cs="Sylfaen"/>
          <w:sz w:val="22"/>
          <w:szCs w:val="22"/>
        </w:rPr>
        <w:t xml:space="preserve"> բնակչության կողմից ավտոմեքենաների և սարքավորումների մաքսատուրքի և գների աճի սպասումների արդյունքում 2014 թվականի ընթացքում այդ ապրանքների մեծ ծավալով ներկրմամբ: Մյուս բոլոր ապրանքախմբերը` բացառությամբ «Սարքեր և ապարատների» (դրական նպաստում), ներմուծման կրճատմանը փոքր նպաստումներ են ցուցաբերել: </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sz w:val="22"/>
          <w:szCs w:val="22"/>
        </w:rPr>
        <w:t>Տարվա ընթացքում արձանագրվել է ներդրումային բնույթի</w:t>
      </w:r>
      <w:r w:rsidRPr="00383D45">
        <w:rPr>
          <w:rFonts w:ascii="GHEA Grapalat" w:hAnsi="GHEA Grapalat" w:cs="Sylfaen"/>
          <w:sz w:val="22"/>
          <w:szCs w:val="22"/>
          <w:vertAlign w:val="superscript"/>
        </w:rPr>
        <w:footnoteReference w:id="12"/>
      </w:r>
      <w:r w:rsidRPr="00383D45">
        <w:rPr>
          <w:rFonts w:ascii="GHEA Grapalat" w:hAnsi="GHEA Grapalat" w:cs="Sylfaen"/>
          <w:sz w:val="22"/>
          <w:szCs w:val="22"/>
        </w:rPr>
        <w:t xml:space="preserve"> ապրանքների ներմուծման 28.3</w:t>
      </w:r>
      <w:r w:rsidRPr="00640A89">
        <w:rPr>
          <w:rFonts w:ascii="GHEA Grapalat" w:hAnsi="GHEA Grapalat" w:cs="Sylfaen"/>
          <w:sz w:val="22"/>
          <w:szCs w:val="22"/>
        </w:rPr>
        <w:t>%</w:t>
      </w:r>
      <w:r w:rsidRPr="00383D45">
        <w:rPr>
          <w:rFonts w:ascii="GHEA Grapalat" w:hAnsi="GHEA Grapalat" w:cs="Sylfaen"/>
          <w:sz w:val="22"/>
          <w:szCs w:val="22"/>
        </w:rPr>
        <w:t xml:space="preserve"> անկում` մոտ 5 տոկոսային կետով բացասա</w:t>
      </w:r>
      <w:r w:rsidRPr="00640A89">
        <w:rPr>
          <w:rFonts w:ascii="GHEA Grapalat" w:hAnsi="GHEA Grapalat" w:cs="Sylfaen"/>
          <w:sz w:val="22"/>
          <w:szCs w:val="22"/>
        </w:rPr>
        <w:t>բար</w:t>
      </w:r>
      <w:r w:rsidRPr="00383D45">
        <w:rPr>
          <w:rFonts w:ascii="GHEA Grapalat" w:hAnsi="GHEA Grapalat" w:cs="Sylfaen"/>
          <w:sz w:val="22"/>
          <w:szCs w:val="22"/>
        </w:rPr>
        <w:t xml:space="preserve"> նպաստելով ներմուծմանը: Հումքային ապրանքների (այդ թվում</w:t>
      </w:r>
      <w:r w:rsidRPr="00640A89">
        <w:rPr>
          <w:rFonts w:ascii="GHEA Grapalat" w:hAnsi="GHEA Grapalat" w:cs="Sylfaen"/>
          <w:sz w:val="22"/>
          <w:szCs w:val="22"/>
        </w:rPr>
        <w:t>՝</w:t>
      </w:r>
      <w:r w:rsidRPr="00383D45">
        <w:rPr>
          <w:rFonts w:ascii="GHEA Grapalat" w:hAnsi="GHEA Grapalat" w:cs="Sylfaen"/>
          <w:sz w:val="22"/>
          <w:szCs w:val="22"/>
        </w:rPr>
        <w:t xml:space="preserve"> բնական գազի և նավթի) ներմուծման մոտ 23% նվազումը ներմուծմանը բացասա</w:t>
      </w:r>
      <w:r w:rsidRPr="00640A89">
        <w:rPr>
          <w:rFonts w:ascii="GHEA Grapalat" w:hAnsi="GHEA Grapalat" w:cs="Sylfaen"/>
          <w:sz w:val="22"/>
          <w:szCs w:val="22"/>
        </w:rPr>
        <w:t>բար</w:t>
      </w:r>
      <w:r w:rsidRPr="00383D45">
        <w:rPr>
          <w:rFonts w:ascii="GHEA Grapalat" w:hAnsi="GHEA Grapalat" w:cs="Sylfaen"/>
          <w:sz w:val="22"/>
          <w:szCs w:val="22"/>
        </w:rPr>
        <w:t xml:space="preserve"> է նպաստել շուրջ 10 տոկոսային կետով, իսկ սպառողական</w:t>
      </w:r>
      <w:r w:rsidRPr="00383D45">
        <w:rPr>
          <w:rFonts w:ascii="GHEA Grapalat" w:hAnsi="GHEA Grapalat" w:cs="Arial LatArm"/>
          <w:sz w:val="22"/>
          <w:szCs w:val="22"/>
        </w:rPr>
        <w:t xml:space="preserve"> բնույթի </w:t>
      </w:r>
      <w:r w:rsidRPr="00383D45">
        <w:rPr>
          <w:rFonts w:ascii="GHEA Grapalat" w:hAnsi="GHEA Grapalat" w:cs="Sylfaen"/>
          <w:sz w:val="22"/>
          <w:szCs w:val="22"/>
        </w:rPr>
        <w:t>ապրանքների ներմուծման մոտ 15</w:t>
      </w:r>
      <w:r w:rsidRPr="00640A89">
        <w:rPr>
          <w:rFonts w:ascii="GHEA Grapalat" w:hAnsi="GHEA Grapalat" w:cs="Sylfaen"/>
          <w:sz w:val="22"/>
          <w:szCs w:val="22"/>
        </w:rPr>
        <w:t>%</w:t>
      </w:r>
      <w:r w:rsidRPr="00383D45">
        <w:rPr>
          <w:rFonts w:ascii="GHEA Grapalat" w:hAnsi="GHEA Grapalat" w:cs="Sylfaen"/>
          <w:sz w:val="22"/>
          <w:szCs w:val="22"/>
        </w:rPr>
        <w:t xml:space="preserve"> անկումը` շուրջ 2.6 տոկոսային կետով:</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sz w:val="22"/>
          <w:szCs w:val="22"/>
        </w:rPr>
        <w:t xml:space="preserve">Արտահանման կրճատումը </w:t>
      </w:r>
      <w:r w:rsidRPr="00383D45">
        <w:rPr>
          <w:rFonts w:ascii="GHEA Grapalat" w:hAnsi="GHEA Grapalat" w:cs="Arial LatArm"/>
          <w:sz w:val="22"/>
          <w:szCs w:val="22"/>
        </w:rPr>
        <w:t xml:space="preserve">հիմնականում պայմանավորվել է արտաքին պահանջարկի նվազմամբ, ինչպես </w:t>
      </w:r>
      <w:r w:rsidRPr="00383D45">
        <w:rPr>
          <w:rFonts w:ascii="GHEA Grapalat" w:hAnsi="GHEA Grapalat" w:cs="Sylfaen"/>
          <w:sz w:val="22"/>
          <w:szCs w:val="22"/>
        </w:rPr>
        <w:t>նաև մետաղների միջազգային գների նվազման և դրամի իրական արժևորման հետևանքով արտահանվող ապրանքների մրցունակության անկմամբ</w:t>
      </w:r>
      <w:r w:rsidRPr="00383D45">
        <w:rPr>
          <w:rFonts w:ascii="GHEA Grapalat" w:hAnsi="GHEA Grapalat" w:cs="Arial LatArm"/>
          <w:sz w:val="22"/>
          <w:szCs w:val="22"/>
        </w:rPr>
        <w:t xml:space="preserve">: </w:t>
      </w:r>
      <w:r w:rsidRPr="00383D45">
        <w:rPr>
          <w:rFonts w:ascii="GHEA Grapalat" w:hAnsi="GHEA Grapalat" w:cs="Sylfaen"/>
          <w:sz w:val="22"/>
          <w:szCs w:val="22"/>
        </w:rPr>
        <w:t>2015 թվականի արդյունքներով արտահանմ</w:t>
      </w:r>
      <w:r w:rsidRPr="00383D45">
        <w:rPr>
          <w:rFonts w:ascii="GHEA Grapalat" w:hAnsi="GHEA Grapalat" w:cs="Arial LatArm"/>
          <w:sz w:val="22"/>
          <w:szCs w:val="22"/>
        </w:rPr>
        <w:t xml:space="preserve">ան անկմանը (3.9%) </w:t>
      </w:r>
      <w:r w:rsidRPr="00383D45">
        <w:rPr>
          <w:rFonts w:ascii="GHEA Grapalat" w:hAnsi="GHEA Grapalat" w:cs="Sylfaen"/>
          <w:sz w:val="22"/>
          <w:szCs w:val="22"/>
        </w:rPr>
        <w:t>նշանակալի նպաստում են ունեցել «Ոչ թանկարժեք մետաղներ և դրանցից պատրաստված իրեր» (</w:t>
      </w:r>
      <w:r w:rsidRPr="00383D45">
        <w:rPr>
          <w:rFonts w:ascii="GHEA Grapalat" w:hAnsi="GHEA Grapalat" w:cs="Arial LatArm"/>
          <w:sz w:val="22"/>
          <w:szCs w:val="22"/>
        </w:rPr>
        <w:t xml:space="preserve">4.7 </w:t>
      </w:r>
      <w:r w:rsidRPr="00383D45">
        <w:rPr>
          <w:rFonts w:ascii="GHEA Grapalat" w:hAnsi="GHEA Grapalat" w:cs="Sylfaen"/>
          <w:sz w:val="22"/>
          <w:szCs w:val="22"/>
        </w:rPr>
        <w:t xml:space="preserve">տոկոսային կետ) և </w:t>
      </w:r>
      <w:r w:rsidRPr="00383D45">
        <w:rPr>
          <w:rFonts w:ascii="GHEA Grapalat" w:hAnsi="GHEA Grapalat" w:cs="Arial LatArm"/>
          <w:sz w:val="22"/>
          <w:szCs w:val="22"/>
        </w:rPr>
        <w:t>«</w:t>
      </w:r>
      <w:r w:rsidRPr="00383D45">
        <w:rPr>
          <w:rFonts w:ascii="GHEA Grapalat" w:hAnsi="GHEA Grapalat" w:cs="Sylfaen"/>
          <w:sz w:val="22"/>
          <w:szCs w:val="22"/>
        </w:rPr>
        <w:t>Պատրաստի սննդի արտադրանք» (</w:t>
      </w:r>
      <w:r w:rsidRPr="00383D45">
        <w:rPr>
          <w:rFonts w:ascii="GHEA Grapalat" w:hAnsi="GHEA Grapalat" w:cs="Arial LatArm"/>
          <w:sz w:val="22"/>
          <w:szCs w:val="22"/>
        </w:rPr>
        <w:t xml:space="preserve">2.0 </w:t>
      </w:r>
      <w:r w:rsidRPr="00383D45">
        <w:rPr>
          <w:rFonts w:ascii="GHEA Grapalat" w:hAnsi="GHEA Grapalat" w:cs="Sylfaen"/>
          <w:sz w:val="22"/>
          <w:szCs w:val="22"/>
        </w:rPr>
        <w:t>տոկոսային կետ) ապրանքախմբերը` կրելով հիմնական գործընկեր երկրների տնտեսական անբարենպաստ զարգացումների ազդեցությունը</w:t>
      </w:r>
      <w:r w:rsidRPr="00383D45">
        <w:rPr>
          <w:rFonts w:ascii="GHEA Grapalat" w:hAnsi="GHEA Grapalat" w:cs="Arial LatArm"/>
          <w:sz w:val="22"/>
          <w:szCs w:val="22"/>
        </w:rPr>
        <w:t>: Մյուս կողմից ա</w:t>
      </w:r>
      <w:r w:rsidRPr="00383D45">
        <w:rPr>
          <w:rFonts w:ascii="GHEA Grapalat" w:hAnsi="GHEA Grapalat" w:cs="Sylfaen"/>
          <w:sz w:val="22"/>
          <w:szCs w:val="22"/>
        </w:rPr>
        <w:t>րտահանման անկմանը հակազդել են հիմնականում «Հանքահումքային արտադրանք» (5 տոկոսային կետ) և</w:t>
      </w:r>
      <w:r w:rsidRPr="00383D45">
        <w:rPr>
          <w:rFonts w:ascii="GHEA Grapalat" w:hAnsi="GHEA Grapalat" w:cs="Arial LatArm"/>
          <w:sz w:val="22"/>
          <w:szCs w:val="22"/>
        </w:rPr>
        <w:t xml:space="preserve"> «Մանածագործական իրեր» (2</w:t>
      </w:r>
      <w:r w:rsidRPr="00383D45">
        <w:rPr>
          <w:rFonts w:ascii="GHEA Grapalat" w:hAnsi="GHEA Grapalat" w:cs="Sylfaen"/>
          <w:sz w:val="22"/>
          <w:szCs w:val="22"/>
        </w:rPr>
        <w:t xml:space="preserve"> տոկոսային կետ) ապրանքախմբերը: Հայրենական ապրանքների նկատմամբ արտաքին պահանջարկի նվազումը մասամբ պայմանավորված է դոլարի նկատմամբ գործընկեր երկրների ազգային արժույթների ավելի խորը արժեզրկմամբ, ինչը հանգեցրել է ՀՀ դրամի իրական արդյունավետ փոխարժեքի արժևորմանը և դրա հետևանքով արտահանվող ապրանքների մրցունակության անկմանը:</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1768F">
        <w:rPr>
          <w:rFonts w:ascii="GHEA Grapalat" w:hAnsi="GHEA Grapalat" w:cs="Sylfaen"/>
          <w:i/>
          <w:sz w:val="22"/>
          <w:szCs w:val="22"/>
        </w:rPr>
        <w:t>Նորմալացված առևտրային հաշվեկշիռ</w:t>
      </w:r>
      <w:r w:rsidRPr="0031768F">
        <w:rPr>
          <w:rFonts w:ascii="GHEA Grapalat" w:hAnsi="GHEA Grapalat" w:cs="Sylfaen"/>
          <w:i/>
          <w:sz w:val="22"/>
          <w:szCs w:val="22"/>
          <w:vertAlign w:val="superscript"/>
        </w:rPr>
        <w:footnoteReference w:id="13"/>
      </w:r>
      <w:r w:rsidRPr="00640A89">
        <w:rPr>
          <w:rFonts w:ascii="GHEA Grapalat" w:hAnsi="GHEA Grapalat" w:cs="Sylfaen"/>
          <w:i/>
          <w:sz w:val="22"/>
          <w:szCs w:val="22"/>
        </w:rPr>
        <w:t>:</w:t>
      </w:r>
      <w:r>
        <w:rPr>
          <w:rFonts w:ascii="GHEA Grapalat" w:hAnsi="GHEA Grapalat" w:cs="Sylfaen"/>
          <w:sz w:val="22"/>
          <w:szCs w:val="22"/>
        </w:rPr>
        <w:t xml:space="preserve"> </w:t>
      </w:r>
      <w:r w:rsidRPr="00383D45">
        <w:rPr>
          <w:rFonts w:ascii="GHEA Grapalat" w:hAnsi="GHEA Grapalat" w:cs="Sylfaen"/>
          <w:sz w:val="22"/>
          <w:szCs w:val="22"/>
        </w:rPr>
        <w:t>Տնտեսական անվտան</w:t>
      </w:r>
      <w:r w:rsidRPr="00383D45">
        <w:rPr>
          <w:rFonts w:ascii="GHEA Grapalat" w:hAnsi="GHEA Grapalat" w:cs="Arial LatArm"/>
          <w:sz w:val="22"/>
          <w:szCs w:val="22"/>
        </w:rPr>
        <w:t>գ</w:t>
      </w:r>
      <w:r w:rsidRPr="00383D45">
        <w:rPr>
          <w:rFonts w:ascii="GHEA Grapalat" w:hAnsi="GHEA Grapalat" w:cs="Sylfaen"/>
          <w:sz w:val="22"/>
          <w:szCs w:val="22"/>
        </w:rPr>
        <w:t>ությունը բնութա</w:t>
      </w:r>
      <w:r w:rsidRPr="00383D45">
        <w:rPr>
          <w:rFonts w:ascii="GHEA Grapalat" w:hAnsi="GHEA Grapalat" w:cs="Arial LatArm"/>
          <w:sz w:val="22"/>
          <w:szCs w:val="22"/>
        </w:rPr>
        <w:t>գ</w:t>
      </w:r>
      <w:r w:rsidRPr="00383D45">
        <w:rPr>
          <w:rFonts w:ascii="GHEA Grapalat" w:hAnsi="GHEA Grapalat" w:cs="Sylfaen"/>
          <w:sz w:val="22"/>
          <w:szCs w:val="22"/>
        </w:rPr>
        <w:t xml:space="preserve">րող ցուցանիշներից է նորմալացված առևտրային հաշվեկշռի գործակիցը, որը հիմնականում </w:t>
      </w:r>
      <w:r w:rsidRPr="00383D45">
        <w:rPr>
          <w:rFonts w:ascii="GHEA Grapalat" w:hAnsi="GHEA Grapalat" w:cs="Sylfaen"/>
          <w:sz w:val="22"/>
          <w:szCs w:val="22"/>
        </w:rPr>
        <w:lastRenderedPageBreak/>
        <w:t>պայմանավորված դոլարային արտահայտությամբ արտահանման առաջանցիկ աճով (ներմուծման առաջանցիկ անկմամբ)</w:t>
      </w:r>
      <w:r w:rsidRPr="00383D45">
        <w:rPr>
          <w:rFonts w:ascii="GHEA Grapalat" w:hAnsi="GHEA Grapalat" w:cs="Sylfaen"/>
          <w:sz w:val="22"/>
          <w:szCs w:val="22"/>
          <w:vertAlign w:val="superscript"/>
        </w:rPr>
        <w:footnoteReference w:id="14"/>
      </w:r>
      <w:r w:rsidRPr="00640A89">
        <w:rPr>
          <w:rFonts w:ascii="GHEA Grapalat" w:hAnsi="GHEA Grapalat" w:cs="Sylfaen"/>
          <w:sz w:val="22"/>
          <w:szCs w:val="22"/>
        </w:rPr>
        <w:t>՝</w:t>
      </w:r>
      <w:r w:rsidRPr="00383D45">
        <w:rPr>
          <w:rFonts w:ascii="GHEA Grapalat" w:hAnsi="GHEA Grapalat" w:cs="Sylfaen"/>
          <w:sz w:val="22"/>
          <w:szCs w:val="22"/>
        </w:rPr>
        <w:t xml:space="preserve"> հետճգնաժամային տարիներին բարելավվել է` 2015 թվականին կազմելով -0.37 և շարունակելով վերջին տարիներին ձևավորված բարելավման միտումը (տե</w:t>
      </w:r>
      <w:r w:rsidRPr="00640A89">
        <w:rPr>
          <w:rFonts w:ascii="GHEA Grapalat" w:hAnsi="GHEA Grapalat" w:cs="Sylfaen"/>
          <w:sz w:val="22"/>
          <w:szCs w:val="22"/>
        </w:rPr>
        <w:t>´</w:t>
      </w:r>
      <w:r w:rsidRPr="00383D45">
        <w:rPr>
          <w:rFonts w:ascii="GHEA Grapalat" w:hAnsi="GHEA Grapalat" w:cs="Sylfaen"/>
          <w:sz w:val="22"/>
          <w:szCs w:val="22"/>
        </w:rPr>
        <w:t>ս Գծապատկեր 4):</w:t>
      </w:r>
    </w:p>
    <w:p w:rsidR="00490F2F" w:rsidRPr="00383D45" w:rsidRDefault="00490F2F" w:rsidP="00490F2F">
      <w:pPr>
        <w:tabs>
          <w:tab w:val="num" w:pos="720"/>
        </w:tabs>
        <w:spacing w:line="360" w:lineRule="auto"/>
        <w:ind w:firstLine="567"/>
        <w:jc w:val="both"/>
        <w:rPr>
          <w:rFonts w:ascii="GHEA Grapalat" w:hAnsi="GHEA Grapalat" w:cs="Sylfaen"/>
          <w:sz w:val="22"/>
          <w:szCs w:val="22"/>
        </w:rPr>
      </w:pPr>
    </w:p>
    <w:p w:rsidR="00490F2F" w:rsidRPr="00383D45" w:rsidRDefault="00490F2F" w:rsidP="00490F2F">
      <w:pPr>
        <w:tabs>
          <w:tab w:val="num" w:pos="720"/>
        </w:tabs>
        <w:spacing w:line="360" w:lineRule="auto"/>
        <w:ind w:firstLine="567"/>
        <w:rPr>
          <w:rFonts w:ascii="GHEA Grapalat" w:hAnsi="GHEA Grapalat" w:cs="Sylfaen"/>
          <w:sz w:val="22"/>
          <w:szCs w:val="22"/>
        </w:rPr>
      </w:pPr>
      <w:r w:rsidRPr="00383D45">
        <w:rPr>
          <w:rFonts w:ascii="GHEA Grapalat" w:hAnsi="GHEA Grapalat" w:cs="Sylfaen"/>
          <w:b/>
          <w:i/>
          <w:sz w:val="22"/>
          <w:szCs w:val="22"/>
        </w:rPr>
        <w:t xml:space="preserve">Գծապատկեր 4. </w:t>
      </w:r>
      <w:r w:rsidRPr="00383D45">
        <w:rPr>
          <w:rFonts w:ascii="GHEA Grapalat" w:hAnsi="GHEA Grapalat" w:cs="Sylfaen"/>
          <w:sz w:val="22"/>
          <w:szCs w:val="22"/>
        </w:rPr>
        <w:t>Նորմալացված առևտրային հաշվեկշռի գործակիցը</w:t>
      </w:r>
    </w:p>
    <w:p w:rsidR="00490F2F" w:rsidRPr="00383D45" w:rsidRDefault="00490F2F" w:rsidP="00490F2F">
      <w:pPr>
        <w:tabs>
          <w:tab w:val="num" w:pos="720"/>
        </w:tabs>
        <w:spacing w:line="360" w:lineRule="auto"/>
        <w:ind w:firstLine="567"/>
        <w:jc w:val="center"/>
        <w:rPr>
          <w:rFonts w:ascii="GHEA Grapalat" w:hAnsi="GHEA Grapalat"/>
          <w:sz w:val="22"/>
          <w:szCs w:val="22"/>
          <w:lang w:val="it-IT"/>
        </w:rPr>
      </w:pPr>
      <w:r w:rsidRPr="00383D45">
        <w:rPr>
          <w:rFonts w:ascii="GHEA Grapalat" w:hAnsi="GHEA Grapalat"/>
          <w:sz w:val="22"/>
          <w:szCs w:val="22"/>
          <w:lang w:val="ru-RU" w:eastAsia="ru-RU"/>
        </w:rPr>
        <w:drawing>
          <wp:inline distT="0" distB="0" distL="0" distR="0">
            <wp:extent cx="6000750" cy="27908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0F2F" w:rsidRPr="00383D45" w:rsidRDefault="00490F2F" w:rsidP="00490F2F">
      <w:pPr>
        <w:tabs>
          <w:tab w:val="num" w:pos="720"/>
        </w:tabs>
        <w:spacing w:line="360" w:lineRule="auto"/>
        <w:ind w:firstLine="567"/>
        <w:jc w:val="both"/>
        <w:rPr>
          <w:rFonts w:ascii="GHEA Grapalat" w:hAnsi="GHEA Grapalat" w:cs="Sylfaen"/>
          <w:sz w:val="22"/>
          <w:szCs w:val="22"/>
          <w:lang w:val="af-ZA"/>
        </w:rPr>
      </w:pPr>
      <w:r w:rsidRPr="00383D45">
        <w:rPr>
          <w:rFonts w:ascii="GHEA Grapalat" w:hAnsi="GHEA Grapalat" w:cs="Sylfaen"/>
          <w:i/>
          <w:sz w:val="22"/>
          <w:szCs w:val="22"/>
          <w:lang w:val="af-ZA"/>
        </w:rPr>
        <w:tab/>
      </w:r>
    </w:p>
    <w:p w:rsidR="00490F2F" w:rsidRPr="00383D45" w:rsidRDefault="00490F2F" w:rsidP="00490F2F">
      <w:pPr>
        <w:tabs>
          <w:tab w:val="num" w:pos="720"/>
        </w:tabs>
        <w:spacing w:line="360" w:lineRule="auto"/>
        <w:ind w:firstLine="567"/>
        <w:jc w:val="both"/>
        <w:rPr>
          <w:rFonts w:ascii="GHEA Grapalat" w:hAnsi="GHEA Grapalat"/>
          <w:b/>
          <w:sz w:val="22"/>
          <w:szCs w:val="22"/>
          <w:lang w:val="af-ZA"/>
        </w:rPr>
      </w:pPr>
      <w:r w:rsidRPr="00383D45">
        <w:rPr>
          <w:rFonts w:ascii="GHEA Grapalat" w:hAnsi="GHEA Grapalat" w:cs="Sylfaen"/>
          <w:sz w:val="22"/>
          <w:szCs w:val="22"/>
        </w:rPr>
        <w:t>Ներմուծման ծածկման գործակ</w:t>
      </w:r>
      <w:r w:rsidRPr="00383D45">
        <w:rPr>
          <w:rFonts w:ascii="GHEA Grapalat" w:hAnsi="GHEA Grapalat" w:cs="Sylfaen"/>
          <w:sz w:val="22"/>
          <w:szCs w:val="22"/>
          <w:lang w:val="en-US"/>
        </w:rPr>
        <w:t>ի</w:t>
      </w:r>
      <w:r w:rsidRPr="00383D45">
        <w:rPr>
          <w:rFonts w:ascii="GHEA Grapalat" w:hAnsi="GHEA Grapalat" w:cs="Sylfaen"/>
          <w:sz w:val="22"/>
          <w:szCs w:val="22"/>
        </w:rPr>
        <w:t>ց</w:t>
      </w:r>
      <w:r w:rsidRPr="00383D45">
        <w:rPr>
          <w:rFonts w:ascii="GHEA Grapalat" w:hAnsi="GHEA Grapalat" w:cs="Sylfaen"/>
          <w:sz w:val="22"/>
          <w:szCs w:val="22"/>
          <w:lang w:val="en-US"/>
        </w:rPr>
        <w:t>ը</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գտնվում</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է</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իր</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պատմական</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առավելագույն</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մակարդակին</w:t>
      </w:r>
      <w:r w:rsidRPr="00383D45">
        <w:rPr>
          <w:rFonts w:ascii="GHEA Grapalat" w:hAnsi="GHEA Grapalat" w:cs="Sylfaen"/>
          <w:sz w:val="22"/>
          <w:szCs w:val="22"/>
          <w:lang w:val="af-ZA"/>
        </w:rPr>
        <w:t xml:space="preserve">` </w:t>
      </w:r>
      <w:r w:rsidRPr="00383D45">
        <w:rPr>
          <w:rFonts w:ascii="GHEA Grapalat" w:hAnsi="GHEA Grapalat" w:cs="Sylfaen"/>
          <w:sz w:val="22"/>
          <w:szCs w:val="22"/>
        </w:rPr>
        <w:t xml:space="preserve">հիմնականում պայմանավորված ներմուծման </w:t>
      </w:r>
      <w:r w:rsidRPr="00383D45">
        <w:rPr>
          <w:rFonts w:ascii="GHEA Grapalat" w:hAnsi="GHEA Grapalat" w:cs="Sylfaen"/>
          <w:sz w:val="22"/>
          <w:szCs w:val="22"/>
          <w:lang w:val="en-US"/>
        </w:rPr>
        <w:t>կտրուկ</w:t>
      </w:r>
      <w:r w:rsidRPr="00383D45">
        <w:rPr>
          <w:rFonts w:ascii="GHEA Grapalat" w:hAnsi="GHEA Grapalat" w:cs="Sylfaen"/>
          <w:sz w:val="22"/>
          <w:szCs w:val="22"/>
        </w:rPr>
        <w:t xml:space="preserve"> անկմամբ: </w:t>
      </w:r>
      <w:r w:rsidRPr="00383D45">
        <w:rPr>
          <w:rFonts w:ascii="GHEA Grapalat" w:hAnsi="GHEA Grapalat" w:cs="Sylfaen"/>
          <w:sz w:val="22"/>
          <w:szCs w:val="22"/>
          <w:lang w:val="af-ZA"/>
        </w:rPr>
        <w:t xml:space="preserve">2015 թվականի ընթացքում ներմուծման ծածկման գործակիցը նախորդ տարվա համեմատ </w:t>
      </w:r>
      <w:r w:rsidRPr="00383D45">
        <w:rPr>
          <w:rFonts w:ascii="GHEA Grapalat" w:hAnsi="GHEA Grapalat" w:cs="Sylfaen"/>
          <w:sz w:val="22"/>
          <w:szCs w:val="22"/>
        </w:rPr>
        <w:t>աճել</w:t>
      </w:r>
      <w:r w:rsidRPr="00383D45">
        <w:rPr>
          <w:rFonts w:ascii="GHEA Grapalat" w:hAnsi="GHEA Grapalat" w:cs="Sylfaen"/>
          <w:sz w:val="22"/>
          <w:szCs w:val="22"/>
          <w:lang w:val="af-ZA"/>
        </w:rPr>
        <w:t xml:space="preserve"> է 11.4 տոկոսային կետով</w:t>
      </w:r>
      <w:r w:rsidRPr="00383D45">
        <w:rPr>
          <w:rFonts w:ascii="GHEA Grapalat" w:hAnsi="GHEA Grapalat" w:cs="Sylfaen"/>
          <w:sz w:val="22"/>
          <w:szCs w:val="22"/>
        </w:rPr>
        <w:t xml:space="preserve">` </w:t>
      </w:r>
      <w:r w:rsidRPr="00383D45">
        <w:rPr>
          <w:rFonts w:ascii="GHEA Grapalat" w:hAnsi="GHEA Grapalat" w:cs="Sylfaen"/>
          <w:sz w:val="22"/>
          <w:szCs w:val="22"/>
          <w:lang w:val="af-ZA"/>
        </w:rPr>
        <w:t xml:space="preserve">արտահանման հաշվին ֆինանսավորվել է </w:t>
      </w:r>
      <w:r w:rsidRPr="00383D45">
        <w:rPr>
          <w:rFonts w:ascii="GHEA Grapalat" w:hAnsi="GHEA Grapalat" w:cs="Sylfaen"/>
          <w:sz w:val="22"/>
          <w:szCs w:val="22"/>
          <w:lang w:val="en-US"/>
        </w:rPr>
        <w:t>ապրանքների</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և</w:t>
      </w:r>
      <w:r w:rsidRPr="00383D45">
        <w:rPr>
          <w:rFonts w:ascii="GHEA Grapalat" w:hAnsi="GHEA Grapalat" w:cs="Sylfaen"/>
          <w:sz w:val="22"/>
          <w:szCs w:val="22"/>
          <w:lang w:val="af-ZA"/>
        </w:rPr>
        <w:t xml:space="preserve"> </w:t>
      </w:r>
      <w:r w:rsidRPr="00383D45">
        <w:rPr>
          <w:rFonts w:ascii="GHEA Grapalat" w:hAnsi="GHEA Grapalat" w:cs="Sylfaen"/>
          <w:sz w:val="22"/>
          <w:szCs w:val="22"/>
          <w:lang w:val="en-US"/>
        </w:rPr>
        <w:t>ծառայությունների</w:t>
      </w:r>
      <w:r w:rsidRPr="00383D45">
        <w:rPr>
          <w:rFonts w:ascii="GHEA Grapalat" w:hAnsi="GHEA Grapalat" w:cs="Sylfaen"/>
          <w:sz w:val="22"/>
          <w:szCs w:val="22"/>
          <w:lang w:val="af-ZA"/>
        </w:rPr>
        <w:t xml:space="preserve"> ներմուծման 72.1</w:t>
      </w:r>
      <w:r w:rsidRPr="00383D45">
        <w:rPr>
          <w:rFonts w:ascii="GHEA Grapalat" w:hAnsi="GHEA Grapalat" w:cs="Arial LatArm"/>
          <w:sz w:val="22"/>
          <w:szCs w:val="22"/>
          <w:lang w:val="af-ZA"/>
        </w:rPr>
        <w:t>%-</w:t>
      </w:r>
      <w:r>
        <w:rPr>
          <w:rFonts w:ascii="GHEA Grapalat" w:hAnsi="GHEA Grapalat" w:cs="Arial LatArm"/>
          <w:sz w:val="22"/>
          <w:szCs w:val="22"/>
          <w:lang w:val="af-ZA"/>
        </w:rPr>
        <w:t>ը</w:t>
      </w:r>
      <w:r w:rsidRPr="00383D45">
        <w:rPr>
          <w:rFonts w:ascii="GHEA Grapalat" w:hAnsi="GHEA Grapalat" w:cs="Arial LatArm"/>
          <w:sz w:val="22"/>
          <w:szCs w:val="22"/>
          <w:lang w:val="af-ZA"/>
        </w:rPr>
        <w:t xml:space="preserve"> (</w:t>
      </w:r>
      <w:r w:rsidRPr="00383D45">
        <w:rPr>
          <w:rFonts w:ascii="GHEA Grapalat" w:hAnsi="GHEA Grapalat" w:cs="Sylfaen"/>
          <w:sz w:val="22"/>
          <w:szCs w:val="22"/>
          <w:lang w:val="af-ZA"/>
        </w:rPr>
        <w:t>տե</w:t>
      </w:r>
      <w:r w:rsidRPr="00383D45">
        <w:rPr>
          <w:rFonts w:ascii="GHEA Grapalat" w:hAnsi="GHEA Grapalat" w:cs="Arial LatArm"/>
          <w:sz w:val="22"/>
          <w:szCs w:val="22"/>
          <w:lang w:val="af-ZA"/>
        </w:rPr>
        <w:t>´</w:t>
      </w:r>
      <w:r w:rsidRPr="00383D45">
        <w:rPr>
          <w:rFonts w:ascii="GHEA Grapalat" w:hAnsi="GHEA Grapalat" w:cs="Sylfaen"/>
          <w:sz w:val="22"/>
          <w:szCs w:val="22"/>
          <w:lang w:val="af-ZA"/>
        </w:rPr>
        <w:t>ս</w:t>
      </w:r>
      <w:r w:rsidRPr="00383D45">
        <w:rPr>
          <w:rFonts w:ascii="GHEA Grapalat" w:hAnsi="GHEA Grapalat" w:cs="Arial LatArm"/>
          <w:sz w:val="22"/>
          <w:szCs w:val="22"/>
          <w:lang w:val="af-ZA"/>
        </w:rPr>
        <w:t xml:space="preserve"> Գ</w:t>
      </w:r>
      <w:r w:rsidRPr="00383D45">
        <w:rPr>
          <w:rFonts w:ascii="GHEA Grapalat" w:hAnsi="GHEA Grapalat" w:cs="Sylfaen"/>
          <w:sz w:val="22"/>
          <w:szCs w:val="22"/>
          <w:lang w:val="af-ZA"/>
        </w:rPr>
        <w:t>ծապատկեր</w:t>
      </w:r>
      <w:r w:rsidRPr="00383D45">
        <w:rPr>
          <w:rFonts w:ascii="GHEA Grapalat" w:hAnsi="GHEA Grapalat" w:cs="Arial LatArm"/>
          <w:sz w:val="22"/>
          <w:szCs w:val="22"/>
          <w:lang w:val="af-ZA"/>
        </w:rPr>
        <w:t xml:space="preserve"> 5):</w:t>
      </w:r>
    </w:p>
    <w:p w:rsidR="00490F2F" w:rsidRPr="00383D45" w:rsidRDefault="00490F2F" w:rsidP="00490F2F">
      <w:pPr>
        <w:tabs>
          <w:tab w:val="num" w:pos="720"/>
        </w:tabs>
        <w:spacing w:line="360" w:lineRule="auto"/>
        <w:ind w:firstLine="567"/>
        <w:jc w:val="both"/>
        <w:rPr>
          <w:rFonts w:ascii="GHEA Grapalat" w:hAnsi="GHEA Grapalat" w:cs="Sylfaen"/>
          <w:b/>
          <w:i/>
          <w:sz w:val="22"/>
          <w:szCs w:val="22"/>
          <w:lang w:val="af-ZA"/>
        </w:rPr>
      </w:pPr>
    </w:p>
    <w:p w:rsidR="00490F2F" w:rsidRPr="00383D45" w:rsidRDefault="00490F2F" w:rsidP="00490F2F">
      <w:pPr>
        <w:tabs>
          <w:tab w:val="num" w:pos="720"/>
        </w:tabs>
        <w:spacing w:line="360" w:lineRule="auto"/>
        <w:ind w:firstLine="567"/>
        <w:jc w:val="both"/>
        <w:rPr>
          <w:rFonts w:ascii="GHEA Grapalat" w:hAnsi="GHEA Grapalat" w:cs="Sylfaen"/>
          <w:sz w:val="22"/>
          <w:szCs w:val="22"/>
        </w:rPr>
      </w:pPr>
      <w:r w:rsidRPr="00383D45">
        <w:rPr>
          <w:rFonts w:ascii="GHEA Grapalat" w:hAnsi="GHEA Grapalat" w:cs="Sylfaen"/>
          <w:b/>
          <w:i/>
          <w:sz w:val="22"/>
          <w:szCs w:val="22"/>
        </w:rPr>
        <w:t>Գծապատկեր 5.</w:t>
      </w:r>
      <w:r w:rsidRPr="00383D45">
        <w:rPr>
          <w:rFonts w:ascii="GHEA Grapalat" w:hAnsi="GHEA Grapalat" w:cs="Sylfaen"/>
          <w:sz w:val="22"/>
          <w:szCs w:val="22"/>
        </w:rPr>
        <w:t xml:space="preserve">Ներմուծման ծածկման գործակիցը, տոկոսներով </w:t>
      </w:r>
    </w:p>
    <w:p w:rsidR="00490F2F" w:rsidRPr="00383D45" w:rsidRDefault="00490F2F" w:rsidP="00490F2F">
      <w:pPr>
        <w:ind w:firstLine="567"/>
        <w:jc w:val="center"/>
        <w:rPr>
          <w:rFonts w:ascii="GHEA Grapalat" w:hAnsi="GHEA Grapalat"/>
          <w:i/>
          <w:sz w:val="22"/>
          <w:szCs w:val="22"/>
          <w:lang w:val="en-GB"/>
        </w:rPr>
      </w:pPr>
      <w:r w:rsidRPr="00383D45">
        <w:rPr>
          <w:rFonts w:ascii="GHEA Grapalat" w:hAnsi="GHEA Grapalat"/>
          <w:i/>
          <w:sz w:val="22"/>
          <w:szCs w:val="22"/>
          <w:lang w:val="ru-RU" w:eastAsia="ru-RU"/>
        </w:rPr>
        <w:lastRenderedPageBreak/>
        <w:drawing>
          <wp:inline distT="0" distB="0" distL="0" distR="0">
            <wp:extent cx="6067425" cy="32766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0F2F" w:rsidRPr="00383D45" w:rsidRDefault="00490F2F" w:rsidP="00490F2F">
      <w:pPr>
        <w:spacing w:line="360" w:lineRule="auto"/>
        <w:ind w:firstLine="567"/>
        <w:jc w:val="both"/>
        <w:rPr>
          <w:rFonts w:ascii="GHEA Grapalat" w:hAnsi="GHEA Grapalat" w:cs="Sylfaen"/>
          <w:i/>
          <w:sz w:val="22"/>
          <w:szCs w:val="22"/>
          <w:lang w:val="en-US"/>
        </w:rPr>
      </w:pPr>
    </w:p>
    <w:p w:rsidR="00490F2F" w:rsidRPr="00383D45" w:rsidRDefault="00490F2F" w:rsidP="00490F2F">
      <w:pPr>
        <w:spacing w:line="360" w:lineRule="auto"/>
        <w:ind w:firstLine="567"/>
        <w:jc w:val="both"/>
        <w:rPr>
          <w:rFonts w:ascii="GHEA Grapalat" w:hAnsi="GHEA Grapalat" w:cs="Arial LatArm"/>
          <w:b/>
          <w:i/>
          <w:sz w:val="22"/>
          <w:szCs w:val="22"/>
          <w:lang w:val="en-US"/>
        </w:rPr>
      </w:pPr>
      <w:r w:rsidRPr="00383D45">
        <w:rPr>
          <w:rFonts w:ascii="GHEA Grapalat" w:hAnsi="GHEA Grapalat" w:cs="Sylfaen"/>
          <w:i/>
          <w:sz w:val="22"/>
          <w:szCs w:val="22"/>
        </w:rPr>
        <w:t>Ներճյուղային</w:t>
      </w:r>
      <w:r w:rsidRPr="00383D45">
        <w:rPr>
          <w:rFonts w:ascii="GHEA Grapalat" w:hAnsi="GHEA Grapalat" w:cs="Sylfaen"/>
          <w:i/>
          <w:sz w:val="22"/>
          <w:szCs w:val="22"/>
          <w:lang w:val="en-US"/>
        </w:rPr>
        <w:t xml:space="preserve"> </w:t>
      </w:r>
      <w:r w:rsidRPr="00383D45">
        <w:rPr>
          <w:rFonts w:ascii="GHEA Grapalat" w:hAnsi="GHEA Grapalat" w:cs="Sylfaen"/>
          <w:i/>
          <w:sz w:val="22"/>
          <w:szCs w:val="22"/>
        </w:rPr>
        <w:t>առևտուր</w:t>
      </w:r>
      <w:r w:rsidRPr="00383D45">
        <w:rPr>
          <w:rFonts w:ascii="GHEA Grapalat" w:hAnsi="GHEA Grapalat" w:cs="Sylfaen"/>
          <w:sz w:val="22"/>
          <w:szCs w:val="22"/>
          <w:vertAlign w:val="superscript"/>
        </w:rPr>
        <w:footnoteReference w:id="15"/>
      </w:r>
      <w:r w:rsidRPr="00383D45">
        <w:rPr>
          <w:rFonts w:ascii="GHEA Grapalat" w:hAnsi="GHEA Grapalat" w:cs="Sylfaen"/>
          <w:i/>
          <w:sz w:val="22"/>
          <w:szCs w:val="22"/>
          <w:lang w:val="en-US"/>
        </w:rPr>
        <w:t xml:space="preserve">: </w:t>
      </w:r>
      <w:r w:rsidRPr="00383D45">
        <w:rPr>
          <w:rFonts w:ascii="GHEA Grapalat" w:hAnsi="GHEA Grapalat" w:cs="Arial LatArm"/>
          <w:sz w:val="22"/>
          <w:szCs w:val="22"/>
        </w:rPr>
        <w:t xml:space="preserve">2015 </w:t>
      </w:r>
      <w:r w:rsidRPr="00383D45">
        <w:rPr>
          <w:rFonts w:ascii="GHEA Grapalat" w:hAnsi="GHEA Grapalat" w:cs="Sylfaen"/>
          <w:sz w:val="22"/>
          <w:szCs w:val="22"/>
        </w:rPr>
        <w:t>թվականի ՀՀ ներճյուղային առևտրի մակարդակի վերլուծությունը վկայում է «Պատրաստի սննդի արտադրանք»</w:t>
      </w:r>
      <w:r w:rsidRPr="00383D45">
        <w:rPr>
          <w:rFonts w:ascii="GHEA Grapalat" w:hAnsi="GHEA Grapalat" w:cs="Sylfaen"/>
          <w:sz w:val="22"/>
          <w:szCs w:val="22"/>
          <w:lang w:val="en-US"/>
        </w:rPr>
        <w:t>,</w:t>
      </w:r>
      <w:r w:rsidRPr="00383D45">
        <w:rPr>
          <w:rFonts w:ascii="GHEA Grapalat" w:hAnsi="GHEA Grapalat" w:cs="Sylfaen"/>
          <w:sz w:val="22"/>
          <w:szCs w:val="22"/>
        </w:rPr>
        <w:t xml:space="preserve"> «Ոչ թանկարժեք մետաղներ և դրանցից պատրաստված իրեր», </w:t>
      </w:r>
      <w:r w:rsidRPr="00383D45">
        <w:rPr>
          <w:rFonts w:ascii="GHEA Grapalat" w:hAnsi="GHEA Grapalat" w:cs="Sylfaen"/>
          <w:sz w:val="22"/>
          <w:szCs w:val="22"/>
          <w:lang w:val="en-US"/>
        </w:rPr>
        <w:t>ին</w:t>
      </w:r>
      <w:r w:rsidRPr="00383D45">
        <w:rPr>
          <w:rFonts w:ascii="GHEA Grapalat" w:hAnsi="GHEA Grapalat" w:cs="Sylfaen"/>
          <w:sz w:val="22"/>
          <w:szCs w:val="22"/>
          <w:lang w:val="ru-RU"/>
        </w:rPr>
        <w:t>չ</w:t>
      </w:r>
      <w:r w:rsidRPr="00383D45">
        <w:rPr>
          <w:rFonts w:ascii="GHEA Grapalat" w:hAnsi="GHEA Grapalat" w:cs="Sylfaen"/>
          <w:sz w:val="22"/>
          <w:szCs w:val="22"/>
          <w:lang w:val="en-US"/>
        </w:rPr>
        <w:t xml:space="preserve">պես նաև </w:t>
      </w:r>
      <w:r w:rsidRPr="00383D45">
        <w:rPr>
          <w:rFonts w:ascii="GHEA Grapalat" w:hAnsi="GHEA Grapalat" w:cs="Sylfaen"/>
          <w:sz w:val="22"/>
          <w:szCs w:val="22"/>
        </w:rPr>
        <w:t>«Հանքահումքային արտադրանք», «Կաշվի</w:t>
      </w:r>
      <w:r w:rsidRPr="00383D45">
        <w:rPr>
          <w:rFonts w:ascii="GHEA Grapalat" w:hAnsi="GHEA Grapalat" w:cs="Sylfaen"/>
          <w:sz w:val="22"/>
          <w:szCs w:val="22"/>
          <w:lang w:val="en-US"/>
        </w:rPr>
        <w:t xml:space="preserve"> </w:t>
      </w:r>
      <w:r w:rsidRPr="00383D45">
        <w:rPr>
          <w:rFonts w:ascii="GHEA Grapalat" w:hAnsi="GHEA Grapalat" w:cs="Sylfaen"/>
          <w:sz w:val="22"/>
          <w:szCs w:val="22"/>
        </w:rPr>
        <w:t>հումք</w:t>
      </w:r>
      <w:r w:rsidRPr="00383D45">
        <w:rPr>
          <w:rFonts w:ascii="GHEA Grapalat" w:hAnsi="GHEA Grapalat" w:cs="Arial Armenian"/>
          <w:sz w:val="22"/>
          <w:szCs w:val="22"/>
        </w:rPr>
        <w:t xml:space="preserve">, </w:t>
      </w:r>
      <w:r w:rsidRPr="00383D45">
        <w:rPr>
          <w:rFonts w:ascii="GHEA Grapalat" w:hAnsi="GHEA Grapalat" w:cs="Sylfaen"/>
          <w:sz w:val="22"/>
          <w:szCs w:val="22"/>
        </w:rPr>
        <w:t>կաշի</w:t>
      </w:r>
      <w:r w:rsidRPr="00383D45">
        <w:rPr>
          <w:rFonts w:ascii="GHEA Grapalat" w:hAnsi="GHEA Grapalat" w:cs="Arial Armenian"/>
          <w:sz w:val="22"/>
          <w:szCs w:val="22"/>
        </w:rPr>
        <w:t xml:space="preserve">, </w:t>
      </w:r>
      <w:r w:rsidRPr="00383D45">
        <w:rPr>
          <w:rFonts w:ascii="GHEA Grapalat" w:hAnsi="GHEA Grapalat" w:cs="Sylfaen"/>
          <w:sz w:val="22"/>
          <w:szCs w:val="22"/>
        </w:rPr>
        <w:t>մորթի և դրանցից պատրաստված իրեր»</w:t>
      </w:r>
      <w:r w:rsidRPr="00383D45">
        <w:rPr>
          <w:rFonts w:ascii="GHEA Grapalat" w:hAnsi="GHEA Grapalat" w:cs="Sylfaen"/>
          <w:sz w:val="22"/>
          <w:szCs w:val="22"/>
          <w:lang w:val="en-US"/>
        </w:rPr>
        <w:t>,</w:t>
      </w:r>
      <w:r w:rsidRPr="00383D45">
        <w:rPr>
          <w:rFonts w:ascii="GHEA Grapalat" w:hAnsi="GHEA Grapalat" w:cs="Sylfaen"/>
          <w:sz w:val="22"/>
          <w:szCs w:val="22"/>
        </w:rPr>
        <w:t xml:space="preserve"> «Թանկարժեք ու կիսաթանկարժեք քարեր, թանկարժեք մետաղներ և դրանցից իրեր»</w:t>
      </w:r>
      <w:r w:rsidRPr="00383D45">
        <w:rPr>
          <w:rFonts w:ascii="GHEA Grapalat" w:hAnsi="GHEA Grapalat" w:cs="Sylfaen"/>
          <w:sz w:val="22"/>
          <w:szCs w:val="22"/>
          <w:lang w:val="en-US"/>
        </w:rPr>
        <w:t>,</w:t>
      </w:r>
      <w:r w:rsidRPr="00383D45">
        <w:rPr>
          <w:rFonts w:ascii="GHEA Grapalat" w:hAnsi="GHEA Grapalat" w:cs="Sylfaen"/>
          <w:sz w:val="22"/>
          <w:szCs w:val="22"/>
        </w:rPr>
        <w:t xml:space="preserve"> «Արվեստի ստեղծագործություններ» </w:t>
      </w:r>
      <w:r w:rsidRPr="00383D45">
        <w:rPr>
          <w:rFonts w:ascii="GHEA Grapalat" w:hAnsi="GHEA Grapalat" w:cs="Sylfaen"/>
          <w:sz w:val="22"/>
          <w:szCs w:val="22"/>
          <w:lang w:val="en-US"/>
        </w:rPr>
        <w:t xml:space="preserve">և </w:t>
      </w:r>
      <w:r w:rsidRPr="00383D45">
        <w:rPr>
          <w:rFonts w:ascii="GHEA Grapalat" w:hAnsi="GHEA Grapalat" w:cs="Arial LatArm"/>
          <w:sz w:val="22"/>
          <w:szCs w:val="22"/>
        </w:rPr>
        <w:t>«Մանածագործական իրեր»</w:t>
      </w:r>
      <w:r w:rsidRPr="00383D45">
        <w:rPr>
          <w:rFonts w:ascii="GHEA Grapalat" w:hAnsi="GHEA Grapalat" w:cs="Arial LatArm"/>
          <w:sz w:val="22"/>
          <w:szCs w:val="22"/>
          <w:lang w:val="en-US"/>
        </w:rPr>
        <w:t xml:space="preserve"> </w:t>
      </w:r>
      <w:r w:rsidRPr="00383D45">
        <w:rPr>
          <w:rFonts w:ascii="GHEA Grapalat" w:hAnsi="GHEA Grapalat" w:cs="Sylfaen"/>
          <w:sz w:val="22"/>
          <w:szCs w:val="22"/>
        </w:rPr>
        <w:t>ապրանքախմբերի</w:t>
      </w:r>
      <w:r w:rsidRPr="00383D45">
        <w:rPr>
          <w:rFonts w:ascii="GHEA Grapalat" w:hAnsi="GHEA Grapalat" w:cs="Arial LatArm"/>
          <w:sz w:val="22"/>
          <w:szCs w:val="22"/>
        </w:rPr>
        <w:t xml:space="preserve"> գ</w:t>
      </w:r>
      <w:r w:rsidRPr="00383D45">
        <w:rPr>
          <w:rFonts w:ascii="GHEA Grapalat" w:hAnsi="GHEA Grapalat" w:cs="Sylfaen"/>
          <w:sz w:val="22"/>
          <w:szCs w:val="22"/>
        </w:rPr>
        <w:t>ծով երկկողմանի արտաքին առևտրի</w:t>
      </w:r>
      <w:r w:rsidRPr="00383D45">
        <w:rPr>
          <w:rFonts w:ascii="GHEA Grapalat" w:hAnsi="GHEA Grapalat" w:cs="Arial LatArm"/>
          <w:sz w:val="22"/>
          <w:szCs w:val="22"/>
        </w:rPr>
        <w:t xml:space="preserve"> մասին</w:t>
      </w:r>
      <w:r w:rsidRPr="00383D45">
        <w:rPr>
          <w:rFonts w:ascii="GHEA Grapalat" w:hAnsi="GHEA Grapalat" w:cs="Arial LatArm"/>
          <w:sz w:val="22"/>
          <w:szCs w:val="22"/>
          <w:lang w:val="en-US"/>
        </w:rPr>
        <w:t xml:space="preserve"> </w:t>
      </w:r>
      <w:r w:rsidRPr="00383D45">
        <w:rPr>
          <w:rFonts w:ascii="GHEA Grapalat" w:hAnsi="GHEA Grapalat" w:cs="Arial LatArm"/>
          <w:sz w:val="22"/>
          <w:szCs w:val="22"/>
          <w:lang w:val="af-ZA"/>
        </w:rPr>
        <w:t>(</w:t>
      </w:r>
      <w:r w:rsidRPr="00383D45">
        <w:rPr>
          <w:rFonts w:ascii="GHEA Grapalat" w:hAnsi="GHEA Grapalat" w:cs="Sylfaen"/>
          <w:sz w:val="22"/>
          <w:szCs w:val="22"/>
          <w:lang w:val="af-ZA"/>
        </w:rPr>
        <w:t>տե</w:t>
      </w:r>
      <w:r w:rsidRPr="00383D45">
        <w:rPr>
          <w:rFonts w:ascii="GHEA Grapalat" w:hAnsi="GHEA Grapalat" w:cs="Arial LatArm"/>
          <w:sz w:val="22"/>
          <w:szCs w:val="22"/>
          <w:lang w:val="af-ZA"/>
        </w:rPr>
        <w:t>´</w:t>
      </w:r>
      <w:r w:rsidRPr="00383D45">
        <w:rPr>
          <w:rFonts w:ascii="GHEA Grapalat" w:hAnsi="GHEA Grapalat" w:cs="Sylfaen"/>
          <w:sz w:val="22"/>
          <w:szCs w:val="22"/>
          <w:lang w:val="af-ZA"/>
        </w:rPr>
        <w:t>ս</w:t>
      </w:r>
      <w:r w:rsidRPr="00383D45">
        <w:rPr>
          <w:rFonts w:ascii="GHEA Grapalat" w:hAnsi="GHEA Grapalat" w:cs="Arial LatArm"/>
          <w:sz w:val="22"/>
          <w:szCs w:val="22"/>
          <w:lang w:val="af-ZA"/>
        </w:rPr>
        <w:t xml:space="preserve"> Գ</w:t>
      </w:r>
      <w:r w:rsidRPr="00383D45">
        <w:rPr>
          <w:rFonts w:ascii="GHEA Grapalat" w:hAnsi="GHEA Grapalat" w:cs="Sylfaen"/>
          <w:sz w:val="22"/>
          <w:szCs w:val="22"/>
          <w:lang w:val="af-ZA"/>
        </w:rPr>
        <w:t>ծապատկեր</w:t>
      </w:r>
      <w:r w:rsidRPr="00383D45">
        <w:rPr>
          <w:rFonts w:ascii="GHEA Grapalat" w:hAnsi="GHEA Grapalat" w:cs="Arial LatArm"/>
          <w:sz w:val="22"/>
          <w:szCs w:val="22"/>
          <w:lang w:val="af-ZA"/>
        </w:rPr>
        <w:t xml:space="preserve"> 6)</w:t>
      </w:r>
      <w:r w:rsidRPr="00383D45">
        <w:rPr>
          <w:rFonts w:ascii="GHEA Grapalat" w:hAnsi="GHEA Grapalat" w:cs="Arial LatArm"/>
          <w:sz w:val="22"/>
          <w:szCs w:val="22"/>
        </w:rPr>
        <w:t xml:space="preserve">: Ընդ որում, </w:t>
      </w:r>
      <w:r w:rsidRPr="00383D45">
        <w:rPr>
          <w:rFonts w:ascii="GHEA Grapalat" w:hAnsi="GHEA Grapalat" w:cs="Arial LatArm"/>
          <w:sz w:val="22"/>
          <w:szCs w:val="22"/>
          <w:lang w:val="en-US"/>
        </w:rPr>
        <w:t xml:space="preserve">նշված </w:t>
      </w:r>
      <w:r w:rsidRPr="00383D45">
        <w:rPr>
          <w:rFonts w:ascii="GHEA Grapalat" w:hAnsi="GHEA Grapalat" w:cs="Arial LatArm"/>
          <w:sz w:val="22"/>
          <w:szCs w:val="22"/>
        </w:rPr>
        <w:t>առաջին եր</w:t>
      </w:r>
      <w:r w:rsidRPr="00383D45">
        <w:rPr>
          <w:rFonts w:ascii="GHEA Grapalat" w:hAnsi="GHEA Grapalat" w:cs="Arial LatArm"/>
          <w:sz w:val="22"/>
          <w:szCs w:val="22"/>
          <w:lang w:val="en-US"/>
        </w:rPr>
        <w:t>եք</w:t>
      </w:r>
      <w:r w:rsidRPr="00383D45">
        <w:rPr>
          <w:rFonts w:ascii="GHEA Grapalat" w:hAnsi="GHEA Grapalat" w:cs="Arial LatArm"/>
          <w:sz w:val="22"/>
          <w:szCs w:val="22"/>
        </w:rPr>
        <w:t xml:space="preserve"> խմբերի երկկողմանի արտաքին առևտուրը վերջին տարիներին </w:t>
      </w:r>
      <w:r w:rsidRPr="00383D45">
        <w:rPr>
          <w:rFonts w:ascii="GHEA Grapalat" w:hAnsi="GHEA Grapalat" w:cs="Sylfaen"/>
          <w:sz w:val="22"/>
          <w:szCs w:val="22"/>
        </w:rPr>
        <w:t>համեմատաբար</w:t>
      </w:r>
      <w:r w:rsidRPr="00383D45">
        <w:rPr>
          <w:rFonts w:ascii="GHEA Grapalat" w:hAnsi="GHEA Grapalat" w:cs="Sylfaen"/>
          <w:sz w:val="22"/>
          <w:szCs w:val="22"/>
          <w:lang w:val="en-US"/>
        </w:rPr>
        <w:t xml:space="preserve"> </w:t>
      </w:r>
      <w:r w:rsidRPr="00383D45">
        <w:rPr>
          <w:rFonts w:ascii="GHEA Grapalat" w:hAnsi="GHEA Grapalat" w:cs="Sylfaen"/>
          <w:sz w:val="22"/>
          <w:szCs w:val="22"/>
        </w:rPr>
        <w:t>կայուն</w:t>
      </w:r>
      <w:r w:rsidRPr="00383D45">
        <w:rPr>
          <w:rFonts w:ascii="GHEA Grapalat" w:hAnsi="GHEA Grapalat" w:cs="Sylfaen"/>
          <w:sz w:val="22"/>
          <w:szCs w:val="22"/>
          <w:lang w:val="en-US"/>
        </w:rPr>
        <w:t xml:space="preserve"> </w:t>
      </w:r>
      <w:r w:rsidRPr="00383D45">
        <w:rPr>
          <w:rFonts w:ascii="GHEA Grapalat" w:hAnsi="GHEA Grapalat" w:cs="Sylfaen"/>
          <w:sz w:val="22"/>
          <w:szCs w:val="22"/>
        </w:rPr>
        <w:t>է</w:t>
      </w:r>
      <w:r w:rsidRPr="00383D45">
        <w:rPr>
          <w:rFonts w:ascii="GHEA Grapalat" w:hAnsi="GHEA Grapalat" w:cs="Arial LatArm"/>
          <w:sz w:val="22"/>
          <w:szCs w:val="22"/>
        </w:rPr>
        <w:t xml:space="preserve">: </w:t>
      </w:r>
    </w:p>
    <w:p w:rsidR="00490F2F" w:rsidRPr="00383D45" w:rsidRDefault="00490F2F" w:rsidP="00490F2F">
      <w:pPr>
        <w:tabs>
          <w:tab w:val="num" w:pos="720"/>
        </w:tabs>
        <w:spacing w:line="360" w:lineRule="auto"/>
        <w:ind w:firstLine="567"/>
        <w:jc w:val="both"/>
        <w:rPr>
          <w:rFonts w:ascii="GHEA Grapalat" w:hAnsi="GHEA Grapalat" w:cs="Sylfaen"/>
          <w:b/>
          <w:i/>
          <w:sz w:val="22"/>
          <w:szCs w:val="22"/>
          <w:lang w:val="en-US"/>
        </w:rPr>
      </w:pPr>
    </w:p>
    <w:p w:rsidR="00490F2F" w:rsidRDefault="00490F2F" w:rsidP="00490F2F">
      <w:pPr>
        <w:tabs>
          <w:tab w:val="num" w:pos="720"/>
        </w:tabs>
        <w:spacing w:line="360" w:lineRule="auto"/>
        <w:ind w:firstLine="567"/>
        <w:jc w:val="both"/>
        <w:rPr>
          <w:rFonts w:ascii="GHEA Grapalat" w:hAnsi="GHEA Grapalat" w:cs="Sylfaen"/>
          <w:b/>
          <w:i/>
          <w:sz w:val="22"/>
          <w:szCs w:val="22"/>
          <w:lang w:val="en-US"/>
        </w:rPr>
      </w:pPr>
    </w:p>
    <w:p w:rsidR="00490F2F" w:rsidRDefault="00490F2F" w:rsidP="00490F2F">
      <w:pPr>
        <w:tabs>
          <w:tab w:val="num" w:pos="720"/>
        </w:tabs>
        <w:spacing w:line="360" w:lineRule="auto"/>
        <w:ind w:firstLine="567"/>
        <w:jc w:val="both"/>
        <w:rPr>
          <w:rFonts w:ascii="GHEA Grapalat" w:hAnsi="GHEA Grapalat" w:cs="Sylfaen"/>
          <w:b/>
          <w:i/>
          <w:sz w:val="22"/>
          <w:szCs w:val="22"/>
          <w:lang w:val="en-US"/>
        </w:rPr>
      </w:pPr>
    </w:p>
    <w:p w:rsidR="00490F2F" w:rsidRDefault="00490F2F" w:rsidP="00490F2F">
      <w:pPr>
        <w:tabs>
          <w:tab w:val="num" w:pos="720"/>
        </w:tabs>
        <w:spacing w:line="360" w:lineRule="auto"/>
        <w:ind w:firstLine="567"/>
        <w:jc w:val="both"/>
        <w:rPr>
          <w:rFonts w:ascii="GHEA Grapalat" w:hAnsi="GHEA Grapalat" w:cs="Sylfaen"/>
          <w:b/>
          <w:i/>
          <w:sz w:val="22"/>
          <w:szCs w:val="22"/>
          <w:lang w:val="en-US"/>
        </w:rPr>
      </w:pPr>
    </w:p>
    <w:p w:rsidR="00490F2F" w:rsidRDefault="00490F2F" w:rsidP="00490F2F">
      <w:pPr>
        <w:tabs>
          <w:tab w:val="num" w:pos="720"/>
        </w:tabs>
        <w:spacing w:line="360" w:lineRule="auto"/>
        <w:ind w:firstLine="567"/>
        <w:jc w:val="both"/>
        <w:rPr>
          <w:rFonts w:ascii="GHEA Grapalat" w:hAnsi="GHEA Grapalat" w:cs="Sylfaen"/>
          <w:b/>
          <w:i/>
          <w:sz w:val="22"/>
          <w:szCs w:val="22"/>
          <w:lang w:val="en-US"/>
        </w:rPr>
      </w:pPr>
    </w:p>
    <w:p w:rsidR="00490F2F" w:rsidRPr="00383D45" w:rsidRDefault="00490F2F" w:rsidP="00490F2F">
      <w:pPr>
        <w:tabs>
          <w:tab w:val="num" w:pos="720"/>
        </w:tabs>
        <w:spacing w:line="360" w:lineRule="auto"/>
        <w:ind w:firstLine="567"/>
        <w:jc w:val="both"/>
        <w:rPr>
          <w:rFonts w:ascii="GHEA Grapalat" w:hAnsi="GHEA Grapalat" w:cs="Sylfaen"/>
          <w:sz w:val="22"/>
          <w:szCs w:val="22"/>
          <w:lang w:val="en-US"/>
        </w:rPr>
      </w:pPr>
      <w:r w:rsidRPr="00383D45">
        <w:rPr>
          <w:rFonts w:ascii="GHEA Grapalat" w:hAnsi="GHEA Grapalat" w:cs="Sylfaen"/>
          <w:b/>
          <w:i/>
          <w:sz w:val="22"/>
          <w:szCs w:val="22"/>
        </w:rPr>
        <w:t xml:space="preserve">Գծապատկեր 6. </w:t>
      </w:r>
      <w:r w:rsidRPr="00383D45">
        <w:rPr>
          <w:rFonts w:ascii="GHEA Grapalat" w:hAnsi="GHEA Grapalat" w:cs="Sylfaen"/>
          <w:sz w:val="22"/>
          <w:szCs w:val="22"/>
        </w:rPr>
        <w:t xml:space="preserve">2015 թվականի ներճյուղային առևտուրը </w:t>
      </w:r>
    </w:p>
    <w:p w:rsidR="00490F2F" w:rsidRPr="00383D45" w:rsidRDefault="00490F2F" w:rsidP="00490F2F">
      <w:pPr>
        <w:tabs>
          <w:tab w:val="num" w:pos="720"/>
        </w:tabs>
        <w:spacing w:line="360" w:lineRule="auto"/>
        <w:ind w:firstLine="90"/>
        <w:jc w:val="both"/>
        <w:rPr>
          <w:rFonts w:ascii="GHEA Grapalat" w:hAnsi="GHEA Grapalat"/>
        </w:rPr>
      </w:pPr>
      <w:r w:rsidRPr="00383D45">
        <w:rPr>
          <w:lang w:val="ru-RU" w:eastAsia="ru-RU"/>
        </w:rPr>
        <w:lastRenderedPageBreak/>
        <mc:AlternateContent>
          <mc:Choice Requires="wps">
            <w:drawing>
              <wp:anchor distT="0" distB="0" distL="114296" distR="114296" simplePos="0" relativeHeight="251661312" behindDoc="0" locked="0" layoutInCell="1" allowOverlap="1">
                <wp:simplePos x="0" y="0"/>
                <wp:positionH relativeFrom="column">
                  <wp:posOffset>2343149</wp:posOffset>
                </wp:positionH>
                <wp:positionV relativeFrom="paragraph">
                  <wp:posOffset>111125</wp:posOffset>
                </wp:positionV>
                <wp:extent cx="0" cy="2085975"/>
                <wp:effectExtent l="0" t="0" r="19050" b="285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B251" id="Прямая соединительная линия 10"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5pt,8.75pt" to="18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" strokeweight="1.5pt"/>
            </w:pict>
          </mc:Fallback>
        </mc:AlternateContent>
      </w:r>
      <w:r w:rsidRPr="00383D45">
        <w:rPr>
          <w:rFonts w:ascii="GHEA Grapalat" w:hAnsi="GHEA Grapalat"/>
          <w:i/>
          <w:lang w:val="ru-RU" w:eastAsia="ru-RU"/>
        </w:rPr>
        <w:drawing>
          <wp:inline distT="0" distB="0" distL="0" distR="0">
            <wp:extent cx="6086475"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F2F" w:rsidRPr="00383D45" w:rsidRDefault="00490F2F" w:rsidP="00490F2F">
      <w:pPr>
        <w:spacing w:line="360" w:lineRule="auto"/>
        <w:ind w:firstLine="567"/>
        <w:jc w:val="both"/>
        <w:rPr>
          <w:rFonts w:ascii="GHEA Grapalat" w:hAnsi="GHEA Grapalat" w:cs="Sylfaen"/>
          <w:sz w:val="22"/>
          <w:szCs w:val="22"/>
        </w:rPr>
      </w:pPr>
      <w:r w:rsidRPr="00383D45">
        <w:rPr>
          <w:rFonts w:ascii="GHEA Grapalat" w:hAnsi="GHEA Grapalat" w:cs="Sylfaen"/>
          <w:sz w:val="22"/>
          <w:szCs w:val="22"/>
        </w:rPr>
        <w:t>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 «Արվեստի ստեղծագործություններ» և «Թանկարժեք ու կիսաթանկարժեք քարեր, թանկարժեք մետաղներ և դրանցից իրեր» (լրիվ երկկողմանի առևտուր) ապրանքախմբերի դրական առևտրային մնացորդները վկայում են մեր երկրի կողմից այդ ապրանքատեսակների գծով արտաքին աշխարհի պահանջարկը բավարարելու մասին:</w:t>
      </w:r>
    </w:p>
    <w:p w:rsidR="00490F2F" w:rsidRPr="00383D45" w:rsidRDefault="00490F2F" w:rsidP="00490F2F">
      <w:pPr>
        <w:spacing w:line="360" w:lineRule="auto"/>
        <w:ind w:firstLine="567"/>
        <w:jc w:val="both"/>
        <w:rPr>
          <w:rFonts w:ascii="GHEA Grapalat" w:hAnsi="GHEA Grapalat" w:cs="Arial LatArm"/>
          <w:sz w:val="22"/>
          <w:szCs w:val="22"/>
        </w:rPr>
      </w:pPr>
      <w:r w:rsidRPr="00383D45">
        <w:rPr>
          <w:rFonts w:ascii="GHEA Grapalat" w:hAnsi="GHEA Grapalat" w:cs="Sylfaen"/>
          <w:sz w:val="22"/>
          <w:szCs w:val="22"/>
        </w:rPr>
        <w:t>Մնացած ապրանքախմբերի գծով տեղի է ունեցել մեծամասամբ միակողմանի առևտուր</w:t>
      </w:r>
      <w:r w:rsidRPr="00383D45">
        <w:rPr>
          <w:rFonts w:ascii="GHEA Grapalat" w:hAnsi="GHEA Grapalat" w:cs="Arial LatArm"/>
          <w:sz w:val="22"/>
          <w:szCs w:val="22"/>
        </w:rPr>
        <w:t xml:space="preserve">` </w:t>
      </w:r>
      <w:r w:rsidRPr="00383D45">
        <w:rPr>
          <w:rFonts w:ascii="GHEA Grapalat" w:hAnsi="GHEA Grapalat" w:cs="Sylfaen"/>
          <w:sz w:val="22"/>
          <w:szCs w:val="22"/>
        </w:rPr>
        <w:t>ներքին պահանջարկը բավարարելու ուղղությամբ</w:t>
      </w:r>
      <w:r w:rsidRPr="00383D45">
        <w:rPr>
          <w:rFonts w:ascii="GHEA Grapalat" w:hAnsi="GHEA Grapalat" w:cs="Arial LatArm"/>
          <w:sz w:val="22"/>
          <w:szCs w:val="22"/>
        </w:rPr>
        <w:t xml:space="preserve"> (</w:t>
      </w:r>
      <w:r w:rsidRPr="00383D45">
        <w:rPr>
          <w:rFonts w:ascii="GHEA Grapalat" w:hAnsi="GHEA Grapalat" w:cs="Sylfaen"/>
          <w:sz w:val="22"/>
          <w:szCs w:val="22"/>
        </w:rPr>
        <w:t>բացասական առևտրային մնացորդ</w:t>
      </w:r>
      <w:r w:rsidRPr="00383D45">
        <w:rPr>
          <w:rFonts w:ascii="GHEA Grapalat" w:hAnsi="GHEA Grapalat" w:cs="Arial LatArm"/>
          <w:sz w:val="22"/>
          <w:szCs w:val="22"/>
        </w:rPr>
        <w:t xml:space="preserve">): </w:t>
      </w:r>
    </w:p>
    <w:p w:rsidR="00490F2F" w:rsidRPr="00383D45" w:rsidRDefault="00490F2F" w:rsidP="00490F2F">
      <w:pPr>
        <w:spacing w:line="360" w:lineRule="auto"/>
        <w:ind w:firstLine="567"/>
        <w:jc w:val="both"/>
        <w:rPr>
          <w:rFonts w:ascii="GHEA Grapalat" w:hAnsi="GHEA Grapalat" w:cs="Sylfaen"/>
          <w:sz w:val="22"/>
          <w:szCs w:val="22"/>
        </w:rPr>
      </w:pPr>
      <w:r w:rsidRPr="00383D45">
        <w:rPr>
          <w:rFonts w:ascii="GHEA Grapalat" w:hAnsi="GHEA Grapalat" w:cs="Sylfaen"/>
          <w:i/>
          <w:sz w:val="22"/>
          <w:szCs w:val="22"/>
        </w:rPr>
        <w:t>Բացահայտված համեմատական առավելության գործակից</w:t>
      </w:r>
      <w:r w:rsidRPr="00383D45">
        <w:rPr>
          <w:rFonts w:ascii="GHEA Grapalat" w:hAnsi="GHEA Grapalat" w:cs="Sylfaen"/>
          <w:i/>
          <w:sz w:val="22"/>
          <w:szCs w:val="22"/>
          <w:vertAlign w:val="superscript"/>
        </w:rPr>
        <w:footnoteReference w:id="16"/>
      </w:r>
      <w:r w:rsidRPr="00383D45">
        <w:rPr>
          <w:rFonts w:ascii="GHEA Grapalat" w:hAnsi="GHEA Grapalat" w:cs="Sylfaen"/>
          <w:i/>
          <w:sz w:val="22"/>
          <w:szCs w:val="22"/>
        </w:rPr>
        <w:t>:</w:t>
      </w:r>
      <w:r w:rsidRPr="00383D45">
        <w:rPr>
          <w:rFonts w:ascii="GHEA Grapalat" w:hAnsi="GHEA Grapalat" w:cs="Arial LatArm"/>
          <w:b/>
          <w:sz w:val="22"/>
          <w:szCs w:val="22"/>
        </w:rPr>
        <w:t xml:space="preserve"> </w:t>
      </w:r>
      <w:r w:rsidRPr="00383D45">
        <w:rPr>
          <w:rFonts w:ascii="GHEA Grapalat" w:hAnsi="GHEA Grapalat" w:cs="Arial LatArm"/>
          <w:sz w:val="22"/>
          <w:szCs w:val="22"/>
        </w:rPr>
        <w:t xml:space="preserve">Բացահայտված համեմատական առավելության գործակցի վերլուծությունը վկայում է որոշ ապրանքատեսակների </w:t>
      </w:r>
      <w:r w:rsidRPr="00383D45">
        <w:rPr>
          <w:rFonts w:ascii="GHEA Grapalat" w:hAnsi="GHEA Grapalat" w:cs="Sylfaen"/>
          <w:sz w:val="22"/>
          <w:szCs w:val="22"/>
        </w:rPr>
        <w:t>գծով համաշխարհային շուկայում Հայաստանի համեմատական առավելության մասին (տե</w:t>
      </w:r>
      <w:r w:rsidRPr="00640A89">
        <w:rPr>
          <w:rFonts w:ascii="GHEA Grapalat" w:hAnsi="GHEA Grapalat" w:cs="Sylfaen"/>
          <w:sz w:val="22"/>
          <w:szCs w:val="22"/>
        </w:rPr>
        <w:t>´</w:t>
      </w:r>
      <w:r w:rsidRPr="00383D45">
        <w:rPr>
          <w:rFonts w:ascii="GHEA Grapalat" w:hAnsi="GHEA Grapalat" w:cs="Sylfaen"/>
          <w:sz w:val="22"/>
          <w:szCs w:val="22"/>
        </w:rPr>
        <w:t xml:space="preserve">ս Գծապատկեր 7): Նշված ապրանքատեսակներից են Հայաստանից արտահանվող հետևյալ ապրանքները. ոգելից խմիչքներ և ծխախոտ («Պատրաստի սննդի արտադրանք» ապրանքախումբ), անմշակ ոսկի («Թանկարժեք ու կիսաթանկարժեք քարեր, թանկարժեք մետաղներ և դրանցից իրեր»), պղնձե ոլորված լարեր, </w:t>
      </w:r>
      <w:r w:rsidRPr="00383D45">
        <w:rPr>
          <w:rFonts w:ascii="GHEA Grapalat" w:hAnsi="GHEA Grapalat" w:cs="Sylfaen"/>
          <w:sz w:val="22"/>
          <w:szCs w:val="22"/>
        </w:rPr>
        <w:lastRenderedPageBreak/>
        <w:t>հաղորդալարեր և պղնձյա գամեր («Ոչ թանկարժեք մետաղներ և դրանցից պատրաստված իրեր»), բնական մեղր (</w:t>
      </w:r>
      <w:r w:rsidRPr="00383D45">
        <w:rPr>
          <w:rFonts w:ascii="GHEA Grapalat" w:hAnsi="GHEA Grapalat" w:cs="Arial LatArm"/>
          <w:sz w:val="22"/>
          <w:szCs w:val="22"/>
        </w:rPr>
        <w:t>«Կենդանի կենդանիներ և կենդանական ծագման արտադրանք</w:t>
      </w:r>
      <w:r w:rsidRPr="00383D45">
        <w:rPr>
          <w:rFonts w:ascii="GHEA Grapalat" w:hAnsi="GHEA Grapalat" w:cs="Sylfaen"/>
          <w:sz w:val="22"/>
          <w:szCs w:val="22"/>
        </w:rPr>
        <w:t>»), քար` մշակած հուշարձանների կամ շինարարության համար և ապրանքներ քարից («Իրեր քարից, գիպսից, ցեմենտից»), կարբիդ («Հանքահումքային արտադրանք») և այլ ապրանքատեսակներ:</w:t>
      </w:r>
    </w:p>
    <w:p w:rsidR="00490F2F" w:rsidRPr="00640A89" w:rsidRDefault="00490F2F" w:rsidP="00490F2F">
      <w:pPr>
        <w:spacing w:line="360" w:lineRule="auto"/>
        <w:ind w:firstLine="567"/>
        <w:jc w:val="both"/>
        <w:rPr>
          <w:rFonts w:ascii="GHEA Grapalat" w:hAnsi="GHEA Grapalat" w:cs="Sylfaen"/>
        </w:rPr>
      </w:pPr>
    </w:p>
    <w:p w:rsidR="00490F2F" w:rsidRPr="00383D45" w:rsidRDefault="00490F2F" w:rsidP="00490F2F">
      <w:pPr>
        <w:spacing w:line="360" w:lineRule="auto"/>
        <w:ind w:firstLine="567"/>
        <w:rPr>
          <w:rFonts w:ascii="GHEA Grapalat" w:hAnsi="GHEA Grapalat" w:cs="Arial LatArm"/>
          <w:sz w:val="22"/>
          <w:szCs w:val="22"/>
        </w:rPr>
      </w:pPr>
      <w:r w:rsidRPr="00383D45">
        <w:rPr>
          <w:rFonts w:ascii="GHEA Grapalat" w:hAnsi="GHEA Grapalat" w:cs="Sylfaen"/>
          <w:b/>
          <w:i/>
          <w:sz w:val="22"/>
          <w:szCs w:val="22"/>
        </w:rPr>
        <w:t xml:space="preserve">Գծապատկեր 7. </w:t>
      </w:r>
      <w:r w:rsidRPr="00383D45">
        <w:rPr>
          <w:rFonts w:ascii="GHEA Grapalat" w:hAnsi="GHEA Grapalat" w:cs="Sylfaen"/>
          <w:sz w:val="22"/>
          <w:szCs w:val="22"/>
        </w:rPr>
        <w:t xml:space="preserve">Բացահայտված համեմատական առավելության գործակից </w:t>
      </w:r>
      <w:r w:rsidRPr="00383D45">
        <w:rPr>
          <w:rFonts w:ascii="GHEA Grapalat" w:hAnsi="GHEA Grapalat"/>
          <w:sz w:val="22"/>
          <w:szCs w:val="22"/>
          <w:lang w:val="ru-RU" w:eastAsia="ru-RU"/>
        </w:rPr>
        <w:drawing>
          <wp:inline distT="0" distB="0" distL="0" distR="0">
            <wp:extent cx="6467475" cy="34480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0F2F" w:rsidRPr="00383D45" w:rsidRDefault="00490F2F" w:rsidP="00490F2F">
      <w:pPr>
        <w:spacing w:line="360" w:lineRule="auto"/>
        <w:ind w:firstLine="567"/>
        <w:jc w:val="both"/>
        <w:rPr>
          <w:rFonts w:ascii="GHEA Grapalat" w:hAnsi="GHEA Grapalat" w:cs="Sylfaen"/>
          <w:sz w:val="22"/>
          <w:szCs w:val="22"/>
        </w:rPr>
      </w:pPr>
      <w:r w:rsidRPr="00383D45">
        <w:rPr>
          <w:rFonts w:ascii="GHEA Grapalat" w:hAnsi="GHEA Grapalat" w:cs="Sylfaen"/>
          <w:i/>
          <w:sz w:val="22"/>
          <w:szCs w:val="22"/>
        </w:rPr>
        <w:t xml:space="preserve">Արտաքին առևտուրն ըստ գործընկեր երկրների: </w:t>
      </w:r>
      <w:r w:rsidRPr="00383D45">
        <w:rPr>
          <w:rFonts w:ascii="GHEA Grapalat" w:hAnsi="GHEA Grapalat" w:cs="Sylfaen"/>
          <w:sz w:val="22"/>
          <w:szCs w:val="22"/>
        </w:rPr>
        <w:t>Հիմնական գործընկեր երկրների կազմը գրեթե չի փոփոխվել, մինչդեռ ըստ աշխարհագրական կառուցվածքի արտաքին առևտրի կշիռները փոխվել են հօգուտ ԱՊՀ երկրների:</w:t>
      </w:r>
      <w:r w:rsidRPr="00383D45">
        <w:rPr>
          <w:rFonts w:ascii="GHEA Grapalat" w:hAnsi="GHEA Grapalat" w:cs="Arial LatArm"/>
          <w:sz w:val="22"/>
          <w:szCs w:val="22"/>
        </w:rPr>
        <w:t xml:space="preserve"> 2015 թվականի</w:t>
      </w:r>
      <w:r w:rsidRPr="00383D45">
        <w:rPr>
          <w:rFonts w:ascii="GHEA Grapalat" w:hAnsi="GHEA Grapalat" w:cs="Sylfaen"/>
          <w:sz w:val="22"/>
          <w:szCs w:val="22"/>
        </w:rPr>
        <w:t xml:space="preserve"> արտաքին առևտրաշրջանառության 29.1%-ը բաժին է ընկել ԱՊՀ, 25.7%-ը` ԵՄ և 45.2%-ը այլ երկրներին` նախորդ տարվա հա</w:t>
      </w:r>
      <w:r w:rsidRPr="00796991">
        <w:rPr>
          <w:rFonts w:ascii="GHEA Grapalat" w:hAnsi="GHEA Grapalat" w:cs="Sylfaen"/>
          <w:sz w:val="22"/>
          <w:szCs w:val="22"/>
        </w:rPr>
        <w:t>մ</w:t>
      </w:r>
      <w:r w:rsidRPr="00383D45">
        <w:rPr>
          <w:rFonts w:ascii="GHEA Grapalat" w:hAnsi="GHEA Grapalat" w:cs="Sylfaen"/>
          <w:sz w:val="22"/>
          <w:szCs w:val="22"/>
        </w:rPr>
        <w:t xml:space="preserve">ապատասխանաբար 28.8%, 26.8% և 44.4%-ի դիմաց: </w:t>
      </w:r>
    </w:p>
    <w:p w:rsidR="00490F2F" w:rsidRPr="00383D45" w:rsidRDefault="00490F2F" w:rsidP="00490F2F">
      <w:pPr>
        <w:spacing w:line="360" w:lineRule="auto"/>
        <w:ind w:firstLine="567"/>
        <w:jc w:val="both"/>
        <w:rPr>
          <w:rFonts w:ascii="GHEA Grapalat" w:hAnsi="GHEA Grapalat" w:cs="Sylfaen"/>
          <w:sz w:val="22"/>
          <w:szCs w:val="22"/>
        </w:rPr>
      </w:pPr>
      <w:r w:rsidRPr="00383D45">
        <w:rPr>
          <w:rFonts w:ascii="GHEA Grapalat" w:hAnsi="GHEA Grapalat" w:cs="Sylfaen"/>
          <w:sz w:val="22"/>
          <w:szCs w:val="22"/>
        </w:rPr>
        <w:t xml:space="preserve">2015 թվականին ԱՊՀ երկրների նպաստումը եղել է բացասական հետևյալ չափերով. ՀՀ արտահանմանը 5.8, և ՀՀ ներմուծմանը 5.7 տոկոսային կետերով: ԵՄ երկրները նույնպես բացասական են նպաստել, համապատասխանաբար` 1.6 արտահանման և 8 տոկոսային կետ ներմուծման ծավալներին: Մնացած երկրների նպաստումը </w:t>
      </w:r>
      <w:r w:rsidRPr="00383D45">
        <w:rPr>
          <w:rFonts w:ascii="GHEA Grapalat" w:hAnsi="GHEA Grapalat" w:cs="Arial LatArm"/>
          <w:sz w:val="22"/>
          <w:szCs w:val="22"/>
        </w:rPr>
        <w:t xml:space="preserve">2015 թվականի </w:t>
      </w:r>
      <w:r w:rsidRPr="00383D45">
        <w:rPr>
          <w:rFonts w:ascii="GHEA Grapalat" w:hAnsi="GHEA Grapalat" w:cs="Sylfaen"/>
          <w:sz w:val="22"/>
          <w:szCs w:val="22"/>
        </w:rPr>
        <w:t>ներմուծման կրճատմանը կազմել է 12.7 տոկոսային կետ, մինչդեռ դեպի այլ երկրներ արտահանման ծավալներն աճել են` նպաստելով ՀՀ արտահանման աճին (հակազդելով արտահանման նվազմանը) 3.5 տոկոսային կետով: Արդյունքում, արտաքին առևտրի աշխարհագրական կառուցվածքում այլ երկրներից ներմուծման կշիռը տարվա ընթացքում նվազել է 1.</w:t>
      </w:r>
      <w:r w:rsidRPr="005D2DF2">
        <w:rPr>
          <w:rFonts w:ascii="GHEA Grapalat" w:hAnsi="GHEA Grapalat" w:cs="Sylfaen"/>
          <w:sz w:val="22"/>
          <w:szCs w:val="22"/>
        </w:rPr>
        <w:t>6</w:t>
      </w:r>
      <w:r w:rsidRPr="00383D45">
        <w:rPr>
          <w:rFonts w:ascii="GHEA Grapalat" w:hAnsi="GHEA Grapalat" w:cs="Sylfaen"/>
          <w:sz w:val="22"/>
          <w:szCs w:val="22"/>
        </w:rPr>
        <w:t xml:space="preserve"> </w:t>
      </w:r>
      <w:r w:rsidRPr="00383D45">
        <w:rPr>
          <w:rFonts w:ascii="GHEA Grapalat" w:hAnsi="GHEA Grapalat" w:cs="Sylfaen"/>
          <w:sz w:val="22"/>
          <w:szCs w:val="22"/>
        </w:rPr>
        <w:lastRenderedPageBreak/>
        <w:t>տոկոսային կետով (ըստ ապրանքի ծագման երկրի հատկանիշի), իսկ արտահա</w:t>
      </w:r>
      <w:r w:rsidRPr="00796991">
        <w:rPr>
          <w:rFonts w:ascii="GHEA Grapalat" w:hAnsi="GHEA Grapalat" w:cs="Sylfaen"/>
          <w:sz w:val="22"/>
          <w:szCs w:val="22"/>
        </w:rPr>
        <w:t>ն</w:t>
      </w:r>
      <w:r w:rsidRPr="00383D45">
        <w:rPr>
          <w:rFonts w:ascii="GHEA Grapalat" w:hAnsi="GHEA Grapalat" w:cs="Sylfaen"/>
          <w:sz w:val="22"/>
          <w:szCs w:val="22"/>
        </w:rPr>
        <w:t xml:space="preserve">ման կշիռն ավելացել է 5.5 տոկոսային կետով: </w:t>
      </w:r>
    </w:p>
    <w:p w:rsidR="00490F2F" w:rsidRPr="00383D45" w:rsidRDefault="00490F2F" w:rsidP="00490F2F">
      <w:pPr>
        <w:spacing w:line="360" w:lineRule="auto"/>
        <w:ind w:firstLine="567"/>
        <w:jc w:val="both"/>
        <w:rPr>
          <w:rFonts w:ascii="GHEA Grapalat" w:hAnsi="GHEA Grapalat" w:cs="Sylfaen"/>
          <w:sz w:val="22"/>
          <w:szCs w:val="22"/>
        </w:rPr>
      </w:pPr>
      <w:r w:rsidRPr="00383D45">
        <w:rPr>
          <w:rFonts w:ascii="GHEA Grapalat" w:hAnsi="GHEA Grapalat" w:cs="Sylfaen"/>
          <w:sz w:val="22"/>
          <w:szCs w:val="22"/>
        </w:rPr>
        <w:t>2015 թվականին ՀՀ խոշոր առևտրային գործընկեր-երկրների շրջանակում ընդգրկված էին. Չինաստանը (առևտրաշրջանառության 10.2%, նախորդ տարվա 9.8%-ի դիմաց), Գերմանիան (համապատասխանաբար` 7.3% և 7.4%), Իրանը (5.8% և 4.9%), Իտալիան (4.2% և 3.6%), Վրաստանը (3.9% և 2.6%), ԱՄՆ-ն (3.4% և 3.7%), Թուրքիան (2.9% և 3.9%), Կանադան (2.7% և 1.9%), Իրաքը (2.8% և 1.8%), ինչպես նաև ԱՊՀ երկրներից` Ռուսաստանը (24.8% և 24%) և Ուկրաինան (2.8% և 3.6%): Վերջիններիս բաժին է ընկել ՀՀ և ԱՊՀ երկրների միջև 2015 թվականին կատարված ապրանքաշրջանառության մոտ</w:t>
      </w:r>
      <w:r w:rsidRPr="00383D45">
        <w:rPr>
          <w:rFonts w:ascii="GHEA Grapalat" w:hAnsi="GHEA Grapalat" w:cs="Arial LatArm"/>
          <w:sz w:val="22"/>
          <w:szCs w:val="22"/>
        </w:rPr>
        <w:t xml:space="preserve"> 95 </w:t>
      </w:r>
      <w:r w:rsidRPr="00383D45">
        <w:rPr>
          <w:rFonts w:ascii="GHEA Grapalat" w:hAnsi="GHEA Grapalat" w:cs="Sylfaen"/>
          <w:sz w:val="22"/>
          <w:szCs w:val="22"/>
        </w:rPr>
        <w:t>տոկոսը: Հանրապետության թվով 38 հիմնական գործընկեր երկրները մեծամասամբ (89.5%-ով) հանդիսանում են ԱՀԿ անդամ պետություններ:</w:t>
      </w:r>
    </w:p>
    <w:p w:rsidR="00490F2F" w:rsidRPr="00383D45" w:rsidRDefault="00490F2F" w:rsidP="00490F2F">
      <w:pPr>
        <w:tabs>
          <w:tab w:val="left" w:pos="993"/>
        </w:tabs>
        <w:spacing w:after="200" w:line="360" w:lineRule="auto"/>
        <w:ind w:left="142" w:firstLine="567"/>
        <w:contextualSpacing/>
        <w:jc w:val="both"/>
        <w:rPr>
          <w:rFonts w:ascii="GHEA Grapalat" w:hAnsi="GHEA Grapalat" w:cs="Sylfaen"/>
          <w:sz w:val="22"/>
          <w:szCs w:val="22"/>
        </w:rPr>
      </w:pPr>
      <w:r w:rsidRPr="00383D45">
        <w:rPr>
          <w:rFonts w:ascii="GHEA Grapalat" w:eastAsia="Calibri" w:hAnsi="GHEA Grapalat"/>
          <w:i/>
          <w:noProof w:val="0"/>
          <w:sz w:val="22"/>
          <w:szCs w:val="22"/>
        </w:rPr>
        <w:t>Երկկողմանի փոխարժեք:</w:t>
      </w:r>
      <w:r w:rsidRPr="00640A89">
        <w:rPr>
          <w:rFonts w:ascii="GHEA Grapalat" w:eastAsia="Calibri" w:hAnsi="GHEA Grapalat"/>
          <w:i/>
          <w:noProof w:val="0"/>
          <w:sz w:val="22"/>
          <w:szCs w:val="22"/>
        </w:rPr>
        <w:t xml:space="preserve"> </w:t>
      </w:r>
      <w:r w:rsidRPr="00383D45">
        <w:rPr>
          <w:rFonts w:ascii="GHEA Grapalat" w:eastAsia="Calibri" w:hAnsi="GHEA Grapalat"/>
          <w:noProof w:val="0"/>
          <w:sz w:val="22"/>
          <w:szCs w:val="22"/>
        </w:rPr>
        <w:t xml:space="preserve">ՀՀ դրամի փոխարժեքը ԱՄՆ դոլարի նկատմամբ դրսևորել է հարաբերական կայուն վարքագիծ: </w:t>
      </w:r>
      <w:r w:rsidRPr="00383D45">
        <w:rPr>
          <w:rFonts w:ascii="GHEA Grapalat" w:hAnsi="GHEA Grapalat" w:cs="Sylfaen"/>
          <w:sz w:val="22"/>
          <w:szCs w:val="22"/>
        </w:rPr>
        <w:t xml:space="preserve">2015 </w:t>
      </w:r>
      <w:r w:rsidRPr="00383D45">
        <w:rPr>
          <w:rFonts w:ascii="GHEA Grapalat" w:eastAsia="Calibri" w:hAnsi="GHEA Grapalat"/>
          <w:noProof w:val="0"/>
          <w:sz w:val="22"/>
          <w:szCs w:val="22"/>
        </w:rPr>
        <w:t>թվականի</w:t>
      </w:r>
      <w:r w:rsidRPr="00383D45">
        <w:rPr>
          <w:rFonts w:ascii="GHEA Grapalat" w:hAnsi="GHEA Grapalat" w:cs="Sylfaen"/>
          <w:sz w:val="22"/>
          <w:szCs w:val="22"/>
        </w:rPr>
        <w:t xml:space="preserve"> դեկտեմբեր ամսին փոխարժեքը կազմել է 482.9 դրամ մեկ ԱՄՆ դոլարի դիմաց, որը նախորդ տարվա դեկտեմբերին ձևավորված միջին փոխարժեքի (463.5) նկատմամբ արժեզրկվել է 4</w:t>
      </w:r>
      <w:r w:rsidRPr="00383D45">
        <w:rPr>
          <w:rFonts w:ascii="GHEA Grapalat" w:eastAsia="Calibri" w:hAnsi="GHEA Grapalat" w:cs="Sylfaen"/>
          <w:noProof w:val="0"/>
          <w:sz w:val="22"/>
          <w:szCs w:val="22"/>
        </w:rPr>
        <w:t>%-</w:t>
      </w:r>
      <w:r w:rsidRPr="00383D45">
        <w:rPr>
          <w:rFonts w:ascii="GHEA Grapalat" w:hAnsi="GHEA Grapalat" w:cs="Sylfaen"/>
          <w:sz w:val="22"/>
          <w:szCs w:val="22"/>
        </w:rPr>
        <w:t>ով: Իսկ տարեկան միջին փոխարժեքը կազմել է 477.9 դրամ մեկ ԱՄՆ դոլարի դիմաց. նախորդ տարվա միջինի (415.9) նկատմամբ գրանցվել է դրամի անվանական արժեքի 13</w:t>
      </w:r>
      <w:r w:rsidRPr="00383D45">
        <w:rPr>
          <w:rFonts w:ascii="GHEA Grapalat" w:eastAsia="Calibri" w:hAnsi="GHEA Grapalat" w:cs="Sylfaen"/>
          <w:noProof w:val="0"/>
          <w:sz w:val="22"/>
          <w:szCs w:val="22"/>
        </w:rPr>
        <w:t>%</w:t>
      </w:r>
      <w:r w:rsidRPr="00383D45">
        <w:rPr>
          <w:rFonts w:ascii="GHEA Grapalat" w:hAnsi="GHEA Grapalat" w:cs="Sylfaen"/>
          <w:sz w:val="22"/>
          <w:szCs w:val="22"/>
        </w:rPr>
        <w:t xml:space="preserve"> արժեզրկում (2014-ին` 1.5</w:t>
      </w:r>
      <w:r w:rsidRPr="00383D45">
        <w:rPr>
          <w:rFonts w:ascii="GHEA Grapalat" w:eastAsia="Calibri" w:hAnsi="GHEA Grapalat" w:cs="Sylfaen"/>
          <w:noProof w:val="0"/>
          <w:sz w:val="22"/>
          <w:szCs w:val="22"/>
        </w:rPr>
        <w:t xml:space="preserve">% </w:t>
      </w:r>
      <w:r w:rsidRPr="00383D45">
        <w:rPr>
          <w:rFonts w:ascii="GHEA Grapalat" w:hAnsi="GHEA Grapalat" w:cs="Sylfaen"/>
          <w:sz w:val="22"/>
          <w:szCs w:val="22"/>
        </w:rPr>
        <w:t>արժեզրկում): Ըստ էության, փոխարժեքի նման վարքագիծը համաշխարհային տնտեսության և տարածաշրջանային զարգացումների արդյունք էր:</w:t>
      </w:r>
    </w:p>
    <w:p w:rsidR="00490F2F" w:rsidRPr="00383D45" w:rsidRDefault="00490F2F" w:rsidP="00490F2F">
      <w:pPr>
        <w:spacing w:line="360" w:lineRule="auto"/>
        <w:ind w:firstLine="567"/>
        <w:jc w:val="both"/>
        <w:rPr>
          <w:rFonts w:ascii="GHEA Grapalat" w:hAnsi="GHEA Grapalat" w:cs="Sylfaen"/>
          <w:b/>
          <w:i/>
          <w:sz w:val="22"/>
          <w:szCs w:val="22"/>
        </w:rPr>
      </w:pPr>
    </w:p>
    <w:p w:rsidR="00490F2F" w:rsidRPr="00383D45" w:rsidRDefault="00490F2F" w:rsidP="00490F2F">
      <w:pPr>
        <w:spacing w:line="360" w:lineRule="auto"/>
        <w:ind w:left="180" w:firstLine="529"/>
        <w:jc w:val="both"/>
        <w:rPr>
          <w:rFonts w:ascii="GHEA Grapalat" w:hAnsi="GHEA Grapalat"/>
          <w:sz w:val="22"/>
          <w:szCs w:val="22"/>
        </w:rPr>
      </w:pPr>
      <w:r w:rsidRPr="00383D45">
        <w:rPr>
          <w:rFonts w:ascii="GHEA Grapalat" w:hAnsi="GHEA Grapalat" w:cs="Sylfaen"/>
          <w:b/>
          <w:i/>
          <w:sz w:val="22"/>
          <w:szCs w:val="22"/>
        </w:rPr>
        <w:t xml:space="preserve">Գծապատկեր 8. </w:t>
      </w:r>
      <w:r w:rsidRPr="00383D45">
        <w:rPr>
          <w:rFonts w:ascii="GHEA Grapalat" w:hAnsi="GHEA Grapalat" w:cs="Sylfaen"/>
          <w:sz w:val="22"/>
          <w:szCs w:val="22"/>
        </w:rPr>
        <w:t>ԱՄՆ դոլար/ՀՀ դրամ փոխարժեքի (կուտակային) փոփոխության դինամիկան (նախորդ տարվա</w:t>
      </w:r>
      <w:r w:rsidRPr="00640A89">
        <w:rPr>
          <w:rFonts w:ascii="GHEA Grapalat" w:hAnsi="GHEA Grapalat" w:cs="Sylfaen"/>
          <w:sz w:val="22"/>
          <w:szCs w:val="22"/>
        </w:rPr>
        <w:t xml:space="preserve"> նույն ժամանակահատվածի</w:t>
      </w:r>
      <w:r w:rsidRPr="00383D45">
        <w:rPr>
          <w:rFonts w:ascii="GHEA Grapalat" w:hAnsi="GHEA Grapalat" w:cs="Sylfaen"/>
          <w:sz w:val="22"/>
          <w:szCs w:val="22"/>
        </w:rPr>
        <w:t xml:space="preserve"> համեմատ, %)</w:t>
      </w:r>
    </w:p>
    <w:p w:rsidR="00490F2F" w:rsidRPr="00383D45" w:rsidRDefault="00490F2F" w:rsidP="00490F2F">
      <w:pPr>
        <w:spacing w:line="360" w:lineRule="auto"/>
        <w:jc w:val="center"/>
        <w:rPr>
          <w:rFonts w:ascii="GHEA Grapalat" w:hAnsi="GHEA Grapalat"/>
          <w:sz w:val="22"/>
          <w:szCs w:val="22"/>
        </w:rPr>
      </w:pPr>
      <w:r w:rsidRPr="00383D45">
        <w:rPr>
          <w:rFonts w:ascii="GHEA Grapalat" w:hAnsi="GHEA Grapalat"/>
          <w:sz w:val="22"/>
          <w:szCs w:val="22"/>
          <w:lang w:val="ru-RU" w:eastAsia="ru-RU"/>
        </w:rPr>
        <w:drawing>
          <wp:inline distT="0" distB="0" distL="0" distR="0">
            <wp:extent cx="5943600" cy="30099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0F2F" w:rsidRPr="00383D45" w:rsidRDefault="00490F2F" w:rsidP="00490F2F">
      <w:pPr>
        <w:spacing w:line="360" w:lineRule="auto"/>
        <w:ind w:firstLine="540"/>
        <w:jc w:val="both"/>
        <w:rPr>
          <w:rFonts w:ascii="GHEA Grapalat" w:hAnsi="GHEA Grapalat"/>
          <w:sz w:val="22"/>
          <w:szCs w:val="22"/>
        </w:rPr>
      </w:pPr>
      <w:r w:rsidRPr="00383D45">
        <w:rPr>
          <w:rFonts w:ascii="GHEA Grapalat" w:hAnsi="GHEA Grapalat" w:cs="Sylfaen"/>
          <w:sz w:val="22"/>
          <w:szCs w:val="22"/>
        </w:rPr>
        <w:lastRenderedPageBreak/>
        <w:t xml:space="preserve">2015 </w:t>
      </w:r>
      <w:r w:rsidRPr="00383D45">
        <w:rPr>
          <w:rFonts w:ascii="GHEA Grapalat" w:hAnsi="GHEA Grapalat"/>
          <w:sz w:val="22"/>
          <w:szCs w:val="22"/>
        </w:rPr>
        <w:t>թվականին</w:t>
      </w:r>
      <w:r w:rsidRPr="00383D45">
        <w:rPr>
          <w:rFonts w:ascii="GHEA Grapalat" w:hAnsi="GHEA Grapalat" w:cs="Sylfaen"/>
          <w:sz w:val="22"/>
          <w:szCs w:val="22"/>
        </w:rPr>
        <w:t xml:space="preserve"> ՀՀ դրամի փոխարժեքը </w:t>
      </w:r>
      <w:r w:rsidRPr="00640A89">
        <w:rPr>
          <w:rFonts w:ascii="GHEA Grapalat" w:hAnsi="GHEA Grapalat" w:cs="Sylfaen"/>
          <w:sz w:val="22"/>
          <w:szCs w:val="22"/>
        </w:rPr>
        <w:t>ե</w:t>
      </w:r>
      <w:r w:rsidRPr="00383D45">
        <w:rPr>
          <w:rFonts w:ascii="GHEA Grapalat" w:hAnsi="GHEA Grapalat" w:cs="Sylfaen"/>
          <w:sz w:val="22"/>
          <w:szCs w:val="22"/>
        </w:rPr>
        <w:t xml:space="preserve">վրոյի նկատմամբ նախորդ տարվա համեմատությամբ արժևորվել է 4.05%-ով, սակայն պետք է նշել, որ 2015 թվականի հունվար-մայիսից մինչև հունվար-նոյեմբեր նկատվել է </w:t>
      </w:r>
      <w:r w:rsidRPr="00640A89">
        <w:rPr>
          <w:rFonts w:ascii="GHEA Grapalat" w:hAnsi="GHEA Grapalat" w:cs="Sylfaen"/>
          <w:sz w:val="22"/>
          <w:szCs w:val="22"/>
        </w:rPr>
        <w:t>ե</w:t>
      </w:r>
      <w:r w:rsidRPr="00383D45">
        <w:rPr>
          <w:rFonts w:ascii="GHEA Grapalat" w:hAnsi="GHEA Grapalat" w:cs="Sylfaen"/>
          <w:sz w:val="22"/>
          <w:szCs w:val="22"/>
        </w:rPr>
        <w:t>վրոյի նկատմամբ ՀՀ դրամի փոխարժեքի արժևորման տեմպերի դանդաղման միտում: Իսկ ՌԴ ռուբլու նկատմամբ ՀՀ դրամի փոխարժեքը 2015 թվականի տարեսկզբի համեմատ թեև հիմնականում դրսևորել է արժևորման տեմպերի դանդաղման միտում, այնուամենայնիվ նախորդ տարվա համեմատությամբ այն դեռևս շարունակել է մնալ էականորեն արժևորված. 2015 թվականին ՀՀ դրամի միջին փոխարժեքը ՌԴ ռուբլու նկատմամբ նախորդ տարվա համեմատությամբ արժևորվել է 39.2%-ով:</w:t>
      </w:r>
    </w:p>
    <w:p w:rsidR="00490F2F" w:rsidRPr="00383D45" w:rsidRDefault="00490F2F" w:rsidP="00490F2F">
      <w:pPr>
        <w:spacing w:line="360" w:lineRule="auto"/>
        <w:ind w:firstLine="540"/>
        <w:jc w:val="both"/>
        <w:rPr>
          <w:rFonts w:ascii="GHEA Grapalat" w:hAnsi="GHEA Grapalat"/>
          <w:sz w:val="22"/>
          <w:szCs w:val="22"/>
        </w:rPr>
      </w:pPr>
      <w:r w:rsidRPr="00383D45">
        <w:rPr>
          <w:rFonts w:ascii="GHEA Grapalat" w:hAnsi="GHEA Grapalat"/>
          <w:i/>
          <w:sz w:val="22"/>
          <w:szCs w:val="22"/>
        </w:rPr>
        <w:t xml:space="preserve">Արդյունավետ փոխարժեք: </w:t>
      </w:r>
      <w:r w:rsidRPr="00383D45">
        <w:rPr>
          <w:rFonts w:ascii="GHEA Grapalat" w:hAnsi="GHEA Grapalat"/>
          <w:sz w:val="22"/>
          <w:szCs w:val="22"/>
        </w:rPr>
        <w:t>Իրական արդյունավետ փոխարժեքը` չնայած արժևորման տեմպի հետևողական դանդաղմանը, այնուամենայնիվ, շարունակում է մնալ զգալի արժևորված` իր բացասական ազդեցությունը թողնելով հայրենական ապրանքների արտաքին մրցունակության վրա: Արտաքին առևտրի տեսանկյունից առավել կարևոր արժույթներից բաղկացած «զամբյուղի» նկատմամբ ՀՀ ազգային արժույթը 2015 թվականին նախորդ տարվա համեմատ արժևորվել է 10.6%</w:t>
      </w:r>
      <w:r w:rsidRPr="00640A89">
        <w:rPr>
          <w:rFonts w:ascii="GHEA Grapalat" w:hAnsi="GHEA Grapalat"/>
          <w:sz w:val="22"/>
          <w:szCs w:val="22"/>
        </w:rPr>
        <w:noBreakHyphen/>
      </w:r>
      <w:r w:rsidRPr="00383D45">
        <w:rPr>
          <w:rFonts w:ascii="GHEA Grapalat" w:hAnsi="GHEA Grapalat"/>
          <w:sz w:val="22"/>
          <w:szCs w:val="22"/>
        </w:rPr>
        <w:t xml:space="preserve">ով (անվանական արդյունավետ փոխարժեք), ինչը նշանակում է, որ ՀՀ դրամը արժևորվել է (դրամի դիրքերը ուժեղացել են) հիմնական արժույթների միավորված գնի համեմատ, քանի որ վերոնշյալ </w:t>
      </w:r>
      <w:r w:rsidRPr="00383D45">
        <w:rPr>
          <w:rFonts w:ascii="GHEA Grapalat" w:hAnsi="GHEA Grapalat" w:cs="Sylfaen"/>
          <w:sz w:val="22"/>
          <w:szCs w:val="22"/>
        </w:rPr>
        <w:t>«</w:t>
      </w:r>
      <w:r w:rsidRPr="00383D45">
        <w:rPr>
          <w:rFonts w:ascii="GHEA Grapalat" w:hAnsi="GHEA Grapalat"/>
          <w:sz w:val="22"/>
          <w:szCs w:val="22"/>
        </w:rPr>
        <w:t>զամբյուղում</w:t>
      </w:r>
      <w:r w:rsidRPr="00383D45">
        <w:rPr>
          <w:rFonts w:ascii="GHEA Grapalat" w:hAnsi="GHEA Grapalat" w:cs="Sylfaen"/>
          <w:sz w:val="22"/>
          <w:szCs w:val="22"/>
        </w:rPr>
        <w:t>»</w:t>
      </w:r>
      <w:r w:rsidRPr="00383D45">
        <w:rPr>
          <w:rFonts w:ascii="GHEA Grapalat" w:hAnsi="GHEA Grapalat"/>
          <w:sz w:val="22"/>
          <w:szCs w:val="22"/>
        </w:rPr>
        <w:t xml:space="preserve"> ընդգրկված մնացած երկրների արժույթները միջին հաշվով ԱՄՆ դոլարի նկատմամբ արժեզրկվել են ավելի շատ (մոտ 23.6%-ով), քան ՀՀ դրամը (13%-ով): Հիմնականում պայմանավորված անվանական արդյունավետ փոխարժեքի վարքագծով` իրական արդյունավետ փոխարժեքի 2015 թվականի միջին արժևորումը կազմել է 6.3% </w:t>
      </w:r>
      <w:r w:rsidRPr="00383D45">
        <w:rPr>
          <w:rFonts w:ascii="GHEA Grapalat" w:hAnsi="GHEA Grapalat" w:cs="Arial LatArm"/>
          <w:sz w:val="22"/>
          <w:szCs w:val="22"/>
          <w:lang w:val="af-ZA"/>
        </w:rPr>
        <w:t>(</w:t>
      </w:r>
      <w:r w:rsidRPr="00383D45">
        <w:rPr>
          <w:rFonts w:ascii="GHEA Grapalat" w:hAnsi="GHEA Grapalat" w:cs="Sylfaen"/>
          <w:sz w:val="22"/>
          <w:szCs w:val="22"/>
          <w:lang w:val="af-ZA"/>
        </w:rPr>
        <w:t>տե</w:t>
      </w:r>
      <w:r w:rsidRPr="00383D45">
        <w:rPr>
          <w:rFonts w:ascii="GHEA Grapalat" w:hAnsi="GHEA Grapalat" w:cs="Arial LatArm"/>
          <w:sz w:val="22"/>
          <w:szCs w:val="22"/>
          <w:lang w:val="af-ZA"/>
        </w:rPr>
        <w:t>´</w:t>
      </w:r>
      <w:r w:rsidRPr="00383D45">
        <w:rPr>
          <w:rFonts w:ascii="GHEA Grapalat" w:hAnsi="GHEA Grapalat" w:cs="Sylfaen"/>
          <w:sz w:val="22"/>
          <w:szCs w:val="22"/>
          <w:lang w:val="af-ZA"/>
        </w:rPr>
        <w:t>ս</w:t>
      </w:r>
      <w:r w:rsidRPr="00383D45">
        <w:rPr>
          <w:rFonts w:ascii="GHEA Grapalat" w:hAnsi="GHEA Grapalat" w:cs="Arial LatArm"/>
          <w:sz w:val="22"/>
          <w:szCs w:val="22"/>
          <w:lang w:val="af-ZA"/>
        </w:rPr>
        <w:t xml:space="preserve"> Գ</w:t>
      </w:r>
      <w:r w:rsidRPr="00383D45">
        <w:rPr>
          <w:rFonts w:ascii="GHEA Grapalat" w:hAnsi="GHEA Grapalat" w:cs="Sylfaen"/>
          <w:sz w:val="22"/>
          <w:szCs w:val="22"/>
          <w:lang w:val="af-ZA"/>
        </w:rPr>
        <w:t>ծապատկեր</w:t>
      </w:r>
      <w:r w:rsidRPr="00383D45">
        <w:rPr>
          <w:rFonts w:ascii="GHEA Grapalat" w:hAnsi="GHEA Grapalat" w:cs="Arial LatArm"/>
          <w:sz w:val="22"/>
          <w:szCs w:val="22"/>
          <w:lang w:val="af-ZA"/>
        </w:rPr>
        <w:t xml:space="preserve"> 9)</w:t>
      </w:r>
      <w:r w:rsidRPr="00383D45">
        <w:rPr>
          <w:rFonts w:ascii="GHEA Grapalat" w:hAnsi="GHEA Grapalat"/>
          <w:sz w:val="22"/>
          <w:szCs w:val="22"/>
        </w:rPr>
        <w:t xml:space="preserve">: </w:t>
      </w:r>
    </w:p>
    <w:p w:rsidR="00490F2F" w:rsidRPr="00383D45" w:rsidRDefault="00490F2F" w:rsidP="00490F2F">
      <w:pPr>
        <w:tabs>
          <w:tab w:val="left" w:pos="540"/>
        </w:tabs>
        <w:spacing w:line="360" w:lineRule="auto"/>
        <w:jc w:val="both"/>
        <w:rPr>
          <w:rFonts w:ascii="GHEA Grapalat" w:hAnsi="GHEA Grapalat"/>
          <w:sz w:val="22"/>
          <w:szCs w:val="22"/>
        </w:rPr>
      </w:pPr>
    </w:p>
    <w:p w:rsidR="00490F2F" w:rsidRPr="00640A89" w:rsidRDefault="00490F2F" w:rsidP="00490F2F">
      <w:pPr>
        <w:tabs>
          <w:tab w:val="left" w:pos="540"/>
        </w:tabs>
        <w:spacing w:line="360" w:lineRule="auto"/>
        <w:ind w:firstLine="540"/>
        <w:jc w:val="both"/>
        <w:rPr>
          <w:rFonts w:ascii="GHEA Grapalat" w:hAnsi="GHEA Grapalat" w:cs="Sylfaen"/>
          <w:sz w:val="22"/>
          <w:szCs w:val="22"/>
        </w:rPr>
      </w:pPr>
      <w:r w:rsidRPr="00383D45">
        <w:rPr>
          <w:rFonts w:ascii="GHEA Grapalat" w:hAnsi="GHEA Grapalat" w:cs="Sylfaen"/>
          <w:b/>
          <w:i/>
          <w:sz w:val="22"/>
          <w:szCs w:val="22"/>
        </w:rPr>
        <w:t xml:space="preserve">Գծապատկեր 9. </w:t>
      </w:r>
      <w:r w:rsidRPr="00383D45">
        <w:rPr>
          <w:rFonts w:ascii="GHEA Grapalat" w:hAnsi="GHEA Grapalat" w:cs="Sylfaen"/>
          <w:sz w:val="22"/>
          <w:szCs w:val="22"/>
        </w:rPr>
        <w:t>Իրական արդյունավետ փոխարժեքի (կուտակային) փոփոխության դինամիկան (նախորդ տարվա</w:t>
      </w:r>
      <w:r w:rsidRPr="00640A89">
        <w:rPr>
          <w:rFonts w:ascii="GHEA Grapalat" w:hAnsi="GHEA Grapalat" w:cs="Sylfaen"/>
          <w:sz w:val="22"/>
          <w:szCs w:val="22"/>
        </w:rPr>
        <w:t xml:space="preserve"> նույն ժամանակահատվածի</w:t>
      </w:r>
      <w:r w:rsidRPr="00383D45">
        <w:rPr>
          <w:rFonts w:ascii="GHEA Grapalat" w:hAnsi="GHEA Grapalat" w:cs="Sylfaen"/>
          <w:sz w:val="22"/>
          <w:szCs w:val="22"/>
        </w:rPr>
        <w:t xml:space="preserve"> նկատմամբ, %) </w:t>
      </w:r>
    </w:p>
    <w:p w:rsidR="00490F2F" w:rsidRPr="00383D45" w:rsidRDefault="00490F2F" w:rsidP="00490F2F">
      <w:pPr>
        <w:tabs>
          <w:tab w:val="left" w:pos="540"/>
        </w:tabs>
        <w:spacing w:line="360" w:lineRule="auto"/>
        <w:ind w:firstLine="540"/>
        <w:jc w:val="both"/>
        <w:rPr>
          <w:rFonts w:ascii="GHEA Grapalat" w:hAnsi="GHEA Grapalat"/>
          <w:sz w:val="22"/>
          <w:szCs w:val="22"/>
        </w:rPr>
      </w:pPr>
      <w:r w:rsidRPr="00383D45">
        <w:rPr>
          <w:rFonts w:ascii="GHEA Grapalat" w:hAnsi="GHEA Grapalat"/>
          <w:sz w:val="22"/>
          <w:szCs w:val="22"/>
          <w:lang w:val="ru-RU" w:eastAsia="ru-RU"/>
        </w:rPr>
        <w:lastRenderedPageBreak/>
        <w:drawing>
          <wp:inline distT="0" distB="0" distL="0" distR="0">
            <wp:extent cx="6115050" cy="29146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0F2F" w:rsidRPr="00383D45" w:rsidRDefault="00490F2F" w:rsidP="00490F2F">
      <w:pPr>
        <w:tabs>
          <w:tab w:val="left" w:pos="0"/>
          <w:tab w:val="left" w:pos="900"/>
        </w:tabs>
        <w:ind w:firstLine="540"/>
        <w:jc w:val="both"/>
        <w:rPr>
          <w:rFonts w:ascii="GHEA Grapalat" w:hAnsi="GHEA Grapalat" w:cs="Sylfaen"/>
          <w:sz w:val="22"/>
          <w:szCs w:val="22"/>
        </w:rPr>
      </w:pPr>
    </w:p>
    <w:p w:rsidR="00490F2F" w:rsidRDefault="00490F2F" w:rsidP="00490F2F">
      <w:pPr>
        <w:spacing w:line="480" w:lineRule="auto"/>
        <w:ind w:firstLine="540"/>
        <w:jc w:val="both"/>
        <w:rPr>
          <w:rFonts w:ascii="GHEA Grapalat" w:hAnsi="GHEA Grapalat" w:cs="Sylfaen"/>
          <w:b/>
          <w:i/>
          <w:sz w:val="22"/>
          <w:szCs w:val="22"/>
          <w:lang w:val="en-US"/>
        </w:rPr>
      </w:pPr>
    </w:p>
    <w:p w:rsidR="00490F2F" w:rsidRPr="00383D45" w:rsidRDefault="00490F2F" w:rsidP="00490F2F">
      <w:pPr>
        <w:spacing w:line="480" w:lineRule="auto"/>
        <w:ind w:firstLine="540"/>
        <w:jc w:val="both"/>
        <w:rPr>
          <w:rFonts w:ascii="GHEA Grapalat" w:hAnsi="GHEA Grapalat" w:cs="Arial LatArm"/>
          <w:sz w:val="22"/>
          <w:szCs w:val="22"/>
          <w:lang w:val="en-US"/>
        </w:rPr>
      </w:pPr>
      <w:r w:rsidRPr="00383D45">
        <w:rPr>
          <w:rFonts w:ascii="GHEA Grapalat" w:hAnsi="GHEA Grapalat" w:cs="Sylfaen"/>
          <w:b/>
          <w:i/>
          <w:sz w:val="22"/>
          <w:szCs w:val="22"/>
        </w:rPr>
        <w:t>Ֆինանսական</w:t>
      </w:r>
      <w:r w:rsidRPr="00383D45">
        <w:rPr>
          <w:rFonts w:ascii="GHEA Grapalat" w:hAnsi="GHEA Grapalat" w:cs="Arial LatArm"/>
          <w:b/>
          <w:i/>
          <w:sz w:val="22"/>
          <w:szCs w:val="22"/>
        </w:rPr>
        <w:t xml:space="preserve"> </w:t>
      </w:r>
      <w:r w:rsidRPr="00383D45">
        <w:rPr>
          <w:rFonts w:ascii="GHEA Grapalat" w:hAnsi="GHEA Grapalat" w:cs="Sylfaen"/>
          <w:b/>
          <w:i/>
          <w:sz w:val="22"/>
          <w:szCs w:val="22"/>
        </w:rPr>
        <w:t>շուկա</w:t>
      </w:r>
    </w:p>
    <w:p w:rsidR="00490F2F" w:rsidRPr="00383D45" w:rsidRDefault="00490F2F" w:rsidP="00490F2F">
      <w:pPr>
        <w:spacing w:line="360" w:lineRule="auto"/>
        <w:ind w:firstLine="540"/>
        <w:jc w:val="both"/>
        <w:rPr>
          <w:rFonts w:ascii="GHEA Grapalat" w:hAnsi="GHEA Grapalat" w:cs="Arial LatArm"/>
          <w:sz w:val="22"/>
          <w:szCs w:val="22"/>
          <w:lang w:val="en-US"/>
        </w:rPr>
      </w:pPr>
      <w:r w:rsidRPr="00383D45">
        <w:rPr>
          <w:rFonts w:ascii="GHEA Grapalat" w:hAnsi="GHEA Grapalat" w:cs="Arial LatArm"/>
          <w:sz w:val="22"/>
          <w:szCs w:val="22"/>
          <w:lang w:val="en-US"/>
        </w:rPr>
        <w:t xml:space="preserve">Փողի բազան ընդլայնվել է ՀՀ ԿԲ զուտ արտաքին ակտիվների համալրման հաշվին, ինչը զուգորդվել է ՀՀ ԿԲ զուտ ներքին ակտիվների նվազմամբ: </w:t>
      </w:r>
      <w:r w:rsidRPr="00383D45">
        <w:rPr>
          <w:rFonts w:ascii="GHEA Grapalat" w:hAnsi="GHEA Grapalat" w:cs="Arial LatArm"/>
          <w:sz w:val="22"/>
          <w:szCs w:val="22"/>
        </w:rPr>
        <w:t>201</w:t>
      </w:r>
      <w:r w:rsidRPr="00383D45">
        <w:rPr>
          <w:rFonts w:ascii="GHEA Grapalat" w:hAnsi="GHEA Grapalat" w:cs="Arial LatArm"/>
          <w:sz w:val="22"/>
          <w:szCs w:val="22"/>
          <w:lang w:val="en-US"/>
        </w:rPr>
        <w:t xml:space="preserve">5 </w:t>
      </w:r>
      <w:r w:rsidRPr="00383D45">
        <w:rPr>
          <w:rFonts w:ascii="GHEA Grapalat" w:hAnsi="GHEA Grapalat" w:cs="Sylfaen"/>
          <w:sz w:val="22"/>
          <w:szCs w:val="22"/>
        </w:rPr>
        <w:t xml:space="preserve">թվականի տարեվերջին փողի բազան կազմել է շուրջ </w:t>
      </w:r>
      <w:r w:rsidRPr="00383D45">
        <w:rPr>
          <w:rFonts w:ascii="GHEA Grapalat" w:hAnsi="GHEA Grapalat" w:cs="Sylfaen"/>
          <w:sz w:val="22"/>
          <w:szCs w:val="22"/>
          <w:lang w:val="en-US"/>
        </w:rPr>
        <w:t xml:space="preserve">921.3 </w:t>
      </w:r>
      <w:r w:rsidRPr="00383D45">
        <w:rPr>
          <w:rFonts w:ascii="GHEA Grapalat" w:hAnsi="GHEA Grapalat" w:cs="Sylfaen"/>
          <w:sz w:val="22"/>
          <w:szCs w:val="22"/>
        </w:rPr>
        <w:t xml:space="preserve">մլրդ դրամ` տարեսկզբի համեմատ </w:t>
      </w:r>
      <w:r w:rsidRPr="00383D45">
        <w:rPr>
          <w:rFonts w:ascii="GHEA Grapalat" w:hAnsi="GHEA Grapalat" w:cs="Sylfaen"/>
          <w:sz w:val="22"/>
          <w:szCs w:val="22"/>
          <w:lang w:val="en-US"/>
        </w:rPr>
        <w:t>աճելով 3.9</w:t>
      </w:r>
      <w:r w:rsidRPr="00383D45">
        <w:rPr>
          <w:rFonts w:ascii="GHEA Grapalat" w:hAnsi="GHEA Grapalat" w:cs="Sylfaen"/>
          <w:sz w:val="22"/>
          <w:szCs w:val="22"/>
        </w:rPr>
        <w:t xml:space="preserve">%-ով: Ընդ որում, զուտ արտաքին ակտիվները </w:t>
      </w:r>
      <w:r w:rsidRPr="00383D45">
        <w:rPr>
          <w:rFonts w:ascii="GHEA Grapalat" w:hAnsi="GHEA Grapalat" w:cs="Sylfaen"/>
          <w:sz w:val="22"/>
          <w:szCs w:val="22"/>
          <w:lang w:val="en-US"/>
        </w:rPr>
        <w:t>աճել են 26.6</w:t>
      </w:r>
      <w:r w:rsidRPr="00383D45">
        <w:rPr>
          <w:rFonts w:ascii="GHEA Grapalat" w:hAnsi="GHEA Grapalat" w:cs="Sylfaen"/>
          <w:sz w:val="22"/>
          <w:szCs w:val="22"/>
        </w:rPr>
        <w:t xml:space="preserve">%-ով, իսկ զուտ ներքին ակտիվերը՝ </w:t>
      </w:r>
      <w:r w:rsidRPr="00383D45">
        <w:rPr>
          <w:rFonts w:ascii="GHEA Grapalat" w:hAnsi="GHEA Grapalat" w:cs="Sylfaen"/>
          <w:sz w:val="22"/>
          <w:szCs w:val="22"/>
          <w:lang w:val="en-US"/>
        </w:rPr>
        <w:t>նվազել 14.1</w:t>
      </w:r>
      <w:r w:rsidRPr="00383D45">
        <w:rPr>
          <w:rFonts w:ascii="GHEA Grapalat" w:hAnsi="GHEA Grapalat" w:cs="Sylfaen"/>
          <w:sz w:val="22"/>
          <w:szCs w:val="22"/>
        </w:rPr>
        <w:t>%-ով</w:t>
      </w:r>
      <w:r w:rsidRPr="00383D45">
        <w:rPr>
          <w:rFonts w:ascii="GHEA Grapalat" w:hAnsi="GHEA Grapalat" w:cs="Sylfaen"/>
          <w:sz w:val="22"/>
          <w:szCs w:val="22"/>
          <w:lang w:val="en-US"/>
        </w:rPr>
        <w:t>:</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 xml:space="preserve">Նույն ժամանակահատվածում փողի բազայում ԿԲ-ից դուրս կանխիկը </w:t>
      </w:r>
      <w:r w:rsidRPr="00383D45">
        <w:rPr>
          <w:rFonts w:ascii="GHEA Grapalat" w:hAnsi="GHEA Grapalat" w:cs="Sylfaen"/>
          <w:sz w:val="22"/>
          <w:szCs w:val="22"/>
          <w:lang w:val="en-US"/>
        </w:rPr>
        <w:t>աճել է 0.3</w:t>
      </w:r>
      <w:r w:rsidRPr="00383D45">
        <w:rPr>
          <w:rFonts w:ascii="GHEA Grapalat" w:hAnsi="GHEA Grapalat" w:cs="Sylfaen"/>
          <w:sz w:val="22"/>
          <w:szCs w:val="22"/>
        </w:rPr>
        <w:t xml:space="preserve">%-ով (տեսակարար կշիռը փողի բազայում կազմել է շուրջ </w:t>
      </w:r>
      <w:r w:rsidRPr="00383D45">
        <w:rPr>
          <w:rFonts w:ascii="GHEA Grapalat" w:hAnsi="GHEA Grapalat" w:cs="Sylfaen"/>
          <w:sz w:val="22"/>
          <w:szCs w:val="22"/>
          <w:lang w:val="en-US"/>
        </w:rPr>
        <w:t>45</w:t>
      </w:r>
      <w:r w:rsidRPr="00383D45">
        <w:rPr>
          <w:rFonts w:ascii="GHEA Grapalat" w:hAnsi="GHEA Grapalat" w:cs="Sylfaen"/>
          <w:sz w:val="22"/>
          <w:szCs w:val="22"/>
        </w:rPr>
        <w:t xml:space="preserve">%), իսկ պարտադիր պահուստները դրամով </w:t>
      </w:r>
      <w:r w:rsidRPr="00383D45">
        <w:rPr>
          <w:rFonts w:ascii="GHEA Grapalat" w:hAnsi="GHEA Grapalat" w:cs="Sylfaen"/>
          <w:sz w:val="22"/>
          <w:szCs w:val="22"/>
          <w:lang w:val="en-US"/>
        </w:rPr>
        <w:t>նվազել են 3.6</w:t>
      </w:r>
      <w:r w:rsidRPr="00383D45">
        <w:rPr>
          <w:rFonts w:ascii="GHEA Grapalat" w:hAnsi="GHEA Grapalat" w:cs="Sylfaen"/>
          <w:sz w:val="22"/>
          <w:szCs w:val="22"/>
        </w:rPr>
        <w:t>%-ով</w:t>
      </w:r>
      <w:r>
        <w:rPr>
          <w:rFonts w:ascii="GHEA Grapalat" w:hAnsi="GHEA Grapalat" w:cs="Sylfaen"/>
          <w:sz w:val="22"/>
          <w:szCs w:val="22"/>
          <w:lang w:val="en-US"/>
        </w:rPr>
        <w:t xml:space="preserve"> </w:t>
      </w:r>
      <w:r w:rsidRPr="00383D45">
        <w:rPr>
          <w:rFonts w:ascii="GHEA Grapalat" w:hAnsi="GHEA Grapalat" w:cs="Sylfaen"/>
          <w:sz w:val="22"/>
          <w:szCs w:val="22"/>
        </w:rPr>
        <w:t xml:space="preserve">և արտարժույթով աճել` </w:t>
      </w:r>
      <w:r w:rsidRPr="00383D45">
        <w:rPr>
          <w:rFonts w:ascii="GHEA Grapalat" w:hAnsi="GHEA Grapalat" w:cs="Sylfaen"/>
          <w:sz w:val="22"/>
          <w:szCs w:val="22"/>
          <w:lang w:val="en-US"/>
        </w:rPr>
        <w:t>34.5</w:t>
      </w:r>
      <w:r w:rsidRPr="00383D45">
        <w:rPr>
          <w:rFonts w:ascii="GHEA Grapalat" w:hAnsi="GHEA Grapalat" w:cs="Sylfaen"/>
          <w:sz w:val="22"/>
          <w:szCs w:val="22"/>
        </w:rPr>
        <w:t xml:space="preserve">%-ով (տեսակարար կշիռը փողի բազայում կազմել է </w:t>
      </w:r>
      <w:r w:rsidRPr="00383D45">
        <w:rPr>
          <w:rFonts w:ascii="GHEA Grapalat" w:hAnsi="GHEA Grapalat" w:cs="Sylfaen"/>
          <w:sz w:val="22"/>
          <w:szCs w:val="22"/>
          <w:lang w:val="en-US"/>
        </w:rPr>
        <w:t>համապատասխանաբար 35</w:t>
      </w:r>
      <w:r w:rsidRPr="00383D45">
        <w:rPr>
          <w:rFonts w:ascii="GHEA Grapalat" w:hAnsi="GHEA Grapalat" w:cs="Sylfaen"/>
          <w:sz w:val="22"/>
          <w:szCs w:val="22"/>
        </w:rPr>
        <w:t>%</w:t>
      </w:r>
      <w:r w:rsidRPr="00383D45">
        <w:rPr>
          <w:rFonts w:ascii="GHEA Grapalat" w:hAnsi="GHEA Grapalat" w:cs="Sylfaen"/>
          <w:sz w:val="22"/>
          <w:szCs w:val="22"/>
          <w:lang w:val="en-US"/>
        </w:rPr>
        <w:t xml:space="preserve"> և 20</w:t>
      </w:r>
      <w:r w:rsidRPr="00383D45">
        <w:rPr>
          <w:rFonts w:ascii="GHEA Grapalat" w:hAnsi="GHEA Grapalat" w:cs="Sylfaen"/>
          <w:sz w:val="22"/>
          <w:szCs w:val="22"/>
        </w:rPr>
        <w:t>%):</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2015 թվականի տարեվերջին փողի զանգվածը կազմել է 1,855.7 մլրդ դրամ` տարեսկզբի նկատմամբ աճելով 10.8%-ով</w:t>
      </w:r>
      <w:r w:rsidRPr="00383D45">
        <w:rPr>
          <w:rFonts w:ascii="GHEA Grapalat" w:hAnsi="GHEA Grapalat" w:cs="Sylfaen"/>
          <w:sz w:val="22"/>
          <w:szCs w:val="22"/>
          <w:lang w:val="sk-SK"/>
        </w:rPr>
        <w:t xml:space="preserve">: </w:t>
      </w:r>
      <w:r w:rsidRPr="00383D45">
        <w:rPr>
          <w:rFonts w:ascii="GHEA Grapalat" w:hAnsi="GHEA Grapalat" w:cs="Sylfaen"/>
          <w:sz w:val="22"/>
          <w:szCs w:val="22"/>
        </w:rPr>
        <w:t>Ընդ որում, զուտ արտաքին ակտիվների աճը կազմել է 44.2%, իսկ զուտ ներքին ակտիվների նվազումը` 1.5%:</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Փողի զանգվածում բանկային համակարգից դուրս կանխիկը նվազել է 0.8%-ով, դրամային ավանդները ապահովել են փողի զանգվածի աճի ընդամենը 2.7 տոկոսային կետը, իսկ արտարժու</w:t>
      </w:r>
      <w:r w:rsidRPr="00796991">
        <w:rPr>
          <w:rFonts w:ascii="GHEA Grapalat" w:hAnsi="GHEA Grapalat" w:cs="Sylfaen"/>
          <w:sz w:val="22"/>
          <w:szCs w:val="22"/>
        </w:rPr>
        <w:t>յ</w:t>
      </w:r>
      <w:r w:rsidRPr="00383D45">
        <w:rPr>
          <w:rFonts w:ascii="GHEA Grapalat" w:hAnsi="GHEA Grapalat" w:cs="Sylfaen"/>
          <w:sz w:val="22"/>
          <w:szCs w:val="22"/>
        </w:rPr>
        <w:t>թով ավանդները` 8.3 տոկոսային կետը</w:t>
      </w:r>
      <w:r w:rsidRPr="00383D45">
        <w:rPr>
          <w:rStyle w:val="a7"/>
          <w:rFonts w:ascii="GHEA Grapalat" w:hAnsi="GHEA Grapalat"/>
          <w:sz w:val="22"/>
          <w:szCs w:val="22"/>
        </w:rPr>
        <w:footnoteReference w:id="17"/>
      </w:r>
      <w:r w:rsidRPr="00383D45">
        <w:rPr>
          <w:rFonts w:ascii="GHEA Grapalat" w:hAnsi="GHEA Grapalat" w:cs="Sylfaen"/>
          <w:sz w:val="22"/>
          <w:szCs w:val="22"/>
        </w:rPr>
        <w:t>:</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 xml:space="preserve">2015 թվականի ընթացքում դոլարայնացման մակարդակը շարունակել է աճել, բայց դանդաղ տեմպով, ի տարբերություն 2014 թվականին արձանագրված աճին: </w:t>
      </w:r>
      <w:r w:rsidRPr="00383D45">
        <w:rPr>
          <w:rFonts w:ascii="GHEA Grapalat" w:hAnsi="GHEA Grapalat" w:cs="Sylfaen"/>
          <w:sz w:val="22"/>
          <w:szCs w:val="22"/>
        </w:rPr>
        <w:lastRenderedPageBreak/>
        <w:t>Արտարժութային ավանդներ/փողի զանգված հարաբերակցությունը նախորդ տարվա դեկտեմբերի նկատմամբ աճել է 2.5 տոկոսային կետով, կազմելով` 53.6% (2014 թվականին աճը կազմել է 6 տոկոսային կետ, կազմելով 51.1%): Դոլարային ավանդների կշիռն ընդհանուր ավանդների մեջ կազմել է 65.9% (աճը` 1.4%):</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Ֆինանսական շուկայում նկատվել է վարկավորման ծավալների զգալի նվազում և տոկոսադրույքների սպրեդի նվազում:</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 xml:space="preserve">Առևտրային բանկերի կողմից ռեզիդենտներից և ոչ ռեզիդենտներից ներգրավված ավանդները 2015 թվականին նախորդ տարվա նկատմամբ աճել են 11%-ով: ՀՀ դրամային ավանդների միջին ամսական տոկոսադրույքը 2015 թվականի դեկտեմբերին կազմել է </w:t>
      </w:r>
      <w:r w:rsidRPr="00640A89">
        <w:rPr>
          <w:rFonts w:ascii="GHEA Grapalat" w:hAnsi="GHEA Grapalat" w:cs="Sylfaen"/>
          <w:sz w:val="22"/>
          <w:szCs w:val="22"/>
        </w:rPr>
        <w:t>14.09</w:t>
      </w:r>
      <w:r w:rsidRPr="00383D45">
        <w:rPr>
          <w:rFonts w:ascii="GHEA Grapalat" w:hAnsi="GHEA Grapalat" w:cs="Sylfaen"/>
          <w:sz w:val="22"/>
          <w:szCs w:val="22"/>
        </w:rPr>
        <w:t>%, 2014 թվականի 12.</w:t>
      </w:r>
      <w:r w:rsidRPr="00640A89">
        <w:rPr>
          <w:rFonts w:ascii="GHEA Grapalat" w:hAnsi="GHEA Grapalat" w:cs="Sylfaen"/>
          <w:sz w:val="22"/>
          <w:szCs w:val="22"/>
        </w:rPr>
        <w:t>53</w:t>
      </w:r>
      <w:r w:rsidRPr="00383D45">
        <w:rPr>
          <w:rFonts w:ascii="GHEA Grapalat" w:hAnsi="GHEA Grapalat" w:cs="Sylfaen"/>
          <w:sz w:val="22"/>
          <w:szCs w:val="22"/>
        </w:rPr>
        <w:t>%-ի համեմատ (մինչև մեկ տարի ժամկետով):</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Առևտրային բանկերի կողմից ռեզիդենտներին և ոչ ռեզիդենտներին տրա</w:t>
      </w:r>
      <w:r w:rsidRPr="00383D45">
        <w:rPr>
          <w:rFonts w:ascii="GHEA Grapalat" w:hAnsi="GHEA Grapalat" w:cs="Sylfaen"/>
          <w:sz w:val="22"/>
          <w:szCs w:val="22"/>
          <w:lang w:val="bg-BG"/>
        </w:rPr>
        <w:t>մադրվա</w:t>
      </w:r>
      <w:r w:rsidRPr="00383D45">
        <w:rPr>
          <w:rFonts w:ascii="GHEA Grapalat" w:hAnsi="GHEA Grapalat" w:cs="Sylfaen"/>
          <w:sz w:val="22"/>
          <w:szCs w:val="22"/>
        </w:rPr>
        <w:t>ծ վարկերի ծավալները 2015 թվականին նախորդ տարվա նկատմամբ զգալիորեն նվազել են</w:t>
      </w:r>
      <w:r w:rsidRPr="00640A89">
        <w:rPr>
          <w:rFonts w:ascii="GHEA Grapalat" w:hAnsi="GHEA Grapalat" w:cs="Sylfaen"/>
          <w:sz w:val="22"/>
          <w:szCs w:val="22"/>
        </w:rPr>
        <w:t>՝</w:t>
      </w:r>
      <w:r w:rsidRPr="00383D45">
        <w:rPr>
          <w:rFonts w:ascii="GHEA Grapalat" w:hAnsi="GHEA Grapalat" w:cs="Sylfaen"/>
          <w:sz w:val="22"/>
          <w:szCs w:val="22"/>
        </w:rPr>
        <w:t xml:space="preserve"> կազմելով -3.</w:t>
      </w:r>
      <w:r w:rsidRPr="00640A89">
        <w:rPr>
          <w:rFonts w:ascii="GHEA Grapalat" w:hAnsi="GHEA Grapalat" w:cs="Sylfaen"/>
          <w:sz w:val="22"/>
          <w:szCs w:val="22"/>
        </w:rPr>
        <w:t>2</w:t>
      </w:r>
      <w:r w:rsidRPr="00383D45">
        <w:rPr>
          <w:rFonts w:ascii="GHEA Grapalat" w:hAnsi="GHEA Grapalat" w:cs="Sylfaen"/>
          <w:sz w:val="22"/>
          <w:szCs w:val="22"/>
        </w:rPr>
        <w:t>%</w:t>
      </w:r>
      <w:r w:rsidRPr="00383D45">
        <w:rPr>
          <w:rFonts w:ascii="GHEA Grapalat" w:hAnsi="GHEA Grapalat" w:cs="Sylfaen"/>
          <w:sz w:val="22"/>
          <w:szCs w:val="22"/>
          <w:vertAlign w:val="superscript"/>
        </w:rPr>
        <w:footnoteReference w:id="18"/>
      </w:r>
      <w:r w:rsidRPr="00383D45">
        <w:rPr>
          <w:rFonts w:ascii="GHEA Grapalat" w:hAnsi="GHEA Grapalat" w:cs="Sylfaen"/>
          <w:sz w:val="22"/>
          <w:szCs w:val="22"/>
        </w:rPr>
        <w:t xml:space="preserve"> 2014 թվականի 21.7%-ի դիմաց (վարկավորման ընդհանուր կառուցվածքում գերակշռում են արտարժույթով վարկերը 65.7%): ՀՀ դրամով վարկավորման միջին ամսական տոկոսադրույքը 2015 թվականի դեկտեմբերին կազմել է 15.</w:t>
      </w:r>
      <w:r w:rsidRPr="00640A89">
        <w:rPr>
          <w:rFonts w:ascii="GHEA Grapalat" w:hAnsi="GHEA Grapalat" w:cs="Sylfaen"/>
          <w:sz w:val="22"/>
          <w:szCs w:val="22"/>
        </w:rPr>
        <w:t>9</w:t>
      </w:r>
      <w:r w:rsidRPr="00383D45">
        <w:rPr>
          <w:rFonts w:ascii="GHEA Grapalat" w:hAnsi="GHEA Grapalat" w:cs="Sylfaen"/>
          <w:sz w:val="22"/>
          <w:szCs w:val="22"/>
        </w:rPr>
        <w:t>6%, 2014 թվականի նույն ամսում արձանագրված 16.2</w:t>
      </w:r>
      <w:r w:rsidRPr="00640A89">
        <w:rPr>
          <w:rFonts w:ascii="GHEA Grapalat" w:hAnsi="GHEA Grapalat" w:cs="Sylfaen"/>
          <w:sz w:val="22"/>
          <w:szCs w:val="22"/>
        </w:rPr>
        <w:t>1</w:t>
      </w:r>
      <w:r w:rsidRPr="00383D45">
        <w:rPr>
          <w:rFonts w:ascii="GHEA Grapalat" w:hAnsi="GHEA Grapalat" w:cs="Sylfaen"/>
          <w:sz w:val="22"/>
          <w:szCs w:val="22"/>
        </w:rPr>
        <w:t>%-ի համեմատ</w:t>
      </w:r>
      <w:r w:rsidRPr="00640A89">
        <w:rPr>
          <w:rFonts w:ascii="GHEA Grapalat" w:hAnsi="GHEA Grapalat" w:cs="Sylfaen"/>
          <w:sz w:val="22"/>
          <w:szCs w:val="22"/>
        </w:rPr>
        <w:t xml:space="preserve"> </w:t>
      </w:r>
      <w:r w:rsidRPr="00383D45">
        <w:rPr>
          <w:rFonts w:ascii="GHEA Grapalat" w:hAnsi="GHEA Grapalat" w:cs="Sylfaen"/>
          <w:sz w:val="22"/>
          <w:szCs w:val="22"/>
        </w:rPr>
        <w:t>(մինչև մեկ տարի ժամկետով):</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eastAsia="Calibri" w:hAnsi="GHEA Grapalat"/>
          <w:sz w:val="22"/>
          <w:szCs w:val="22"/>
        </w:rPr>
        <w:t>Առևտրային բանկերի մինչև մեկ տարի ժամկետով ՀՀ դրամով ներգրավված ավանդների և վարկերի միջին ամսական տոկոսադրույքների միջև սպրեդը 2015 թվականին 2014 թվականի նկատմամբ նվազել է 2.5 տոկոսային կետով և կազմել 3.</w:t>
      </w:r>
      <w:r w:rsidRPr="00640A89">
        <w:rPr>
          <w:rFonts w:ascii="GHEA Grapalat" w:eastAsia="Calibri" w:hAnsi="GHEA Grapalat"/>
          <w:sz w:val="22"/>
          <w:szCs w:val="22"/>
        </w:rPr>
        <w:t>4</w:t>
      </w:r>
      <w:r w:rsidRPr="00383D45">
        <w:rPr>
          <w:rFonts w:ascii="GHEA Grapalat" w:eastAsia="Calibri" w:hAnsi="GHEA Grapalat"/>
          <w:sz w:val="22"/>
          <w:szCs w:val="22"/>
        </w:rPr>
        <w:t xml:space="preserve"> տոկոսային կետ:</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eastAsia="Calibri" w:hAnsi="GHEA Grapalat"/>
          <w:sz w:val="22"/>
          <w:szCs w:val="22"/>
        </w:rPr>
        <w:t>2015 թվականի ընթացքում ՀՀ պետական պարտատոմսերի շուկայում նկատվել է միջին կշռված եկամտաբերության աճ (շուրջ 4.8 տոկոսային կետով): Այսպես, եթե 2014 թվականին տեղաբաշխված պետական արժեթղթերի միջին կշռված եկամտաբերությունը կազմել է 9.8%, ապա 2015 թվականին այն կազմել է 14.6%: Նույն ժամանակահատվածում տեղաբաշխված պետական արժեթղթերի ծավալը կազմել է 143.9 մլրդ դրամ, 2014 թվականի` 79.8 մլրդ դրամի դիմաց, իսկ միջին ժամկետայնությունը` 1939 օր, 2014 թվականի 2049-ի համեմատ:</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eastAsia="Calibri" w:hAnsi="GHEA Grapalat"/>
          <w:sz w:val="22"/>
          <w:szCs w:val="22"/>
        </w:rPr>
        <w:t xml:space="preserve">2015 թվականին պետական (շուկայական) պարտատոմսերի նկատմամբ պահանջարկը գերազանցել է թողարկման ցուցանիշը 1.67 անգամ (2014թ-ին` 2.45), իսկ տեղաբաշխում/թողարկում հարաբերակցության միջին մեծությունը կազմել է 0.97 (2014թ-ին` 0.96): </w:t>
      </w:r>
    </w:p>
    <w:p w:rsidR="00490F2F" w:rsidRPr="00383D45" w:rsidRDefault="00490F2F" w:rsidP="00490F2F">
      <w:pPr>
        <w:spacing w:line="360" w:lineRule="auto"/>
        <w:ind w:firstLine="540"/>
        <w:jc w:val="both"/>
        <w:rPr>
          <w:rFonts w:ascii="GHEA Grapalat" w:eastAsia="Calibri" w:hAnsi="GHEA Grapalat"/>
          <w:b/>
          <w:sz w:val="22"/>
          <w:szCs w:val="22"/>
        </w:rPr>
      </w:pPr>
      <w:r w:rsidRPr="00383D45">
        <w:rPr>
          <w:rFonts w:ascii="GHEA Grapalat" w:eastAsia="Calibri" w:hAnsi="GHEA Grapalat"/>
          <w:sz w:val="22"/>
          <w:szCs w:val="22"/>
        </w:rPr>
        <w:t>ՀՀ եվրոպարտատոմսերի շուկայում ևս նկատվել է միջին կշռված եկամտաբերության աճ:</w:t>
      </w:r>
      <w:r w:rsidRPr="00383D45">
        <w:rPr>
          <w:rFonts w:ascii="GHEA Grapalat" w:eastAsia="Calibri" w:hAnsi="GHEA Grapalat"/>
          <w:b/>
          <w:sz w:val="22"/>
          <w:szCs w:val="22"/>
        </w:rPr>
        <w:t xml:space="preserve"> </w:t>
      </w:r>
      <w:r w:rsidRPr="00383D45">
        <w:rPr>
          <w:rFonts w:ascii="GHEA Grapalat" w:eastAsia="Calibri" w:hAnsi="GHEA Grapalat"/>
          <w:sz w:val="22"/>
          <w:szCs w:val="22"/>
        </w:rPr>
        <w:t xml:space="preserve">Միջազգային կապիտալի շուկայում 2013 թվականին 6.25% եկամտաբերությամբ </w:t>
      </w:r>
      <w:r w:rsidRPr="00383D45">
        <w:rPr>
          <w:rFonts w:ascii="GHEA Grapalat" w:eastAsia="Calibri" w:hAnsi="GHEA Grapalat"/>
          <w:sz w:val="22"/>
          <w:szCs w:val="22"/>
        </w:rPr>
        <w:lastRenderedPageBreak/>
        <w:t>թողարկված պետական արտարժութային պարտատոմսերի եկամտաբերությունը 2015 թվականի տարեվերջին կազմել է 6.76%, 2014 թվականի տարեվերջին արձանագրված 6.21%-ի դիմաց: Իսկ 2015</w:t>
      </w:r>
      <w:r w:rsidRPr="00796991">
        <w:rPr>
          <w:rFonts w:ascii="GHEA Grapalat" w:eastAsia="Calibri" w:hAnsi="GHEA Grapalat"/>
          <w:sz w:val="22"/>
          <w:szCs w:val="22"/>
        </w:rPr>
        <w:t xml:space="preserve"> </w:t>
      </w:r>
      <w:r w:rsidRPr="00383D45">
        <w:rPr>
          <w:rFonts w:ascii="GHEA Grapalat" w:eastAsia="Calibri" w:hAnsi="GHEA Grapalat"/>
          <w:sz w:val="22"/>
          <w:szCs w:val="22"/>
        </w:rPr>
        <w:t>թվականին 7.50% եկամտաբերությամբ թողարկված պետական արտարժութային պարտատոմսերի եկամտաբերությունը 2015 թվականի տարեվերջին կազմել է 7.58%: Եկամտաբերության աճը պայմանավորվել է նաև ԱՄՆ դոլարի այլ արժույթների նկատմամբ արժևորմամբ:</w:t>
      </w:r>
    </w:p>
    <w:p w:rsidR="00490F2F" w:rsidRPr="00640A89" w:rsidRDefault="00490F2F" w:rsidP="00490F2F">
      <w:pPr>
        <w:tabs>
          <w:tab w:val="left" w:pos="540"/>
        </w:tabs>
        <w:ind w:firstLine="540"/>
        <w:jc w:val="both"/>
        <w:rPr>
          <w:rFonts w:ascii="GHEA Grapalat" w:hAnsi="GHEA Grapalat" w:cs="Sylfaen"/>
          <w:b/>
          <w:sz w:val="22"/>
          <w:szCs w:val="22"/>
        </w:rPr>
      </w:pPr>
    </w:p>
    <w:p w:rsidR="00490F2F" w:rsidRPr="00383D45" w:rsidRDefault="00490F2F" w:rsidP="00490F2F">
      <w:pPr>
        <w:tabs>
          <w:tab w:val="left" w:pos="540"/>
        </w:tabs>
        <w:ind w:firstLine="540"/>
        <w:jc w:val="both"/>
        <w:rPr>
          <w:rFonts w:ascii="GHEA Grapalat" w:hAnsi="GHEA Grapalat" w:cs="Sylfaen"/>
          <w:sz w:val="22"/>
          <w:szCs w:val="22"/>
        </w:rPr>
      </w:pPr>
      <w:r w:rsidRPr="00383D45">
        <w:rPr>
          <w:rFonts w:ascii="GHEA Grapalat" w:hAnsi="GHEA Grapalat" w:cs="Sylfaen"/>
          <w:b/>
          <w:sz w:val="22"/>
          <w:szCs w:val="22"/>
        </w:rPr>
        <w:t>Աղյուսակ 1.</w:t>
      </w:r>
      <w:r w:rsidRPr="00383D45">
        <w:rPr>
          <w:rFonts w:ascii="GHEA Grapalat" w:hAnsi="GHEA Grapalat" w:cs="Sylfaen"/>
          <w:sz w:val="22"/>
          <w:szCs w:val="22"/>
        </w:rPr>
        <w:t xml:space="preserve"> Ֆինանսական շուկայի տոկոսադրույքները 2015թ. </w:t>
      </w:r>
    </w:p>
    <w:p w:rsidR="00490F2F" w:rsidRPr="00383D45" w:rsidRDefault="00490F2F" w:rsidP="00490F2F">
      <w:pPr>
        <w:pStyle w:val="a5"/>
        <w:rPr>
          <w:rFonts w:ascii="GHEA Grapalat" w:hAnsi="GHEA Grapalat" w:cs="Sylfaen"/>
          <w:sz w:val="24"/>
          <w:szCs w:val="24"/>
        </w:rPr>
      </w:pPr>
    </w:p>
    <w:tbl>
      <w:tblPr>
        <w:tblW w:w="10310" w:type="dxa"/>
        <w:tblInd w:w="93" w:type="dxa"/>
        <w:tblLook w:val="04A0" w:firstRow="1" w:lastRow="0" w:firstColumn="1" w:lastColumn="0" w:noHBand="0" w:noVBand="1"/>
      </w:tblPr>
      <w:tblGrid>
        <w:gridCol w:w="2020"/>
        <w:gridCol w:w="636"/>
        <w:gridCol w:w="719"/>
        <w:gridCol w:w="719"/>
        <w:gridCol w:w="719"/>
        <w:gridCol w:w="719"/>
        <w:gridCol w:w="719"/>
        <w:gridCol w:w="719"/>
        <w:gridCol w:w="701"/>
        <w:gridCol w:w="701"/>
        <w:gridCol w:w="701"/>
        <w:gridCol w:w="618"/>
        <w:gridCol w:w="619"/>
      </w:tblGrid>
      <w:tr w:rsidR="00490F2F" w:rsidRPr="00383D45" w:rsidTr="00A406B5">
        <w:trPr>
          <w:trHeight w:val="274"/>
        </w:trPr>
        <w:tc>
          <w:tcPr>
            <w:tcW w:w="230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Ամիսներ</w:t>
            </w:r>
          </w:p>
        </w:tc>
        <w:tc>
          <w:tcPr>
            <w:tcW w:w="8003" w:type="dxa"/>
            <w:gridSpan w:val="12"/>
            <w:tcBorders>
              <w:top w:val="single" w:sz="8" w:space="0" w:color="auto"/>
              <w:left w:val="nil"/>
              <w:bottom w:val="single" w:sz="8" w:space="0" w:color="auto"/>
              <w:right w:val="single" w:sz="8" w:space="0" w:color="000000"/>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201</w:t>
            </w:r>
            <w:r w:rsidRPr="00383D45">
              <w:rPr>
                <w:rFonts w:ascii="GHEA Grapalat" w:hAnsi="GHEA Grapalat" w:cs="Arial"/>
                <w:noProof w:val="0"/>
                <w:sz w:val="20"/>
                <w:szCs w:val="20"/>
                <w:lang w:val="en-US"/>
              </w:rPr>
              <w:t>5</w:t>
            </w:r>
          </w:p>
        </w:tc>
      </w:tr>
      <w:tr w:rsidR="00490F2F" w:rsidRPr="00383D45" w:rsidTr="00A406B5">
        <w:trPr>
          <w:trHeight w:val="274"/>
        </w:trPr>
        <w:tc>
          <w:tcPr>
            <w:tcW w:w="2306" w:type="dxa"/>
            <w:vMerge/>
            <w:tcBorders>
              <w:top w:val="single" w:sz="8" w:space="0" w:color="auto"/>
              <w:left w:val="single" w:sz="8" w:space="0" w:color="auto"/>
              <w:bottom w:val="single" w:sz="8" w:space="0" w:color="000000"/>
              <w:right w:val="single" w:sz="8" w:space="0" w:color="auto"/>
            </w:tcBorders>
            <w:vAlign w:val="center"/>
          </w:tcPr>
          <w:p w:rsidR="00490F2F" w:rsidRPr="00383D45" w:rsidRDefault="00490F2F" w:rsidP="00A406B5">
            <w:pPr>
              <w:rPr>
                <w:rFonts w:ascii="GHEA Grapalat" w:hAnsi="GHEA Grapalat" w:cs="Arial"/>
                <w:noProof w:val="0"/>
                <w:sz w:val="20"/>
                <w:szCs w:val="20"/>
                <w:lang w:val="en-US"/>
              </w:rPr>
            </w:pP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II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III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IV</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V</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VI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VII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VIII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IX</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X</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XI</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rPr>
              <w:t>XII</w:t>
            </w:r>
          </w:p>
        </w:tc>
      </w:tr>
      <w:tr w:rsidR="00490F2F" w:rsidRPr="00383D45" w:rsidTr="00A406B5">
        <w:trPr>
          <w:trHeight w:val="532"/>
        </w:trPr>
        <w:tc>
          <w:tcPr>
            <w:tcW w:w="2306" w:type="dxa"/>
            <w:tcBorders>
              <w:top w:val="nil"/>
              <w:left w:val="single" w:sz="8" w:space="0" w:color="auto"/>
              <w:bottom w:val="single" w:sz="8" w:space="0" w:color="auto"/>
              <w:right w:val="single" w:sz="8" w:space="0" w:color="auto"/>
            </w:tcBorders>
            <w:shd w:val="clear" w:color="auto" w:fill="auto"/>
            <w:vAlign w:val="center"/>
          </w:tcPr>
          <w:p w:rsidR="00490F2F" w:rsidRPr="00383D45" w:rsidRDefault="00490F2F" w:rsidP="00A406B5">
            <w:pPr>
              <w:rPr>
                <w:rFonts w:ascii="GHEA Grapalat" w:hAnsi="GHEA Grapalat" w:cs="Arial"/>
                <w:noProof w:val="0"/>
                <w:sz w:val="20"/>
                <w:szCs w:val="20"/>
                <w:lang w:val="en-US"/>
              </w:rPr>
            </w:pPr>
            <w:r w:rsidRPr="00383D45">
              <w:rPr>
                <w:rFonts w:ascii="GHEA Grapalat" w:hAnsi="GHEA Grapalat" w:cs="Arial"/>
                <w:noProof w:val="0"/>
                <w:sz w:val="20"/>
                <w:szCs w:val="20"/>
              </w:rPr>
              <w:t>Առևտրային բանկերի վարկեր*</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16.8</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18.7</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19.1</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17.1</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17.7</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17.3</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18.2</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18.9</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17.9</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16.5</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17.0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15.</w:t>
            </w:r>
            <w:r>
              <w:rPr>
                <w:rFonts w:ascii="GHEA Grapalat" w:hAnsi="GHEA Grapalat" w:cs="Arial"/>
                <w:noProof w:val="0"/>
                <w:sz w:val="20"/>
                <w:szCs w:val="20"/>
                <w:lang w:val="en-US"/>
              </w:rPr>
              <w:t>9</w:t>
            </w:r>
          </w:p>
        </w:tc>
      </w:tr>
      <w:tr w:rsidR="00490F2F" w:rsidRPr="00383D45" w:rsidTr="00A406B5">
        <w:trPr>
          <w:trHeight w:val="532"/>
        </w:trPr>
        <w:tc>
          <w:tcPr>
            <w:tcW w:w="2306" w:type="dxa"/>
            <w:tcBorders>
              <w:top w:val="nil"/>
              <w:left w:val="single" w:sz="8" w:space="0" w:color="auto"/>
              <w:bottom w:val="single" w:sz="8" w:space="0" w:color="auto"/>
              <w:right w:val="single" w:sz="8" w:space="0" w:color="auto"/>
            </w:tcBorders>
            <w:shd w:val="clear" w:color="auto" w:fill="auto"/>
            <w:vAlign w:val="center"/>
          </w:tcPr>
          <w:p w:rsidR="00490F2F" w:rsidRPr="00383D45" w:rsidRDefault="00490F2F" w:rsidP="00A406B5">
            <w:pPr>
              <w:rPr>
                <w:rFonts w:ascii="GHEA Grapalat" w:hAnsi="GHEA Grapalat" w:cs="Arial"/>
                <w:noProof w:val="0"/>
                <w:sz w:val="20"/>
                <w:szCs w:val="20"/>
                <w:lang w:val="en-US"/>
              </w:rPr>
            </w:pPr>
            <w:r w:rsidRPr="00383D45">
              <w:rPr>
                <w:rFonts w:ascii="GHEA Grapalat" w:hAnsi="GHEA Grapalat" w:cs="Arial"/>
                <w:noProof w:val="0"/>
                <w:sz w:val="20"/>
                <w:szCs w:val="20"/>
              </w:rPr>
              <w:t>Առևտրային բանկերի ավանդներ*</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12.1</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13.9</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15.2</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13.3</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15.3</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14.8</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14.4</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12.3</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14.1</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15.2</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15.1</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Pr>
                <w:rFonts w:ascii="GHEA Grapalat" w:hAnsi="GHEA Grapalat" w:cs="Arial"/>
                <w:noProof w:val="0"/>
                <w:sz w:val="20"/>
                <w:szCs w:val="20"/>
                <w:lang w:val="en-US"/>
              </w:rPr>
              <w:t>14.1</w:t>
            </w:r>
          </w:p>
        </w:tc>
      </w:tr>
      <w:tr w:rsidR="00490F2F" w:rsidRPr="00383D45" w:rsidTr="00A406B5">
        <w:trPr>
          <w:trHeight w:val="532"/>
        </w:trPr>
        <w:tc>
          <w:tcPr>
            <w:tcW w:w="2306" w:type="dxa"/>
            <w:tcBorders>
              <w:top w:val="nil"/>
              <w:left w:val="single" w:sz="8" w:space="0" w:color="auto"/>
              <w:bottom w:val="single" w:sz="8" w:space="0" w:color="auto"/>
              <w:right w:val="single" w:sz="8" w:space="0" w:color="auto"/>
            </w:tcBorders>
            <w:shd w:val="clear" w:color="auto" w:fill="auto"/>
            <w:vAlign w:val="center"/>
          </w:tcPr>
          <w:p w:rsidR="00490F2F" w:rsidRPr="00383D45" w:rsidRDefault="00490F2F" w:rsidP="00A406B5">
            <w:pPr>
              <w:rPr>
                <w:rFonts w:ascii="GHEA Grapalat" w:hAnsi="GHEA Grapalat" w:cs="Arial"/>
                <w:noProof w:val="0"/>
                <w:sz w:val="20"/>
                <w:szCs w:val="20"/>
                <w:lang w:val="en-US"/>
              </w:rPr>
            </w:pPr>
            <w:r w:rsidRPr="00383D45">
              <w:rPr>
                <w:rFonts w:ascii="GHEA Grapalat" w:hAnsi="GHEA Grapalat" w:cs="Arial"/>
                <w:noProof w:val="0"/>
                <w:sz w:val="20"/>
                <w:szCs w:val="20"/>
              </w:rPr>
              <w:t xml:space="preserve">ՀՀ ԿԲ ռեպո գործառնություններ </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9.50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10.50</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10.25</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10.25</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10.25</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9.75</w:t>
            </w:r>
          </w:p>
        </w:tc>
        <w:tc>
          <w:tcPr>
            <w:tcW w:w="667" w:type="dxa"/>
            <w:tcBorders>
              <w:top w:val="nil"/>
              <w:left w:val="nil"/>
              <w:bottom w:val="single" w:sz="8" w:space="0" w:color="auto"/>
              <w:right w:val="single" w:sz="8" w:space="0" w:color="auto"/>
            </w:tcBorders>
            <w:shd w:val="clear" w:color="auto" w:fill="auto"/>
            <w:vAlign w:val="center"/>
          </w:tcPr>
          <w:p w:rsidR="00490F2F" w:rsidRPr="00383D45" w:rsidRDefault="00490F2F" w:rsidP="00A406B5">
            <w:pPr>
              <w:jc w:val="center"/>
              <w:rPr>
                <w:rFonts w:ascii="GHEA Grapalat" w:hAnsi="GHEA Grapalat" w:cs="Arial"/>
                <w:noProof w:val="0"/>
                <w:sz w:val="20"/>
                <w:szCs w:val="20"/>
                <w:lang w:val="en-US"/>
              </w:rPr>
            </w:pPr>
            <w:r w:rsidRPr="00383D45">
              <w:rPr>
                <w:rFonts w:ascii="GHEA Grapalat" w:hAnsi="GHEA Grapalat" w:cs="Arial"/>
                <w:noProof w:val="0"/>
                <w:sz w:val="20"/>
                <w:szCs w:val="20"/>
                <w:lang w:val="en-US"/>
              </w:rPr>
              <w:t>8.75</w:t>
            </w:r>
          </w:p>
        </w:tc>
      </w:tr>
    </w:tbl>
    <w:p w:rsidR="00490F2F" w:rsidRPr="00383D45" w:rsidRDefault="00490F2F" w:rsidP="00490F2F">
      <w:pPr>
        <w:pStyle w:val="a5"/>
        <w:rPr>
          <w:rFonts w:ascii="GHEA Grapalat" w:hAnsi="GHEA Grapalat" w:cs="Sylfaen"/>
          <w:sz w:val="24"/>
          <w:szCs w:val="24"/>
          <w:lang w:val="en-US"/>
        </w:rPr>
      </w:pPr>
    </w:p>
    <w:p w:rsidR="00490F2F" w:rsidRPr="00383D45" w:rsidRDefault="00490F2F" w:rsidP="00490F2F">
      <w:pPr>
        <w:pStyle w:val="a5"/>
        <w:jc w:val="both"/>
        <w:rPr>
          <w:rFonts w:ascii="GHEA Grapalat" w:hAnsi="GHEA Grapalat" w:cs="Times Armenian"/>
          <w:sz w:val="18"/>
          <w:szCs w:val="18"/>
        </w:rPr>
      </w:pPr>
      <w:r w:rsidRPr="00383D45">
        <w:rPr>
          <w:rFonts w:ascii="GHEA Grapalat" w:hAnsi="GHEA Grapalat" w:cs="Sylfaen"/>
          <w:sz w:val="18"/>
          <w:szCs w:val="18"/>
        </w:rPr>
        <w:t>* Հաշվարկված</w:t>
      </w:r>
      <w:r w:rsidRPr="00383D45">
        <w:rPr>
          <w:rFonts w:ascii="GHEA Grapalat" w:hAnsi="GHEA Grapalat" w:cs="Sylfaen"/>
          <w:sz w:val="18"/>
          <w:szCs w:val="18"/>
          <w:lang w:val="en-US"/>
        </w:rPr>
        <w:t xml:space="preserve"> </w:t>
      </w:r>
      <w:r w:rsidRPr="00383D45">
        <w:rPr>
          <w:rFonts w:ascii="GHEA Grapalat" w:hAnsi="GHEA Grapalat" w:cs="Sylfaen"/>
          <w:sz w:val="18"/>
          <w:szCs w:val="18"/>
        </w:rPr>
        <w:t>է</w:t>
      </w:r>
      <w:r w:rsidRPr="00383D45">
        <w:rPr>
          <w:rFonts w:ascii="GHEA Grapalat" w:hAnsi="GHEA Grapalat" w:cs="Sylfaen"/>
          <w:sz w:val="18"/>
          <w:szCs w:val="18"/>
          <w:lang w:val="en-US"/>
        </w:rPr>
        <w:t xml:space="preserve"> </w:t>
      </w:r>
      <w:r w:rsidRPr="00383D45">
        <w:rPr>
          <w:rFonts w:ascii="GHEA Grapalat" w:hAnsi="GHEA Grapalat" w:cs="Sylfaen"/>
          <w:sz w:val="18"/>
          <w:szCs w:val="18"/>
        </w:rPr>
        <w:t>մինչև</w:t>
      </w:r>
      <w:r w:rsidRPr="00383D45">
        <w:rPr>
          <w:rFonts w:ascii="GHEA Grapalat" w:hAnsi="GHEA Grapalat" w:cs="Sylfaen"/>
          <w:sz w:val="18"/>
          <w:szCs w:val="18"/>
          <w:lang w:val="en-US"/>
        </w:rPr>
        <w:t xml:space="preserve"> </w:t>
      </w:r>
      <w:r w:rsidRPr="00383D45">
        <w:rPr>
          <w:rFonts w:ascii="GHEA Grapalat" w:hAnsi="GHEA Grapalat" w:cs="Sylfaen"/>
          <w:sz w:val="18"/>
          <w:szCs w:val="18"/>
        </w:rPr>
        <w:t>մեկ</w:t>
      </w:r>
      <w:r>
        <w:rPr>
          <w:rFonts w:ascii="GHEA Grapalat" w:hAnsi="GHEA Grapalat" w:cs="Sylfaen"/>
          <w:sz w:val="18"/>
          <w:szCs w:val="18"/>
          <w:lang w:val="en-US"/>
        </w:rPr>
        <w:t xml:space="preserve"> </w:t>
      </w:r>
      <w:r w:rsidRPr="00383D45">
        <w:rPr>
          <w:rFonts w:ascii="GHEA Grapalat" w:hAnsi="GHEA Grapalat" w:cs="Sylfaen"/>
          <w:sz w:val="18"/>
          <w:szCs w:val="18"/>
        </w:rPr>
        <w:t>տարի</w:t>
      </w:r>
      <w:r w:rsidRPr="00383D45">
        <w:rPr>
          <w:rFonts w:ascii="GHEA Grapalat" w:hAnsi="GHEA Grapalat" w:cs="Sylfaen"/>
          <w:sz w:val="18"/>
          <w:szCs w:val="18"/>
          <w:lang w:val="en-US"/>
        </w:rPr>
        <w:t xml:space="preserve"> </w:t>
      </w:r>
      <w:r w:rsidRPr="00383D45">
        <w:rPr>
          <w:rFonts w:ascii="GHEA Grapalat" w:hAnsi="GHEA Grapalat" w:cs="Sylfaen"/>
          <w:sz w:val="18"/>
          <w:szCs w:val="18"/>
        </w:rPr>
        <w:t>ժամկետով</w:t>
      </w:r>
      <w:r w:rsidRPr="00383D45">
        <w:rPr>
          <w:rFonts w:ascii="GHEA Grapalat" w:hAnsi="GHEA Grapalat" w:cs="Times Armenian"/>
          <w:sz w:val="18"/>
          <w:szCs w:val="18"/>
        </w:rPr>
        <w:t xml:space="preserve">, </w:t>
      </w:r>
      <w:r w:rsidRPr="00383D45">
        <w:rPr>
          <w:rFonts w:ascii="GHEA Grapalat" w:hAnsi="GHEA Grapalat" w:cs="Sylfaen"/>
          <w:sz w:val="18"/>
          <w:szCs w:val="18"/>
        </w:rPr>
        <w:t>միայն</w:t>
      </w:r>
      <w:r w:rsidRPr="00383D45">
        <w:rPr>
          <w:rFonts w:ascii="GHEA Grapalat" w:hAnsi="GHEA Grapalat" w:cs="Sylfaen"/>
          <w:sz w:val="18"/>
          <w:szCs w:val="18"/>
          <w:lang w:val="en-US"/>
        </w:rPr>
        <w:t xml:space="preserve"> </w:t>
      </w:r>
      <w:r w:rsidRPr="00383D45">
        <w:rPr>
          <w:rFonts w:ascii="GHEA Grapalat" w:hAnsi="GHEA Grapalat" w:cs="Sylfaen"/>
          <w:sz w:val="18"/>
          <w:szCs w:val="18"/>
        </w:rPr>
        <w:t>դրամով</w:t>
      </w:r>
      <w:r w:rsidRPr="00383D45">
        <w:rPr>
          <w:rFonts w:ascii="GHEA Grapalat" w:hAnsi="GHEA Grapalat" w:cs="Sylfaen"/>
          <w:sz w:val="18"/>
          <w:szCs w:val="18"/>
          <w:lang w:val="en-US"/>
        </w:rPr>
        <w:t xml:space="preserve"> </w:t>
      </w:r>
      <w:r w:rsidRPr="00383D45">
        <w:rPr>
          <w:rFonts w:ascii="GHEA Grapalat" w:hAnsi="GHEA Grapalat" w:cs="Sylfaen"/>
          <w:sz w:val="18"/>
          <w:szCs w:val="18"/>
        </w:rPr>
        <w:t>տրամադրված</w:t>
      </w:r>
      <w:r w:rsidRPr="00383D45">
        <w:rPr>
          <w:rFonts w:ascii="GHEA Grapalat" w:hAnsi="GHEA Grapalat" w:cs="Sylfaen"/>
          <w:sz w:val="18"/>
          <w:szCs w:val="18"/>
          <w:lang w:val="en-US"/>
        </w:rPr>
        <w:t xml:space="preserve"> </w:t>
      </w:r>
      <w:r w:rsidRPr="00383D45">
        <w:rPr>
          <w:rFonts w:ascii="GHEA Grapalat" w:hAnsi="GHEA Grapalat" w:cs="Sylfaen"/>
          <w:sz w:val="18"/>
          <w:szCs w:val="18"/>
        </w:rPr>
        <w:t>վարկերի</w:t>
      </w:r>
      <w:r w:rsidRPr="00383D45">
        <w:rPr>
          <w:rFonts w:ascii="GHEA Grapalat" w:hAnsi="GHEA Grapalat" w:cs="Sylfaen"/>
          <w:sz w:val="18"/>
          <w:szCs w:val="18"/>
          <w:lang w:val="en-US"/>
        </w:rPr>
        <w:t xml:space="preserve"> </w:t>
      </w:r>
      <w:r w:rsidRPr="00383D45">
        <w:rPr>
          <w:rFonts w:ascii="GHEA Grapalat" w:hAnsi="GHEA Grapalat" w:cs="Sylfaen"/>
          <w:sz w:val="18"/>
          <w:szCs w:val="18"/>
        </w:rPr>
        <w:t>և</w:t>
      </w:r>
      <w:r w:rsidRPr="00383D45">
        <w:rPr>
          <w:rFonts w:ascii="GHEA Grapalat" w:hAnsi="GHEA Grapalat" w:cs="Sylfaen"/>
          <w:sz w:val="18"/>
          <w:szCs w:val="18"/>
          <w:lang w:val="en-US"/>
        </w:rPr>
        <w:t xml:space="preserve"> </w:t>
      </w:r>
      <w:r w:rsidRPr="00383D45">
        <w:rPr>
          <w:rFonts w:ascii="GHEA Grapalat" w:hAnsi="GHEA Grapalat" w:cs="Sylfaen"/>
          <w:sz w:val="18"/>
          <w:szCs w:val="18"/>
        </w:rPr>
        <w:t>ներ</w:t>
      </w:r>
      <w:r w:rsidRPr="00383D45">
        <w:rPr>
          <w:rFonts w:ascii="GHEA Grapalat" w:hAnsi="GHEA Grapalat" w:cs="Times Armenian"/>
          <w:sz w:val="18"/>
          <w:szCs w:val="18"/>
        </w:rPr>
        <w:t>գ</w:t>
      </w:r>
      <w:r w:rsidRPr="00383D45">
        <w:rPr>
          <w:rFonts w:ascii="GHEA Grapalat" w:hAnsi="GHEA Grapalat" w:cs="Sylfaen"/>
          <w:sz w:val="18"/>
          <w:szCs w:val="18"/>
        </w:rPr>
        <w:t>րավված</w:t>
      </w:r>
      <w:r w:rsidRPr="00383D45">
        <w:rPr>
          <w:rFonts w:ascii="GHEA Grapalat" w:hAnsi="GHEA Grapalat" w:cs="Sylfaen"/>
          <w:sz w:val="18"/>
          <w:szCs w:val="18"/>
          <w:lang w:val="en-US"/>
        </w:rPr>
        <w:t xml:space="preserve"> </w:t>
      </w:r>
      <w:r w:rsidRPr="00383D45">
        <w:rPr>
          <w:rFonts w:ascii="GHEA Grapalat" w:hAnsi="GHEA Grapalat" w:cs="Sylfaen"/>
          <w:sz w:val="18"/>
          <w:szCs w:val="18"/>
        </w:rPr>
        <w:t>ավանդների</w:t>
      </w:r>
      <w:r w:rsidRPr="00383D45">
        <w:rPr>
          <w:rFonts w:ascii="GHEA Grapalat" w:hAnsi="GHEA Grapalat" w:cs="Sylfaen"/>
          <w:sz w:val="18"/>
          <w:szCs w:val="18"/>
          <w:lang w:val="en-US"/>
        </w:rPr>
        <w:t xml:space="preserve"> </w:t>
      </w:r>
      <w:r w:rsidRPr="00383D45">
        <w:rPr>
          <w:rFonts w:ascii="GHEA Grapalat" w:hAnsi="GHEA Grapalat" w:cs="Sylfaen"/>
          <w:sz w:val="18"/>
          <w:szCs w:val="18"/>
        </w:rPr>
        <w:t>համար</w:t>
      </w:r>
      <w:r w:rsidRPr="00383D45">
        <w:rPr>
          <w:rFonts w:ascii="GHEA Grapalat" w:hAnsi="GHEA Grapalat" w:cs="Times Armenian"/>
          <w:sz w:val="18"/>
          <w:szCs w:val="18"/>
        </w:rPr>
        <w:t xml:space="preserve"> (</w:t>
      </w:r>
      <w:r w:rsidRPr="00383D45">
        <w:rPr>
          <w:rFonts w:ascii="GHEA Grapalat" w:hAnsi="GHEA Grapalat" w:cs="Sylfaen"/>
          <w:sz w:val="18"/>
          <w:szCs w:val="18"/>
        </w:rPr>
        <w:t>առանց</w:t>
      </w:r>
      <w:r w:rsidRPr="00383D45">
        <w:rPr>
          <w:rFonts w:ascii="GHEA Grapalat" w:hAnsi="GHEA Grapalat" w:cs="Sylfaen"/>
          <w:sz w:val="18"/>
          <w:szCs w:val="18"/>
          <w:lang w:val="en-US"/>
        </w:rPr>
        <w:t xml:space="preserve"> </w:t>
      </w:r>
      <w:r w:rsidRPr="00383D45">
        <w:rPr>
          <w:rFonts w:ascii="GHEA Grapalat" w:hAnsi="GHEA Grapalat" w:cs="Sylfaen"/>
          <w:sz w:val="18"/>
          <w:szCs w:val="18"/>
        </w:rPr>
        <w:t>միջբանկային</w:t>
      </w:r>
      <w:r w:rsidRPr="00383D45">
        <w:rPr>
          <w:rFonts w:ascii="GHEA Grapalat" w:hAnsi="GHEA Grapalat" w:cs="Sylfaen"/>
          <w:sz w:val="18"/>
          <w:szCs w:val="18"/>
          <w:lang w:val="en-US"/>
        </w:rPr>
        <w:t xml:space="preserve"> </w:t>
      </w:r>
      <w:r w:rsidRPr="00383D45">
        <w:rPr>
          <w:rFonts w:ascii="GHEA Grapalat" w:hAnsi="GHEA Grapalat" w:cs="Sylfaen"/>
          <w:sz w:val="18"/>
          <w:szCs w:val="18"/>
        </w:rPr>
        <w:t>շուկայի</w:t>
      </w:r>
      <w:r w:rsidRPr="00383D45">
        <w:rPr>
          <w:rFonts w:ascii="GHEA Grapalat" w:hAnsi="GHEA Grapalat" w:cs="Times Armenian"/>
          <w:sz w:val="18"/>
          <w:szCs w:val="18"/>
        </w:rPr>
        <w:t>):</w:t>
      </w:r>
    </w:p>
    <w:p w:rsidR="00490F2F" w:rsidRPr="00383D45" w:rsidRDefault="00490F2F" w:rsidP="00490F2F">
      <w:pPr>
        <w:spacing w:line="360" w:lineRule="auto"/>
        <w:ind w:firstLine="540"/>
        <w:jc w:val="both"/>
        <w:rPr>
          <w:rFonts w:ascii="GHEA Grapalat" w:hAnsi="GHEA Grapalat" w:cs="Sylfaen"/>
          <w:b/>
          <w:sz w:val="22"/>
          <w:szCs w:val="22"/>
        </w:rPr>
      </w:pPr>
    </w:p>
    <w:p w:rsidR="00490F2F" w:rsidRPr="00383D45" w:rsidRDefault="00490F2F" w:rsidP="00490F2F">
      <w:pPr>
        <w:spacing w:line="480" w:lineRule="auto"/>
        <w:ind w:firstLine="540"/>
        <w:jc w:val="both"/>
        <w:rPr>
          <w:rFonts w:ascii="GHEA Grapalat" w:hAnsi="GHEA Grapalat" w:cs="Sylfaen"/>
          <w:b/>
          <w:i/>
          <w:sz w:val="22"/>
          <w:szCs w:val="22"/>
        </w:rPr>
      </w:pPr>
      <w:r w:rsidRPr="00383D45">
        <w:rPr>
          <w:rFonts w:ascii="GHEA Grapalat" w:hAnsi="GHEA Grapalat" w:cs="Sylfaen"/>
          <w:b/>
          <w:i/>
          <w:sz w:val="22"/>
          <w:szCs w:val="22"/>
        </w:rPr>
        <w:t>Հարկաբյուջետային հատված</w:t>
      </w:r>
    </w:p>
    <w:p w:rsidR="00490F2F" w:rsidRPr="00383D45" w:rsidRDefault="00490F2F" w:rsidP="00490F2F">
      <w:pPr>
        <w:spacing w:line="360" w:lineRule="auto"/>
        <w:ind w:firstLine="540"/>
        <w:jc w:val="both"/>
        <w:rPr>
          <w:rFonts w:ascii="GHEA Grapalat" w:hAnsi="GHEA Grapalat" w:cs="Sylfaen"/>
          <w:sz w:val="22"/>
          <w:szCs w:val="22"/>
        </w:rPr>
      </w:pPr>
      <w:r w:rsidRPr="00383D45">
        <w:rPr>
          <w:rFonts w:ascii="GHEA Grapalat" w:hAnsi="GHEA Grapalat" w:cs="Sylfaen"/>
          <w:sz w:val="22"/>
          <w:szCs w:val="22"/>
        </w:rPr>
        <w:t>Հարկաբյուջետային քաղաքականության ազդեցությունը տնտեսության վրա եղել է առավելապես խթանող:</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eastAsia="Calibri" w:hAnsi="GHEA Grapalat"/>
          <w:sz w:val="22"/>
          <w:szCs w:val="22"/>
        </w:rPr>
        <w:t>2015 թվականի արդյունքներով պետական բյուջեի ընդհանուր եկամուտները կազմել են ՀՆԱ-ի 23.1%-ը նախորդ տարվա 23.6%-ի դիմաց, իսկ հարկային եկամուտները՝ ՀՆԱ-ի 21.2%-ը նախորդ տարվա 22%-ի դիմաց: Նախորդ տարվա նկատմամբ պետական բյուջեի եկամուտների անվանական աճը կազմել է 2%, իսկ հարկային եկամուտների և պետական տուրքերի գծով` 0.4%: Ընդ որում, հարկային եկամուտների աճը հիմնականում պայմանավորվել է եկամտային հարկի և մաքսատուրքերի աճերով:</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eastAsia="Calibri" w:hAnsi="GHEA Grapalat"/>
          <w:sz w:val="22"/>
          <w:szCs w:val="22"/>
        </w:rPr>
        <w:t xml:space="preserve">ՀՆԱ-ի նկատմամբ պետական բյուջեի ծախսերի ցուցանիշը 2015 թվականի արդյունքներով նախորդ տարվա նկատմամբ աճել է 2.4 տոկոսային կետով՝ կազմելով 27.9%: Ընթացիկ ծախսերը կազմել են ՀՆԱ-ի 24.5%-ը նախորդ տարվա 22.7%-ի դիմաց, իսկ ոչ ֆինանսական ակտիվների գծով ծախսերը կազմել են ՀՆԱ-ի 3.4%-ը` նախորդ տարվա 2.8%-ի դիմաց: Ընդ որում, ընթացիկ ծախսերը նախորդ տարվա նկատմամբ աճել են 12.5%-ով՝ պայմանավորված հիմնականում </w:t>
      </w:r>
      <w:r w:rsidRPr="00383D45">
        <w:rPr>
          <w:rFonts w:ascii="GHEA Grapalat" w:hAnsi="GHEA Grapalat" w:cs="Times Armenian"/>
          <w:sz w:val="22"/>
          <w:szCs w:val="22"/>
        </w:rPr>
        <w:t xml:space="preserve">սոցիալական </w:t>
      </w:r>
      <w:r w:rsidRPr="00383D45">
        <w:rPr>
          <w:rFonts w:ascii="GHEA Grapalat" w:hAnsi="GHEA Grapalat" w:cs="Sylfaen"/>
          <w:sz w:val="22"/>
          <w:szCs w:val="22"/>
        </w:rPr>
        <w:t xml:space="preserve">նպաստների և կենսաթոշակների, </w:t>
      </w:r>
      <w:r w:rsidRPr="00383D45">
        <w:rPr>
          <w:rFonts w:ascii="GHEA Grapalat" w:eastAsia="Calibri" w:hAnsi="GHEA Grapalat"/>
          <w:sz w:val="22"/>
          <w:szCs w:val="22"/>
        </w:rPr>
        <w:lastRenderedPageBreak/>
        <w:t xml:space="preserve">աշխատավարձի, ապրանքների ու ծառայությունների և այլ ծախսերի աճով: Իսկ ոչ ֆինանսական ակտիվների գծով ծախսերի աճը կազմել է 26%: </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hAnsi="GHEA Grapalat" w:cs="Sylfaen"/>
          <w:sz w:val="22"/>
          <w:szCs w:val="22"/>
        </w:rPr>
        <w:t>Պետական</w:t>
      </w:r>
      <w:r w:rsidRPr="00383D45">
        <w:rPr>
          <w:rFonts w:ascii="GHEA Grapalat" w:eastAsia="Arial Unicode MS" w:hAnsi="GHEA Grapalat" w:cs="Sylfaen"/>
          <w:color w:val="000000"/>
          <w:sz w:val="22"/>
          <w:szCs w:val="22"/>
        </w:rPr>
        <w:t xml:space="preserve"> բյուջեի պակասուրդի աճը առավելապես պայմանավորված է եղել տարվա ընթացում դրսևորվող դանդաղ տնտեսական աճը խթանելու հարկաբյուջետային քաղաքականությամբ:</w:t>
      </w:r>
      <w:r w:rsidRPr="00383D45">
        <w:rPr>
          <w:rFonts w:ascii="GHEA Grapalat" w:eastAsia="Arial Unicode MS" w:hAnsi="GHEA Grapalat" w:cs="Sylfaen"/>
          <w:b/>
          <w:color w:val="000000"/>
          <w:sz w:val="22"/>
          <w:szCs w:val="22"/>
        </w:rPr>
        <w:t xml:space="preserve"> </w:t>
      </w:r>
      <w:r w:rsidRPr="00383D45">
        <w:rPr>
          <w:rFonts w:ascii="GHEA Grapalat" w:eastAsia="Calibri" w:hAnsi="GHEA Grapalat"/>
          <w:sz w:val="22"/>
          <w:szCs w:val="22"/>
        </w:rPr>
        <w:t>Պետական բյուջեի պակասուրդը 2015 թվականին կազմել է ՀՆԱ-ի 4.8%-ը, նախորդ տարվա 1.9%-ի համեմատ: Պակասուրդի ֆինանսավորման գերակշիռ մասը կատարվել է արտաքին աղբյուրներից միջոցների ներգրավմամբ, ինչով էլ պայմանավորված արձանագրվել է պետական պարտք/ՀՆԱ ցուցանիշի աճ 2014 թվականի համեմատ, շուրջ 5 տոկոսային կետով, կազմելով` 48.7%: 2015 թվականի արտաքին պետական պարտք/ՀՆԱ ցուցանիշը կազմել է 41.4%, նախորդ տարվա 37.1%-ի համեմատ:</w:t>
      </w:r>
    </w:p>
    <w:p w:rsidR="00490F2F" w:rsidRPr="00383D45" w:rsidRDefault="00490F2F" w:rsidP="00490F2F">
      <w:pPr>
        <w:spacing w:line="360" w:lineRule="auto"/>
        <w:ind w:firstLine="540"/>
        <w:jc w:val="both"/>
        <w:rPr>
          <w:rFonts w:ascii="GHEA Grapalat" w:eastAsia="Calibri" w:hAnsi="GHEA Grapalat"/>
          <w:sz w:val="22"/>
          <w:szCs w:val="22"/>
        </w:rPr>
      </w:pPr>
      <w:r w:rsidRPr="00383D45">
        <w:rPr>
          <w:rFonts w:ascii="GHEA Grapalat" w:eastAsia="Calibri" w:hAnsi="GHEA Grapalat"/>
          <w:i/>
          <w:sz w:val="22"/>
          <w:szCs w:val="22"/>
        </w:rPr>
        <w:t>Հարկաբյուջետային ազդակը</w:t>
      </w:r>
      <w:r w:rsidRPr="00796991">
        <w:rPr>
          <w:rFonts w:ascii="GHEA Grapalat" w:eastAsia="Calibri" w:hAnsi="GHEA Grapalat"/>
          <w:i/>
          <w:sz w:val="22"/>
          <w:szCs w:val="22"/>
        </w:rPr>
        <w:t>:</w:t>
      </w:r>
      <w:r w:rsidRPr="00383D45">
        <w:rPr>
          <w:rFonts w:ascii="GHEA Grapalat" w:eastAsia="Calibri" w:hAnsi="GHEA Grapalat"/>
          <w:sz w:val="22"/>
          <w:szCs w:val="22"/>
        </w:rPr>
        <w:t xml:space="preserve"> 2015 թվականին իրականցված հարկաբյուջետային քաղաքականության ազդեցությունն ամբողջական պահանջարկի վրա ունեցել է ընդլայնող ազդեցություն (2.78% ընդլայնող հարկաբյուջետային ազդակ), ընդ որում, եկամուտների 0.74% և ծախսերի</w:t>
      </w:r>
      <w:r w:rsidRPr="00796991">
        <w:rPr>
          <w:rFonts w:ascii="GHEA Grapalat" w:eastAsia="Calibri" w:hAnsi="GHEA Grapalat"/>
          <w:sz w:val="22"/>
          <w:szCs w:val="22"/>
        </w:rPr>
        <w:t>՝</w:t>
      </w:r>
      <w:r w:rsidRPr="00383D45">
        <w:rPr>
          <w:rFonts w:ascii="GHEA Grapalat" w:eastAsia="Calibri" w:hAnsi="GHEA Grapalat"/>
          <w:sz w:val="22"/>
          <w:szCs w:val="22"/>
        </w:rPr>
        <w:t xml:space="preserve"> 2.04% ընդլայնող ազդեցությամբ պայմանավորված:</w:t>
      </w:r>
    </w:p>
    <w:p w:rsidR="00490F2F" w:rsidRPr="00796991" w:rsidRDefault="00490F2F" w:rsidP="00490F2F">
      <w:pPr>
        <w:spacing w:line="360" w:lineRule="auto"/>
        <w:ind w:firstLine="540"/>
        <w:jc w:val="both"/>
        <w:rPr>
          <w:rFonts w:ascii="GHEA Grapalat" w:eastAsia="Calibri" w:hAnsi="GHEA Grapalat"/>
          <w:b/>
          <w:sz w:val="22"/>
          <w:szCs w:val="22"/>
        </w:rPr>
      </w:pPr>
    </w:p>
    <w:p w:rsidR="00490F2F" w:rsidRPr="00796991" w:rsidRDefault="00490F2F" w:rsidP="00490F2F">
      <w:pPr>
        <w:spacing w:line="360" w:lineRule="auto"/>
        <w:ind w:firstLine="540"/>
        <w:jc w:val="both"/>
        <w:rPr>
          <w:rFonts w:ascii="GHEA Grapalat" w:eastAsia="Calibri" w:hAnsi="GHEA Grapalat"/>
          <w:b/>
          <w:sz w:val="22"/>
          <w:szCs w:val="22"/>
        </w:rPr>
      </w:pPr>
    </w:p>
    <w:p w:rsidR="00490F2F" w:rsidRPr="00796991" w:rsidRDefault="00490F2F" w:rsidP="00490F2F">
      <w:pPr>
        <w:spacing w:line="360" w:lineRule="auto"/>
        <w:ind w:firstLine="540"/>
        <w:jc w:val="both"/>
        <w:rPr>
          <w:rFonts w:ascii="GHEA Grapalat" w:eastAsia="Calibri" w:hAnsi="GHEA Grapalat"/>
          <w:b/>
          <w:sz w:val="22"/>
          <w:szCs w:val="22"/>
        </w:rPr>
      </w:pPr>
    </w:p>
    <w:p w:rsidR="00490F2F" w:rsidRPr="00796991" w:rsidRDefault="00490F2F" w:rsidP="00490F2F">
      <w:pPr>
        <w:spacing w:line="360" w:lineRule="auto"/>
        <w:ind w:firstLine="540"/>
        <w:jc w:val="both"/>
        <w:rPr>
          <w:rFonts w:ascii="GHEA Grapalat" w:eastAsia="Calibri" w:hAnsi="GHEA Grapalat"/>
          <w:b/>
          <w:sz w:val="22"/>
          <w:szCs w:val="22"/>
        </w:rPr>
      </w:pPr>
    </w:p>
    <w:p w:rsidR="00490F2F" w:rsidRPr="00383D45" w:rsidRDefault="00490F2F" w:rsidP="00490F2F">
      <w:pPr>
        <w:spacing w:line="360" w:lineRule="auto"/>
        <w:ind w:firstLine="540"/>
        <w:jc w:val="both"/>
        <w:rPr>
          <w:rFonts w:ascii="GHEA Grapalat" w:eastAsia="Calibri" w:hAnsi="GHEA Grapalat"/>
          <w:sz w:val="22"/>
          <w:szCs w:val="22"/>
          <w:lang w:val="en-US"/>
        </w:rPr>
      </w:pPr>
      <w:r w:rsidRPr="00383D45">
        <w:rPr>
          <w:rFonts w:ascii="GHEA Grapalat" w:eastAsia="Calibri" w:hAnsi="GHEA Grapalat"/>
          <w:b/>
          <w:sz w:val="22"/>
          <w:szCs w:val="22"/>
          <w:lang w:val="en-US"/>
        </w:rPr>
        <w:t xml:space="preserve">Գծապատկեր 10. </w:t>
      </w:r>
      <w:r w:rsidRPr="00383D45">
        <w:rPr>
          <w:rFonts w:ascii="GHEA Grapalat" w:eastAsia="Calibri" w:hAnsi="GHEA Grapalat"/>
          <w:sz w:val="22"/>
          <w:szCs w:val="22"/>
          <w:lang w:val="en-US"/>
        </w:rPr>
        <w:t>Հարկաբյուջետային ազդակը 2009 թվականից</w:t>
      </w:r>
    </w:p>
    <w:p w:rsidR="00490F2F" w:rsidRPr="00383D45" w:rsidRDefault="00490F2F" w:rsidP="00490F2F">
      <w:pPr>
        <w:spacing w:line="360" w:lineRule="auto"/>
        <w:ind w:firstLine="540"/>
        <w:jc w:val="both"/>
        <w:rPr>
          <w:rFonts w:ascii="GHEA Grapalat" w:eastAsia="Calibri" w:hAnsi="GHEA Grapalat"/>
          <w:sz w:val="22"/>
          <w:szCs w:val="22"/>
          <w:lang w:val="en-US"/>
        </w:rPr>
      </w:pPr>
    </w:p>
    <w:p w:rsidR="00490F2F" w:rsidRPr="00383D45" w:rsidRDefault="00490F2F" w:rsidP="00490F2F">
      <w:pPr>
        <w:spacing w:line="360" w:lineRule="auto"/>
        <w:ind w:firstLine="540"/>
        <w:jc w:val="both"/>
        <w:rPr>
          <w:rFonts w:ascii="GHEA Grapalat" w:hAnsi="GHEA Grapalat"/>
        </w:rPr>
      </w:pPr>
      <w:r w:rsidRPr="00383D45">
        <w:rPr>
          <w:lang w:val="ru-RU" w:eastAsia="ru-RU"/>
        </w:rPr>
        <w:drawing>
          <wp:inline distT="0" distB="0" distL="0" distR="0">
            <wp:extent cx="5939790" cy="2540000"/>
            <wp:effectExtent l="0" t="0" r="381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F2F" w:rsidRPr="00383D45" w:rsidRDefault="00490F2F" w:rsidP="00490F2F">
      <w:pPr>
        <w:spacing w:line="360" w:lineRule="auto"/>
        <w:ind w:firstLine="540"/>
        <w:jc w:val="both"/>
        <w:rPr>
          <w:rFonts w:ascii="GHEA Grapalat" w:hAnsi="GHEA Grapalat" w:cs="Sylfaen"/>
          <w:b/>
          <w:sz w:val="22"/>
          <w:szCs w:val="22"/>
        </w:rPr>
      </w:pPr>
    </w:p>
    <w:p w:rsidR="00490F2F" w:rsidRPr="00383D45" w:rsidRDefault="00490F2F" w:rsidP="00490F2F">
      <w:pPr>
        <w:tabs>
          <w:tab w:val="left" w:pos="0"/>
        </w:tabs>
        <w:spacing w:line="360" w:lineRule="auto"/>
        <w:jc w:val="both"/>
        <w:rPr>
          <w:rFonts w:ascii="GHEA Grapalat" w:hAnsi="GHEA Grapalat"/>
          <w:sz w:val="22"/>
          <w:szCs w:val="22"/>
        </w:rPr>
      </w:pPr>
      <w:bookmarkStart w:id="26" w:name="_GoBack"/>
      <w:bookmarkEnd w:id="26"/>
    </w:p>
    <w:sectPr w:rsidR="00490F2F" w:rsidRPr="00383D45">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4C" w:rsidRDefault="00B7584C" w:rsidP="00490F2F">
      <w:r>
        <w:separator/>
      </w:r>
    </w:p>
  </w:endnote>
  <w:endnote w:type="continuationSeparator" w:id="0">
    <w:p w:rsidR="00B7584C" w:rsidRDefault="00B7584C" w:rsidP="0049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4C" w:rsidRDefault="00B7584C" w:rsidP="00490F2F">
      <w:r>
        <w:separator/>
      </w:r>
    </w:p>
  </w:footnote>
  <w:footnote w:type="continuationSeparator" w:id="0">
    <w:p w:rsidR="00B7584C" w:rsidRDefault="00B7584C" w:rsidP="00490F2F">
      <w:r>
        <w:continuationSeparator/>
      </w:r>
    </w:p>
  </w:footnote>
  <w:footnote w:id="1">
    <w:p w:rsidR="00490F2F" w:rsidRPr="0022162A" w:rsidRDefault="00490F2F" w:rsidP="00490F2F">
      <w:pPr>
        <w:pStyle w:val="a5"/>
        <w:rPr>
          <w:rFonts w:ascii="GHEA Grapalat" w:hAnsi="GHEA Grapalat"/>
          <w:sz w:val="18"/>
          <w:szCs w:val="18"/>
        </w:rPr>
      </w:pPr>
      <w:r w:rsidRPr="0022162A">
        <w:rPr>
          <w:rStyle w:val="a7"/>
          <w:rFonts w:ascii="GHEA Grapalat" w:hAnsi="GHEA Grapalat"/>
          <w:sz w:val="18"/>
          <w:szCs w:val="18"/>
        </w:rPr>
        <w:footnoteRef/>
      </w:r>
      <w:r>
        <w:rPr>
          <w:rFonts w:ascii="GHEA Grapalat" w:hAnsi="GHEA Grapalat" w:cs="Sylfaen"/>
          <w:sz w:val="18"/>
          <w:szCs w:val="18"/>
          <w:lang w:val="en-US"/>
        </w:rPr>
        <w:t xml:space="preserve"> </w:t>
      </w:r>
      <w:r w:rsidRPr="0022162A">
        <w:rPr>
          <w:rFonts w:ascii="GHEA Grapalat" w:hAnsi="GHEA Grapalat" w:cs="Sylfaen"/>
          <w:sz w:val="18"/>
          <w:szCs w:val="18"/>
        </w:rPr>
        <w:t>Այսուհետ ներկայացված են ճյուղերի համախառն թողարկումների ցուցանիշները:</w:t>
      </w:r>
    </w:p>
  </w:footnote>
  <w:footnote w:id="2">
    <w:p w:rsidR="00490F2F" w:rsidRPr="0022162A" w:rsidRDefault="00490F2F" w:rsidP="00490F2F">
      <w:pPr>
        <w:pStyle w:val="a5"/>
        <w:rPr>
          <w:rFonts w:ascii="GHEA Grapalat" w:hAnsi="GHEA Grapalat"/>
          <w:sz w:val="18"/>
          <w:szCs w:val="18"/>
        </w:rPr>
      </w:pPr>
      <w:r w:rsidRPr="0022162A">
        <w:rPr>
          <w:rStyle w:val="a7"/>
          <w:rFonts w:ascii="GHEA Grapalat" w:hAnsi="GHEA Grapalat"/>
          <w:sz w:val="18"/>
          <w:szCs w:val="18"/>
        </w:rPr>
        <w:footnoteRef/>
      </w:r>
      <w:r w:rsidRPr="00796991">
        <w:rPr>
          <w:rFonts w:ascii="GHEA Grapalat" w:hAnsi="GHEA Grapalat" w:cs="Sylfaen"/>
          <w:sz w:val="18"/>
          <w:szCs w:val="18"/>
        </w:rPr>
        <w:t xml:space="preserve"> </w:t>
      </w:r>
      <w:r w:rsidRPr="0022162A">
        <w:rPr>
          <w:rFonts w:ascii="GHEA Grapalat" w:hAnsi="GHEA Grapalat" w:cs="Sylfaen"/>
          <w:sz w:val="18"/>
          <w:szCs w:val="18"/>
        </w:rPr>
        <w:t>Պղնձի գները նվազել են 19,7%-ով, աղբյուրը՝ http://www.imf.org/external/np/res/commod/index.aspx</w:t>
      </w:r>
    </w:p>
  </w:footnote>
  <w:footnote w:id="3">
    <w:p w:rsidR="00490F2F" w:rsidRPr="0022162A" w:rsidRDefault="00490F2F" w:rsidP="00490F2F">
      <w:pPr>
        <w:pStyle w:val="a5"/>
        <w:jc w:val="both"/>
        <w:rPr>
          <w:rFonts w:ascii="GHEA Grapalat" w:hAnsi="GHEA Grapalat"/>
          <w:sz w:val="18"/>
          <w:szCs w:val="18"/>
        </w:rPr>
      </w:pPr>
      <w:r w:rsidRPr="0022162A">
        <w:rPr>
          <w:rStyle w:val="a7"/>
          <w:rFonts w:ascii="GHEA Grapalat" w:hAnsi="GHEA Grapalat"/>
          <w:sz w:val="18"/>
          <w:szCs w:val="18"/>
        </w:rPr>
        <w:footnoteRef/>
      </w:r>
      <w:r w:rsidRPr="00796991">
        <w:rPr>
          <w:rFonts w:ascii="GHEA Grapalat" w:hAnsi="GHEA Grapalat"/>
          <w:sz w:val="18"/>
          <w:szCs w:val="18"/>
        </w:rPr>
        <w:t xml:space="preserve"> </w:t>
      </w:r>
      <w:r w:rsidRPr="0022162A">
        <w:rPr>
          <w:rFonts w:ascii="GHEA Grapalat" w:hAnsi="GHEA Grapalat"/>
          <w:sz w:val="18"/>
          <w:szCs w:val="18"/>
        </w:rPr>
        <w:t xml:space="preserve">2015 թվականի դեկտեմբերին 2014 թվականի դեկտեմբերի նկատմամբ շինարարության վարկավորման ծավալները նվազել են շուրջ 14%ով: </w:t>
      </w:r>
    </w:p>
  </w:footnote>
  <w:footnote w:id="4">
    <w:p w:rsidR="00490F2F" w:rsidRPr="0022162A" w:rsidRDefault="00490F2F" w:rsidP="00490F2F">
      <w:pPr>
        <w:pStyle w:val="a5"/>
        <w:rPr>
          <w:rFonts w:ascii="GHEA Grapalat" w:hAnsi="GHEA Grapalat"/>
          <w:sz w:val="18"/>
          <w:szCs w:val="18"/>
        </w:rPr>
      </w:pPr>
      <w:r w:rsidRPr="0022162A">
        <w:rPr>
          <w:rStyle w:val="a7"/>
          <w:rFonts w:ascii="GHEA Grapalat" w:hAnsi="GHEA Grapalat"/>
          <w:sz w:val="18"/>
          <w:szCs w:val="18"/>
        </w:rPr>
        <w:footnoteRef/>
      </w:r>
      <w:r w:rsidRPr="00796991">
        <w:rPr>
          <w:rFonts w:ascii="GHEA Grapalat" w:hAnsi="GHEA Grapalat"/>
          <w:sz w:val="18"/>
          <w:szCs w:val="18"/>
        </w:rPr>
        <w:t xml:space="preserve"> </w:t>
      </w:r>
      <w:r w:rsidRPr="0022162A">
        <w:rPr>
          <w:rFonts w:ascii="GHEA Grapalat" w:hAnsi="GHEA Grapalat"/>
          <w:sz w:val="18"/>
          <w:szCs w:val="18"/>
        </w:rPr>
        <w:t xml:space="preserve">2015 թվականի դեկտեմբերին 2014 թվականի դեկտեմբերի նկատմամբ առևտրի վարկավորման ծավալները նվազել են շուրջ 10%-ով: </w:t>
      </w:r>
    </w:p>
  </w:footnote>
  <w:footnote w:id="5">
    <w:p w:rsidR="00490F2F" w:rsidRPr="00796991" w:rsidRDefault="00490F2F" w:rsidP="00490F2F">
      <w:pPr>
        <w:pStyle w:val="a5"/>
        <w:rPr>
          <w:rFonts w:ascii="GHEA Grapalat" w:hAnsi="GHEA Grapalat"/>
          <w:sz w:val="18"/>
          <w:szCs w:val="18"/>
        </w:rPr>
      </w:pPr>
      <w:r w:rsidRPr="0022162A">
        <w:rPr>
          <w:rStyle w:val="a7"/>
          <w:rFonts w:ascii="GHEA Grapalat" w:hAnsi="GHEA Grapalat"/>
          <w:sz w:val="18"/>
          <w:szCs w:val="18"/>
        </w:rPr>
        <w:footnoteRef/>
      </w:r>
      <w:r w:rsidRPr="00796991">
        <w:rPr>
          <w:rFonts w:ascii="GHEA Grapalat" w:hAnsi="GHEA Grapalat"/>
          <w:sz w:val="18"/>
          <w:szCs w:val="18"/>
        </w:rPr>
        <w:t xml:space="preserve"> </w:t>
      </w:r>
      <w:r w:rsidRPr="0022162A">
        <w:rPr>
          <w:rFonts w:ascii="GHEA Grapalat" w:hAnsi="GHEA Grapalat"/>
          <w:sz w:val="18"/>
          <w:szCs w:val="18"/>
        </w:rPr>
        <w:t>Այն իր մեջ ներառում է նաև այլ երկրների ավիաընկերությունների ինքնաթիռներով իրականացված բեռնա</w:t>
      </w:r>
      <w:r w:rsidRPr="0022162A">
        <w:rPr>
          <w:rFonts w:ascii="GHEA Grapalat" w:hAnsi="GHEA Grapalat"/>
          <w:sz w:val="18"/>
          <w:szCs w:val="18"/>
        </w:rPr>
        <w:softHyphen/>
        <w:t>փո</w:t>
      </w:r>
      <w:r w:rsidRPr="0022162A">
        <w:rPr>
          <w:rFonts w:ascii="GHEA Grapalat" w:hAnsi="GHEA Grapalat"/>
          <w:sz w:val="18"/>
          <w:szCs w:val="18"/>
        </w:rPr>
        <w:softHyphen/>
        <w:t>խա</w:t>
      </w:r>
      <w:r w:rsidRPr="0022162A">
        <w:rPr>
          <w:rFonts w:ascii="GHEA Grapalat" w:hAnsi="GHEA Grapalat"/>
          <w:sz w:val="18"/>
          <w:szCs w:val="18"/>
        </w:rPr>
        <w:softHyphen/>
        <w:t>դրումները</w:t>
      </w:r>
      <w:r w:rsidRPr="00796991">
        <w:rPr>
          <w:rFonts w:ascii="GHEA Grapalat" w:hAnsi="GHEA Grapalat"/>
          <w:sz w:val="18"/>
          <w:szCs w:val="18"/>
        </w:rPr>
        <w:t>:</w:t>
      </w:r>
    </w:p>
  </w:footnote>
  <w:footnote w:id="6">
    <w:p w:rsidR="00490F2F" w:rsidRPr="0022162A" w:rsidRDefault="00490F2F" w:rsidP="00490F2F">
      <w:pPr>
        <w:pStyle w:val="a5"/>
        <w:jc w:val="both"/>
        <w:rPr>
          <w:rFonts w:ascii="GHEA Grapalat" w:hAnsi="GHEA Grapalat" w:cs="Sylfaen"/>
          <w:sz w:val="18"/>
          <w:szCs w:val="18"/>
        </w:rPr>
      </w:pPr>
      <w:r w:rsidRPr="0022162A">
        <w:rPr>
          <w:rStyle w:val="a7"/>
          <w:rFonts w:ascii="GHEA Grapalat" w:hAnsi="GHEA Grapalat"/>
          <w:sz w:val="18"/>
          <w:szCs w:val="18"/>
        </w:rPr>
        <w:footnoteRef/>
      </w:r>
      <w:r w:rsidRPr="00796991">
        <w:rPr>
          <w:rFonts w:ascii="GHEA Grapalat" w:hAnsi="GHEA Grapalat" w:cs="Sylfaen"/>
          <w:sz w:val="18"/>
          <w:szCs w:val="18"/>
        </w:rPr>
        <w:t xml:space="preserve"> </w:t>
      </w:r>
      <w:r w:rsidRPr="0022162A">
        <w:rPr>
          <w:rFonts w:ascii="GHEA Grapalat" w:hAnsi="GHEA Grapalat" w:cs="Sylfaen"/>
          <w:sz w:val="18"/>
          <w:szCs w:val="18"/>
        </w:rPr>
        <w:t>Ներդրումների ճյուղային կառուցվածքի ցուցանիշները վերաբերում են ներդրումների կապիտալ շինարարությանն ուղղվող մասին: Ավելի մանրամասն տե</w:t>
      </w:r>
      <w:r w:rsidRPr="00796991">
        <w:rPr>
          <w:rFonts w:ascii="GHEA Grapalat" w:hAnsi="GHEA Grapalat" w:cs="Sylfaen"/>
          <w:sz w:val="18"/>
          <w:szCs w:val="18"/>
        </w:rPr>
        <w:t>´</w:t>
      </w:r>
      <w:r w:rsidRPr="0022162A">
        <w:rPr>
          <w:rFonts w:ascii="GHEA Grapalat" w:hAnsi="GHEA Grapalat" w:cs="Sylfaen"/>
          <w:sz w:val="18"/>
          <w:szCs w:val="18"/>
        </w:rPr>
        <w:t xml:space="preserve">ս </w:t>
      </w:r>
      <w:r w:rsidRPr="00796991">
        <w:rPr>
          <w:rFonts w:ascii="GHEA Grapalat" w:hAnsi="GHEA Grapalat" w:cs="Sylfaen"/>
          <w:sz w:val="18"/>
          <w:szCs w:val="18"/>
        </w:rPr>
        <w:t>«</w:t>
      </w:r>
      <w:r w:rsidRPr="0022162A">
        <w:rPr>
          <w:rFonts w:ascii="GHEA Grapalat" w:hAnsi="GHEA Grapalat" w:cs="Sylfaen"/>
          <w:sz w:val="18"/>
          <w:szCs w:val="18"/>
        </w:rPr>
        <w:t>Շինարարություն</w:t>
      </w:r>
      <w:r w:rsidRPr="00796991">
        <w:rPr>
          <w:rFonts w:ascii="GHEA Grapalat" w:hAnsi="GHEA Grapalat" w:cs="Sylfaen"/>
          <w:sz w:val="18"/>
          <w:szCs w:val="18"/>
        </w:rPr>
        <w:t>»</w:t>
      </w:r>
      <w:r w:rsidRPr="0022162A">
        <w:rPr>
          <w:rFonts w:ascii="GHEA Grapalat" w:hAnsi="GHEA Grapalat" w:cs="Sylfaen"/>
          <w:sz w:val="18"/>
          <w:szCs w:val="18"/>
        </w:rPr>
        <w:t xml:space="preserve"> հատվածում:</w:t>
      </w:r>
    </w:p>
  </w:footnote>
  <w:footnote w:id="7">
    <w:p w:rsidR="00490F2F" w:rsidRPr="0022162A" w:rsidRDefault="00490F2F" w:rsidP="00490F2F">
      <w:pPr>
        <w:jc w:val="both"/>
        <w:rPr>
          <w:sz w:val="18"/>
          <w:szCs w:val="18"/>
        </w:rPr>
      </w:pPr>
      <w:r w:rsidRPr="0022162A">
        <w:rPr>
          <w:rStyle w:val="a7"/>
          <w:rFonts w:ascii="GHEA Grapalat" w:hAnsi="GHEA Grapalat"/>
          <w:sz w:val="18"/>
          <w:szCs w:val="18"/>
        </w:rPr>
        <w:footnoteRef/>
      </w:r>
      <w:r w:rsidRPr="00796991">
        <w:rPr>
          <w:rFonts w:ascii="GHEA Grapalat" w:hAnsi="GHEA Grapalat" w:cs="Sylfaen"/>
          <w:sz w:val="18"/>
          <w:szCs w:val="18"/>
        </w:rPr>
        <w:t xml:space="preserve"> </w:t>
      </w:r>
      <w:r w:rsidRPr="0022162A">
        <w:rPr>
          <w:rFonts w:ascii="GHEA Grapalat" w:hAnsi="GHEA Grapalat" w:cs="Sylfaen"/>
          <w:sz w:val="18"/>
          <w:szCs w:val="18"/>
        </w:rPr>
        <w:t>ՀՀ-ում գործող բանկերի կողմից միջազգային ֆինանսական կազմակերպություններից ներգրավված 2 տարի և ավելի ժամկետայնությամբ միջոցները ենթակա են 0-ական կամ նվազեցված դրույքաչափով պահուստավորման: Մակրոպրուդենցիալ միջոցառումների շրջանակներում մեղմացվել են արտաքին վարկանիշերի առկայության դեպքում ռեզիդենտ ոչ ֆինանսական կազմակերպությունների նկատմամբ պահանջների և արտահանմամբ զբաղվող վարկառուների արտարժութային վարկերի համար սահմանվող ռիսկի կշիռները:</w:t>
      </w:r>
    </w:p>
  </w:footnote>
  <w:footnote w:id="8">
    <w:p w:rsidR="00490F2F" w:rsidRPr="0022162A" w:rsidRDefault="00490F2F" w:rsidP="00490F2F">
      <w:pPr>
        <w:pStyle w:val="a5"/>
        <w:jc w:val="both"/>
        <w:rPr>
          <w:rFonts w:ascii="GHEA Grapalat" w:hAnsi="GHEA Grapalat" w:cs="Sylfaen"/>
          <w:sz w:val="18"/>
          <w:szCs w:val="18"/>
        </w:rPr>
      </w:pPr>
      <w:r w:rsidRPr="0022162A">
        <w:rPr>
          <w:rStyle w:val="a7"/>
          <w:rFonts w:ascii="GHEA Grapalat" w:hAnsi="GHEA Grapalat"/>
          <w:sz w:val="18"/>
          <w:szCs w:val="18"/>
        </w:rPr>
        <w:footnoteRef/>
      </w:r>
      <w:r w:rsidRPr="00796991">
        <w:rPr>
          <w:rFonts w:ascii="GHEA Grapalat" w:hAnsi="GHEA Grapalat"/>
          <w:sz w:val="18"/>
          <w:szCs w:val="18"/>
        </w:rPr>
        <w:t xml:space="preserve"> </w:t>
      </w:r>
      <w:r w:rsidRPr="0022162A">
        <w:rPr>
          <w:rFonts w:ascii="GHEA Grapalat" w:hAnsi="GHEA Grapalat"/>
          <w:sz w:val="18"/>
          <w:szCs w:val="18"/>
        </w:rPr>
        <w:t>2015</w:t>
      </w:r>
      <w:r w:rsidRPr="0022162A">
        <w:rPr>
          <w:rFonts w:ascii="GHEA Grapalat" w:hAnsi="GHEA Grapalat" w:cs="Sylfaen"/>
          <w:sz w:val="18"/>
          <w:szCs w:val="18"/>
        </w:rPr>
        <w:t>թ</w:t>
      </w:r>
      <w:r w:rsidRPr="0022162A">
        <w:rPr>
          <w:rFonts w:ascii="GHEA Grapalat" w:hAnsi="GHEA Grapalat"/>
          <w:sz w:val="18"/>
          <w:szCs w:val="18"/>
        </w:rPr>
        <w:t xml:space="preserve">. </w:t>
      </w:r>
      <w:r w:rsidRPr="00796991">
        <w:rPr>
          <w:rFonts w:ascii="GHEA Grapalat" w:hAnsi="GHEA Grapalat" w:cs="Sylfaen"/>
          <w:sz w:val="18"/>
          <w:szCs w:val="18"/>
        </w:rPr>
        <w:t>մ</w:t>
      </w:r>
      <w:r w:rsidRPr="0022162A">
        <w:rPr>
          <w:rFonts w:ascii="GHEA Grapalat" w:hAnsi="GHEA Grapalat" w:cs="Sylfaen"/>
          <w:sz w:val="18"/>
          <w:szCs w:val="18"/>
        </w:rPr>
        <w:t xml:space="preserve">իջին ամսական անվանական աշխատավարձի ցուցանիշները </w:t>
      </w:r>
      <w:r w:rsidRPr="0022162A">
        <w:rPr>
          <w:rFonts w:ascii="GHEA Grapalat" w:hAnsi="GHEA Grapalat"/>
          <w:sz w:val="18"/>
          <w:szCs w:val="18"/>
        </w:rPr>
        <w:t xml:space="preserve">ներկայացված են աճողական կարգով: </w:t>
      </w:r>
      <w:r w:rsidRPr="0022162A">
        <w:rPr>
          <w:rFonts w:ascii="GHEA Grapalat" w:hAnsi="GHEA Grapalat" w:cs="Sylfaen"/>
          <w:sz w:val="18"/>
          <w:szCs w:val="18"/>
        </w:rPr>
        <w:t>Ներառված չեն փոքր և գերփոքր կազմակերպությունների ցուցանիշները</w:t>
      </w:r>
      <w:r w:rsidRPr="0022162A">
        <w:rPr>
          <w:rFonts w:ascii="GHEA Grapalat" w:hAnsi="GHEA Grapalat"/>
          <w:sz w:val="18"/>
          <w:szCs w:val="18"/>
        </w:rPr>
        <w:t>:</w:t>
      </w:r>
    </w:p>
  </w:footnote>
  <w:footnote w:id="9">
    <w:p w:rsidR="00490F2F" w:rsidRPr="00796991" w:rsidRDefault="00490F2F" w:rsidP="00490F2F">
      <w:pPr>
        <w:pStyle w:val="a5"/>
        <w:ind w:left="90"/>
        <w:jc w:val="both"/>
        <w:rPr>
          <w:rFonts w:ascii="GHEA Grapalat" w:hAnsi="GHEA Grapalat"/>
          <w:sz w:val="18"/>
          <w:szCs w:val="18"/>
        </w:rPr>
      </w:pPr>
      <w:r w:rsidRPr="00F70D4A">
        <w:rPr>
          <w:rStyle w:val="a7"/>
          <w:rFonts w:ascii="GHEA Grapalat" w:hAnsi="GHEA Grapalat"/>
          <w:sz w:val="18"/>
          <w:szCs w:val="18"/>
        </w:rPr>
        <w:footnoteRef/>
      </w:r>
      <w:r w:rsidRPr="00796991">
        <w:rPr>
          <w:rFonts w:ascii="GHEA Grapalat" w:hAnsi="GHEA Grapalat" w:cs="Sylfaen"/>
          <w:sz w:val="18"/>
          <w:szCs w:val="18"/>
        </w:rPr>
        <w:t xml:space="preserve"> </w:t>
      </w:r>
      <w:r w:rsidRPr="00F70D4A">
        <w:rPr>
          <w:rFonts w:ascii="GHEA Grapalat" w:hAnsi="GHEA Grapalat" w:cs="Sylfaen"/>
          <w:sz w:val="18"/>
          <w:szCs w:val="18"/>
        </w:rPr>
        <w:t>2012 թվականից ընթացիկ հաշիվ/ՀՆԱ ցուցանիշի հաշվարկման հիմքում ընկած են ԱՀՀ-2008 (2008թ. Ազգային հաշիվների համակարգի) ներդրմամբ պայմանավորված</w:t>
      </w:r>
      <w:r w:rsidRPr="00796991">
        <w:rPr>
          <w:rFonts w:ascii="GHEA Grapalat" w:hAnsi="GHEA Grapalat" w:cs="Sylfaen"/>
          <w:sz w:val="18"/>
          <w:szCs w:val="18"/>
        </w:rPr>
        <w:t>՝</w:t>
      </w:r>
      <w:r w:rsidRPr="00F70D4A">
        <w:rPr>
          <w:rFonts w:ascii="GHEA Grapalat" w:hAnsi="GHEA Grapalat" w:cs="Sylfaen"/>
          <w:sz w:val="18"/>
          <w:szCs w:val="18"/>
        </w:rPr>
        <w:t xml:space="preserve"> ՀՆԱ-ի վերանայված ցուցանիշները:</w:t>
      </w:r>
    </w:p>
  </w:footnote>
  <w:footnote w:id="10">
    <w:p w:rsidR="00490F2F" w:rsidRDefault="00490F2F" w:rsidP="00490F2F">
      <w:pPr>
        <w:pStyle w:val="a5"/>
      </w:pPr>
      <w:r w:rsidRPr="0049718F">
        <w:rPr>
          <w:rStyle w:val="a7"/>
          <w:rFonts w:ascii="GHEA Grapalat" w:hAnsi="GHEA Grapalat"/>
        </w:rPr>
        <w:footnoteRef/>
      </w:r>
      <w:r w:rsidRPr="00796991">
        <w:rPr>
          <w:rFonts w:ascii="GHEA Grapalat" w:hAnsi="GHEA Grapalat" w:cs="Sylfaen"/>
          <w:sz w:val="16"/>
          <w:szCs w:val="16"/>
        </w:rPr>
        <w:t xml:space="preserve"> </w:t>
      </w:r>
      <w:r>
        <w:rPr>
          <w:rFonts w:ascii="GHEA Grapalat" w:hAnsi="GHEA Grapalat" w:cs="Sylfaen"/>
          <w:sz w:val="16"/>
          <w:szCs w:val="16"/>
        </w:rPr>
        <w:t>Արտանահումը ՖՕԲ, ներմուծումը` ՍԻՖ գներով:</w:t>
      </w:r>
    </w:p>
  </w:footnote>
  <w:footnote w:id="11">
    <w:p w:rsidR="00490F2F" w:rsidRPr="009B2E25" w:rsidRDefault="00490F2F" w:rsidP="00490F2F">
      <w:pPr>
        <w:pStyle w:val="a5"/>
        <w:jc w:val="both"/>
        <w:rPr>
          <w:rFonts w:ascii="GHEA Grapalat" w:hAnsi="GHEA Grapalat" w:cs="Sylfaen"/>
          <w:sz w:val="16"/>
          <w:szCs w:val="16"/>
        </w:rPr>
      </w:pPr>
      <w:r w:rsidRPr="0049718F">
        <w:rPr>
          <w:rStyle w:val="a7"/>
          <w:rFonts w:ascii="GHEA Grapalat" w:hAnsi="GHEA Grapalat"/>
        </w:rPr>
        <w:footnoteRef/>
      </w:r>
      <w:r w:rsidRPr="00796991">
        <w:rPr>
          <w:rFonts w:ascii="GHEA Grapalat" w:hAnsi="GHEA Grapalat" w:cs="Sylfaen"/>
          <w:sz w:val="16"/>
          <w:szCs w:val="16"/>
        </w:rPr>
        <w:t xml:space="preserve"> </w:t>
      </w:r>
      <w:r>
        <w:rPr>
          <w:rFonts w:ascii="GHEA Grapalat" w:hAnsi="GHEA Grapalat" w:cs="Sylfaen"/>
          <w:sz w:val="16"/>
          <w:szCs w:val="16"/>
        </w:rPr>
        <w:t xml:space="preserve">Արտաքին առևտրի </w:t>
      </w:r>
      <w:r w:rsidRPr="001B5DC2">
        <w:rPr>
          <w:rFonts w:ascii="GHEA Grapalat" w:hAnsi="GHEA Grapalat" w:cs="Sylfaen"/>
          <w:sz w:val="16"/>
          <w:szCs w:val="16"/>
        </w:rPr>
        <w:t xml:space="preserve">բացասական </w:t>
      </w:r>
      <w:r>
        <w:rPr>
          <w:rFonts w:ascii="GHEA Grapalat" w:hAnsi="GHEA Grapalat" w:cs="Sylfaen"/>
          <w:sz w:val="16"/>
          <w:szCs w:val="16"/>
        </w:rPr>
        <w:t xml:space="preserve">հաշվեկշիռը` արտահանումը և ներմուծումը հաշվարկած ՖՕԲ </w:t>
      </w:r>
      <w:r w:rsidRPr="009B2E25">
        <w:rPr>
          <w:rFonts w:ascii="GHEA Grapalat" w:hAnsi="GHEA Grapalat" w:cs="Sylfaen"/>
          <w:sz w:val="16"/>
          <w:szCs w:val="16"/>
        </w:rPr>
        <w:t>գներով</w:t>
      </w:r>
      <w:r w:rsidRPr="00796991">
        <w:rPr>
          <w:rFonts w:ascii="GHEA Grapalat" w:hAnsi="GHEA Grapalat" w:cs="Sylfaen"/>
          <w:sz w:val="16"/>
          <w:szCs w:val="16"/>
        </w:rPr>
        <w:t>,</w:t>
      </w:r>
      <w:r w:rsidRPr="009B2E25">
        <w:rPr>
          <w:rFonts w:ascii="GHEA Grapalat" w:hAnsi="GHEA Grapalat" w:cs="Sylfaen"/>
          <w:sz w:val="16"/>
          <w:szCs w:val="16"/>
        </w:rPr>
        <w:t xml:space="preserve"> 2015 թվականին կազմել է 1266 մլն ԱՄՆ դոլար:</w:t>
      </w:r>
    </w:p>
  </w:footnote>
  <w:footnote w:id="12">
    <w:p w:rsidR="00490F2F" w:rsidRPr="00B126EF" w:rsidRDefault="00490F2F" w:rsidP="00490F2F">
      <w:pPr>
        <w:pStyle w:val="a5"/>
        <w:jc w:val="both"/>
        <w:rPr>
          <w:rFonts w:ascii="GHEA Grapalat" w:hAnsi="GHEA Grapalat"/>
          <w:sz w:val="18"/>
          <w:szCs w:val="18"/>
        </w:rPr>
      </w:pPr>
      <w:r w:rsidRPr="00B126EF">
        <w:rPr>
          <w:rStyle w:val="a7"/>
          <w:rFonts w:ascii="GHEA Grapalat" w:hAnsi="GHEA Grapalat"/>
          <w:sz w:val="18"/>
          <w:szCs w:val="18"/>
        </w:rPr>
        <w:footnoteRef/>
      </w:r>
      <w:r w:rsidRPr="00796991">
        <w:rPr>
          <w:rFonts w:ascii="GHEA Grapalat" w:hAnsi="GHEA Grapalat" w:cs="Sylfaen"/>
          <w:sz w:val="18"/>
          <w:szCs w:val="18"/>
        </w:rPr>
        <w:t xml:space="preserve"> </w:t>
      </w:r>
      <w:r w:rsidRPr="00B126EF">
        <w:rPr>
          <w:rFonts w:ascii="GHEA Grapalat" w:hAnsi="GHEA Grapalat" w:cs="Sylfaen"/>
          <w:sz w:val="18"/>
          <w:szCs w:val="18"/>
        </w:rPr>
        <w:t>ՀՀ արտաքին արևտրի ըստ ապրանքների լայն տնտեսական դասակարգումը ՀՀ ՖՆ գնահատականներն են, որտեղ որպես ներդրումային բնույթի դիտարկվել են «Մեքենաներ, սարքավորումներ, մեխանիզմներ», «Սարքեր և ապարատներ» և «Տարբեր արդյունաբերական ապրանքներ» ապրանքային խմբերը:</w:t>
      </w:r>
    </w:p>
  </w:footnote>
  <w:footnote w:id="13">
    <w:p w:rsidR="00490F2F" w:rsidRPr="00F70D4A" w:rsidRDefault="00490F2F" w:rsidP="00490F2F">
      <w:pPr>
        <w:pStyle w:val="a5"/>
        <w:jc w:val="both"/>
        <w:rPr>
          <w:rFonts w:ascii="GHEA Grapalat" w:hAnsi="GHEA Grapalat"/>
          <w:sz w:val="18"/>
          <w:szCs w:val="18"/>
        </w:rPr>
      </w:pPr>
      <w:r w:rsidRPr="00F70D4A">
        <w:rPr>
          <w:rStyle w:val="a7"/>
          <w:rFonts w:ascii="GHEA Grapalat" w:hAnsi="GHEA Grapalat"/>
          <w:sz w:val="18"/>
          <w:szCs w:val="18"/>
        </w:rPr>
        <w:footnoteRef/>
      </w:r>
      <w:r w:rsidRPr="00796991">
        <w:rPr>
          <w:rFonts w:ascii="GHEA Grapalat" w:hAnsi="GHEA Grapalat" w:cs="Sylfaen"/>
          <w:sz w:val="18"/>
          <w:szCs w:val="18"/>
        </w:rPr>
        <w:t xml:space="preserve"> </w:t>
      </w:r>
      <w:r w:rsidRPr="00F70D4A">
        <w:rPr>
          <w:rFonts w:ascii="GHEA Grapalat" w:hAnsi="GHEA Grapalat" w:cs="Sylfaen"/>
          <w:sz w:val="18"/>
          <w:szCs w:val="18"/>
        </w:rPr>
        <w:t>Նշված ցուցանիշը հաշվարկվում է որպես առևտրային հաշվեկշռի և ապրանքաշրջանառության հարաբերակցություն և ցույց է տալիս թե միավոր արտաքին ապրանքաշրջանառության մեջ որքան զուտ արտահանված ապրանք կա:</w:t>
      </w:r>
    </w:p>
  </w:footnote>
  <w:footnote w:id="14">
    <w:p w:rsidR="00490F2F" w:rsidRPr="00F70D4A" w:rsidRDefault="00490F2F" w:rsidP="00490F2F">
      <w:pPr>
        <w:pStyle w:val="a5"/>
        <w:jc w:val="both"/>
        <w:rPr>
          <w:rFonts w:ascii="GHEA Grapalat" w:hAnsi="GHEA Grapalat"/>
          <w:sz w:val="18"/>
          <w:szCs w:val="18"/>
        </w:rPr>
      </w:pPr>
      <w:r w:rsidRPr="00F70D4A">
        <w:rPr>
          <w:rStyle w:val="a7"/>
          <w:rFonts w:ascii="GHEA Grapalat" w:hAnsi="GHEA Grapalat"/>
          <w:sz w:val="18"/>
          <w:szCs w:val="18"/>
        </w:rPr>
        <w:footnoteRef/>
      </w:r>
      <w:r w:rsidRPr="00F70D4A">
        <w:rPr>
          <w:rFonts w:ascii="GHEA Grapalat" w:hAnsi="GHEA Grapalat" w:cs="Sylfaen"/>
          <w:sz w:val="18"/>
          <w:szCs w:val="18"/>
        </w:rPr>
        <w:t xml:space="preserve"> 2010-2015 թվականներին արտահանման միջին աճը կազմել է 14.3%՝ ներմուծման 0.6% աճի պայմաններում:</w:t>
      </w:r>
    </w:p>
  </w:footnote>
  <w:footnote w:id="15">
    <w:p w:rsidR="00490F2F" w:rsidRPr="00485A38" w:rsidRDefault="00490F2F" w:rsidP="00490F2F">
      <w:pPr>
        <w:pStyle w:val="a5"/>
        <w:jc w:val="both"/>
        <w:rPr>
          <w:sz w:val="18"/>
          <w:szCs w:val="18"/>
        </w:rPr>
      </w:pPr>
      <w:r w:rsidRPr="00485A38">
        <w:rPr>
          <w:rStyle w:val="a7"/>
          <w:rFonts w:ascii="GHEA Grapalat" w:hAnsi="GHEA Grapalat"/>
          <w:sz w:val="18"/>
          <w:szCs w:val="18"/>
        </w:rPr>
        <w:footnoteRef/>
      </w:r>
      <w:r w:rsidRPr="00796991">
        <w:rPr>
          <w:rFonts w:ascii="GHEA Grapalat" w:hAnsi="GHEA Grapalat" w:cs="Sylfaen"/>
          <w:sz w:val="18"/>
          <w:szCs w:val="18"/>
        </w:rPr>
        <w:t xml:space="preserve"> </w:t>
      </w:r>
      <w:r w:rsidRPr="00485A38">
        <w:rPr>
          <w:rFonts w:ascii="GHEA Grapalat" w:hAnsi="GHEA Grapalat" w:cs="Sylfaen"/>
          <w:sz w:val="18"/>
          <w:szCs w:val="18"/>
        </w:rPr>
        <w:t>Ներճյուղային առևտուրը տեղի է ունենում, երբ երկիրը և</w:t>
      </w:r>
      <w:r w:rsidRPr="00796991">
        <w:rPr>
          <w:rFonts w:ascii="GHEA Grapalat" w:hAnsi="GHEA Grapalat" w:cs="Sylfaen"/>
          <w:sz w:val="18"/>
          <w:szCs w:val="18"/>
        </w:rPr>
        <w:t>´</w:t>
      </w:r>
      <w:r w:rsidRPr="00485A38">
        <w:rPr>
          <w:rFonts w:ascii="GHEA Grapalat" w:hAnsi="GHEA Grapalat" w:cs="Sylfaen"/>
          <w:sz w:val="18"/>
          <w:szCs w:val="18"/>
        </w:rPr>
        <w:t xml:space="preserve"> ներմուծում, և</w:t>
      </w:r>
      <w:r w:rsidRPr="00796991">
        <w:rPr>
          <w:rFonts w:ascii="GHEA Grapalat" w:hAnsi="GHEA Grapalat" w:cs="Sylfaen"/>
          <w:sz w:val="18"/>
          <w:szCs w:val="18"/>
        </w:rPr>
        <w:t>´</w:t>
      </w:r>
      <w:r w:rsidRPr="00485A38">
        <w:rPr>
          <w:rFonts w:ascii="GHEA Grapalat" w:hAnsi="GHEA Grapalat" w:cs="Sylfaen"/>
          <w:sz w:val="18"/>
          <w:szCs w:val="18"/>
        </w:rPr>
        <w:t xml:space="preserve"> արտահանում է առանձին ճյուղում արտադրվող ապրանքատեսակները: Ներճյուղային առևտրի գործակից</w:t>
      </w:r>
      <w:r w:rsidRPr="00796991">
        <w:rPr>
          <w:rFonts w:ascii="GHEA Grapalat" w:hAnsi="GHEA Grapalat" w:cs="Sylfaen"/>
          <w:sz w:val="18"/>
          <w:szCs w:val="18"/>
        </w:rPr>
        <w:t>ն</w:t>
      </w:r>
      <w:r w:rsidRPr="00485A38">
        <w:rPr>
          <w:rFonts w:ascii="GHEA Grapalat" w:hAnsi="GHEA Grapalat" w:cs="Sylfaen"/>
          <w:sz w:val="18"/>
          <w:szCs w:val="18"/>
        </w:rPr>
        <w:t xml:space="preserve"> իրենից ներկայացնում է արտահանման և ներմուծման բացարձակ արժեքով փ</w:t>
      </w:r>
      <w:r>
        <w:rPr>
          <w:rFonts w:ascii="GHEA Grapalat" w:hAnsi="GHEA Grapalat" w:cs="Sylfaen"/>
          <w:sz w:val="18"/>
          <w:szCs w:val="18"/>
        </w:rPr>
        <w:t xml:space="preserve">ոքրի հարաբերակցությունը մեծին: </w:t>
      </w:r>
      <w:r w:rsidRPr="00796991">
        <w:rPr>
          <w:rFonts w:ascii="GHEA Grapalat" w:hAnsi="GHEA Grapalat" w:cs="Sylfaen"/>
          <w:sz w:val="18"/>
          <w:szCs w:val="18"/>
        </w:rPr>
        <w:t>«</w:t>
      </w:r>
      <w:r w:rsidRPr="00485A38">
        <w:rPr>
          <w:rFonts w:ascii="GHEA Grapalat" w:hAnsi="GHEA Grapalat" w:cs="Sylfaen"/>
          <w:sz w:val="18"/>
          <w:szCs w:val="18"/>
        </w:rPr>
        <w:t>0</w:t>
      </w:r>
      <w:r w:rsidRPr="00796991">
        <w:rPr>
          <w:rFonts w:ascii="GHEA Grapalat" w:hAnsi="GHEA Grapalat" w:cs="Sylfaen"/>
          <w:sz w:val="18"/>
          <w:szCs w:val="18"/>
        </w:rPr>
        <w:t>»</w:t>
      </w:r>
      <w:r w:rsidRPr="00485A38">
        <w:rPr>
          <w:rFonts w:ascii="GHEA Grapalat" w:hAnsi="GHEA Grapalat" w:cs="Sylfaen"/>
          <w:sz w:val="18"/>
          <w:szCs w:val="18"/>
        </w:rPr>
        <w:t xml:space="preserve"> նշանակում է լրիվ միակողմանի, իսկ </w:t>
      </w:r>
      <w:r w:rsidRPr="00796991">
        <w:rPr>
          <w:rFonts w:ascii="GHEA Grapalat" w:hAnsi="GHEA Grapalat" w:cs="Sylfaen"/>
          <w:sz w:val="18"/>
          <w:szCs w:val="18"/>
        </w:rPr>
        <w:t>«</w:t>
      </w:r>
      <w:r w:rsidRPr="00485A38">
        <w:rPr>
          <w:rFonts w:ascii="GHEA Grapalat" w:hAnsi="GHEA Grapalat" w:cs="Sylfaen"/>
          <w:sz w:val="18"/>
          <w:szCs w:val="18"/>
        </w:rPr>
        <w:t>1</w:t>
      </w:r>
      <w:r w:rsidRPr="00796991">
        <w:rPr>
          <w:rFonts w:ascii="GHEA Grapalat" w:hAnsi="GHEA Grapalat" w:cs="Sylfaen"/>
          <w:sz w:val="18"/>
          <w:szCs w:val="18"/>
        </w:rPr>
        <w:t>»՝</w:t>
      </w:r>
      <w:r w:rsidRPr="00485A38">
        <w:rPr>
          <w:rFonts w:ascii="GHEA Grapalat" w:hAnsi="GHEA Grapalat" w:cs="Sylfaen"/>
          <w:sz w:val="18"/>
          <w:szCs w:val="18"/>
        </w:rPr>
        <w:t xml:space="preserve"> լրիվ երկկողմանի առևտուր:</w:t>
      </w:r>
    </w:p>
  </w:footnote>
  <w:footnote w:id="16">
    <w:p w:rsidR="00490F2F" w:rsidRPr="00485A38" w:rsidRDefault="00490F2F" w:rsidP="00490F2F">
      <w:pPr>
        <w:pStyle w:val="a5"/>
        <w:jc w:val="both"/>
        <w:rPr>
          <w:rFonts w:ascii="GHEA Grapalat" w:hAnsi="GHEA Grapalat"/>
          <w:sz w:val="18"/>
          <w:szCs w:val="18"/>
        </w:rPr>
      </w:pPr>
      <w:r w:rsidRPr="00485A38">
        <w:rPr>
          <w:rStyle w:val="a7"/>
          <w:rFonts w:ascii="GHEA Grapalat" w:hAnsi="GHEA Grapalat"/>
          <w:sz w:val="18"/>
          <w:szCs w:val="18"/>
        </w:rPr>
        <w:footnoteRef/>
      </w:r>
      <w:r w:rsidRPr="00796991">
        <w:rPr>
          <w:rFonts w:ascii="GHEA Grapalat" w:hAnsi="GHEA Grapalat" w:cs="Sylfaen"/>
          <w:sz w:val="18"/>
          <w:szCs w:val="18"/>
        </w:rPr>
        <w:t xml:space="preserve"> </w:t>
      </w:r>
      <w:r w:rsidRPr="00485A38">
        <w:rPr>
          <w:rFonts w:ascii="GHEA Grapalat" w:hAnsi="GHEA Grapalat" w:cs="Sylfaen"/>
          <w:sz w:val="18"/>
          <w:szCs w:val="18"/>
        </w:rPr>
        <w:t>Բացահայտված համեմատական առավելության գործակիցը որոշվում է որպես երկու կշիռների հարաբերակցություն. ՀՀ արտահանման մեջ յուրաքանչյուր ապրանքախմբի կշիռը հարաբերած է համաշխարհային տնտեսության արտահանման մեջ համապատասխան ապրանքախմբի կշռին, և եթե այդ հարաբերակցությունը մեծ է 1-ից, ապա նշանակում է, որ տվյալ ապրանքախմբով երկիրն ունի բացահայտված համեմատական առավելություն: Գծապատկերում ներկայացված են UN Comtrade տվյալների բազայի 2014 թվականի տվյալներով տրված գնահատականները, քանի որ Միջազգային առևտրի վիճակագրության 2015 թվականի տվյալները դեռևս բացակայում են (2016թ. ապրիլի 1-ի դրությամբ):</w:t>
      </w:r>
    </w:p>
  </w:footnote>
  <w:footnote w:id="17">
    <w:p w:rsidR="00490F2F" w:rsidRPr="00D34FD8" w:rsidRDefault="00490F2F" w:rsidP="00490F2F">
      <w:pPr>
        <w:pStyle w:val="a5"/>
        <w:jc w:val="both"/>
        <w:rPr>
          <w:rFonts w:ascii="GHEA Grapalat" w:hAnsi="GHEA Grapalat" w:cs="Sylfaen"/>
          <w:sz w:val="18"/>
          <w:szCs w:val="18"/>
        </w:rPr>
      </w:pPr>
      <w:r w:rsidRPr="00D34FD8">
        <w:rPr>
          <w:rStyle w:val="a7"/>
          <w:rFonts w:ascii="GHEA Grapalat" w:hAnsi="GHEA Grapalat"/>
          <w:sz w:val="18"/>
          <w:szCs w:val="18"/>
        </w:rPr>
        <w:footnoteRef/>
      </w:r>
      <w:r w:rsidRPr="00796991">
        <w:rPr>
          <w:rFonts w:ascii="GHEA Grapalat" w:hAnsi="GHEA Grapalat" w:cs="Sylfaen"/>
          <w:sz w:val="18"/>
          <w:szCs w:val="18"/>
        </w:rPr>
        <w:t xml:space="preserve"> </w:t>
      </w:r>
      <w:r w:rsidRPr="00D34FD8">
        <w:rPr>
          <w:rFonts w:ascii="GHEA Grapalat" w:hAnsi="GHEA Grapalat" w:cs="Sylfaen"/>
          <w:sz w:val="18"/>
          <w:szCs w:val="18"/>
        </w:rPr>
        <w:t>Նշենք, որ փողի ագրեգատներում ոչ ռեզիդենտների ավանդները չեն ընդգրկվում:</w:t>
      </w:r>
    </w:p>
  </w:footnote>
  <w:footnote w:id="18">
    <w:p w:rsidR="00490F2F" w:rsidRPr="00D34FD8" w:rsidRDefault="00490F2F" w:rsidP="00490F2F">
      <w:pPr>
        <w:pStyle w:val="a5"/>
        <w:tabs>
          <w:tab w:val="left" w:pos="180"/>
          <w:tab w:val="left" w:pos="360"/>
        </w:tabs>
        <w:jc w:val="both"/>
        <w:rPr>
          <w:rFonts w:ascii="GHEA Grapalat" w:hAnsi="GHEA Grapalat" w:cs="Sylfaen"/>
          <w:sz w:val="18"/>
          <w:szCs w:val="18"/>
        </w:rPr>
      </w:pPr>
      <w:r w:rsidRPr="00D34FD8">
        <w:rPr>
          <w:rStyle w:val="a7"/>
          <w:rFonts w:ascii="GHEA Grapalat" w:hAnsi="GHEA Grapalat"/>
          <w:sz w:val="18"/>
          <w:szCs w:val="18"/>
        </w:rPr>
        <w:footnoteRef/>
      </w:r>
      <w:r w:rsidRPr="00796991">
        <w:rPr>
          <w:rFonts w:ascii="GHEA Grapalat" w:hAnsi="GHEA Grapalat" w:cs="Sylfaen"/>
          <w:sz w:val="18"/>
          <w:szCs w:val="18"/>
        </w:rPr>
        <w:t xml:space="preserve"> </w:t>
      </w:r>
      <w:r w:rsidRPr="00D34FD8">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2F" w:rsidRPr="000D1131" w:rsidRDefault="00490F2F" w:rsidP="000D1131">
    <w:pPr>
      <w:pStyle w:val="a3"/>
      <w:rPr>
        <w:rFonts w:ascii="Sylfaen" w:hAnsi="Sylfaen"/>
      </w:rPr>
    </w:pPr>
    <w:r>
      <w:rPr>
        <w:rFonts w:ascii="GHEA Grapalat" w:hAnsi="GHEA Grapalat" w:cs="Sylfaen"/>
        <w:b/>
        <w:bCs/>
        <w:i/>
        <w:iCs/>
        <w:sz w:val="18"/>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6515100" cy="0"/>
              <wp:effectExtent l="34290" t="35560" r="32385"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0307"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"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EA"/>
    <w:rsid w:val="00490F2F"/>
    <w:rsid w:val="00661DEA"/>
    <w:rsid w:val="00B7584C"/>
    <w:rsid w:val="00B8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CFDAC-422F-46AC-9594-97A1CB5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F2F"/>
    <w:pPr>
      <w:spacing w:after="0" w:line="240" w:lineRule="auto"/>
    </w:pPr>
    <w:rPr>
      <w:rFonts w:ascii="Times New Roman" w:eastAsia="Times New Roman" w:hAnsi="Times New Roman" w:cs="Times New Roman"/>
      <w:noProof/>
      <w:sz w:val="24"/>
      <w:szCs w:val="24"/>
      <w:lang w:val="hy-AM"/>
    </w:rPr>
  </w:style>
  <w:style w:type="paragraph" w:styleId="1">
    <w:name w:val="heading 1"/>
    <w:basedOn w:val="a"/>
    <w:next w:val="a"/>
    <w:link w:val="10"/>
    <w:qFormat/>
    <w:rsid w:val="00490F2F"/>
    <w:pPr>
      <w:keepNext/>
      <w:outlineLvl w:val="0"/>
    </w:pPr>
    <w:rPr>
      <w:rFonts w:ascii="Times Armenian" w:hAnsi="Times Armeni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F2F"/>
    <w:rPr>
      <w:rFonts w:ascii="Times Armenian" w:eastAsia="Times New Roman" w:hAnsi="Times Armenian" w:cs="Times New Roman"/>
      <w:b/>
      <w:i/>
      <w:noProof/>
      <w:sz w:val="28"/>
      <w:szCs w:val="20"/>
      <w:lang w:val="hy-AM"/>
    </w:rPr>
  </w:style>
  <w:style w:type="paragraph" w:styleId="a3">
    <w:name w:val="header"/>
    <w:aliases w:val="Header Char Char Char Char Char Char Char Char Char Char,Header Char Char Char Char Char Char Char Char Char Char Char Char,h"/>
    <w:basedOn w:val="a"/>
    <w:link w:val="a4"/>
    <w:rsid w:val="00490F2F"/>
    <w:pPr>
      <w:tabs>
        <w:tab w:val="center" w:pos="4320"/>
        <w:tab w:val="right" w:pos="8640"/>
      </w:tabs>
    </w:pPr>
  </w:style>
  <w:style w:type="character" w:customStyle="1" w:styleId="a4">
    <w:name w:val="Верхний колонтитул Знак"/>
    <w:aliases w:val="Header Char Char Char Char Char Char Char Char Char Char Знак,Header Char Char Char Char Char Char Char Char Char Char Char Char Знак,h Знак"/>
    <w:basedOn w:val="a0"/>
    <w:link w:val="a3"/>
    <w:rsid w:val="00490F2F"/>
    <w:rPr>
      <w:rFonts w:ascii="Times New Roman" w:eastAsia="Times New Roman" w:hAnsi="Times New Roman" w:cs="Times New Roman"/>
      <w:noProof/>
      <w:sz w:val="24"/>
      <w:szCs w:val="24"/>
      <w:lang w:val="hy-AM"/>
    </w:rPr>
  </w:style>
  <w:style w:type="paragraph" w:styleId="a5">
    <w:name w:val="footnote text"/>
    <w:aliases w:val="fn,ADB,single space,footnote text Char,fn Char,ADB Char,single space Char Char,footnote text,FOOTNOTES Char,FOOTNOTES Char Char Char,FOOTNOTES,Footnote Text Char2 Char,Footnote Text Char1 Char Char,Footnote Text Char2 Char Char Char"/>
    <w:basedOn w:val="a"/>
    <w:link w:val="a6"/>
    <w:rsid w:val="00490F2F"/>
    <w:rPr>
      <w:sz w:val="20"/>
      <w:szCs w:val="20"/>
    </w:rPr>
  </w:style>
  <w:style w:type="character" w:customStyle="1" w:styleId="a6">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
    <w:basedOn w:val="a0"/>
    <w:link w:val="a5"/>
    <w:rsid w:val="00490F2F"/>
    <w:rPr>
      <w:rFonts w:ascii="Times New Roman" w:eastAsia="Times New Roman" w:hAnsi="Times New Roman" w:cs="Times New Roman"/>
      <w:noProof/>
      <w:sz w:val="20"/>
      <w:szCs w:val="20"/>
      <w:lang w:val="hy-AM"/>
    </w:rPr>
  </w:style>
  <w:style w:type="character" w:styleId="a7">
    <w:name w:val="footnote reference"/>
    <w:aliases w:val="ftref,Footnote Reference Number,Footnote Reference_LVL6,Footnote Reference_LVL61,Footnote Reference_LVL62,Footnote Reference_LVL63,Footnote Reference_LVL64,16 Point,Superscript 6 Point,Знак сноски-FN"/>
    <w:rsid w:val="00490F2F"/>
    <w:rPr>
      <w:vertAlign w:val="superscript"/>
    </w:rPr>
  </w:style>
  <w:style w:type="paragraph" w:styleId="3">
    <w:name w:val="Body Text Indent 3"/>
    <w:basedOn w:val="a"/>
    <w:link w:val="30"/>
    <w:rsid w:val="00490F2F"/>
    <w:pPr>
      <w:spacing w:after="120"/>
      <w:ind w:left="360"/>
    </w:pPr>
    <w:rPr>
      <w:sz w:val="16"/>
      <w:szCs w:val="16"/>
      <w:lang w:eastAsia="x-none"/>
    </w:rPr>
  </w:style>
  <w:style w:type="character" w:customStyle="1" w:styleId="30">
    <w:name w:val="Основной текст с отступом 3 Знак"/>
    <w:basedOn w:val="a0"/>
    <w:link w:val="3"/>
    <w:rsid w:val="00490F2F"/>
    <w:rPr>
      <w:rFonts w:ascii="Times New Roman" w:eastAsia="Times New Roman" w:hAnsi="Times New Roman" w:cs="Times New Roman"/>
      <w:noProof/>
      <w:sz w:val="16"/>
      <w:szCs w:val="16"/>
      <w:lang w:val="hy-AM"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openxmlformats.org/officeDocument/2006/relationships/image" Target="../media/image1.jpeg"/><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armenuhi.tsaghikyan\Desktop\2016\IMPULS\impuls2015_Year.xls"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openxmlformats.org/officeDocument/2006/relationships/image" Target="../media/image2.jpeg"/><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openxmlformats.org/officeDocument/2006/relationships/image" Target="../media/image1.jpeg"/><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4"/>
            </a:pPr>
            <a:r>
              <a:rPr lang="en-US" sz="804">
                <a:latin typeface="GHEA Grapalat" pitchFamily="50" charset="0"/>
              </a:rPr>
              <a:t>201</a:t>
            </a:r>
            <a:r>
              <a:rPr lang="ru-RU" sz="804">
                <a:latin typeface="GHEA Grapalat" pitchFamily="50" charset="0"/>
              </a:rPr>
              <a:t>5թվականի  ՀՆԱ-ի աճին  ճյուղերի</a:t>
            </a:r>
            <a:r>
              <a:rPr lang="ru-RU" sz="804" baseline="0">
                <a:latin typeface="GHEA Grapalat" pitchFamily="50" charset="0"/>
              </a:rPr>
              <a:t> ավելացված արժեքների նպաստումները</a:t>
            </a:r>
            <a:r>
              <a:rPr lang="ru-RU" sz="804">
                <a:latin typeface="GHEA Grapalat" pitchFamily="50" charset="0"/>
              </a:rPr>
              <a:t> </a:t>
            </a:r>
            <a:endParaRPr lang="en-US" sz="800">
              <a:latin typeface="GHEA Grapalat" pitchFamily="50" charset="0"/>
            </a:endParaRPr>
          </a:p>
        </c:rich>
      </c:tx>
      <c:layout>
        <c:manualLayout>
          <c:xMode val="edge"/>
          <c:yMode val="edge"/>
          <c:x val="9.9439370078740152E-2"/>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1261099854E-2"/>
          <c:y val="0.20245771717559699"/>
          <c:w val="0.95653511873890018"/>
          <c:h val="0.58908597400934659"/>
        </c:manualLayout>
      </c:layout>
      <c:pie3DChart>
        <c:varyColors val="1"/>
        <c:ser>
          <c:idx val="0"/>
          <c:order val="0"/>
          <c:tx>
            <c:strRef>
              <c:f>Sheet1!$B$1</c:f>
              <c:strCache>
                <c:ptCount val="1"/>
                <c:pt idx="0">
                  <c:v>2015</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Pt>
            <c:idx val="3"/>
            <c:bubble3D val="0"/>
            <c:spPr>
              <a:pattFill prst="horzBrick">
                <a:fgClr>
                  <a:schemeClr val="accent1"/>
                </a:fgClr>
                <a:bgClr>
                  <a:schemeClr val="bg1"/>
                </a:bgClr>
              </a:pattFill>
            </c:spPr>
          </c:dPt>
          <c:dPt>
            <c:idx val="4"/>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Արդյունաբերություն</c:v>
                </c:pt>
                <c:pt idx="1">
                  <c:v>Գյուղատնտեսություն</c:v>
                </c:pt>
                <c:pt idx="2">
                  <c:v>Շինարարություն</c:v>
                </c:pt>
                <c:pt idx="3">
                  <c:v>Ծառայություններ</c:v>
                </c:pt>
                <c:pt idx="4">
                  <c:v>Զուտ անուղղակի հարկեր</c:v>
                </c:pt>
              </c:strCache>
            </c:strRef>
          </c:cat>
          <c:val>
            <c:numRef>
              <c:f>Sheet1!$B$2:$B$6</c:f>
              <c:numCache>
                <c:formatCode>0.0</c:formatCode>
                <c:ptCount val="5"/>
                <c:pt idx="0">
                  <c:v>1.0255778648308114</c:v>
                </c:pt>
                <c:pt idx="1">
                  <c:v>2.096496032284755</c:v>
                </c:pt>
                <c:pt idx="2">
                  <c:v>-0.38322353054131703</c:v>
                </c:pt>
                <c:pt idx="3">
                  <c:v>0.78998751329841699</c:v>
                </c:pt>
                <c:pt idx="4">
                  <c:v>-0.57297803445173323</c:v>
                </c:pt>
              </c:numCache>
            </c:numRef>
          </c:val>
        </c:ser>
        <c:dLbls>
          <c:showLegendKey val="0"/>
          <c:showVal val="0"/>
          <c:showCatName val="0"/>
          <c:showSerName val="0"/>
          <c:showPercent val="0"/>
          <c:showBubbleSize val="0"/>
          <c:showLeaderLines val="1"/>
        </c:dLbls>
      </c:pie3DChart>
      <c:spPr>
        <a:noFill/>
        <a:ln w="25526">
          <a:noFill/>
        </a:ln>
      </c:spPr>
    </c:plotArea>
    <c:legend>
      <c:legendPos val="b"/>
      <c:layout>
        <c:manualLayout>
          <c:xMode val="edge"/>
          <c:yMode val="edge"/>
          <c:x val="3.082866949323642E-2"/>
          <c:y val="0.76323090382932901"/>
          <c:w val="0.89597835655158498"/>
          <c:h val="0.21295968773134133"/>
        </c:manualLayout>
      </c:layout>
      <c:overlay val="0"/>
      <c:txPr>
        <a:bodyPr/>
        <a:lstStyle/>
        <a:p>
          <a:pPr>
            <a:defRPr sz="804">
              <a:latin typeface="GHEA Grapalat" pitchFamily="50" charset="0"/>
            </a:defRPr>
          </a:pPr>
          <a:endParaRPr lang="ru-RU"/>
        </a:p>
      </c:txPr>
    </c:legend>
    <c:plotVisOnly val="1"/>
    <c:dispBlanksAs val="zero"/>
    <c:showDLblsOverMax val="0"/>
  </c:chart>
  <c:spPr>
    <a:gradFill>
      <a:gsLst>
        <a:gs pos="0">
          <a:schemeClr val="accent1"/>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96814416889502E-2"/>
          <c:y val="3.8450284623512972E-2"/>
          <c:w val="0.90755791040138678"/>
          <c:h val="0.79127221709898965"/>
        </c:manualLayout>
      </c:layout>
      <c:lineChart>
        <c:grouping val="standard"/>
        <c:varyColors val="0"/>
        <c:ser>
          <c:idx val="0"/>
          <c:order val="0"/>
          <c:tx>
            <c:strRef>
              <c:f>Sheet1!$A$2</c:f>
              <c:strCache>
                <c:ptCount val="1"/>
                <c:pt idx="0">
                  <c:v>2014թ.</c:v>
                </c:pt>
              </c:strCache>
            </c:strRef>
          </c:tx>
          <c:spPr>
            <a:ln w="25400">
              <a:solidFill>
                <a:srgbClr val="FFC5F3"/>
              </a:solidFill>
            </a:ln>
          </c:spPr>
          <c:marker>
            <c:symbol val="diamond"/>
            <c:size val="7"/>
            <c:spPr>
              <a:ln>
                <a:solidFill>
                  <a:srgbClr val="FFC5F3"/>
                </a:solidFill>
              </a:ln>
            </c:spPr>
          </c:marker>
          <c:dLbls>
            <c:dLbl>
              <c:idx val="0"/>
              <c:layout>
                <c:manualLayout>
                  <c:x val="-2.8776978417266261E-2"/>
                  <c:y val="-3.1250000000000042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613908872901762E-2"/>
                  <c:y val="-2.777777777777785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0695443645083982E-2"/>
                  <c:y val="-2.4305555555555556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4532374100719451E-2"/>
                  <c:y val="3.819444444444444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685851318944844E-2"/>
                  <c:y val="3.819444444444441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685851318944844E-2"/>
                  <c:y val="3.472222222222222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6450839328537238E-2"/>
                  <c:y val="3.472222222222222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8776978417266261E-2"/>
                  <c:y val="3.472222222222222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0695443645083982E-2"/>
                  <c:y val="3.472222222222222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8776978417266261E-2"/>
                  <c:y val="4.166666666666666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0287769784172658E-2"/>
                  <c:y val="-2.7777777777777877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4532374100719451E-2"/>
                  <c:y val="-3.12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Sheet1!$B$2:$M$2</c:f>
              <c:numCache>
                <c:formatCode>0.0</c:formatCode>
                <c:ptCount val="12"/>
                <c:pt idx="0">
                  <c:v>8.5799849245865971</c:v>
                </c:pt>
                <c:pt idx="1">
                  <c:v>8.6034712315722146</c:v>
                </c:pt>
                <c:pt idx="2">
                  <c:v>8.55414969835455</c:v>
                </c:pt>
                <c:pt idx="3">
                  <c:v>8.842942530299581</c:v>
                </c:pt>
                <c:pt idx="4">
                  <c:v>8.7108613929323155</c:v>
                </c:pt>
                <c:pt idx="5">
                  <c:v>8.2762015349010056</c:v>
                </c:pt>
                <c:pt idx="6">
                  <c:v>7.2107390909705629</c:v>
                </c:pt>
                <c:pt idx="7">
                  <c:v>6.5925879599985251</c:v>
                </c:pt>
                <c:pt idx="8">
                  <c:v>6.5296986880580334</c:v>
                </c:pt>
                <c:pt idx="9">
                  <c:v>6.8449022112630331</c:v>
                </c:pt>
                <c:pt idx="10">
                  <c:v>7.1845465825580987</c:v>
                </c:pt>
                <c:pt idx="11">
                  <c:v>7.1993114458749545</c:v>
                </c:pt>
              </c:numCache>
            </c:numRef>
          </c:val>
          <c:smooth val="0"/>
        </c:ser>
        <c:ser>
          <c:idx val="1"/>
          <c:order val="1"/>
          <c:tx>
            <c:strRef>
              <c:f>Sheet1!$A$3</c:f>
              <c:strCache>
                <c:ptCount val="1"/>
                <c:pt idx="0">
                  <c:v>2015թ.</c:v>
                </c:pt>
              </c:strCache>
            </c:strRef>
          </c:tx>
          <c:spPr>
            <a:ln w="25400"/>
          </c:spPr>
          <c:dLbls>
            <c:dLbl>
              <c:idx val="0"/>
              <c:layout>
                <c:manualLayout>
                  <c:x val="-2.8776978417266261E-2"/>
                  <c:y val="3.819444444444444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8369304556354941E-2"/>
                  <c:y val="-4.513888888888888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4532374100719451E-2"/>
                  <c:y val="-3.12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4532374100719451E-2"/>
                  <c:y val="-3.472222222222222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8776978417266261E-2"/>
                  <c:y val="-3.12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2613908872901762E-2"/>
                  <c:y val="-3.819444444444444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0695443645084006E-2"/>
                  <c:y val="-3.819444444444447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532374100719451E-2"/>
                  <c:y val="-3.12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4532374100719451E-2"/>
                  <c:y val="-4.166666666666666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532374100719451E-2"/>
                  <c:y val="-3.819444444444444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8776978417266261E-2"/>
                  <c:y val="3.819444444444444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1103117505995278E-2"/>
                  <c:y val="4.166666666666666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Sheet1!$B$3:$M$3</c:f>
              <c:numCache>
                <c:formatCode>0.0</c:formatCode>
                <c:ptCount val="12"/>
                <c:pt idx="0">
                  <c:v>7.5840208368387749</c:v>
                </c:pt>
                <c:pt idx="1">
                  <c:v>10.371998779687658</c:v>
                </c:pt>
                <c:pt idx="2">
                  <c:v>11.119051700704929</c:v>
                </c:pt>
                <c:pt idx="3">
                  <c:v>10.325025473482413</c:v>
                </c:pt>
                <c:pt idx="4">
                  <c:v>9.1536712881403588</c:v>
                </c:pt>
                <c:pt idx="5">
                  <c:v>8.8204909939888552</c:v>
                </c:pt>
                <c:pt idx="6">
                  <c:v>8.4297851345924499</c:v>
                </c:pt>
                <c:pt idx="7">
                  <c:v>8.1949825297834167</c:v>
                </c:pt>
                <c:pt idx="8">
                  <c:v>7.754828784138823</c:v>
                </c:pt>
                <c:pt idx="9">
                  <c:v>7.0954273031658346</c:v>
                </c:pt>
                <c:pt idx="10">
                  <c:v>6.4184913749808885</c:v>
                </c:pt>
                <c:pt idx="11">
                  <c:v>6.2980334780505132</c:v>
                </c:pt>
              </c:numCache>
            </c:numRef>
          </c:val>
          <c:smooth val="0"/>
        </c:ser>
        <c:dLbls>
          <c:showLegendKey val="0"/>
          <c:showVal val="0"/>
          <c:showCatName val="0"/>
          <c:showSerName val="0"/>
          <c:showPercent val="0"/>
          <c:showBubbleSize val="0"/>
        </c:dLbls>
        <c:marker val="1"/>
        <c:smooth val="0"/>
        <c:axId val="440610976"/>
        <c:axId val="440615680"/>
      </c:lineChart>
      <c:catAx>
        <c:axId val="440610976"/>
        <c:scaling>
          <c:orientation val="minMax"/>
        </c:scaling>
        <c:delete val="0"/>
        <c:axPos val="b"/>
        <c:numFmt formatCode="General" sourceLinked="1"/>
        <c:majorTickMark val="none"/>
        <c:minorTickMark val="none"/>
        <c:tickLblPos val="nextTo"/>
        <c:crossAx val="440615680"/>
        <c:crosses val="autoZero"/>
        <c:auto val="1"/>
        <c:lblAlgn val="ctr"/>
        <c:lblOffset val="100"/>
        <c:noMultiLvlLbl val="0"/>
      </c:catAx>
      <c:valAx>
        <c:axId val="440615680"/>
        <c:scaling>
          <c:orientation val="minMax"/>
          <c:min val="4"/>
        </c:scaling>
        <c:delete val="0"/>
        <c:axPos val="l"/>
        <c:numFmt formatCode="0.0" sourceLinked="1"/>
        <c:majorTickMark val="none"/>
        <c:minorTickMark val="none"/>
        <c:tickLblPos val="nextTo"/>
        <c:crossAx val="440610976"/>
        <c:crosses val="autoZero"/>
        <c:crossBetween val="between"/>
      </c:valAx>
    </c:plotArea>
    <c:legend>
      <c:legendPos val="b"/>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16186245524523E-2"/>
          <c:y val="7.5652273401979261E-2"/>
          <c:w val="0.86395759717314602"/>
          <c:h val="0.79212727625155444"/>
        </c:manualLayout>
      </c:layout>
      <c:barChart>
        <c:barDir val="col"/>
        <c:grouping val="clustered"/>
        <c:varyColors val="0"/>
        <c:ser>
          <c:idx val="0"/>
          <c:order val="0"/>
          <c:tx>
            <c:strRef>
              <c:f>'Fiscal Yearly'!$C$4</c:f>
              <c:strCache>
                <c:ptCount val="1"/>
                <c:pt idx="0">
                  <c:v>եկամուտների ազդակ</c:v>
                </c:pt>
              </c:strCache>
            </c:strRef>
          </c:tx>
          <c:invertIfNegative val="0"/>
          <c:cat>
            <c:numRef>
              <c:f>'Fiscal Yearly'!$B$5:$B$11</c:f>
              <c:numCache>
                <c:formatCode>0</c:formatCode>
                <c:ptCount val="7"/>
                <c:pt idx="0">
                  <c:v>2009</c:v>
                </c:pt>
                <c:pt idx="1">
                  <c:v>2010</c:v>
                </c:pt>
                <c:pt idx="2">
                  <c:v>2011</c:v>
                </c:pt>
                <c:pt idx="3">
                  <c:v>2012</c:v>
                </c:pt>
                <c:pt idx="4">
                  <c:v>2013</c:v>
                </c:pt>
                <c:pt idx="5">
                  <c:v>2014</c:v>
                </c:pt>
                <c:pt idx="6">
                  <c:v>2015</c:v>
                </c:pt>
              </c:numCache>
            </c:numRef>
          </c:cat>
          <c:val>
            <c:numRef>
              <c:f>'Fiscal Yearly'!$C$5:$C$11</c:f>
              <c:numCache>
                <c:formatCode>0.00</c:formatCode>
                <c:ptCount val="7"/>
                <c:pt idx="0">
                  <c:v>-0.25705484487666036</c:v>
                </c:pt>
                <c:pt idx="1">
                  <c:v>-0.60877454431353972</c:v>
                </c:pt>
                <c:pt idx="2">
                  <c:v>0.27385672970735286</c:v>
                </c:pt>
                <c:pt idx="3">
                  <c:v>3.1302787103206072E-3</c:v>
                </c:pt>
                <c:pt idx="4">
                  <c:v>-1.486325621143167</c:v>
                </c:pt>
                <c:pt idx="5" formatCode="0.0">
                  <c:v>-5.4449291978837626E-2</c:v>
                </c:pt>
                <c:pt idx="6">
                  <c:v>0.73758598477536141</c:v>
                </c:pt>
              </c:numCache>
            </c:numRef>
          </c:val>
        </c:ser>
        <c:ser>
          <c:idx val="1"/>
          <c:order val="1"/>
          <c:tx>
            <c:strRef>
              <c:f>'Fiscal Yearly'!$D$4</c:f>
              <c:strCache>
                <c:ptCount val="1"/>
                <c:pt idx="0">
                  <c:v>ծախսերի ազդակ</c:v>
                </c:pt>
              </c:strCache>
            </c:strRef>
          </c:tx>
          <c:invertIfNegative val="0"/>
          <c:cat>
            <c:numRef>
              <c:f>'Fiscal Yearly'!$B$5:$B$11</c:f>
              <c:numCache>
                <c:formatCode>0</c:formatCode>
                <c:ptCount val="7"/>
                <c:pt idx="0">
                  <c:v>2009</c:v>
                </c:pt>
                <c:pt idx="1">
                  <c:v>2010</c:v>
                </c:pt>
                <c:pt idx="2">
                  <c:v>2011</c:v>
                </c:pt>
                <c:pt idx="3">
                  <c:v>2012</c:v>
                </c:pt>
                <c:pt idx="4">
                  <c:v>2013</c:v>
                </c:pt>
                <c:pt idx="5">
                  <c:v>2014</c:v>
                </c:pt>
                <c:pt idx="6">
                  <c:v>2015</c:v>
                </c:pt>
              </c:numCache>
            </c:numRef>
          </c:cat>
          <c:val>
            <c:numRef>
              <c:f>'Fiscal Yearly'!$D$5:$D$11</c:f>
              <c:numCache>
                <c:formatCode>0.00</c:formatCode>
                <c:ptCount val="7"/>
                <c:pt idx="0">
                  <c:v>5.9264139536358496</c:v>
                </c:pt>
                <c:pt idx="1">
                  <c:v>-1.9089780843203961</c:v>
                </c:pt>
                <c:pt idx="2">
                  <c:v>-1.0399682436100117</c:v>
                </c:pt>
                <c:pt idx="3">
                  <c:v>-2.3173936925210632</c:v>
                </c:pt>
                <c:pt idx="4">
                  <c:v>0.65208150716334279</c:v>
                </c:pt>
                <c:pt idx="5">
                  <c:v>1.0500536192798382</c:v>
                </c:pt>
                <c:pt idx="6">
                  <c:v>2.0406832562873096</c:v>
                </c:pt>
              </c:numCache>
            </c:numRef>
          </c:val>
        </c:ser>
        <c:dLbls>
          <c:showLegendKey val="0"/>
          <c:showVal val="0"/>
          <c:showCatName val="0"/>
          <c:showSerName val="0"/>
          <c:showPercent val="0"/>
          <c:showBubbleSize val="0"/>
        </c:dLbls>
        <c:gapWidth val="150"/>
        <c:axId val="440612936"/>
        <c:axId val="440619992"/>
      </c:barChart>
      <c:lineChart>
        <c:grouping val="standard"/>
        <c:varyColors val="0"/>
        <c:ser>
          <c:idx val="2"/>
          <c:order val="2"/>
          <c:tx>
            <c:strRef>
              <c:f>'Fiscal Yearly'!$E$4</c:f>
              <c:strCache>
                <c:ptCount val="1"/>
                <c:pt idx="0">
                  <c:v>հարկաբյուջետային ազդակ</c:v>
                </c:pt>
              </c:strCache>
            </c:strRef>
          </c:tx>
          <c:cat>
            <c:numRef>
              <c:f>'Fiscal Yearly'!$B$5:$B$11</c:f>
              <c:numCache>
                <c:formatCode>0</c:formatCode>
                <c:ptCount val="7"/>
                <c:pt idx="0">
                  <c:v>2009</c:v>
                </c:pt>
                <c:pt idx="1">
                  <c:v>2010</c:v>
                </c:pt>
                <c:pt idx="2">
                  <c:v>2011</c:v>
                </c:pt>
                <c:pt idx="3">
                  <c:v>2012</c:v>
                </c:pt>
                <c:pt idx="4">
                  <c:v>2013</c:v>
                </c:pt>
                <c:pt idx="5">
                  <c:v>2014</c:v>
                </c:pt>
                <c:pt idx="6">
                  <c:v>2015</c:v>
                </c:pt>
              </c:numCache>
            </c:numRef>
          </c:cat>
          <c:val>
            <c:numRef>
              <c:f>'Fiscal Yearly'!$E$5:$E$11</c:f>
              <c:numCache>
                <c:formatCode>0.00</c:formatCode>
                <c:ptCount val="7"/>
                <c:pt idx="0">
                  <c:v>5.6693591087591919</c:v>
                </c:pt>
                <c:pt idx="1">
                  <c:v>-2.517752628633934</c:v>
                </c:pt>
                <c:pt idx="2">
                  <c:v>-0.76611151390266152</c:v>
                </c:pt>
                <c:pt idx="3">
                  <c:v>-2.3142634138107341</c:v>
                </c:pt>
                <c:pt idx="4">
                  <c:v>-0.83424411397982645</c:v>
                </c:pt>
                <c:pt idx="5">
                  <c:v>0.99560432730100068</c:v>
                </c:pt>
                <c:pt idx="6">
                  <c:v>2.7782692410626688</c:v>
                </c:pt>
              </c:numCache>
            </c:numRef>
          </c:val>
          <c:smooth val="0"/>
        </c:ser>
        <c:dLbls>
          <c:showLegendKey val="0"/>
          <c:showVal val="0"/>
          <c:showCatName val="0"/>
          <c:showSerName val="0"/>
          <c:showPercent val="0"/>
          <c:showBubbleSize val="0"/>
        </c:dLbls>
        <c:marker val="1"/>
        <c:smooth val="0"/>
        <c:axId val="440612936"/>
        <c:axId val="440619992"/>
      </c:lineChart>
      <c:catAx>
        <c:axId val="440612936"/>
        <c:scaling>
          <c:orientation val="minMax"/>
        </c:scaling>
        <c:delete val="0"/>
        <c:axPos val="b"/>
        <c:numFmt formatCode="0" sourceLinked="1"/>
        <c:majorTickMark val="out"/>
        <c:minorTickMark val="none"/>
        <c:tickLblPos val="nextTo"/>
        <c:txPr>
          <a:bodyPr rot="-5280000" vert="horz"/>
          <a:lstStyle/>
          <a:p>
            <a:pPr>
              <a:defRPr sz="1000" b="0" i="0" u="none" strike="noStrike" baseline="0">
                <a:solidFill>
                  <a:srgbClr val="000000"/>
                </a:solidFill>
                <a:latin typeface="Calibri"/>
                <a:ea typeface="Calibri"/>
                <a:cs typeface="Calibri"/>
              </a:defRPr>
            </a:pPr>
            <a:endParaRPr lang="ru-RU"/>
          </a:p>
        </c:txPr>
        <c:crossAx val="440619992"/>
        <c:crosses val="autoZero"/>
        <c:auto val="1"/>
        <c:lblAlgn val="ctr"/>
        <c:lblOffset val="100"/>
        <c:tickLblSkip val="1"/>
        <c:tickMarkSkip val="1"/>
        <c:noMultiLvlLbl val="0"/>
      </c:catAx>
      <c:valAx>
        <c:axId val="440619992"/>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40612936"/>
        <c:crosses val="autoZero"/>
        <c:crossBetween val="between"/>
        <c:majorUnit val="0.5"/>
      </c:valAx>
    </c:plotArea>
    <c:legend>
      <c:legendPos val="r"/>
      <c:layout>
        <c:manualLayout>
          <c:xMode val="edge"/>
          <c:yMode val="edge"/>
          <c:x val="3.3568758450648183E-2"/>
          <c:y val="0.88297977458700005"/>
          <c:w val="0.94169592437309191"/>
          <c:h val="6.9148954419913325E-2"/>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1"/>
            </a:pPr>
            <a:r>
              <a:rPr lang="en-US" sz="821">
                <a:latin typeface="GHEA Grapalat" pitchFamily="50" charset="0"/>
              </a:rPr>
              <a:t>2014</a:t>
            </a:r>
            <a:r>
              <a:rPr lang="ru-RU" sz="821">
                <a:latin typeface="GHEA Grapalat" pitchFamily="50" charset="0"/>
              </a:rPr>
              <a:t>թվականի  ՀՆԱ-ի աճին  ճյուղերի</a:t>
            </a:r>
            <a:r>
              <a:rPr lang="ru-RU" sz="821" baseline="0">
                <a:latin typeface="GHEA Grapalat" pitchFamily="50" charset="0"/>
              </a:rPr>
              <a:t> ավելացված արժեքների նպաստումները</a:t>
            </a:r>
            <a:r>
              <a:rPr lang="ru-RU" sz="821">
                <a:latin typeface="GHEA Grapalat" pitchFamily="50" charset="0"/>
              </a:rPr>
              <a:t> </a:t>
            </a:r>
            <a:endParaRPr lang="en-US" sz="800">
              <a:latin typeface="GHEA Grapalat" pitchFamily="50" charset="0"/>
            </a:endParaRPr>
          </a:p>
        </c:rich>
      </c:tx>
      <c:layout>
        <c:manualLayout>
          <c:xMode val="edge"/>
          <c:yMode val="edge"/>
          <c:x val="0.143351274128708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32"/>
          <c:w val="0.89912430021391831"/>
          <c:h val="0.4980288283636688"/>
        </c:manualLayout>
      </c:layout>
      <c:pie3DChart>
        <c:varyColors val="1"/>
        <c:ser>
          <c:idx val="0"/>
          <c:order val="0"/>
          <c:tx>
            <c:strRef>
              <c:f>Sheet1!$B$1</c:f>
              <c:strCache>
                <c:ptCount val="1"/>
                <c:pt idx="0">
                  <c:v>2014</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Pt>
            <c:idx val="3"/>
            <c:bubble3D val="0"/>
            <c:spPr>
              <a:pattFill prst="horzBrick">
                <a:fgClr>
                  <a:schemeClr val="accent1"/>
                </a:fgClr>
                <a:bgClr>
                  <a:schemeClr val="bg1"/>
                </a:bgClr>
              </a:pattFill>
            </c:spPr>
          </c:dPt>
          <c:dPt>
            <c:idx val="4"/>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Արդյունաբերություն</c:v>
                </c:pt>
                <c:pt idx="1">
                  <c:v>Գյուղատնտեսություն</c:v>
                </c:pt>
                <c:pt idx="2">
                  <c:v>Շինարարություն</c:v>
                </c:pt>
                <c:pt idx="3">
                  <c:v>Ծառայություններ</c:v>
                </c:pt>
                <c:pt idx="4">
                  <c:v>Զուտ անուղղակի հարկեր</c:v>
                </c:pt>
              </c:strCache>
            </c:strRef>
          </c:cat>
          <c:val>
            <c:numRef>
              <c:f>Sheet1!$B$2:$B$6</c:f>
              <c:numCache>
                <c:formatCode>0.0</c:formatCode>
                <c:ptCount val="5"/>
                <c:pt idx="0">
                  <c:v>-0.11998757934728073</c:v>
                </c:pt>
                <c:pt idx="1">
                  <c:v>1.4455581657033247</c:v>
                </c:pt>
                <c:pt idx="2">
                  <c:v>-0.484178045569994</c:v>
                </c:pt>
                <c:pt idx="3">
                  <c:v>2.4947613267445048</c:v>
                </c:pt>
                <c:pt idx="4">
                  <c:v>0.20415800359211936</c:v>
                </c:pt>
              </c:numCache>
            </c:numRef>
          </c:val>
        </c:ser>
        <c:dLbls>
          <c:showLegendKey val="0"/>
          <c:showVal val="0"/>
          <c:showCatName val="0"/>
          <c:showSerName val="0"/>
          <c:showPercent val="0"/>
          <c:showBubbleSize val="0"/>
          <c:showLeaderLines val="1"/>
        </c:dLbls>
      </c:pie3DChart>
      <c:spPr>
        <a:noFill/>
        <a:ln w="26079">
          <a:noFill/>
        </a:ln>
      </c:spPr>
    </c:plotArea>
    <c:legend>
      <c:legendPos val="r"/>
      <c:layout>
        <c:manualLayout>
          <c:xMode val="edge"/>
          <c:yMode val="edge"/>
          <c:x val="2.8662420382165606E-2"/>
          <c:y val="0.75129533678756477"/>
          <c:w val="0.90127388535031849"/>
          <c:h val="0.21243523316062177"/>
        </c:manualLayout>
      </c:layout>
      <c:overlay val="0"/>
      <c:txPr>
        <a:bodyPr/>
        <a:lstStyle/>
        <a:p>
          <a:pPr>
            <a:defRPr sz="821">
              <a:latin typeface="GHEA Grapalat" pitchFamily="50" charset="0"/>
            </a:defRPr>
          </a:pPr>
          <a:endParaRPr lang="ru-RU"/>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676016561759769E-2"/>
          <c:y val="5.2830188679245292E-2"/>
          <c:w val="0.83154361024020962"/>
          <c:h val="0.64150943396226412"/>
        </c:manualLayout>
      </c:layout>
      <c:barChart>
        <c:barDir val="col"/>
        <c:grouping val="clustered"/>
        <c:varyColors val="0"/>
        <c:ser>
          <c:idx val="1"/>
          <c:order val="0"/>
          <c:tx>
            <c:strRef>
              <c:f>Sheet1!$A$2</c:f>
              <c:strCache>
                <c:ptCount val="1"/>
                <c:pt idx="0">
                  <c:v>Ապրանքներ, զուտ</c:v>
                </c:pt>
              </c:strCache>
            </c:strRef>
          </c:tx>
          <c:spPr>
            <a:solidFill>
              <a:srgbClr val="993366"/>
            </a:solidFill>
            <a:ln w="12700">
              <a:solidFill>
                <a:srgbClr val="000000"/>
              </a:solidFill>
              <a:prstDash val="solid"/>
            </a:ln>
          </c:spPr>
          <c:invertIfNegative val="0"/>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Sheet1!$B$2:$Q$2</c:f>
              <c:numCache>
                <c:formatCode>0.0</c:formatCode>
                <c:ptCount val="16"/>
                <c:pt idx="0">
                  <c:v>-466.93680200000006</c:v>
                </c:pt>
                <c:pt idx="1">
                  <c:v>-418.44582500000013</c:v>
                </c:pt>
                <c:pt idx="2">
                  <c:v>-349.38280844000008</c:v>
                </c:pt>
                <c:pt idx="3">
                  <c:v>-451.36523550000004</c:v>
                </c:pt>
                <c:pt idx="4">
                  <c:v>-490.67001342000003</c:v>
                </c:pt>
                <c:pt idx="5">
                  <c:v>-634.67216130999986</c:v>
                </c:pt>
                <c:pt idx="6">
                  <c:v>-946.9654632080003</c:v>
                </c:pt>
                <c:pt idx="7">
                  <c:v>-1716.8702689249999</c:v>
                </c:pt>
                <c:pt idx="8">
                  <c:v>-2816.3265532249998</c:v>
                </c:pt>
                <c:pt idx="9">
                  <c:v>-2089.9818610000002</c:v>
                </c:pt>
                <c:pt idx="10">
                  <c:v>-2065.7302085091051</c:v>
                </c:pt>
                <c:pt idx="11">
                  <c:v>-2109.8324486152806</c:v>
                </c:pt>
                <c:pt idx="12">
                  <c:v>-2111.9103163619502</c:v>
                </c:pt>
                <c:pt idx="13">
                  <c:v>-2092.2613085069179</c:v>
                </c:pt>
                <c:pt idx="14">
                  <c:v>-2055.4021939770596</c:v>
                </c:pt>
                <c:pt idx="15">
                  <c:v>-1153.8650322512046</c:v>
                </c:pt>
              </c:numCache>
            </c:numRef>
          </c:val>
        </c:ser>
        <c:ser>
          <c:idx val="2"/>
          <c:order val="2"/>
          <c:tx>
            <c:strRef>
              <c:f>Sheet1!$A$4</c:f>
              <c:strCache>
                <c:ptCount val="1"/>
                <c:pt idx="0">
                  <c:v>Ծառայություններ, զուտ</c:v>
                </c:pt>
              </c:strCache>
            </c:strRef>
          </c:tx>
          <c:spPr>
            <a:solidFill>
              <a:schemeClr val="accent3">
                <a:lumMod val="75000"/>
              </a:schemeClr>
            </a:solidFill>
            <a:ln w="12700">
              <a:solidFill>
                <a:srgbClr val="000000"/>
              </a:solidFill>
              <a:prstDash val="solid"/>
            </a:ln>
            <a:effectLst>
              <a:outerShdw blurRad="50800" dist="50800" dir="5400000" algn="ctr" rotWithShape="0">
                <a:schemeClr val="accent3">
                  <a:lumMod val="75000"/>
                </a:schemeClr>
              </a:outerShdw>
            </a:effectLst>
          </c:spPr>
          <c:invertIfNegative val="0"/>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Sheet1!$B$4:$Q$4</c:f>
              <c:numCache>
                <c:formatCode>0.0</c:formatCode>
                <c:ptCount val="16"/>
                <c:pt idx="0">
                  <c:v>-64.840157196633783</c:v>
                </c:pt>
                <c:pt idx="1">
                  <c:v>-102.81400223302825</c:v>
                </c:pt>
                <c:pt idx="2">
                  <c:v>-110.08164656265203</c:v>
                </c:pt>
                <c:pt idx="3">
                  <c:v>-96.561915731746353</c:v>
                </c:pt>
                <c:pt idx="4">
                  <c:v>-154.51629337190531</c:v>
                </c:pt>
                <c:pt idx="5">
                  <c:v>-147.92148116268271</c:v>
                </c:pt>
                <c:pt idx="6">
                  <c:v>-88.289106120170231</c:v>
                </c:pt>
                <c:pt idx="7">
                  <c:v>-189.97513441037017</c:v>
                </c:pt>
                <c:pt idx="8">
                  <c:v>-311.15934269025774</c:v>
                </c:pt>
                <c:pt idx="9">
                  <c:v>-276.30040146613737</c:v>
                </c:pt>
                <c:pt idx="10">
                  <c:v>-260.75963766237396</c:v>
                </c:pt>
                <c:pt idx="11">
                  <c:v>-65.815199769557239</c:v>
                </c:pt>
                <c:pt idx="12">
                  <c:v>-101.57278086508927</c:v>
                </c:pt>
                <c:pt idx="13">
                  <c:v>-116.822698591679</c:v>
                </c:pt>
                <c:pt idx="14">
                  <c:v>-93.401062596600696</c:v>
                </c:pt>
                <c:pt idx="15">
                  <c:v>-63.831020056841453</c:v>
                </c:pt>
              </c:numCache>
            </c:numRef>
          </c:val>
        </c:ser>
        <c:ser>
          <c:idx val="3"/>
          <c:order val="3"/>
          <c:tx>
            <c:strRef>
              <c:f>Sheet1!$A$5</c:f>
              <c:strCache>
                <c:ptCount val="1"/>
                <c:pt idx="0">
                  <c:v>Սկզբնական եկամուտներ, զուտ</c:v>
                </c:pt>
              </c:strCache>
            </c:strRef>
          </c:tx>
          <c:spPr>
            <a:solidFill>
              <a:schemeClr val="accent6">
                <a:lumMod val="75000"/>
              </a:schemeClr>
            </a:solidFill>
            <a:ln w="12700">
              <a:solidFill>
                <a:srgbClr val="000000"/>
              </a:solidFill>
              <a:prstDash val="solid"/>
            </a:ln>
          </c:spPr>
          <c:invertIfNegative val="0"/>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Sheet1!$B$5:$Q$5</c:f>
              <c:numCache>
                <c:formatCode>0.0</c:formatCode>
                <c:ptCount val="16"/>
                <c:pt idx="0">
                  <c:v>58.972285157892912</c:v>
                </c:pt>
                <c:pt idx="1">
                  <c:v>63.600535328732015</c:v>
                </c:pt>
                <c:pt idx="2">
                  <c:v>82.370820742829835</c:v>
                </c:pt>
                <c:pt idx="3">
                  <c:v>92.876589353249386</c:v>
                </c:pt>
                <c:pt idx="4">
                  <c:v>148.35201522370434</c:v>
                </c:pt>
                <c:pt idx="5">
                  <c:v>206.00637946395898</c:v>
                </c:pt>
                <c:pt idx="6">
                  <c:v>302.02690221017372</c:v>
                </c:pt>
                <c:pt idx="7">
                  <c:v>497.42080286214781</c:v>
                </c:pt>
                <c:pt idx="8">
                  <c:v>691.28028721015835</c:v>
                </c:pt>
                <c:pt idx="9">
                  <c:v>358.78155774894253</c:v>
                </c:pt>
                <c:pt idx="10">
                  <c:v>458.28153678618338</c:v>
                </c:pt>
                <c:pt idx="11">
                  <c:v>360.07622952866808</c:v>
                </c:pt>
                <c:pt idx="12">
                  <c:v>423.05364020706247</c:v>
                </c:pt>
                <c:pt idx="13">
                  <c:v>539.42388334948009</c:v>
                </c:pt>
                <c:pt idx="14">
                  <c:v>555.86973445698209</c:v>
                </c:pt>
                <c:pt idx="15">
                  <c:v>414.02829625962517</c:v>
                </c:pt>
              </c:numCache>
            </c:numRef>
          </c:val>
        </c:ser>
        <c:ser>
          <c:idx val="4"/>
          <c:order val="4"/>
          <c:tx>
            <c:strRef>
              <c:f>Sheet1!$A$6</c:f>
              <c:strCache>
                <c:ptCount val="1"/>
                <c:pt idx="0">
                  <c:v>Եկրորդային եկամուտներ, զուտ</c:v>
                </c:pt>
              </c:strCache>
            </c:strRef>
          </c:tx>
          <c:spPr>
            <a:solidFill>
              <a:srgbClr val="660066"/>
            </a:solidFill>
            <a:ln w="12700">
              <a:solidFill>
                <a:srgbClr val="000000"/>
              </a:solidFill>
              <a:prstDash val="solid"/>
            </a:ln>
          </c:spPr>
          <c:invertIfNegative val="0"/>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Sheet1!$B$6:$Q$6</c:f>
              <c:numCache>
                <c:formatCode>0.0</c:formatCode>
                <c:ptCount val="16"/>
                <c:pt idx="0">
                  <c:v>171.13679150322071</c:v>
                </c:pt>
                <c:pt idx="1">
                  <c:v>236.49512761691136</c:v>
                </c:pt>
                <c:pt idx="2">
                  <c:v>229.28310867171984</c:v>
                </c:pt>
                <c:pt idx="3">
                  <c:v>281.54054876431564</c:v>
                </c:pt>
                <c:pt idx="4">
                  <c:v>417.99284531402316</c:v>
                </c:pt>
                <c:pt idx="5">
                  <c:v>452.68750911071282</c:v>
                </c:pt>
                <c:pt idx="6">
                  <c:v>580.29623266562601</c:v>
                </c:pt>
                <c:pt idx="7">
                  <c:v>732.15371809521002</c:v>
                </c:pt>
                <c:pt idx="8">
                  <c:v>777.32137499701776</c:v>
                </c:pt>
                <c:pt idx="9">
                  <c:v>581.99973547487707</c:v>
                </c:pt>
                <c:pt idx="10">
                  <c:v>606.77726747135193</c:v>
                </c:pt>
                <c:pt idx="11">
                  <c:v>756.7042961467489</c:v>
                </c:pt>
                <c:pt idx="12">
                  <c:v>732.57850391471959</c:v>
                </c:pt>
                <c:pt idx="13">
                  <c:v>824.98504648613016</c:v>
                </c:pt>
                <c:pt idx="14">
                  <c:v>743.84967961232553</c:v>
                </c:pt>
                <c:pt idx="15">
                  <c:v>524.37240735321666</c:v>
                </c:pt>
              </c:numCache>
            </c:numRef>
          </c:val>
        </c:ser>
        <c:dLbls>
          <c:showLegendKey val="0"/>
          <c:showVal val="0"/>
          <c:showCatName val="0"/>
          <c:showSerName val="0"/>
          <c:showPercent val="0"/>
          <c:showBubbleSize val="0"/>
        </c:dLbls>
        <c:gapWidth val="150"/>
        <c:axId val="555321984"/>
        <c:axId val="555318848"/>
      </c:barChart>
      <c:lineChart>
        <c:grouping val="standard"/>
        <c:varyColors val="0"/>
        <c:ser>
          <c:idx val="0"/>
          <c:order val="1"/>
          <c:tx>
            <c:strRef>
              <c:f>Sheet1!$A$3</c:f>
              <c:strCache>
                <c:ptCount val="1"/>
                <c:pt idx="0">
                  <c:v>Ընթացիկ հաշվի պակասուրդը ՀՆԱ-ի նկատմամբ, % (աջ առանցք)</c:v>
                </c:pt>
              </c:strCache>
            </c:strRef>
          </c:tx>
          <c:spPr>
            <a:ln w="12700">
              <a:solidFill>
                <a:srgbClr val="000080"/>
              </a:solidFill>
              <a:prstDash val="solid"/>
            </a:ln>
          </c:spPr>
          <c:marker>
            <c:symbol val="diamond"/>
            <c:size val="3"/>
            <c:spPr>
              <a:solidFill>
                <a:srgbClr val="000080"/>
              </a:solidFill>
              <a:ln>
                <a:solidFill>
                  <a:srgbClr val="000080"/>
                </a:solidFill>
                <a:prstDash val="solid"/>
              </a:ln>
            </c:spPr>
          </c:marker>
          <c:dLbls>
            <c:dLbl>
              <c:idx val="2"/>
              <c:layout>
                <c:manualLayout>
                  <c:x val="-1.2158054711246199E-2"/>
                  <c:y val="2.1390374331550797E-2"/>
                </c:manualLayout>
              </c:layout>
              <c:spPr/>
              <c:txPr>
                <a:bodyPr/>
                <a:lstStyle/>
                <a:p>
                  <a:pPr>
                    <a:defRPr sz="9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4184397163120564E-2"/>
                  <c:y val="3.5650623885918005E-2"/>
                </c:manualLayout>
              </c:layout>
              <c:spPr/>
              <c:txPr>
                <a:bodyPr/>
                <a:lstStyle/>
                <a:p>
                  <a:pPr>
                    <a:defRPr sz="9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0263424518743672E-2"/>
                  <c:y val="3.2085561497326269E-2"/>
                </c:manualLayout>
              </c:layout>
              <c:spPr/>
              <c:txPr>
                <a:bodyPr/>
                <a:lstStyle/>
                <a:p>
                  <a:pPr>
                    <a:defRPr sz="9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6210739614994949E-2"/>
                  <c:y val="3.2085561497326269E-2"/>
                </c:manualLayout>
              </c:layout>
              <c:spPr/>
              <c:txPr>
                <a:bodyPr/>
                <a:lstStyle/>
                <a:p>
                  <a:pPr>
                    <a:defRPr sz="9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4.0526849037487338E-3"/>
                  <c:y val="2.8520499108734367E-2"/>
                </c:manualLayout>
              </c:layout>
              <c:spPr/>
              <c:txPr>
                <a:bodyPr/>
                <a:lstStyle/>
                <a:p>
                  <a:pPr>
                    <a:defRPr sz="9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1.4184397163120564E-2"/>
                  <c:y val="-3.2085561497326269E-2"/>
                </c:manualLayout>
              </c:layout>
              <c:spPr/>
              <c:txPr>
                <a:bodyPr/>
                <a:lstStyle/>
                <a:p>
                  <a:pPr>
                    <a:defRPr sz="900" b="1"/>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Sheet1!$B$3:$Q$3</c:f>
              <c:numCache>
                <c:formatCode>0.0</c:formatCode>
                <c:ptCount val="16"/>
                <c:pt idx="0">
                  <c:v>-15.780742294428366</c:v>
                </c:pt>
                <c:pt idx="1">
                  <c:v>-10.43981653275118</c:v>
                </c:pt>
                <c:pt idx="2">
                  <c:v>-6.2201045971038189</c:v>
                </c:pt>
                <c:pt idx="3">
                  <c:v>-6.181198505375658</c:v>
                </c:pt>
                <c:pt idx="4">
                  <c:v>-2.2043591763313106</c:v>
                </c:pt>
                <c:pt idx="5">
                  <c:v>-2.5283410439484584</c:v>
                </c:pt>
                <c:pt idx="6">
                  <c:v>-2.3953707671629605</c:v>
                </c:pt>
                <c:pt idx="7">
                  <c:v>-7.3566203487393453</c:v>
                </c:pt>
                <c:pt idx="8">
                  <c:v>-14.224675830310311</c:v>
                </c:pt>
                <c:pt idx="9">
                  <c:v>-16.483562054039393</c:v>
                </c:pt>
                <c:pt idx="10">
                  <c:v>-13.621928077264498</c:v>
                </c:pt>
                <c:pt idx="11">
                  <c:v>-10.440277467448425</c:v>
                </c:pt>
                <c:pt idx="12">
                  <c:v>-9.9614703785390297</c:v>
                </c:pt>
                <c:pt idx="13">
                  <c:v>-7.595077499772418</c:v>
                </c:pt>
                <c:pt idx="14">
                  <c:v>-7.2917578328250121</c:v>
                </c:pt>
                <c:pt idx="15">
                  <c:v>-2.644493657120353</c:v>
                </c:pt>
              </c:numCache>
            </c:numRef>
          </c:val>
          <c:smooth val="0"/>
        </c:ser>
        <c:dLbls>
          <c:showLegendKey val="0"/>
          <c:showVal val="0"/>
          <c:showCatName val="0"/>
          <c:showSerName val="0"/>
          <c:showPercent val="0"/>
          <c:showBubbleSize val="0"/>
        </c:dLbls>
        <c:marker val="1"/>
        <c:smooth val="0"/>
        <c:axId val="555322376"/>
        <c:axId val="555325120"/>
      </c:lineChart>
      <c:catAx>
        <c:axId val="555321984"/>
        <c:scaling>
          <c:orientation val="minMax"/>
        </c:scaling>
        <c:delete val="0"/>
        <c:axPos val="b"/>
        <c:majorGridlines>
          <c:spPr>
            <a:ln w="3175">
              <a:solidFill>
                <a:srgbClr val="FFFFFF"/>
              </a:solidFill>
              <a:prstDash val="solid"/>
            </a:ln>
          </c:spPr>
        </c:majorGridlines>
        <c:numFmt formatCode="General" sourceLinked="1"/>
        <c:majorTickMark val="cross"/>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ru-RU"/>
          </a:p>
        </c:txPr>
        <c:crossAx val="555318848"/>
        <c:crosses val="autoZero"/>
        <c:auto val="0"/>
        <c:lblAlgn val="ctr"/>
        <c:lblOffset val="100"/>
        <c:tickLblSkip val="1"/>
        <c:tickMarkSkip val="1"/>
        <c:noMultiLvlLbl val="0"/>
      </c:catAx>
      <c:valAx>
        <c:axId val="555318848"/>
        <c:scaling>
          <c:orientation val="minMax"/>
        </c:scaling>
        <c:delete val="0"/>
        <c:axPos val="l"/>
        <c:majorGridlines>
          <c:spPr>
            <a:ln w="12700">
              <a:solidFill>
                <a:srgbClr val="FFFFFF"/>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ru-RU"/>
          </a:p>
        </c:txPr>
        <c:crossAx val="555321984"/>
        <c:crosses val="autoZero"/>
        <c:crossBetween val="between"/>
      </c:valAx>
      <c:catAx>
        <c:axId val="555322376"/>
        <c:scaling>
          <c:orientation val="minMax"/>
        </c:scaling>
        <c:delete val="1"/>
        <c:axPos val="b"/>
        <c:numFmt formatCode="General" sourceLinked="1"/>
        <c:majorTickMark val="out"/>
        <c:minorTickMark val="none"/>
        <c:tickLblPos val="nextTo"/>
        <c:crossAx val="555325120"/>
        <c:crossesAt val="0"/>
        <c:auto val="0"/>
        <c:lblAlgn val="ctr"/>
        <c:lblOffset val="100"/>
        <c:noMultiLvlLbl val="0"/>
      </c:catAx>
      <c:valAx>
        <c:axId val="555325120"/>
        <c:scaling>
          <c:orientation val="minMax"/>
          <c:max val="10"/>
          <c:min val="-18"/>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ru-RU"/>
          </a:p>
        </c:txPr>
        <c:crossAx val="555322376"/>
        <c:crosses val="max"/>
        <c:crossBetween val="between"/>
        <c:majorUnit val="4"/>
        <c:minorUnit val="2"/>
      </c:valAx>
      <c:spPr>
        <a:blipFill dpi="0" rotWithShape="0">
          <a:blip xmlns:r="http://schemas.openxmlformats.org/officeDocument/2006/relationships" r:embed="rId2"/>
          <a:srcRect/>
          <a:tile tx="0" ty="0" sx="100000" sy="100000" flip="none" algn="tl"/>
        </a:blipFill>
        <a:ln w="12700">
          <a:solidFill>
            <a:srgbClr val="808080"/>
          </a:solidFill>
          <a:prstDash val="solid"/>
        </a:ln>
      </c:spPr>
    </c:plotArea>
    <c:legend>
      <c:legendPos val="r"/>
      <c:layout>
        <c:manualLayout>
          <c:xMode val="edge"/>
          <c:yMode val="edge"/>
          <c:x val="0"/>
          <c:y val="0.79998211761991289"/>
          <c:w val="0.98800605942775666"/>
          <c:h val="0.20001788238008711"/>
        </c:manualLayout>
      </c:layout>
      <c:overlay val="0"/>
      <c:spPr>
        <a:solidFill>
          <a:srgbClr val="FFFFFF"/>
        </a:solidFill>
        <a:ln w="25398">
          <a:noFill/>
        </a:ln>
      </c:spPr>
      <c:txPr>
        <a:bodyPr/>
        <a:lstStyle/>
        <a:p>
          <a:pPr>
            <a:defRPr sz="735" b="0" i="0" u="none" strike="noStrike" baseline="0">
              <a:solidFill>
                <a:srgbClr val="000000"/>
              </a:solidFill>
              <a:latin typeface="GHEA Grapalat"/>
              <a:ea typeface="GHEA Grapalat"/>
              <a:cs typeface="GHEA Grapalat"/>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GHEA Grapalat"/>
          <a:ea typeface="GHEA Grapalat"/>
          <a:cs typeface="GHEA Grapalat"/>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255954273890488E-2"/>
          <c:y val="5.3058636487643446E-2"/>
          <c:w val="0.8470751656850648"/>
          <c:h val="0.85492177114224355"/>
        </c:manualLayout>
      </c:layout>
      <c:barChart>
        <c:barDir val="col"/>
        <c:grouping val="clustered"/>
        <c:varyColors val="0"/>
        <c:ser>
          <c:idx val="0"/>
          <c:order val="0"/>
          <c:tx>
            <c:strRef>
              <c:f>Sheet1!$A$2</c:f>
              <c:strCache>
                <c:ptCount val="1"/>
                <c:pt idx="0">
                  <c:v>Արտահանում</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Sheet1!$B$2:$Q$2</c:f>
              <c:numCache>
                <c:formatCode>0.0</c:formatCode>
                <c:ptCount val="16"/>
                <c:pt idx="0">
                  <c:v>300.48750000000001</c:v>
                </c:pt>
                <c:pt idx="1">
                  <c:v>341.83610000000004</c:v>
                </c:pt>
                <c:pt idx="2">
                  <c:v>505.15965999999997</c:v>
                </c:pt>
                <c:pt idx="3">
                  <c:v>685.59920000000011</c:v>
                </c:pt>
                <c:pt idx="4">
                  <c:v>722.91147999999987</c:v>
                </c:pt>
                <c:pt idx="5">
                  <c:v>973.92048000099999</c:v>
                </c:pt>
                <c:pt idx="6">
                  <c:v>985.10820000000024</c:v>
                </c:pt>
                <c:pt idx="7">
                  <c:v>1152.3009999999999</c:v>
                </c:pt>
                <c:pt idx="8">
                  <c:v>1057.1613800000005</c:v>
                </c:pt>
                <c:pt idx="9">
                  <c:v>710.15729999999996</c:v>
                </c:pt>
                <c:pt idx="10">
                  <c:v>1041.0564999999999</c:v>
                </c:pt>
                <c:pt idx="11">
                  <c:v>1334.3357999999998</c:v>
                </c:pt>
                <c:pt idx="12">
                  <c:v>1380.1992000000002</c:v>
                </c:pt>
                <c:pt idx="13">
                  <c:v>1478.7486000000001</c:v>
                </c:pt>
                <c:pt idx="14">
                  <c:v>1547.2868999999996</c:v>
                </c:pt>
                <c:pt idx="15">
                  <c:v>1486.8859</c:v>
                </c:pt>
              </c:numCache>
            </c:numRef>
          </c:val>
        </c:ser>
        <c:ser>
          <c:idx val="1"/>
          <c:order val="1"/>
          <c:tx>
            <c:strRef>
              <c:f>Sheet1!$A$3</c:f>
              <c:strCache>
                <c:ptCount val="1"/>
                <c:pt idx="0">
                  <c:v>Ներմուծում(CIF)</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Sheet1!$B$3:$Q$3</c:f>
              <c:numCache>
                <c:formatCode>0.0</c:formatCode>
                <c:ptCount val="16"/>
                <c:pt idx="0">
                  <c:v>-884.73360000000002</c:v>
                </c:pt>
                <c:pt idx="1">
                  <c:v>-877.43419999999981</c:v>
                </c:pt>
                <c:pt idx="2">
                  <c:v>-987.15545999999995</c:v>
                </c:pt>
                <c:pt idx="3">
                  <c:v>-1279.4857</c:v>
                </c:pt>
                <c:pt idx="4">
                  <c:v>-1350.6976000000002</c:v>
                </c:pt>
                <c:pt idx="5">
                  <c:v>-1801.73585</c:v>
                </c:pt>
                <c:pt idx="6">
                  <c:v>-2191.6126400000003</c:v>
                </c:pt>
                <c:pt idx="7">
                  <c:v>-3267.7879999999996</c:v>
                </c:pt>
                <c:pt idx="8">
                  <c:v>-4426.1293000000005</c:v>
                </c:pt>
                <c:pt idx="9">
                  <c:v>-3321.1333999999997</c:v>
                </c:pt>
                <c:pt idx="10">
                  <c:v>-3748.9537</c:v>
                </c:pt>
                <c:pt idx="11">
                  <c:v>-4145.3320000000003</c:v>
                </c:pt>
                <c:pt idx="12">
                  <c:v>-4261.2327999999998</c:v>
                </c:pt>
                <c:pt idx="13">
                  <c:v>-4385.8657999999996</c:v>
                </c:pt>
                <c:pt idx="14">
                  <c:v>-4424.4244000000008</c:v>
                </c:pt>
                <c:pt idx="15">
                  <c:v>-3253.9675999999995</c:v>
                </c:pt>
              </c:numCache>
            </c:numRef>
          </c:val>
        </c:ser>
        <c:ser>
          <c:idx val="2"/>
          <c:order val="2"/>
          <c:tx>
            <c:strRef>
              <c:f>Sheet1!$A$4</c:f>
              <c:strCache>
                <c:ptCount val="1"/>
                <c:pt idx="0">
                  <c:v>Առևտրային հաշվեկշիռ</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Sheet1!$B$4:$Q$4</c:f>
              <c:numCache>
                <c:formatCode>0.0</c:formatCode>
                <c:ptCount val="16"/>
                <c:pt idx="0">
                  <c:v>-584.24610000000007</c:v>
                </c:pt>
                <c:pt idx="1">
                  <c:v>-535.5980999999997</c:v>
                </c:pt>
                <c:pt idx="2">
                  <c:v>-481.99579999999997</c:v>
                </c:pt>
                <c:pt idx="3">
                  <c:v>-593.88649999999984</c:v>
                </c:pt>
                <c:pt idx="4">
                  <c:v>-627.78612000000032</c:v>
                </c:pt>
                <c:pt idx="5">
                  <c:v>-827.81536999900004</c:v>
                </c:pt>
                <c:pt idx="6">
                  <c:v>-1206.5044400000002</c:v>
                </c:pt>
                <c:pt idx="7">
                  <c:v>-2115.4869999999996</c:v>
                </c:pt>
                <c:pt idx="8">
                  <c:v>-3368.96792</c:v>
                </c:pt>
                <c:pt idx="9">
                  <c:v>-2610.9760999999999</c:v>
                </c:pt>
                <c:pt idx="10">
                  <c:v>-2707.8972000000003</c:v>
                </c:pt>
                <c:pt idx="11">
                  <c:v>-2810.9962000000005</c:v>
                </c:pt>
                <c:pt idx="12">
                  <c:v>-2881.0335999999998</c:v>
                </c:pt>
                <c:pt idx="13">
                  <c:v>-2907.1171999999997</c:v>
                </c:pt>
                <c:pt idx="14">
                  <c:v>-2877.1375000000012</c:v>
                </c:pt>
                <c:pt idx="15">
                  <c:v>-1767.0816999999995</c:v>
                </c:pt>
              </c:numCache>
            </c:numRef>
          </c:val>
        </c:ser>
        <c:dLbls>
          <c:showLegendKey val="0"/>
          <c:showVal val="0"/>
          <c:showCatName val="0"/>
          <c:showSerName val="0"/>
          <c:showPercent val="0"/>
          <c:showBubbleSize val="0"/>
        </c:dLbls>
        <c:gapWidth val="150"/>
        <c:axId val="442147576"/>
        <c:axId val="442147184"/>
      </c:barChart>
      <c:catAx>
        <c:axId val="442147576"/>
        <c:scaling>
          <c:orientation val="minMax"/>
        </c:scaling>
        <c:delete val="0"/>
        <c:axPos val="b"/>
        <c:numFmt formatCode="General" sourceLinked="1"/>
        <c:majorTickMark val="out"/>
        <c:minorTickMark val="none"/>
        <c:tickLblPos val="nextTo"/>
        <c:crossAx val="442147184"/>
        <c:crosses val="autoZero"/>
        <c:auto val="1"/>
        <c:lblAlgn val="ctr"/>
        <c:lblOffset val="100"/>
        <c:noMultiLvlLbl val="0"/>
      </c:catAx>
      <c:valAx>
        <c:axId val="442147184"/>
        <c:scaling>
          <c:orientation val="minMax"/>
        </c:scaling>
        <c:delete val="0"/>
        <c:axPos val="l"/>
        <c:majorGridlines/>
        <c:numFmt formatCode="0.0" sourceLinked="1"/>
        <c:majorTickMark val="out"/>
        <c:minorTickMark val="none"/>
        <c:tickLblPos val="nextTo"/>
        <c:crossAx val="442147576"/>
        <c:crosses val="autoZero"/>
        <c:crossBetween val="between"/>
      </c:valAx>
    </c:plotArea>
    <c:legend>
      <c:legendPos val="r"/>
      <c:layout>
        <c:manualLayout>
          <c:xMode val="edge"/>
          <c:yMode val="edge"/>
          <c:x val="0.13101157437287553"/>
          <c:y val="0.90322562522494054"/>
          <c:w val="0.73466012650058077"/>
          <c:h val="9.6774374775059457E-2"/>
        </c:manualLayout>
      </c:layout>
      <c:overlay val="0"/>
      <c:txPr>
        <a:bodyPr/>
        <a:lstStyle/>
        <a:p>
          <a:pPr>
            <a:defRPr baseline="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925390473731783E-2"/>
          <c:y val="5.0696436917988162E-2"/>
          <c:w val="0.92518927756981351"/>
          <c:h val="0.86664365584439085"/>
        </c:manualLayout>
      </c:layout>
      <c:lineChart>
        <c:grouping val="standard"/>
        <c:varyColors val="0"/>
        <c:ser>
          <c:idx val="0"/>
          <c:order val="0"/>
          <c:tx>
            <c:strRef>
              <c:f>Sheet1!$A$2</c:f>
              <c:strCache>
                <c:ptCount val="1"/>
                <c:pt idx="0">
                  <c:v>Նորմալացված առևտրային հաշվեկշիռ</c:v>
                </c:pt>
              </c:strCache>
            </c:strRef>
          </c:tx>
          <c:marker>
            <c:symbol val="none"/>
          </c:marker>
          <c:dLbls>
            <c:dLbl>
              <c:idx val="0"/>
              <c:layout>
                <c:manualLayout>
                  <c:x val="-3.2282131400241651E-2"/>
                  <c:y val="4.5693656893570904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5789473684210523E-3"/>
                  <c:y val="2.749140893470791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8508771929824601E-2"/>
                  <c:y val="-3.6655211912943998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1207182435528886E-2"/>
                  <c:y val="-5.4795266632626738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9519643377911093E-2"/>
                  <c:y val="7.7735794971021344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5350877192982504E-2"/>
                  <c:y val="-4.5819014891179892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1.7543859649122889E-2"/>
                  <c:y val="-2.749140893470783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3.2435278923468022E-2"/>
                  <c:y val="-5.9377065921367413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9.1638029782360065E-3"/>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8"/>
              <c:layout>
                <c:manualLayout>
                  <c:x val="-3.0318876807065791E-2"/>
                  <c:y val="-1.8421434522049931E-2"/>
                </c:manualLayout>
              </c:layout>
              <c:spPr>
                <a:noFill/>
                <a:ln w="25387">
                  <a:noFill/>
                </a:ln>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Sheet1!$B$2:$T$2</c:f>
              <c:numCache>
                <c:formatCode>0.00</c:formatCode>
                <c:ptCount val="19"/>
                <c:pt idx="0">
                  <c:v>-0.58661333669979498</c:v>
                </c:pt>
                <c:pt idx="1">
                  <c:v>-0.60723442416081796</c:v>
                </c:pt>
                <c:pt idx="2">
                  <c:v>-0.55571536787197118</c:v>
                </c:pt>
                <c:pt idx="3">
                  <c:v>-0.49294517375299202</c:v>
                </c:pt>
                <c:pt idx="4">
                  <c:v>-0.43927686514709485</c:v>
                </c:pt>
                <c:pt idx="5">
                  <c:v>-0.3229895126620328</c:v>
                </c:pt>
                <c:pt idx="6">
                  <c:v>-0.30222003424988653</c:v>
                </c:pt>
                <c:pt idx="7">
                  <c:v>-0.30275501626933676</c:v>
                </c:pt>
                <c:pt idx="8">
                  <c:v>-0.29824246156213019</c:v>
                </c:pt>
                <c:pt idx="9">
                  <c:v>-0.37979563220859436</c:v>
                </c:pt>
                <c:pt idx="10">
                  <c:v>-0.47860756454108894</c:v>
                </c:pt>
                <c:pt idx="11">
                  <c:v>-0.61440780243337056</c:v>
                </c:pt>
                <c:pt idx="12">
                  <c:v>-0.64767605406706052</c:v>
                </c:pt>
                <c:pt idx="13">
                  <c:v>-0.56530758726149566</c:v>
                </c:pt>
                <c:pt idx="14">
                  <c:v>-0.5129857248728984</c:v>
                </c:pt>
                <c:pt idx="15">
                  <c:v>-0.51069189524929126</c:v>
                </c:pt>
                <c:pt idx="16">
                  <c:v>-0.49570480704928893</c:v>
                </c:pt>
                <c:pt idx="17">
                  <c:v>-0.48179447321909213</c:v>
                </c:pt>
                <c:pt idx="18">
                  <c:v>-0.37273493053518753</c:v>
                </c:pt>
              </c:numCache>
            </c:numRef>
          </c:val>
          <c:smooth val="0"/>
        </c:ser>
        <c:dLbls>
          <c:showLegendKey val="0"/>
          <c:showVal val="0"/>
          <c:showCatName val="0"/>
          <c:showSerName val="0"/>
          <c:showPercent val="0"/>
          <c:showBubbleSize val="0"/>
        </c:dLbls>
        <c:smooth val="0"/>
        <c:axId val="442151104"/>
        <c:axId val="442151496"/>
      </c:lineChart>
      <c:catAx>
        <c:axId val="442151104"/>
        <c:scaling>
          <c:orientation val="minMax"/>
        </c:scaling>
        <c:delete val="0"/>
        <c:axPos val="b"/>
        <c:numFmt formatCode="General" sourceLinked="1"/>
        <c:majorTickMark val="out"/>
        <c:minorTickMark val="none"/>
        <c:tickLblPos val="nextTo"/>
        <c:crossAx val="442151496"/>
        <c:crosses val="autoZero"/>
        <c:auto val="1"/>
        <c:lblAlgn val="ctr"/>
        <c:lblOffset val="100"/>
        <c:noMultiLvlLbl val="0"/>
      </c:catAx>
      <c:valAx>
        <c:axId val="442151496"/>
        <c:scaling>
          <c:orientation val="minMax"/>
          <c:max val="-0.2"/>
        </c:scaling>
        <c:delete val="0"/>
        <c:axPos val="l"/>
        <c:majorGridlines/>
        <c:numFmt formatCode="0.00" sourceLinked="1"/>
        <c:majorTickMark val="out"/>
        <c:minorTickMark val="none"/>
        <c:tickLblPos val="nextTo"/>
        <c:crossAx val="442151104"/>
        <c:crosses val="autoZero"/>
        <c:crossBetween val="between"/>
      </c:valAx>
    </c:plotArea>
    <c:legend>
      <c:legendPos val="r"/>
      <c:layout>
        <c:manualLayout>
          <c:xMode val="edge"/>
          <c:yMode val="edge"/>
          <c:x val="0.22727271187875708"/>
          <c:y val="0.90804596421913697"/>
          <c:w val="0.54377106087545513"/>
          <c:h val="9.195403578086303E-2"/>
        </c:manualLayout>
      </c:layout>
      <c:overlay val="0"/>
      <c:txPr>
        <a:bodyPr/>
        <a:lstStyle/>
        <a:p>
          <a:pPr>
            <a:defRPr baseline="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029575006827857E-2"/>
          <c:y val="4.0281973816717033E-2"/>
          <c:w val="0.9009386789614261"/>
          <c:h val="0.83385995269110103"/>
        </c:manualLayout>
      </c:layout>
      <c:barChart>
        <c:barDir val="bar"/>
        <c:grouping val="clustered"/>
        <c:varyColors val="0"/>
        <c:ser>
          <c:idx val="0"/>
          <c:order val="0"/>
          <c:tx>
            <c:strRef>
              <c:f>Sheet1!$A$2</c:f>
              <c:strCache>
                <c:ptCount val="1"/>
                <c:pt idx="0">
                  <c:v>Ներմուծուման ծածկման գործակից (%)</c:v>
                </c:pt>
              </c:strCache>
            </c:strRef>
          </c:tx>
          <c:invertIfNegative val="0"/>
          <c:dLbls>
            <c:spPr>
              <a:noFill/>
              <a:ln w="25303">
                <a:noFill/>
              </a:ln>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Sheet1!$B$1:$U$1</c:f>
              <c:strCach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strCache>
            </c:strRef>
          </c:cat>
          <c:val>
            <c:numRef>
              <c:f>Sheet1!$B$2:$U$2</c:f>
              <c:numCache>
                <c:formatCode>0.0</c:formatCode>
                <c:ptCount val="20"/>
                <c:pt idx="0">
                  <c:v>40.783366122688079</c:v>
                </c:pt>
                <c:pt idx="1">
                  <c:v>34.313772809818495</c:v>
                </c:pt>
                <c:pt idx="2">
                  <c:v>35.882885202410542</c:v>
                </c:pt>
                <c:pt idx="3">
                  <c:v>42.707355734161581</c:v>
                </c:pt>
                <c:pt idx="4">
                  <c:v>46.064579182924184</c:v>
                </c:pt>
                <c:pt idx="5">
                  <c:v>51.879748426376729</c:v>
                </c:pt>
                <c:pt idx="6">
                  <c:v>61.934297809497117</c:v>
                </c:pt>
                <c:pt idx="7">
                  <c:v>64.180007507358795</c:v>
                </c:pt>
                <c:pt idx="8">
                  <c:v>63.394889769807691</c:v>
                </c:pt>
                <c:pt idx="9">
                  <c:v>65.085255330658271</c:v>
                </c:pt>
                <c:pt idx="10">
                  <c:v>61.399347392550531</c:v>
                </c:pt>
                <c:pt idx="11">
                  <c:v>50.794833013145293</c:v>
                </c:pt>
                <c:pt idx="12">
                  <c:v>38.327435896293224</c:v>
                </c:pt>
                <c:pt idx="13">
                  <c:v>39.721504312580571</c:v>
                </c:pt>
                <c:pt idx="14">
                  <c:v>48.723686331798213</c:v>
                </c:pt>
                <c:pt idx="15">
                  <c:v>55.760024050048699</c:v>
                </c:pt>
                <c:pt idx="16">
                  <c:v>56.863771972067113</c:v>
                </c:pt>
                <c:pt idx="17">
                  <c:v>58.823932508965292</c:v>
                </c:pt>
                <c:pt idx="18">
                  <c:v>60.700066422886387</c:v>
                </c:pt>
                <c:pt idx="19">
                  <c:v>72.05476486340963</c:v>
                </c:pt>
              </c:numCache>
            </c:numRef>
          </c:val>
        </c:ser>
        <c:dLbls>
          <c:showLegendKey val="0"/>
          <c:showVal val="0"/>
          <c:showCatName val="0"/>
          <c:showSerName val="0"/>
          <c:showPercent val="0"/>
          <c:showBubbleSize val="0"/>
        </c:dLbls>
        <c:gapWidth val="150"/>
        <c:axId val="442146400"/>
        <c:axId val="442148360"/>
      </c:barChart>
      <c:catAx>
        <c:axId val="442146400"/>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442148360"/>
        <c:crosses val="autoZero"/>
        <c:auto val="1"/>
        <c:lblAlgn val="ctr"/>
        <c:lblOffset val="100"/>
        <c:noMultiLvlLbl val="0"/>
      </c:catAx>
      <c:valAx>
        <c:axId val="442148360"/>
        <c:scaling>
          <c:orientation val="minMax"/>
        </c:scaling>
        <c:delete val="0"/>
        <c:axPos val="b"/>
        <c:majorGridlines/>
        <c:numFmt formatCode="0.0"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442146400"/>
        <c:crosses val="autoZero"/>
        <c:crossBetween val="between"/>
      </c:valAx>
    </c:plotArea>
    <c:legend>
      <c:legendPos val="r"/>
      <c:layout>
        <c:manualLayout>
          <c:xMode val="edge"/>
          <c:yMode val="edge"/>
          <c:x val="0.59157350131233588"/>
          <c:y val="0.76573739093424131"/>
          <c:w val="0.36957161154855644"/>
          <c:h val="9.2499113286514834E-2"/>
        </c:manualLayout>
      </c:layout>
      <c:overlay val="0"/>
      <c:txPr>
        <a:bodyPr/>
        <a:lstStyle/>
        <a:p>
          <a:pPr>
            <a:defRPr sz="916" b="0" i="0" u="none" strike="noStrike" baseline="0">
              <a:solidFill>
                <a:srgbClr val="000000"/>
              </a:solidFill>
              <a:latin typeface="Calibri"/>
              <a:ea typeface="Calibri"/>
              <a:cs typeface="Calibri"/>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0" b="1" i="0" u="none" strike="noStrike" baseline="0">
                <a:solidFill>
                  <a:srgbClr val="000000"/>
                </a:solidFill>
                <a:latin typeface="GHEA Grapalat"/>
                <a:ea typeface="GHEA Grapalat"/>
                <a:cs typeface="GHEA Grapalat"/>
              </a:defRPr>
            </a:pPr>
            <a:r>
              <a:rPr lang="hy-AM" sz="890"/>
              <a:t>Լրիվ միակողմանի
աևտուր</a:t>
            </a:r>
          </a:p>
        </c:rich>
      </c:tx>
      <c:layout>
        <c:manualLayout>
          <c:xMode val="edge"/>
          <c:yMode val="edge"/>
          <c:x val="0.8170641229464759"/>
          <c:y val="1.7401413780332674E-2"/>
        </c:manualLayout>
      </c:layout>
      <c:overlay val="0"/>
      <c:spPr>
        <a:noFill/>
        <a:ln w="25386">
          <a:noFill/>
        </a:ln>
      </c:spPr>
    </c:title>
    <c:autoTitleDeleted val="0"/>
    <c:plotArea>
      <c:layout>
        <c:manualLayout>
          <c:layoutTarget val="inner"/>
          <c:xMode val="edge"/>
          <c:yMode val="edge"/>
          <c:x val="5.5047964819375681E-3"/>
          <c:y val="3.1243746465393599E-3"/>
          <c:w val="0.99449517167161616"/>
          <c:h val="0.67776924578642561"/>
        </c:manualLayout>
      </c:layout>
      <c:barChart>
        <c:barDir val="col"/>
        <c:grouping val="clustered"/>
        <c:varyColors val="0"/>
        <c:ser>
          <c:idx val="0"/>
          <c:order val="0"/>
          <c:tx>
            <c:strRef>
              <c:f>Sheet1!$A$2</c:f>
              <c:strCache>
                <c:ptCount val="1"/>
                <c:pt idx="0">
                  <c:v>2015</c:v>
                </c:pt>
              </c:strCache>
            </c:strRef>
          </c:tx>
          <c:spPr>
            <a:solidFill>
              <a:srgbClr val="8064A2">
                <a:lumMod val="75000"/>
              </a:srgbClr>
            </a:solidFill>
            <a:ln w="12659">
              <a:solidFill>
                <a:srgbClr val="000000"/>
              </a:solidFill>
              <a:prstDash val="solid"/>
            </a:ln>
          </c:spPr>
          <c:invertIfNegative val="0"/>
          <c:dPt>
            <c:idx val="14"/>
            <c:invertIfNegative val="0"/>
            <c:bubble3D val="0"/>
            <c:spPr>
              <a:solidFill>
                <a:srgbClr val="C0504D">
                  <a:lumMod val="75000"/>
                </a:srgbClr>
              </a:solidFill>
              <a:ln w="12659">
                <a:solidFill>
                  <a:srgbClr val="000000"/>
                </a:solidFill>
                <a:prstDash val="solid"/>
              </a:ln>
            </c:spPr>
          </c:dPt>
          <c:dPt>
            <c:idx val="16"/>
            <c:invertIfNegative val="0"/>
            <c:bubble3D val="0"/>
            <c:spPr>
              <a:solidFill>
                <a:srgbClr val="C0504D">
                  <a:lumMod val="75000"/>
                </a:srgbClr>
              </a:solidFill>
              <a:ln w="12659">
                <a:solidFill>
                  <a:srgbClr val="000000"/>
                </a:solidFill>
                <a:prstDash val="solid"/>
              </a:ln>
            </c:spPr>
          </c:dPt>
          <c:dPt>
            <c:idx val="18"/>
            <c:invertIfNegative val="0"/>
            <c:bubble3D val="0"/>
            <c:spPr>
              <a:solidFill>
                <a:srgbClr val="8064A2">
                  <a:lumMod val="75000"/>
                </a:srgbClr>
              </a:solidFill>
              <a:ln w="12659">
                <a:solidFill>
                  <a:schemeClr val="accent4">
                    <a:lumMod val="75000"/>
                  </a:schemeClr>
                </a:solidFill>
                <a:prstDash val="solid"/>
              </a:ln>
            </c:spPr>
          </c:dPt>
          <c:dLbls>
            <c:dLbl>
              <c:idx val="0"/>
              <c:layout>
                <c:manualLayout>
                  <c:x val="1.1560871606591744E-3"/>
                  <c:y val="7.5751935966681894E-2"/>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40447656652897E-3"/>
                  <c:y val="1.143865281302647E-2"/>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938987323687029E-3"/>
                  <c:y val="1.447989310294915E-2"/>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8136867788887089E-3"/>
                  <c:y val="6.6167762087590313E-3"/>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6675538472528578E-3"/>
                  <c:y val="4.2337309668324013E-3"/>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5.8647947598925495E-3"/>
                  <c:y val="3.673094582185506E-3"/>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4.4428160263986424E-5"/>
                  <c:y val="3.8614419766403612E-3"/>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9"/>
              <c:layout>
                <c:manualLayout>
                  <c:x val="1.4455006118089509E-3"/>
                  <c:y val="1.9309652130174691E-2"/>
                </c:manualLayout>
              </c:layout>
              <c:spPr>
                <a:noFill/>
                <a:ln w="25386">
                  <a:noFill/>
                </a:ln>
              </c:spPr>
              <c:txPr>
                <a:bodyPr/>
                <a:lstStyle/>
                <a:p>
                  <a:pPr>
                    <a:defRPr sz="920" b="0" i="0" u="none" strike="noStrike" baseline="0">
                      <a:solidFill>
                        <a:srgbClr val="000000"/>
                      </a:solidFill>
                      <a:latin typeface="GHEA Grapalat"/>
                      <a:ea typeface="GHEA Grapalat"/>
                      <a:cs typeface="GHEA Grapala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86">
                <a:noFill/>
              </a:ln>
            </c:spPr>
            <c:txPr>
              <a:bodyPr wrap="square" lIns="38100" tIns="19050" rIns="38100" bIns="19050" anchor="ctr">
                <a:spAutoFit/>
              </a:bodyPr>
              <a:lstStyle/>
              <a:p>
                <a:pPr>
                  <a:defRPr sz="920" b="0" i="0" u="none" strike="noStrike" baseline="0">
                    <a:solidFill>
                      <a:srgbClr val="000000"/>
                    </a:solidFill>
                    <a:latin typeface="GHEA Grapalat"/>
                    <a:ea typeface="GHEA Grapalat"/>
                    <a:cs typeface="GHEA Grapala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Sheet1!$B$1:$U$1</c:f>
              <c:strCache>
                <c:ptCount val="20"/>
                <c:pt idx="0">
                  <c:v>Կենդ. և բուս. յուղեր </c:v>
                </c:pt>
                <c:pt idx="1">
                  <c:v>Թուղթ և թղթ. իրեր</c:v>
                </c:pt>
                <c:pt idx="2">
                  <c:v>Փայտ, փայտ.իրեր</c:v>
                </c:pt>
                <c:pt idx="3">
                  <c:v>Մեքենա,սարք.մեխ.</c:v>
                </c:pt>
                <c:pt idx="4">
                  <c:v>Քիմիայի արդ. արտ.</c:v>
                </c:pt>
                <c:pt idx="5">
                  <c:v>Տրանսպորտի միջոց.</c:v>
                </c:pt>
                <c:pt idx="6">
                  <c:v>Կոշիկ,հովանոց,գլխարկ</c:v>
                </c:pt>
                <c:pt idx="7">
                  <c:v>Պլաստմաս.կաուչուկ</c:v>
                </c:pt>
                <c:pt idx="8">
                  <c:v>Իրեր քարից,գիպսից</c:v>
                </c:pt>
                <c:pt idx="9">
                  <c:v>Տարբեր արդ. ապր.</c:v>
                </c:pt>
                <c:pt idx="10">
                  <c:v>Բուսական արտ.</c:v>
                </c:pt>
                <c:pt idx="11">
                  <c:v>Սարքեր,ապարատ.</c:v>
                </c:pt>
                <c:pt idx="12">
                  <c:v>Կենդ. ծագման արտ. </c:v>
                </c:pt>
                <c:pt idx="13">
                  <c:v>Մանածագործ.իրեր </c:v>
                </c:pt>
                <c:pt idx="14">
                  <c:v>Արվեստի ստեղծագործ.</c:v>
                </c:pt>
                <c:pt idx="15">
                  <c:v>Կաշի,մորթի,իրեր</c:v>
                </c:pt>
                <c:pt idx="16">
                  <c:v>Թանկ. քարեր,մետաղ.</c:v>
                </c:pt>
                <c:pt idx="17">
                  <c:v>Հանքահումք. արտ.</c:v>
                </c:pt>
                <c:pt idx="18">
                  <c:v>Ոչթանկ. մետ.և իրեր</c:v>
                </c:pt>
                <c:pt idx="19">
                  <c:v>Պատրաստի սննդի արտ.</c:v>
                </c:pt>
              </c:strCache>
            </c:strRef>
          </c:cat>
          <c:val>
            <c:numRef>
              <c:f>Sheet1!$B$2:$U$2</c:f>
              <c:numCache>
                <c:formatCode>0.00</c:formatCode>
                <c:ptCount val="20"/>
                <c:pt idx="0" formatCode="0.000">
                  <c:v>-1.2923690118116515E-3</c:v>
                </c:pt>
                <c:pt idx="1">
                  <c:v>-2.4580040580188558E-2</c:v>
                </c:pt>
                <c:pt idx="2">
                  <c:v>-3.0455182879975409E-2</c:v>
                </c:pt>
                <c:pt idx="3">
                  <c:v>-3.7606308050456352E-2</c:v>
                </c:pt>
                <c:pt idx="4" formatCode="0.0">
                  <c:v>-5.1170543621484398E-2</c:v>
                </c:pt>
                <c:pt idx="5" formatCode="0.0">
                  <c:v>-5.4543794717695521E-2</c:v>
                </c:pt>
                <c:pt idx="6" formatCode="0.0">
                  <c:v>-6.5737631825585313E-2</c:v>
                </c:pt>
                <c:pt idx="7" formatCode="0.0">
                  <c:v>-8.219275181581169E-2</c:v>
                </c:pt>
                <c:pt idx="8" formatCode="0.0">
                  <c:v>-0.17181315250693346</c:v>
                </c:pt>
                <c:pt idx="9" formatCode="0.0">
                  <c:v>-0.17990567966487053</c:v>
                </c:pt>
                <c:pt idx="10" formatCode="0.0">
                  <c:v>-0.19052114242536156</c:v>
                </c:pt>
                <c:pt idx="11" formatCode="0.0">
                  <c:v>-0.33510804923566678</c:v>
                </c:pt>
                <c:pt idx="12" formatCode="0.0">
                  <c:v>-0.43752358704184535</c:v>
                </c:pt>
                <c:pt idx="13" formatCode="0.0">
                  <c:v>-0.49983266347924621</c:v>
                </c:pt>
                <c:pt idx="14" formatCode="0.0">
                  <c:v>0.539906103286385</c:v>
                </c:pt>
                <c:pt idx="15" formatCode="0.0">
                  <c:v>-0.55666498072797665</c:v>
                </c:pt>
                <c:pt idx="16" formatCode="0.0">
                  <c:v>0.57652424224772336</c:v>
                </c:pt>
                <c:pt idx="17" formatCode="0.0">
                  <c:v>-0.71726254651958288</c:v>
                </c:pt>
                <c:pt idx="18" formatCode="0.0">
                  <c:v>-0.90576774386972569</c:v>
                </c:pt>
                <c:pt idx="19" formatCode="0.0">
                  <c:v>-0.94570658558496301</c:v>
                </c:pt>
              </c:numCache>
            </c:numRef>
          </c:val>
        </c:ser>
        <c:dLbls>
          <c:showLegendKey val="0"/>
          <c:showVal val="0"/>
          <c:showCatName val="0"/>
          <c:showSerName val="0"/>
          <c:showPercent val="0"/>
          <c:showBubbleSize val="0"/>
        </c:dLbls>
        <c:gapWidth val="150"/>
        <c:axId val="442153456"/>
        <c:axId val="442149536"/>
      </c:barChart>
      <c:catAx>
        <c:axId val="442153456"/>
        <c:scaling>
          <c:orientation val="maxMin"/>
        </c:scaling>
        <c:delete val="0"/>
        <c:axPos val="b"/>
        <c:numFmt formatCode="0" sourceLinked="0"/>
        <c:majorTickMark val="none"/>
        <c:minorTickMark val="none"/>
        <c:tickLblPos val="low"/>
        <c:spPr>
          <a:ln w="3165">
            <a:solidFill>
              <a:srgbClr val="000000"/>
            </a:solidFill>
            <a:prstDash val="solid"/>
          </a:ln>
        </c:spPr>
        <c:txPr>
          <a:bodyPr rot="-5400000" vert="horz"/>
          <a:lstStyle/>
          <a:p>
            <a:pPr rtl="1">
              <a:defRPr sz="995" b="0" i="0" u="none" strike="noStrike" baseline="30000">
                <a:solidFill>
                  <a:srgbClr val="000000"/>
                </a:solidFill>
                <a:latin typeface="GHEA Grapalat"/>
                <a:ea typeface="GHEA Grapalat"/>
                <a:cs typeface="GHEA Grapalat"/>
              </a:defRPr>
            </a:pPr>
            <a:endParaRPr lang="ru-RU"/>
          </a:p>
        </c:txPr>
        <c:crossAx val="442149536"/>
        <c:crosses val="autoZero"/>
        <c:auto val="1"/>
        <c:lblAlgn val="ctr"/>
        <c:lblOffset val="100"/>
        <c:noMultiLvlLbl val="0"/>
      </c:catAx>
      <c:valAx>
        <c:axId val="442149536"/>
        <c:scaling>
          <c:orientation val="minMax"/>
        </c:scaling>
        <c:delete val="1"/>
        <c:axPos val="l"/>
        <c:majorGridlines>
          <c:spPr>
            <a:ln w="3165">
              <a:solidFill>
                <a:srgbClr val="000000"/>
              </a:solidFill>
              <a:prstDash val="solid"/>
            </a:ln>
          </c:spPr>
        </c:majorGridlines>
        <c:title>
          <c:tx>
            <c:rich>
              <a:bodyPr rot="0" vert="horz"/>
              <a:lstStyle/>
              <a:p>
                <a:pPr algn="ctr">
                  <a:defRPr sz="890" b="1" i="0" u="none" strike="noStrike" baseline="0">
                    <a:solidFill>
                      <a:srgbClr val="000000"/>
                    </a:solidFill>
                    <a:latin typeface="GHEA Grapalat"/>
                    <a:ea typeface="GHEA Grapalat"/>
                    <a:cs typeface="GHEA Grapalat"/>
                  </a:defRPr>
                </a:pPr>
                <a:r>
                  <a:rPr lang="hy-AM"/>
                  <a:t> Լրիվ երկկողմանի առևտուր</a:t>
                </a:r>
              </a:p>
            </c:rich>
          </c:tx>
          <c:layout>
            <c:manualLayout>
              <c:xMode val="edge"/>
              <c:yMode val="edge"/>
              <c:x val="1.3090811979186228E-3"/>
              <c:y val="2.3126096967940354E-3"/>
            </c:manualLayout>
          </c:layout>
          <c:overlay val="0"/>
          <c:spPr>
            <a:noFill/>
            <a:ln w="25386">
              <a:noFill/>
            </a:ln>
          </c:spPr>
        </c:title>
        <c:numFmt formatCode="0.000" sourceLinked="1"/>
        <c:majorTickMark val="out"/>
        <c:minorTickMark val="none"/>
        <c:tickLblPos val="nextTo"/>
        <c:crossAx val="442153456"/>
        <c:crosses val="max"/>
        <c:crossBetween val="between"/>
      </c:valAx>
      <c:spPr>
        <a:blipFill dpi="0" rotWithShape="0">
          <a:blip xmlns:r="http://schemas.openxmlformats.org/officeDocument/2006/relationships" r:embed="rId2"/>
          <a:srcRect/>
          <a:tile tx="0" ty="0" sx="100000" sy="100000" flip="none" algn="tl"/>
        </a:blipFill>
        <a:ln w="12659">
          <a:solidFill>
            <a:srgbClr val="808080"/>
          </a:solidFill>
          <a:prstDash val="solid"/>
        </a:ln>
      </c:spPr>
    </c:plotArea>
    <c:plotVisOnly val="1"/>
    <c:dispBlanksAs val="gap"/>
    <c:showDLblsOverMax val="0"/>
  </c:chart>
  <c:spPr>
    <a:noFill/>
    <a:ln w="3165">
      <a:solidFill>
        <a:srgbClr val="000000"/>
      </a:solidFill>
      <a:prstDash val="solid"/>
    </a:ln>
  </c:spPr>
  <c:txPr>
    <a:bodyPr/>
    <a:lstStyle/>
    <a:p>
      <a:pPr>
        <a:defRPr sz="1545" b="1" i="0" u="none" strike="noStrike" baseline="0">
          <a:solidFill>
            <a:srgbClr val="000000"/>
          </a:solidFill>
          <a:latin typeface="Arial"/>
          <a:ea typeface="Arial"/>
          <a:cs typeface="Aria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43" b="1" i="0" u="none" strike="noStrike" baseline="0">
                <a:solidFill>
                  <a:srgbClr val="000000"/>
                </a:solidFill>
                <a:latin typeface="GHEA Grapalat" pitchFamily="50" charset="0"/>
                <a:ea typeface="Calibri"/>
                <a:cs typeface="Calibri"/>
              </a:defRPr>
            </a:pPr>
            <a:r>
              <a:rPr lang="hy-AM" baseline="0">
                <a:latin typeface="GHEA Grapalat" pitchFamily="50" charset="0"/>
              </a:rPr>
              <a:t>Բացահայտված</a:t>
            </a:r>
            <a:r>
              <a:rPr lang="hy-AM" sz="1143" b="1" i="0" u="none" strike="noStrike" kern="1200" baseline="0">
                <a:solidFill>
                  <a:srgbClr val="000000"/>
                </a:solidFill>
                <a:latin typeface="GHEA Grapalat" pitchFamily="50" charset="0"/>
              </a:rPr>
              <a:t> </a:t>
            </a:r>
            <a:r>
              <a:rPr lang="hy-AM" baseline="0">
                <a:latin typeface="GHEA Grapalat" pitchFamily="50" charset="0"/>
              </a:rPr>
              <a:t>համեմատական առավելության գործակից </a:t>
            </a:r>
          </a:p>
        </c:rich>
      </c:tx>
      <c:layout>
        <c:manualLayout>
          <c:xMode val="edge"/>
          <c:yMode val="edge"/>
          <c:x val="0.20060324298027771"/>
          <c:y val="2.0408017179670723E-2"/>
        </c:manualLayout>
      </c:layout>
      <c:overlay val="0"/>
      <c:spPr>
        <a:noFill/>
        <a:ln w="30236">
          <a:noFill/>
        </a:ln>
      </c:spPr>
    </c:title>
    <c:autoTitleDeleted val="0"/>
    <c:plotArea>
      <c:layout>
        <c:manualLayout>
          <c:layoutTarget val="inner"/>
          <c:xMode val="edge"/>
          <c:yMode val="edge"/>
          <c:x val="0.44762474523086976"/>
          <c:y val="9.0801197020183799E-2"/>
          <c:w val="0.51986744673675556"/>
          <c:h val="0.84810981288629472"/>
        </c:manualLayout>
      </c:layout>
      <c:barChart>
        <c:barDir val="bar"/>
        <c:grouping val="clustered"/>
        <c:varyColors val="0"/>
        <c:ser>
          <c:idx val="0"/>
          <c:order val="0"/>
          <c:tx>
            <c:strRef>
              <c:f>Sheet1!$B$1</c:f>
              <c:strCache>
                <c:ptCount val="1"/>
                <c:pt idx="0">
                  <c:v>2014</c:v>
                </c:pt>
              </c:strCache>
            </c:strRef>
          </c:tx>
          <c:invertIfNegative val="0"/>
          <c:dLbls>
            <c:spPr>
              <a:noFill/>
              <a:ln w="30236">
                <a:noFill/>
              </a:ln>
            </c:spPr>
            <c:txPr>
              <a:bodyPr wrap="square" lIns="38100" tIns="19050" rIns="38100" bIns="19050" anchor="ctr">
                <a:spAutoFit/>
              </a:bodyPr>
              <a:lstStyle/>
              <a:p>
                <a:pPr>
                  <a:defRPr sz="83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Բուս. ծագմ. արտ.</c:v>
                </c:pt>
                <c:pt idx="1">
                  <c:v>Հանքահումքային արտադրանք</c:v>
                </c:pt>
                <c:pt idx="2">
                  <c:v>Իրեր քարից, գիպսից, ցեմենտից</c:v>
                </c:pt>
                <c:pt idx="3">
                  <c:v>Կենդանի կենդ. և կենդ. ծագմ. արտ</c:v>
                </c:pt>
                <c:pt idx="4">
                  <c:v>Ոչ թանկ. մետ. և դր. պատր. իրեր</c:v>
                </c:pt>
                <c:pt idx="5">
                  <c:v>Թանկ. և կիսաթ.  քարեր, թանկ. մետ. և դր. իրեր</c:v>
                </c:pt>
                <c:pt idx="6">
                  <c:v>Պատրաստի սննդի արտադրանք</c:v>
                </c:pt>
              </c:strCache>
            </c:strRef>
          </c:cat>
          <c:val>
            <c:numRef>
              <c:f>Sheet1!$B$2:$B$8</c:f>
              <c:numCache>
                <c:formatCode>0.0</c:formatCode>
                <c:ptCount val="7"/>
                <c:pt idx="0">
                  <c:v>0.93775003526843437</c:v>
                </c:pt>
                <c:pt idx="1">
                  <c:v>1.4003279504677084</c:v>
                </c:pt>
                <c:pt idx="2">
                  <c:v>1.4688311711330209</c:v>
                </c:pt>
                <c:pt idx="3">
                  <c:v>1.6268395353396468</c:v>
                </c:pt>
                <c:pt idx="4">
                  <c:v>2.8628956246798465</c:v>
                </c:pt>
                <c:pt idx="5">
                  <c:v>4.5217309222981799</c:v>
                </c:pt>
                <c:pt idx="6">
                  <c:v>7.0854046752305058</c:v>
                </c:pt>
              </c:numCache>
            </c:numRef>
          </c:val>
        </c:ser>
        <c:dLbls>
          <c:showLegendKey val="0"/>
          <c:showVal val="0"/>
          <c:showCatName val="0"/>
          <c:showSerName val="0"/>
          <c:showPercent val="0"/>
          <c:showBubbleSize val="0"/>
        </c:dLbls>
        <c:gapWidth val="150"/>
        <c:axId val="442149144"/>
        <c:axId val="442149928"/>
      </c:barChart>
      <c:catAx>
        <c:axId val="442149144"/>
        <c:scaling>
          <c:orientation val="minMax"/>
        </c:scaling>
        <c:delete val="0"/>
        <c:axPos val="l"/>
        <c:numFmt formatCode="General" sourceLinked="1"/>
        <c:majorTickMark val="none"/>
        <c:minorTickMark val="none"/>
        <c:tickLblPos val="nextTo"/>
        <c:txPr>
          <a:bodyPr rot="0" vert="horz"/>
          <a:lstStyle/>
          <a:p>
            <a:pPr>
              <a:defRPr sz="950" b="0" i="0" u="none" strike="noStrike" baseline="0">
                <a:solidFill>
                  <a:srgbClr val="000000"/>
                </a:solidFill>
                <a:latin typeface="Calibri"/>
                <a:ea typeface="Calibri"/>
                <a:cs typeface="Calibri"/>
              </a:defRPr>
            </a:pPr>
            <a:endParaRPr lang="ru-RU"/>
          </a:p>
        </c:txPr>
        <c:crossAx val="442149928"/>
        <c:crosses val="autoZero"/>
        <c:auto val="1"/>
        <c:lblAlgn val="ctr"/>
        <c:lblOffset val="100"/>
        <c:noMultiLvlLbl val="0"/>
      </c:catAx>
      <c:valAx>
        <c:axId val="442149928"/>
        <c:scaling>
          <c:orientation val="minMax"/>
          <c:max val="7.1"/>
          <c:min val="0"/>
        </c:scaling>
        <c:delete val="0"/>
        <c:axPos val="b"/>
        <c:majorGridlines/>
        <c:numFmt formatCode="0.0" sourceLinked="1"/>
        <c:majorTickMark val="none"/>
        <c:minorTickMark val="none"/>
        <c:tickLblPos val="nextTo"/>
        <c:txPr>
          <a:bodyPr rot="0" vert="horz"/>
          <a:lstStyle/>
          <a:p>
            <a:pPr>
              <a:defRPr sz="950" b="0" i="0" u="none" strike="noStrike" baseline="0">
                <a:solidFill>
                  <a:srgbClr val="000000"/>
                </a:solidFill>
                <a:latin typeface="Calibri"/>
                <a:ea typeface="Calibri"/>
                <a:cs typeface="Calibri"/>
              </a:defRPr>
            </a:pPr>
            <a:endParaRPr lang="ru-RU"/>
          </a:p>
        </c:txPr>
        <c:crossAx val="442149144"/>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9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2014թ.</c:v>
                </c:pt>
              </c:strCache>
            </c:strRef>
          </c:tx>
          <c:spPr>
            <a:ln w="25385">
              <a:solidFill>
                <a:srgbClr val="F80EC6"/>
              </a:solidFill>
            </a:ln>
          </c:spPr>
          <c:marker>
            <c:spPr>
              <a:ln>
                <a:solidFill>
                  <a:srgbClr val="F80EC6"/>
                </a:solidFill>
              </a:ln>
            </c:spPr>
          </c:marker>
          <c:dLbls>
            <c:dLbl>
              <c:idx val="0"/>
              <c:layout>
                <c:manualLayout>
                  <c:x val="-3.676826318335754E-2"/>
                  <c:y val="-4.761904761904762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0962747943880018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897919690372604E-2"/>
                  <c:y val="-3.5714285714285712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7092404450895013E-2"/>
                  <c:y val="-3.96825396825396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9027576197387481E-2"/>
                  <c:y val="-3.5714285714285705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4833091436865089E-2"/>
                  <c:y val="-3.1746031746031737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9027576197387481E-2"/>
                  <c:y val="-3.174603174603174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0962747943880018E-2"/>
                  <c:y val="-3.174603174603175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676826318335754E-2"/>
                  <c:y val="-3.174603174603174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833091436865089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0962747943880018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4833091436865089E-2"/>
                  <c:y val="4.761904761904762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-0.16857367250715072</c:v>
                </c:pt>
                <c:pt idx="1">
                  <c:v>-0.63580064173947903</c:v>
                </c:pt>
                <c:pt idx="2">
                  <c:v>-0.38245229970556238</c:v>
                </c:pt>
                <c:pt idx="3">
                  <c:v>-0.16579682822671771</c:v>
                </c:pt>
                <c:pt idx="4">
                  <c:v>-1.299862349397074E-2</c:v>
                </c:pt>
                <c:pt idx="5">
                  <c:v>5.9134460831970159E-2</c:v>
                </c:pt>
                <c:pt idx="6">
                  <c:v>0.16679291759788839</c:v>
                </c:pt>
                <c:pt idx="7">
                  <c:v>7.9606574810782149E-2</c:v>
                </c:pt>
                <c:pt idx="8">
                  <c:v>5.4109074678578395E-2</c:v>
                </c:pt>
                <c:pt idx="9">
                  <c:v>-4.5478192095529835E-2</c:v>
                </c:pt>
                <c:pt idx="10">
                  <c:v>-0.38234561569390735</c:v>
                </c:pt>
                <c:pt idx="11">
                  <c:v>-1.5132821515120725</c:v>
                </c:pt>
              </c:numCache>
            </c:numRef>
          </c:val>
          <c:smooth val="0"/>
        </c:ser>
        <c:ser>
          <c:idx val="1"/>
          <c:order val="1"/>
          <c:tx>
            <c:strRef>
              <c:f>Sheet1!$C$1</c:f>
              <c:strCache>
                <c:ptCount val="1"/>
                <c:pt idx="0">
                  <c:v>2015թ.</c:v>
                </c:pt>
              </c:strCache>
            </c:strRef>
          </c:tx>
          <c:spPr>
            <a:ln w="25385"/>
          </c:spPr>
          <c:dLbls>
            <c:dLbl>
              <c:idx val="0"/>
              <c:layout>
                <c:manualLayout>
                  <c:x val="-3.8703434929850025E-2"/>
                  <c:y val="-4.761904761904762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638606676342517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638606676342517E-2"/>
                  <c:y val="-3.96825396825396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638606676342559E-2"/>
                  <c:y val="-4.761904761904762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573778422835024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0638606676342517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676826318335754E-2"/>
                  <c:y val="-3.5714285714285712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573778422835024E-2"/>
                  <c:y val="-4.761904761904762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638606676342517E-2"/>
                  <c:y val="-4.7619047619047623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450895016932753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450895016932753E-2"/>
                  <c:y val="-4.365079365079370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4.0638606676342517E-2"/>
                  <c:y val="-4.7619047619047554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-14.373100568764556</c:v>
                </c:pt>
                <c:pt idx="1">
                  <c:v>-14.173091401183584</c:v>
                </c:pt>
                <c:pt idx="2">
                  <c:v>-13.875330500343594</c:v>
                </c:pt>
                <c:pt idx="3">
                  <c:v>-13.559893511470435</c:v>
                </c:pt>
                <c:pt idx="4">
                  <c:v>-13.635672275474633</c:v>
                </c:pt>
                <c:pt idx="5">
                  <c:v>-13.615734639369975</c:v>
                </c:pt>
                <c:pt idx="6">
                  <c:v>-13.771589902011854</c:v>
                </c:pt>
                <c:pt idx="7">
                  <c:v>-13.882004403113626</c:v>
                </c:pt>
                <c:pt idx="8">
                  <c:v>-14.009660164319087</c:v>
                </c:pt>
                <c:pt idx="9">
                  <c:v>-13.933405724408317</c:v>
                </c:pt>
                <c:pt idx="10">
                  <c:v>-13.796221269887454</c:v>
                </c:pt>
                <c:pt idx="11">
                  <c:v>-12.97269049218896</c:v>
                </c:pt>
              </c:numCache>
            </c:numRef>
          </c:val>
          <c:smooth val="0"/>
        </c:ser>
        <c:dLbls>
          <c:showLegendKey val="0"/>
          <c:showVal val="0"/>
          <c:showCatName val="0"/>
          <c:showSerName val="0"/>
          <c:showPercent val="0"/>
          <c:showBubbleSize val="0"/>
        </c:dLbls>
        <c:marker val="1"/>
        <c:smooth val="0"/>
        <c:axId val="440624696"/>
        <c:axId val="440625480"/>
      </c:lineChart>
      <c:catAx>
        <c:axId val="440624696"/>
        <c:scaling>
          <c:orientation val="minMax"/>
        </c:scaling>
        <c:delete val="0"/>
        <c:axPos val="b"/>
        <c:numFmt formatCode="General" sourceLinked="0"/>
        <c:majorTickMark val="none"/>
        <c:minorTickMark val="none"/>
        <c:tickLblPos val="low"/>
        <c:crossAx val="440625480"/>
        <c:crosses val="autoZero"/>
        <c:auto val="1"/>
        <c:lblAlgn val="ctr"/>
        <c:lblOffset val="100"/>
        <c:noMultiLvlLbl val="0"/>
      </c:catAx>
      <c:valAx>
        <c:axId val="440625480"/>
        <c:scaling>
          <c:orientation val="minMax"/>
        </c:scaling>
        <c:delete val="0"/>
        <c:axPos val="l"/>
        <c:numFmt formatCode="0.0" sourceLinked="1"/>
        <c:majorTickMark val="none"/>
        <c:minorTickMark val="none"/>
        <c:tickLblPos val="nextTo"/>
        <c:crossAx val="440624696"/>
        <c:crosses val="autoZero"/>
        <c:crossBetween val="between"/>
      </c:valAx>
    </c:plotArea>
    <c:legend>
      <c:legendPos val="b"/>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4870</Words>
  <Characters>27760</Characters>
  <Application>Microsoft Office Word</Application>
  <DocSecurity>0</DocSecurity>
  <Lines>231</Lines>
  <Paragraphs>65</Paragraphs>
  <ScaleCrop>false</ScaleCrop>
  <Company>SPecialiST RePack</Company>
  <LinksUpToDate>false</LinksUpToDate>
  <CharactersWithSpaces>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2017-12-26T07:51:00Z</dcterms:created>
  <dcterms:modified xsi:type="dcterms:W3CDTF">2017-12-26T07:52:00Z</dcterms:modified>
</cp:coreProperties>
</file>