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drawings/drawing3.xml" ContentType="application/vnd.openxmlformats-officedocument.drawingml.chartshapes+xml"/>
  <Override PartName="/word/charts/chart12.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50" w:rsidRPr="00AC6EC4" w:rsidRDefault="009B4A10" w:rsidP="00E31CAF">
      <w:pPr>
        <w:pStyle w:val="mechtex"/>
        <w:ind w:left="6379" w:firstLine="0"/>
        <w:rPr>
          <w:rFonts w:asciiTheme="majorHAnsi" w:hAnsiTheme="majorHAnsi" w:cstheme="majorHAnsi"/>
          <w:lang w:val="en-US"/>
        </w:rPr>
      </w:pPr>
      <w:bookmarkStart w:id="0" w:name="_Toc107052575"/>
      <w:r w:rsidRPr="00AC6EC4">
        <w:rPr>
          <w:rFonts w:asciiTheme="majorHAnsi" w:hAnsiTheme="majorHAnsi" w:cstheme="majorHAnsi"/>
          <w:lang w:val="en-US"/>
        </w:rPr>
        <w:t>Appendix</w:t>
      </w:r>
      <w:r w:rsidR="00F5212D" w:rsidRPr="00AC6EC4">
        <w:rPr>
          <w:rFonts w:asciiTheme="majorHAnsi" w:hAnsiTheme="majorHAnsi" w:cstheme="majorHAnsi"/>
        </w:rPr>
        <w:t xml:space="preserve"> </w:t>
      </w:r>
      <w:r w:rsidR="00F5212D" w:rsidRPr="00AC6EC4">
        <w:rPr>
          <w:rFonts w:asciiTheme="majorHAnsi" w:hAnsiTheme="majorHAnsi" w:cstheme="majorHAnsi"/>
          <w:lang w:val="en-US"/>
        </w:rPr>
        <w:t>N 1</w:t>
      </w:r>
    </w:p>
    <w:p w:rsidR="009B4A10" w:rsidRPr="00AC6EC4" w:rsidRDefault="009B4A10" w:rsidP="009B4A10">
      <w:pPr>
        <w:ind w:left="5670" w:firstLine="284"/>
        <w:jc w:val="center"/>
        <w:rPr>
          <w:rFonts w:asciiTheme="majorHAnsi" w:hAnsiTheme="majorHAnsi" w:cstheme="majorHAnsi"/>
        </w:rPr>
      </w:pPr>
      <w:r w:rsidRPr="00AC6EC4">
        <w:rPr>
          <w:rFonts w:asciiTheme="majorHAnsi" w:hAnsiTheme="majorHAnsi" w:cstheme="majorHAnsi"/>
        </w:rPr>
        <w:t>To the RA Government Decree N 1</w:t>
      </w:r>
      <w:r w:rsidRPr="00AC6EC4">
        <w:rPr>
          <w:rFonts w:asciiTheme="majorHAnsi" w:hAnsiTheme="majorHAnsi" w:cstheme="majorHAnsi"/>
          <w:lang w:val="en-US"/>
        </w:rPr>
        <w:t>171-N</w:t>
      </w:r>
    </w:p>
    <w:p w:rsidR="00B57350" w:rsidRPr="00AC6EC4" w:rsidRDefault="009B4A10" w:rsidP="00E31CAF">
      <w:pPr>
        <w:pStyle w:val="mechtex"/>
        <w:ind w:left="6379" w:firstLine="0"/>
        <w:rPr>
          <w:rFonts w:asciiTheme="majorHAnsi" w:hAnsiTheme="majorHAnsi" w:cstheme="majorHAnsi"/>
        </w:rPr>
      </w:pPr>
      <w:r w:rsidRPr="00AC6EC4">
        <w:rPr>
          <w:rFonts w:asciiTheme="majorHAnsi" w:hAnsiTheme="majorHAnsi" w:cstheme="majorHAnsi"/>
          <w:lang w:val="en-US"/>
        </w:rPr>
        <w:t xml:space="preserve">Dated on July </w:t>
      </w:r>
      <w:r w:rsidR="003D6325" w:rsidRPr="00AC6EC4">
        <w:rPr>
          <w:rFonts w:asciiTheme="majorHAnsi" w:hAnsiTheme="majorHAnsi" w:cstheme="majorHAnsi"/>
        </w:rPr>
        <w:t>12</w:t>
      </w:r>
      <w:r w:rsidR="00510CD0">
        <w:rPr>
          <w:rFonts w:asciiTheme="majorHAnsi" w:hAnsiTheme="majorHAnsi" w:cstheme="majorHAnsi"/>
        </w:rPr>
        <w:t>, 2021</w:t>
      </w:r>
    </w:p>
    <w:p w:rsidR="000F622B" w:rsidRPr="00AC6EC4" w:rsidRDefault="000F622B" w:rsidP="00E31CAF">
      <w:pPr>
        <w:rPr>
          <w:rFonts w:asciiTheme="majorHAnsi" w:hAnsiTheme="majorHAnsi" w:cstheme="majorHAnsi"/>
        </w:rPr>
      </w:pPr>
      <w:bookmarkStart w:id="1" w:name="_Toc456102860"/>
      <w:bookmarkStart w:id="2" w:name="_Toc296702416"/>
      <w:bookmarkEnd w:id="0"/>
    </w:p>
    <w:p w:rsidR="009058B7" w:rsidRPr="00AC6EC4" w:rsidRDefault="009058B7" w:rsidP="00A1274B">
      <w:pPr>
        <w:pStyle w:val="Title"/>
        <w:rPr>
          <w:rFonts w:asciiTheme="majorHAnsi" w:hAnsiTheme="majorHAnsi" w:cstheme="majorHAnsi"/>
        </w:rPr>
      </w:pPr>
    </w:p>
    <w:p w:rsidR="009058B7" w:rsidRPr="00AC6EC4" w:rsidRDefault="009058B7" w:rsidP="00A1274B">
      <w:pPr>
        <w:pStyle w:val="Title"/>
        <w:rPr>
          <w:rFonts w:asciiTheme="majorHAnsi" w:hAnsiTheme="majorHAnsi" w:cstheme="majorHAnsi"/>
        </w:rPr>
      </w:pPr>
    </w:p>
    <w:p w:rsidR="009058B7" w:rsidRPr="00AC6EC4" w:rsidRDefault="009058B7" w:rsidP="00A1274B">
      <w:pPr>
        <w:pStyle w:val="Title"/>
        <w:rPr>
          <w:rFonts w:asciiTheme="majorHAnsi" w:hAnsiTheme="majorHAnsi" w:cstheme="majorHAnsi"/>
        </w:rPr>
      </w:pPr>
    </w:p>
    <w:p w:rsidR="009058B7" w:rsidRPr="00AC6EC4" w:rsidRDefault="009058B7" w:rsidP="00A1274B">
      <w:pPr>
        <w:pStyle w:val="Title"/>
        <w:rPr>
          <w:rFonts w:asciiTheme="majorHAnsi" w:hAnsiTheme="majorHAnsi" w:cstheme="majorHAnsi"/>
        </w:rPr>
      </w:pPr>
    </w:p>
    <w:p w:rsidR="009058B7" w:rsidRPr="00AC6EC4" w:rsidRDefault="009058B7" w:rsidP="00A1274B">
      <w:pPr>
        <w:pStyle w:val="Title"/>
        <w:rPr>
          <w:rFonts w:asciiTheme="majorHAnsi" w:hAnsiTheme="majorHAnsi" w:cstheme="majorHAnsi"/>
        </w:rPr>
      </w:pPr>
    </w:p>
    <w:bookmarkEnd w:id="1"/>
    <w:p w:rsidR="005D2662" w:rsidRPr="00AC6EC4" w:rsidRDefault="002B0A0F" w:rsidP="002B0A0F">
      <w:pPr>
        <w:jc w:val="center"/>
        <w:rPr>
          <w:rFonts w:asciiTheme="majorHAnsi" w:hAnsiTheme="majorHAnsi" w:cstheme="majorHAnsi"/>
          <w:lang w:val="en-US"/>
        </w:rPr>
        <w:sectPr w:rsidR="005D2662" w:rsidRPr="00AC6EC4" w:rsidSect="008E36CD">
          <w:footerReference w:type="even" r:id="rId8"/>
          <w:pgSz w:w="11909" w:h="16834" w:code="9"/>
          <w:pgMar w:top="1134" w:right="567" w:bottom="567" w:left="1134" w:header="720" w:footer="284" w:gutter="0"/>
          <w:cols w:space="720"/>
          <w:docGrid w:linePitch="360"/>
        </w:sectPr>
      </w:pPr>
      <w:r w:rsidRPr="00AC6EC4">
        <w:rPr>
          <w:rFonts w:asciiTheme="majorHAnsi" w:hAnsiTheme="majorHAnsi" w:cstheme="majorHAnsi"/>
          <w:b/>
          <w:color w:val="1F497D"/>
          <w:sz w:val="32"/>
          <w:szCs w:val="32"/>
          <w:lang w:val="en-US"/>
        </w:rPr>
        <w:t>2022</w:t>
      </w:r>
      <w:r w:rsidRPr="00AC6EC4">
        <w:rPr>
          <w:rFonts w:asciiTheme="majorHAnsi" w:hAnsiTheme="majorHAnsi" w:cstheme="majorHAnsi"/>
          <w:b/>
          <w:color w:val="1F497D"/>
          <w:sz w:val="32"/>
          <w:szCs w:val="32"/>
        </w:rPr>
        <w:t>-202</w:t>
      </w:r>
      <w:r w:rsidRPr="00AC6EC4">
        <w:rPr>
          <w:rFonts w:asciiTheme="majorHAnsi" w:hAnsiTheme="majorHAnsi" w:cstheme="majorHAnsi"/>
          <w:b/>
          <w:color w:val="1F497D"/>
          <w:sz w:val="32"/>
          <w:szCs w:val="32"/>
          <w:lang w:val="en-US"/>
        </w:rPr>
        <w:t>4</w:t>
      </w:r>
      <w:r w:rsidRPr="00AC6EC4">
        <w:rPr>
          <w:rFonts w:asciiTheme="majorHAnsi" w:hAnsiTheme="majorHAnsi" w:cstheme="majorHAnsi"/>
          <w:b/>
          <w:color w:val="1F497D"/>
          <w:sz w:val="32"/>
          <w:szCs w:val="32"/>
        </w:rPr>
        <w:t xml:space="preserve"> GOVERNMENT DEBT MANAGEMENT STRATEGY OF THE REPUBLIC OF ARMENIA</w:t>
      </w:r>
      <w:r w:rsidRPr="00AC6EC4">
        <w:rPr>
          <w:rFonts w:asciiTheme="majorHAnsi" w:hAnsiTheme="majorHAnsi" w:cstheme="majorHAnsi"/>
          <w:b/>
          <w:color w:val="1F497D"/>
          <w:sz w:val="32"/>
          <w:szCs w:val="32"/>
          <w:lang w:val="en-US"/>
        </w:rPr>
        <w:t xml:space="preserve"> </w:t>
      </w:r>
    </w:p>
    <w:p w:rsidR="000F622B" w:rsidRPr="00AC6EC4" w:rsidRDefault="00477CF0" w:rsidP="00477CF0">
      <w:pPr>
        <w:pStyle w:val="Heading1"/>
        <w:numPr>
          <w:ilvl w:val="0"/>
          <w:numId w:val="0"/>
        </w:numPr>
        <w:jc w:val="center"/>
        <w:rPr>
          <w:rFonts w:asciiTheme="majorHAnsi" w:hAnsiTheme="majorHAnsi" w:cstheme="majorHAnsi"/>
        </w:rPr>
      </w:pPr>
      <w:bookmarkStart w:id="3" w:name="_Toc80868687"/>
      <w:r w:rsidRPr="00AC6EC4">
        <w:rPr>
          <w:rFonts w:asciiTheme="majorHAnsi" w:hAnsiTheme="majorHAnsi" w:cstheme="majorHAnsi"/>
        </w:rPr>
        <w:lastRenderedPageBreak/>
        <w:t>Appendix</w:t>
      </w:r>
      <w:bookmarkEnd w:id="3"/>
    </w:p>
    <w:p w:rsidR="00062C65" w:rsidRDefault="00C41C50">
      <w:pPr>
        <w:pStyle w:val="TOC1"/>
        <w:rPr>
          <w:rFonts w:asciiTheme="minorHAnsi" w:eastAsiaTheme="minorEastAsia" w:hAnsiTheme="minorHAnsi" w:cstheme="minorBidi"/>
          <w:b w:val="0"/>
          <w:color w:val="auto"/>
          <w:lang w:val="en-US"/>
        </w:rPr>
      </w:pPr>
      <w:r w:rsidRPr="00AC6EC4">
        <w:rPr>
          <w:rFonts w:asciiTheme="majorHAnsi" w:hAnsiTheme="majorHAnsi" w:cstheme="majorHAnsi"/>
          <w:color w:val="215868" w:themeColor="accent5" w:themeShade="80"/>
        </w:rPr>
        <w:fldChar w:fldCharType="begin"/>
      </w:r>
      <w:r w:rsidRPr="00AC6EC4">
        <w:rPr>
          <w:rFonts w:asciiTheme="majorHAnsi" w:hAnsiTheme="majorHAnsi" w:cstheme="majorHAnsi"/>
          <w:color w:val="215868" w:themeColor="accent5" w:themeShade="80"/>
        </w:rPr>
        <w:instrText xml:space="preserve"> TOC \o "1-3" \h \z \t "Subtitle;1" </w:instrText>
      </w:r>
      <w:r w:rsidRPr="00AC6EC4">
        <w:rPr>
          <w:rFonts w:asciiTheme="majorHAnsi" w:hAnsiTheme="majorHAnsi" w:cstheme="majorHAnsi"/>
          <w:color w:val="215868" w:themeColor="accent5" w:themeShade="80"/>
        </w:rPr>
        <w:fldChar w:fldCharType="separate"/>
      </w:r>
      <w:hyperlink w:anchor="_Toc80868687" w:history="1">
        <w:r w:rsidR="00062C65" w:rsidRPr="00131667">
          <w:rPr>
            <w:rStyle w:val="Hyperlink"/>
            <w:rFonts w:asciiTheme="majorHAnsi" w:hAnsiTheme="majorHAnsi" w:cstheme="majorHAnsi"/>
          </w:rPr>
          <w:t>Appendix</w:t>
        </w:r>
        <w:r w:rsidR="00062C65">
          <w:rPr>
            <w:webHidden/>
          </w:rPr>
          <w:tab/>
        </w:r>
        <w:r w:rsidR="00062C65">
          <w:rPr>
            <w:webHidden/>
          </w:rPr>
          <w:fldChar w:fldCharType="begin"/>
        </w:r>
        <w:r w:rsidR="00062C65">
          <w:rPr>
            <w:webHidden/>
          </w:rPr>
          <w:instrText xml:space="preserve"> PAGEREF _Toc80868687 \h </w:instrText>
        </w:r>
        <w:r w:rsidR="00062C65">
          <w:rPr>
            <w:webHidden/>
          </w:rPr>
        </w:r>
        <w:r w:rsidR="00062C65">
          <w:rPr>
            <w:webHidden/>
          </w:rPr>
          <w:fldChar w:fldCharType="separate"/>
        </w:r>
        <w:r w:rsidR="00062C65">
          <w:rPr>
            <w:webHidden/>
          </w:rPr>
          <w:t>2</w:t>
        </w:r>
        <w:r w:rsidR="00062C65">
          <w:rPr>
            <w:webHidden/>
          </w:rPr>
          <w:fldChar w:fldCharType="end"/>
        </w:r>
      </w:hyperlink>
    </w:p>
    <w:p w:rsidR="00062C65" w:rsidRDefault="00062C65">
      <w:pPr>
        <w:pStyle w:val="TOC1"/>
        <w:rPr>
          <w:rFonts w:asciiTheme="minorHAnsi" w:eastAsiaTheme="minorEastAsia" w:hAnsiTheme="minorHAnsi" w:cstheme="minorBidi"/>
          <w:b w:val="0"/>
          <w:color w:val="auto"/>
          <w:lang w:val="en-US"/>
        </w:rPr>
      </w:pPr>
      <w:hyperlink w:anchor="_Toc80868688" w:history="1">
        <w:r w:rsidRPr="00131667">
          <w:rPr>
            <w:rStyle w:val="Hyperlink"/>
            <w:rFonts w:asciiTheme="majorHAnsi" w:hAnsiTheme="majorHAnsi" w:cstheme="majorHAnsi"/>
          </w:rPr>
          <w:t>Introduction</w:t>
        </w:r>
        <w:r>
          <w:rPr>
            <w:webHidden/>
          </w:rPr>
          <w:tab/>
        </w:r>
        <w:r>
          <w:rPr>
            <w:webHidden/>
          </w:rPr>
          <w:fldChar w:fldCharType="begin"/>
        </w:r>
        <w:r>
          <w:rPr>
            <w:webHidden/>
          </w:rPr>
          <w:instrText xml:space="preserve"> PAGEREF _Toc80868688 \h </w:instrText>
        </w:r>
        <w:r>
          <w:rPr>
            <w:webHidden/>
          </w:rPr>
        </w:r>
        <w:r>
          <w:rPr>
            <w:webHidden/>
          </w:rPr>
          <w:fldChar w:fldCharType="separate"/>
        </w:r>
        <w:r>
          <w:rPr>
            <w:webHidden/>
          </w:rPr>
          <w:t>3</w:t>
        </w:r>
        <w:r>
          <w:rPr>
            <w:webHidden/>
          </w:rPr>
          <w:fldChar w:fldCharType="end"/>
        </w:r>
      </w:hyperlink>
    </w:p>
    <w:p w:rsidR="00062C65" w:rsidRDefault="00062C65">
      <w:pPr>
        <w:pStyle w:val="TOC1"/>
        <w:rPr>
          <w:rFonts w:asciiTheme="minorHAnsi" w:eastAsiaTheme="minorEastAsia" w:hAnsiTheme="minorHAnsi" w:cstheme="minorBidi"/>
          <w:b w:val="0"/>
          <w:color w:val="auto"/>
          <w:lang w:val="en-US"/>
        </w:rPr>
      </w:pPr>
      <w:hyperlink w:anchor="_Toc80868689" w:history="1">
        <w:r w:rsidRPr="00131667">
          <w:rPr>
            <w:rStyle w:val="Hyperlink"/>
            <w:rFonts w:asciiTheme="majorHAnsi" w:hAnsiTheme="majorHAnsi" w:cstheme="majorHAnsi"/>
          </w:rPr>
          <w:t>1.</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Objectives and scope of the RA Government debt management strategy</w:t>
        </w:r>
        <w:r>
          <w:rPr>
            <w:webHidden/>
          </w:rPr>
          <w:tab/>
        </w:r>
        <w:r>
          <w:rPr>
            <w:webHidden/>
          </w:rPr>
          <w:fldChar w:fldCharType="begin"/>
        </w:r>
        <w:r>
          <w:rPr>
            <w:webHidden/>
          </w:rPr>
          <w:instrText xml:space="preserve"> PAGEREF _Toc80868689 \h </w:instrText>
        </w:r>
        <w:r>
          <w:rPr>
            <w:webHidden/>
          </w:rPr>
        </w:r>
        <w:r>
          <w:rPr>
            <w:webHidden/>
          </w:rPr>
          <w:fldChar w:fldCharType="separate"/>
        </w:r>
        <w:r>
          <w:rPr>
            <w:webHidden/>
          </w:rPr>
          <w:t>4</w:t>
        </w:r>
        <w:r>
          <w:rPr>
            <w:webHidden/>
          </w:rPr>
          <w:fldChar w:fldCharType="end"/>
        </w:r>
      </w:hyperlink>
    </w:p>
    <w:p w:rsidR="00062C65" w:rsidRDefault="00062C65">
      <w:pPr>
        <w:pStyle w:val="TOC1"/>
        <w:rPr>
          <w:rFonts w:asciiTheme="minorHAnsi" w:eastAsiaTheme="minorEastAsia" w:hAnsiTheme="minorHAnsi" w:cstheme="minorBidi"/>
          <w:b w:val="0"/>
          <w:color w:val="auto"/>
          <w:lang w:val="en-US"/>
        </w:rPr>
      </w:pPr>
      <w:hyperlink w:anchor="_Toc80868690" w:history="1">
        <w:r w:rsidRPr="00131667">
          <w:rPr>
            <w:rStyle w:val="Hyperlink"/>
            <w:rFonts w:asciiTheme="majorHAnsi" w:hAnsiTheme="majorHAnsi" w:cstheme="majorHAnsi"/>
          </w:rPr>
          <w:t>2.</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Developments observed in the RA Government debt management from the start of 2020</w:t>
        </w:r>
        <w:r>
          <w:rPr>
            <w:webHidden/>
          </w:rPr>
          <w:tab/>
        </w:r>
        <w:r>
          <w:rPr>
            <w:webHidden/>
          </w:rPr>
          <w:fldChar w:fldCharType="begin"/>
        </w:r>
        <w:r>
          <w:rPr>
            <w:webHidden/>
          </w:rPr>
          <w:instrText xml:space="preserve"> PAGEREF _Toc80868690 \h </w:instrText>
        </w:r>
        <w:r>
          <w:rPr>
            <w:webHidden/>
          </w:rPr>
        </w:r>
        <w:r>
          <w:rPr>
            <w:webHidden/>
          </w:rPr>
          <w:fldChar w:fldCharType="separate"/>
        </w:r>
        <w:r>
          <w:rPr>
            <w:webHidden/>
          </w:rPr>
          <w:t>5</w:t>
        </w:r>
        <w:r>
          <w:rPr>
            <w:webHidden/>
          </w:rPr>
          <w:fldChar w:fldCharType="end"/>
        </w:r>
      </w:hyperlink>
    </w:p>
    <w:p w:rsidR="00062C65" w:rsidRDefault="00062C65">
      <w:pPr>
        <w:pStyle w:val="TOC1"/>
        <w:rPr>
          <w:rFonts w:asciiTheme="minorHAnsi" w:eastAsiaTheme="minorEastAsia" w:hAnsiTheme="minorHAnsi" w:cstheme="minorBidi"/>
          <w:b w:val="0"/>
          <w:color w:val="auto"/>
          <w:lang w:val="en-US"/>
        </w:rPr>
      </w:pPr>
      <w:hyperlink w:anchor="_Toc80868691" w:history="1">
        <w:r w:rsidRPr="00131667">
          <w:rPr>
            <w:rStyle w:val="Hyperlink"/>
            <w:rFonts w:asciiTheme="majorHAnsi" w:hAnsiTheme="majorHAnsi" w:cstheme="majorHAnsi"/>
          </w:rPr>
          <w:t>3.</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Cost-at-risk description of the RA Government debt portfolio</w:t>
        </w:r>
        <w:r>
          <w:rPr>
            <w:webHidden/>
          </w:rPr>
          <w:tab/>
        </w:r>
        <w:r>
          <w:rPr>
            <w:webHidden/>
          </w:rPr>
          <w:fldChar w:fldCharType="begin"/>
        </w:r>
        <w:r>
          <w:rPr>
            <w:webHidden/>
          </w:rPr>
          <w:instrText xml:space="preserve"> PAGEREF _Toc80868691 \h </w:instrText>
        </w:r>
        <w:r>
          <w:rPr>
            <w:webHidden/>
          </w:rPr>
        </w:r>
        <w:r>
          <w:rPr>
            <w:webHidden/>
          </w:rPr>
          <w:fldChar w:fldCharType="separate"/>
        </w:r>
        <w:r>
          <w:rPr>
            <w:webHidden/>
          </w:rPr>
          <w:t>7</w:t>
        </w:r>
        <w:r>
          <w:rPr>
            <w:webHidden/>
          </w:rPr>
          <w:fldChar w:fldCharType="end"/>
        </w:r>
      </w:hyperlink>
    </w:p>
    <w:p w:rsidR="00062C65" w:rsidRDefault="00062C65">
      <w:pPr>
        <w:pStyle w:val="TOC1"/>
        <w:rPr>
          <w:rFonts w:asciiTheme="minorHAnsi" w:eastAsiaTheme="minorEastAsia" w:hAnsiTheme="minorHAnsi" w:cstheme="minorBidi"/>
          <w:b w:val="0"/>
          <w:color w:val="auto"/>
          <w:lang w:val="en-US"/>
        </w:rPr>
      </w:pPr>
      <w:hyperlink w:anchor="_Toc80868692" w:history="1">
        <w:r w:rsidRPr="00131667">
          <w:rPr>
            <w:rStyle w:val="Hyperlink"/>
            <w:rFonts w:asciiTheme="majorHAnsi" w:hAnsiTheme="majorHAnsi" w:cstheme="majorHAnsi"/>
          </w:rPr>
          <w:t>4.</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2022-2024 RA Government Debt Management Strategy</w:t>
        </w:r>
        <w:r>
          <w:rPr>
            <w:webHidden/>
          </w:rPr>
          <w:tab/>
        </w:r>
        <w:r>
          <w:rPr>
            <w:webHidden/>
          </w:rPr>
          <w:fldChar w:fldCharType="begin"/>
        </w:r>
        <w:r>
          <w:rPr>
            <w:webHidden/>
          </w:rPr>
          <w:instrText xml:space="preserve"> PAGEREF _Toc80868692 \h </w:instrText>
        </w:r>
        <w:r>
          <w:rPr>
            <w:webHidden/>
          </w:rPr>
        </w:r>
        <w:r>
          <w:rPr>
            <w:webHidden/>
          </w:rPr>
          <w:fldChar w:fldCharType="separate"/>
        </w:r>
        <w:r>
          <w:rPr>
            <w:webHidden/>
          </w:rPr>
          <w:t>13</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3" w:history="1">
        <w:r w:rsidRPr="00131667">
          <w:rPr>
            <w:rStyle w:val="Hyperlink"/>
            <w:rFonts w:asciiTheme="majorHAnsi" w:hAnsiTheme="majorHAnsi" w:cstheme="majorHAnsi"/>
          </w:rPr>
          <w:t>4.1.</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Macroeconomic assumptions and key risk factors</w:t>
        </w:r>
        <w:r>
          <w:rPr>
            <w:webHidden/>
          </w:rPr>
          <w:tab/>
        </w:r>
        <w:r>
          <w:rPr>
            <w:webHidden/>
          </w:rPr>
          <w:fldChar w:fldCharType="begin"/>
        </w:r>
        <w:r>
          <w:rPr>
            <w:webHidden/>
          </w:rPr>
          <w:instrText xml:space="preserve"> PAGEREF _Toc80868693 \h </w:instrText>
        </w:r>
        <w:r>
          <w:rPr>
            <w:webHidden/>
          </w:rPr>
        </w:r>
        <w:r>
          <w:rPr>
            <w:webHidden/>
          </w:rPr>
          <w:fldChar w:fldCharType="separate"/>
        </w:r>
        <w:r>
          <w:rPr>
            <w:webHidden/>
          </w:rPr>
          <w:t>13</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4" w:history="1">
        <w:r w:rsidRPr="00131667">
          <w:rPr>
            <w:rStyle w:val="Hyperlink"/>
            <w:rFonts w:asciiTheme="majorHAnsi" w:hAnsiTheme="majorHAnsi" w:cstheme="majorHAnsi"/>
          </w:rPr>
          <w:t>4.2.</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Targets and measures to be implemented</w:t>
        </w:r>
        <w:r>
          <w:rPr>
            <w:webHidden/>
          </w:rPr>
          <w:tab/>
        </w:r>
        <w:r>
          <w:rPr>
            <w:webHidden/>
          </w:rPr>
          <w:fldChar w:fldCharType="begin"/>
        </w:r>
        <w:r>
          <w:rPr>
            <w:webHidden/>
          </w:rPr>
          <w:instrText xml:space="preserve"> PAGEREF _Toc80868694 \h </w:instrText>
        </w:r>
        <w:r>
          <w:rPr>
            <w:webHidden/>
          </w:rPr>
        </w:r>
        <w:r>
          <w:rPr>
            <w:webHidden/>
          </w:rPr>
          <w:fldChar w:fldCharType="separate"/>
        </w:r>
        <w:r>
          <w:rPr>
            <w:webHidden/>
          </w:rPr>
          <w:t>16</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5" w:history="1">
        <w:r w:rsidRPr="00131667">
          <w:rPr>
            <w:rStyle w:val="Hyperlink"/>
            <w:rFonts w:asciiTheme="majorHAnsi" w:hAnsiTheme="majorHAnsi" w:cstheme="majorHAnsi"/>
          </w:rPr>
          <w:t>4.3.</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Benchmark indicators</w:t>
        </w:r>
        <w:r>
          <w:rPr>
            <w:webHidden/>
          </w:rPr>
          <w:tab/>
        </w:r>
        <w:r>
          <w:rPr>
            <w:webHidden/>
          </w:rPr>
          <w:fldChar w:fldCharType="begin"/>
        </w:r>
        <w:r>
          <w:rPr>
            <w:webHidden/>
          </w:rPr>
          <w:instrText xml:space="preserve"> PAGEREF _Toc80868695 \h </w:instrText>
        </w:r>
        <w:r>
          <w:rPr>
            <w:webHidden/>
          </w:rPr>
        </w:r>
        <w:r>
          <w:rPr>
            <w:webHidden/>
          </w:rPr>
          <w:fldChar w:fldCharType="separate"/>
        </w:r>
        <w:r>
          <w:rPr>
            <w:webHidden/>
          </w:rPr>
          <w:t>18</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6" w:history="1">
        <w:r w:rsidRPr="00131667">
          <w:rPr>
            <w:rStyle w:val="Hyperlink"/>
            <w:rFonts w:asciiTheme="majorHAnsi" w:hAnsiTheme="majorHAnsi" w:cstheme="majorHAnsi"/>
          </w:rPr>
          <w:t>4.4.</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Selection of the RA Government debt management strategy</w:t>
        </w:r>
        <w:r>
          <w:rPr>
            <w:webHidden/>
          </w:rPr>
          <w:tab/>
        </w:r>
        <w:r>
          <w:rPr>
            <w:webHidden/>
          </w:rPr>
          <w:fldChar w:fldCharType="begin"/>
        </w:r>
        <w:r>
          <w:rPr>
            <w:webHidden/>
          </w:rPr>
          <w:instrText xml:space="preserve"> PAGEREF _Toc80868696 \h </w:instrText>
        </w:r>
        <w:r>
          <w:rPr>
            <w:webHidden/>
          </w:rPr>
        </w:r>
        <w:r>
          <w:rPr>
            <w:webHidden/>
          </w:rPr>
          <w:fldChar w:fldCharType="separate"/>
        </w:r>
        <w:r>
          <w:rPr>
            <w:webHidden/>
          </w:rPr>
          <w:t>19</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7" w:history="1">
        <w:r w:rsidRPr="00131667">
          <w:rPr>
            <w:rStyle w:val="Hyperlink"/>
            <w:rFonts w:asciiTheme="majorHAnsi" w:hAnsiTheme="majorHAnsi" w:cstheme="majorHAnsi"/>
          </w:rPr>
          <w:t>4.5.</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Cost-at-risk analysis of the selected strategy</w:t>
        </w:r>
        <w:r>
          <w:rPr>
            <w:webHidden/>
          </w:rPr>
          <w:tab/>
        </w:r>
        <w:r>
          <w:rPr>
            <w:webHidden/>
          </w:rPr>
          <w:fldChar w:fldCharType="begin"/>
        </w:r>
        <w:r>
          <w:rPr>
            <w:webHidden/>
          </w:rPr>
          <w:instrText xml:space="preserve"> PAGEREF _Toc80868697 \h </w:instrText>
        </w:r>
        <w:r>
          <w:rPr>
            <w:webHidden/>
          </w:rPr>
        </w:r>
        <w:r>
          <w:rPr>
            <w:webHidden/>
          </w:rPr>
          <w:fldChar w:fldCharType="separate"/>
        </w:r>
        <w:r>
          <w:rPr>
            <w:webHidden/>
          </w:rPr>
          <w:t>22</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8" w:history="1">
        <w:r w:rsidRPr="00131667">
          <w:rPr>
            <w:rStyle w:val="Hyperlink"/>
            <w:rFonts w:asciiTheme="majorHAnsi" w:hAnsiTheme="majorHAnsi" w:cstheme="majorHAnsi"/>
          </w:rPr>
          <w:t>4.6.</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Sensitivity analysis</w:t>
        </w:r>
        <w:r>
          <w:rPr>
            <w:webHidden/>
          </w:rPr>
          <w:tab/>
        </w:r>
        <w:r>
          <w:rPr>
            <w:webHidden/>
          </w:rPr>
          <w:fldChar w:fldCharType="begin"/>
        </w:r>
        <w:r>
          <w:rPr>
            <w:webHidden/>
          </w:rPr>
          <w:instrText xml:space="preserve"> PAGEREF _Toc80868698 \h </w:instrText>
        </w:r>
        <w:r>
          <w:rPr>
            <w:webHidden/>
          </w:rPr>
        </w:r>
        <w:r>
          <w:rPr>
            <w:webHidden/>
          </w:rPr>
          <w:fldChar w:fldCharType="separate"/>
        </w:r>
        <w:r>
          <w:rPr>
            <w:webHidden/>
          </w:rPr>
          <w:t>29</w:t>
        </w:r>
        <w:r>
          <w:rPr>
            <w:webHidden/>
          </w:rPr>
          <w:fldChar w:fldCharType="end"/>
        </w:r>
      </w:hyperlink>
    </w:p>
    <w:p w:rsidR="00062C65" w:rsidRDefault="00062C65">
      <w:pPr>
        <w:pStyle w:val="TOC2"/>
        <w:tabs>
          <w:tab w:val="left" w:pos="851"/>
        </w:tabs>
        <w:rPr>
          <w:rFonts w:asciiTheme="minorHAnsi" w:eastAsiaTheme="minorEastAsia" w:hAnsiTheme="minorHAnsi" w:cstheme="minorBidi"/>
          <w:b w:val="0"/>
          <w:color w:val="auto"/>
          <w:lang w:val="en-US"/>
        </w:rPr>
      </w:pPr>
      <w:hyperlink w:anchor="_Toc80868699" w:history="1">
        <w:r w:rsidRPr="00131667">
          <w:rPr>
            <w:rStyle w:val="Hyperlink"/>
            <w:rFonts w:asciiTheme="majorHAnsi" w:hAnsiTheme="majorHAnsi" w:cstheme="majorHAnsi"/>
          </w:rPr>
          <w:t>4.7.</w:t>
        </w:r>
        <w:r>
          <w:rPr>
            <w:rFonts w:asciiTheme="minorHAnsi" w:eastAsiaTheme="minorEastAsia" w:hAnsiTheme="minorHAnsi" w:cstheme="minorBidi"/>
            <w:b w:val="0"/>
            <w:color w:val="auto"/>
            <w:lang w:val="en-US"/>
          </w:rPr>
          <w:tab/>
        </w:r>
        <w:r w:rsidRPr="00131667">
          <w:rPr>
            <w:rStyle w:val="Hyperlink"/>
            <w:rFonts w:asciiTheme="majorHAnsi" w:hAnsiTheme="majorHAnsi" w:cstheme="majorHAnsi"/>
          </w:rPr>
          <w:t>Conclusions</w:t>
        </w:r>
        <w:r>
          <w:rPr>
            <w:webHidden/>
          </w:rPr>
          <w:tab/>
        </w:r>
        <w:r>
          <w:rPr>
            <w:webHidden/>
          </w:rPr>
          <w:fldChar w:fldCharType="begin"/>
        </w:r>
        <w:r>
          <w:rPr>
            <w:webHidden/>
          </w:rPr>
          <w:instrText xml:space="preserve"> PAGEREF _Toc80868699 \h </w:instrText>
        </w:r>
        <w:r>
          <w:rPr>
            <w:webHidden/>
          </w:rPr>
        </w:r>
        <w:r>
          <w:rPr>
            <w:webHidden/>
          </w:rPr>
          <w:fldChar w:fldCharType="separate"/>
        </w:r>
        <w:r>
          <w:rPr>
            <w:webHidden/>
          </w:rPr>
          <w:t>32</w:t>
        </w:r>
        <w:r>
          <w:rPr>
            <w:webHidden/>
          </w:rPr>
          <w:fldChar w:fldCharType="end"/>
        </w:r>
      </w:hyperlink>
    </w:p>
    <w:p w:rsidR="00C41C50" w:rsidRPr="00AC6EC4" w:rsidRDefault="00C41C50" w:rsidP="00A1274B">
      <w:pPr>
        <w:rPr>
          <w:rFonts w:asciiTheme="majorHAnsi" w:hAnsiTheme="majorHAnsi" w:cstheme="majorHAnsi"/>
          <w:color w:val="215868" w:themeColor="accent5" w:themeShade="80"/>
        </w:rPr>
      </w:pPr>
      <w:r w:rsidRPr="00AC6EC4">
        <w:rPr>
          <w:rFonts w:asciiTheme="majorHAnsi" w:hAnsiTheme="majorHAnsi" w:cstheme="majorHAnsi"/>
          <w:noProof/>
          <w:color w:val="215868" w:themeColor="accent5" w:themeShade="80"/>
        </w:rPr>
        <w:fldChar w:fldCharType="end"/>
      </w:r>
    </w:p>
    <w:p w:rsidR="00830BDD" w:rsidRPr="00AC6EC4" w:rsidRDefault="00830BDD" w:rsidP="00A1274B">
      <w:pPr>
        <w:rPr>
          <w:rFonts w:asciiTheme="majorHAnsi" w:hAnsiTheme="majorHAnsi" w:cstheme="majorHAnsi"/>
        </w:rPr>
        <w:sectPr w:rsidR="00830BDD" w:rsidRPr="00AC6EC4" w:rsidSect="008E36CD">
          <w:footerReference w:type="default" r:id="rId9"/>
          <w:pgSz w:w="11909" w:h="16834" w:code="9"/>
          <w:pgMar w:top="1134" w:right="567" w:bottom="567" w:left="1134" w:header="720" w:footer="284" w:gutter="0"/>
          <w:cols w:space="720"/>
          <w:docGrid w:linePitch="360"/>
        </w:sectPr>
      </w:pPr>
      <w:bookmarkStart w:id="4" w:name="_GoBack"/>
      <w:bookmarkEnd w:id="4"/>
    </w:p>
    <w:p w:rsidR="00025E2D" w:rsidRPr="00AC6EC4" w:rsidRDefault="00477CF0" w:rsidP="00477CF0">
      <w:pPr>
        <w:pStyle w:val="Heading1"/>
        <w:numPr>
          <w:ilvl w:val="0"/>
          <w:numId w:val="0"/>
        </w:numPr>
        <w:rPr>
          <w:rFonts w:asciiTheme="majorHAnsi" w:hAnsiTheme="majorHAnsi" w:cstheme="majorHAnsi"/>
        </w:rPr>
      </w:pPr>
      <w:bookmarkStart w:id="5" w:name="_Toc80868688"/>
      <w:r w:rsidRPr="00AC6EC4">
        <w:rPr>
          <w:rFonts w:asciiTheme="majorHAnsi" w:hAnsiTheme="majorHAnsi" w:cstheme="majorHAnsi"/>
        </w:rPr>
        <w:lastRenderedPageBreak/>
        <w:t>Introduction</w:t>
      </w:r>
      <w:bookmarkEnd w:id="5"/>
    </w:p>
    <w:p w:rsidR="00062354" w:rsidRPr="00AC6EC4" w:rsidRDefault="00062354" w:rsidP="00A1274B">
      <w:pPr>
        <w:rPr>
          <w:rFonts w:asciiTheme="majorHAnsi" w:hAnsiTheme="majorHAnsi" w:cstheme="majorHAnsi"/>
        </w:rPr>
      </w:pPr>
    </w:p>
    <w:p w:rsidR="00062354" w:rsidRPr="00AC6EC4" w:rsidRDefault="00062354" w:rsidP="001A7FD0">
      <w:pPr>
        <w:spacing w:after="240"/>
        <w:ind w:firstLine="0"/>
        <w:rPr>
          <w:rFonts w:asciiTheme="majorHAnsi" w:hAnsiTheme="majorHAnsi" w:cstheme="majorHAnsi"/>
        </w:rPr>
      </w:pPr>
      <w:r w:rsidRPr="00AC6EC4">
        <w:rPr>
          <w:rFonts w:asciiTheme="majorHAnsi" w:hAnsiTheme="majorHAnsi" w:cstheme="majorHAnsi"/>
        </w:rPr>
        <w:t>The RA Government debt management strategic program presents the strategy to raise the borrowings necessary for financing the RA State budget deficit and manage the risks of the RA Government debt portfolio. The strategy is a three-year program, which is reviewed and published annually, contributing to ensuring the predictable and transparent management of the Government debt.</w:t>
      </w:r>
    </w:p>
    <w:p w:rsidR="001A7FD0" w:rsidRPr="00AC6EC4" w:rsidRDefault="001A7FD0" w:rsidP="001A7FD0">
      <w:pPr>
        <w:spacing w:after="240"/>
        <w:ind w:firstLine="0"/>
        <w:rPr>
          <w:rFonts w:asciiTheme="majorHAnsi" w:hAnsiTheme="majorHAnsi" w:cstheme="majorHAnsi"/>
        </w:rPr>
      </w:pPr>
      <w:r w:rsidRPr="00AC6EC4">
        <w:rPr>
          <w:rFonts w:asciiTheme="majorHAnsi" w:hAnsiTheme="majorHAnsi" w:cstheme="majorHAnsi"/>
        </w:rPr>
        <w:t>The RA Government debt management strategy clarifies the borrowing policy, including the benchmark indicators for the Government debt management, identifies and assesses the risks associated with the Government debt management, as well as outlines the principles, targets and actions to be implemented, under which the Government will not threaten the fiscal sustainability.</w:t>
      </w:r>
    </w:p>
    <w:p w:rsidR="00DE3F70" w:rsidRPr="00AC6EC4" w:rsidRDefault="00DE3F70" w:rsidP="00DE3F70">
      <w:pPr>
        <w:spacing w:after="240"/>
        <w:ind w:firstLine="0"/>
        <w:rPr>
          <w:rFonts w:asciiTheme="majorHAnsi" w:hAnsiTheme="majorHAnsi" w:cstheme="majorHAnsi"/>
        </w:rPr>
      </w:pPr>
      <w:r w:rsidRPr="00AC6EC4">
        <w:rPr>
          <w:rFonts w:asciiTheme="majorHAnsi" w:hAnsiTheme="majorHAnsi" w:cstheme="majorHAnsi"/>
        </w:rPr>
        <w:t>The debt management has an essential role within the public finance management process, where, considering the resource constraints, the Government borrows in order to implement a fiscal policy contributing to the long term and sustainable economic growth.</w:t>
      </w:r>
    </w:p>
    <w:p w:rsidR="00DE3F70" w:rsidRPr="00AC6EC4" w:rsidRDefault="00DE3F70" w:rsidP="00DE3F70">
      <w:pPr>
        <w:spacing w:after="240"/>
        <w:ind w:firstLine="0"/>
        <w:rPr>
          <w:rFonts w:asciiTheme="majorHAnsi" w:hAnsiTheme="majorHAnsi" w:cstheme="majorHAnsi"/>
        </w:rPr>
      </w:pPr>
      <w:r w:rsidRPr="00AC6EC4">
        <w:rPr>
          <w:rFonts w:asciiTheme="majorHAnsi" w:hAnsiTheme="majorHAnsi" w:cstheme="majorHAnsi"/>
        </w:rPr>
        <w:t>For the formation of an acceptable RA Government debt portfolio, the RA Ministry of Finance carries out cost-at-risks analyses, applying also the approaches developed by the leading international financial organizations and based on the best international practices. The analyses allow assessing the costs and risks indicators of the RA Government debt portfolio and the impacts of the possible shocks on these indicators. The RA Government debt management strategy presents and analy</w:t>
      </w:r>
      <w:r w:rsidR="00AC6EC4">
        <w:rPr>
          <w:rFonts w:asciiTheme="majorHAnsi" w:hAnsiTheme="majorHAnsi" w:cstheme="majorHAnsi"/>
        </w:rPr>
        <w:t>s</w:t>
      </w:r>
      <w:r w:rsidRPr="00AC6EC4">
        <w:rPr>
          <w:rFonts w:asciiTheme="majorHAnsi" w:hAnsiTheme="majorHAnsi" w:cstheme="majorHAnsi"/>
        </w:rPr>
        <w:t>es the market risks</w:t>
      </w:r>
      <w:r w:rsidR="00A6700D" w:rsidRPr="00AC6EC4">
        <w:rPr>
          <w:rFonts w:asciiTheme="majorHAnsi" w:hAnsiTheme="majorHAnsi" w:cstheme="majorHAnsi"/>
        </w:rPr>
        <w:t xml:space="preserve"> of the RA Government debt portfolio</w:t>
      </w:r>
      <w:r w:rsidRPr="00AC6EC4">
        <w:rPr>
          <w:rFonts w:asciiTheme="majorHAnsi" w:hAnsiTheme="majorHAnsi" w:cstheme="majorHAnsi"/>
        </w:rPr>
        <w:t>: such as exchange rate and interest rate risks, as well as refinancing risk, and non-market operational risk. The RA Government debt management constrains, such as the domestic market capacity or the possibilities for the utilization of the external loans, have also been taken into consideration during the development of the strategy.</w:t>
      </w:r>
    </w:p>
    <w:p w:rsidR="00FC17B8" w:rsidRPr="00AC6EC4" w:rsidRDefault="00FC17B8" w:rsidP="00FC17B8">
      <w:pPr>
        <w:spacing w:after="240"/>
        <w:ind w:firstLine="0"/>
        <w:rPr>
          <w:rFonts w:asciiTheme="majorHAnsi" w:hAnsiTheme="majorHAnsi" w:cstheme="majorHAnsi"/>
        </w:rPr>
      </w:pPr>
      <w:r w:rsidRPr="00AC6EC4">
        <w:rPr>
          <w:rFonts w:asciiTheme="majorHAnsi" w:hAnsiTheme="majorHAnsi" w:cstheme="majorHAnsi"/>
        </w:rPr>
        <w:t>Generally, the RA Government debt management strategy presents the preferable option out of the possible costs-at-risks trade</w:t>
      </w:r>
      <w:r w:rsidR="00AC6EC4">
        <w:rPr>
          <w:rFonts w:asciiTheme="majorHAnsi" w:hAnsiTheme="majorHAnsi" w:cstheme="majorHAnsi"/>
        </w:rPr>
        <w:t>-</w:t>
      </w:r>
      <w:r w:rsidRPr="00AC6EC4">
        <w:rPr>
          <w:rFonts w:asciiTheme="majorHAnsi" w:hAnsiTheme="majorHAnsi" w:cstheme="majorHAnsi"/>
        </w:rPr>
        <w:t>offs, the selection of which is based on meeting financial needs with acceptable costs.</w:t>
      </w:r>
    </w:p>
    <w:p w:rsidR="00025E2D" w:rsidRPr="00AC6EC4" w:rsidRDefault="00025E2D" w:rsidP="00A1274B">
      <w:pPr>
        <w:rPr>
          <w:rFonts w:asciiTheme="majorHAnsi" w:hAnsiTheme="majorHAnsi" w:cstheme="majorHAnsi"/>
        </w:rPr>
      </w:pPr>
    </w:p>
    <w:p w:rsidR="00A64725" w:rsidRPr="00AC6EC4" w:rsidRDefault="00A64725">
      <w:pPr>
        <w:spacing w:line="240" w:lineRule="auto"/>
        <w:ind w:firstLine="0"/>
        <w:jc w:val="left"/>
        <w:rPr>
          <w:rFonts w:asciiTheme="majorHAnsi" w:hAnsiTheme="majorHAnsi" w:cstheme="majorHAnsi"/>
          <w:b/>
        </w:rPr>
      </w:pPr>
      <w:r w:rsidRPr="00AC6EC4">
        <w:rPr>
          <w:rFonts w:asciiTheme="majorHAnsi" w:hAnsiTheme="majorHAnsi" w:cstheme="majorHAnsi"/>
          <w:b/>
        </w:rPr>
        <w:br w:type="page"/>
      </w:r>
    </w:p>
    <w:p w:rsidR="00025E2D" w:rsidRPr="00AC6EC4" w:rsidRDefault="00477CF0" w:rsidP="00477CF0">
      <w:pPr>
        <w:pStyle w:val="Heading1"/>
        <w:rPr>
          <w:rFonts w:asciiTheme="majorHAnsi" w:hAnsiTheme="majorHAnsi" w:cstheme="majorHAnsi"/>
        </w:rPr>
      </w:pPr>
      <w:bookmarkStart w:id="6" w:name="_Toc80868689"/>
      <w:r w:rsidRPr="00AC6EC4">
        <w:rPr>
          <w:rFonts w:asciiTheme="majorHAnsi" w:hAnsiTheme="majorHAnsi" w:cstheme="majorHAnsi"/>
        </w:rPr>
        <w:lastRenderedPageBreak/>
        <w:t>Objectives and scope of the RA Government debt management strategy</w:t>
      </w:r>
      <w:bookmarkEnd w:id="6"/>
      <w:r w:rsidRPr="00AC6EC4">
        <w:rPr>
          <w:rFonts w:asciiTheme="majorHAnsi" w:hAnsiTheme="majorHAnsi" w:cstheme="majorHAnsi"/>
        </w:rPr>
        <w:t xml:space="preserve"> </w:t>
      </w:r>
    </w:p>
    <w:p w:rsidR="00FC17B8" w:rsidRPr="00AC6EC4" w:rsidRDefault="00FC17B8" w:rsidP="00FC17B8">
      <w:pPr>
        <w:spacing w:after="240"/>
        <w:ind w:firstLine="0"/>
        <w:rPr>
          <w:rFonts w:asciiTheme="majorHAnsi" w:hAnsiTheme="majorHAnsi" w:cstheme="majorHAnsi"/>
        </w:rPr>
      </w:pPr>
      <w:r w:rsidRPr="00AC6EC4">
        <w:rPr>
          <w:rFonts w:asciiTheme="majorHAnsi" w:hAnsiTheme="majorHAnsi" w:cstheme="majorHAnsi"/>
        </w:rPr>
        <w:t xml:space="preserve">The RA Government debt management strategy is developed in accordance with the provisions of the RA Law “On Public Debt” approved in 2008. </w:t>
      </w:r>
    </w:p>
    <w:p w:rsidR="00FC17B8" w:rsidRPr="00AC6EC4" w:rsidRDefault="00FC17B8" w:rsidP="00FC17B8">
      <w:pPr>
        <w:spacing w:after="240"/>
        <w:ind w:firstLine="0"/>
        <w:rPr>
          <w:rFonts w:asciiTheme="majorHAnsi" w:hAnsiTheme="majorHAnsi" w:cstheme="majorHAnsi"/>
        </w:rPr>
      </w:pPr>
      <w:r w:rsidRPr="00AC6EC4">
        <w:rPr>
          <w:rFonts w:asciiTheme="majorHAnsi" w:hAnsiTheme="majorHAnsi" w:cstheme="majorHAnsi"/>
        </w:rPr>
        <w:t>According to the RA Law “On Public Debt”, the main objective of the RA Government debt management is the assurance of the permanent possibility for meeting the financial needs of the Government, together with the reduction of the debt service amount in the long-term. Since the second part of the main objective of the RA Government debt management also assumes to assess the potential risks that may affect the reduction of the debt service amount in the long-term, then the debt management objective can be reformulated as determining the appropriate debt portfolio structure that minimizes the funding cost to the Government taking into consideration the financial risks.</w:t>
      </w:r>
    </w:p>
    <w:p w:rsidR="00CB1593" w:rsidRPr="00AC6EC4" w:rsidRDefault="00CB1593" w:rsidP="00CB1593">
      <w:pPr>
        <w:spacing w:after="240"/>
        <w:ind w:firstLine="0"/>
        <w:rPr>
          <w:rFonts w:asciiTheme="majorHAnsi" w:hAnsiTheme="majorHAnsi" w:cstheme="majorHAnsi"/>
        </w:rPr>
      </w:pPr>
      <w:r w:rsidRPr="00AC6EC4">
        <w:rPr>
          <w:rFonts w:asciiTheme="majorHAnsi" w:hAnsiTheme="majorHAnsi" w:cstheme="majorHAnsi"/>
        </w:rPr>
        <w:t>The RA Law “On Public Debt” also defines t</w:t>
      </w:r>
      <w:r w:rsidRPr="00AC6EC4">
        <w:rPr>
          <w:rFonts w:asciiTheme="majorHAnsi" w:hAnsiTheme="majorHAnsi" w:cstheme="majorHAnsi"/>
          <w:color w:val="000000"/>
        </w:rPr>
        <w:t xml:space="preserve">he goals for raising public debt, such as: financing the </w:t>
      </w:r>
      <w:r w:rsidRPr="00AC6EC4">
        <w:rPr>
          <w:rFonts w:asciiTheme="majorHAnsi" w:hAnsiTheme="majorHAnsi" w:cstheme="majorHAnsi"/>
        </w:rPr>
        <w:t>State budget deficit and ensuring current liquidity, maintaining and developing Government domestic debt market.</w:t>
      </w:r>
    </w:p>
    <w:p w:rsidR="00CB1593" w:rsidRPr="00AC6EC4" w:rsidRDefault="00CB1593" w:rsidP="00CB1593">
      <w:pPr>
        <w:spacing w:after="240"/>
        <w:ind w:firstLine="0"/>
        <w:rPr>
          <w:rFonts w:asciiTheme="majorHAnsi" w:hAnsiTheme="majorHAnsi" w:cstheme="majorHAnsi"/>
          <w:color w:val="000000"/>
        </w:rPr>
      </w:pPr>
      <w:r w:rsidRPr="00AC6EC4">
        <w:rPr>
          <w:rFonts w:asciiTheme="majorHAnsi" w:hAnsiTheme="majorHAnsi" w:cstheme="majorHAnsi"/>
        </w:rPr>
        <w:t>The strategy covers only the RA Government debt (including the guarantees provided by the RA Government), and the analyses performed do not include the external debt of the CBA. The latter is taken on behalf and by the CBA. Moreover, in accordance with the RA Law “On Public Debt”, the objectives of the CBA debt management are defined by the RA Law “On the Central Bank of RA”.</w:t>
      </w:r>
    </w:p>
    <w:p w:rsidR="008C09F0" w:rsidRPr="00AC6EC4" w:rsidRDefault="008C09F0" w:rsidP="00A1274B">
      <w:pPr>
        <w:rPr>
          <w:rFonts w:asciiTheme="majorHAnsi" w:hAnsiTheme="majorHAnsi" w:cstheme="majorHAnsi"/>
        </w:rPr>
      </w:pPr>
    </w:p>
    <w:p w:rsidR="00F34155" w:rsidRPr="00AC6EC4" w:rsidRDefault="00F34155" w:rsidP="00A1274B">
      <w:pPr>
        <w:rPr>
          <w:rFonts w:asciiTheme="majorHAnsi" w:hAnsiTheme="majorHAnsi" w:cstheme="majorHAnsi"/>
        </w:rPr>
      </w:pPr>
    </w:p>
    <w:p w:rsidR="00025E2D" w:rsidRPr="00AC6EC4" w:rsidRDefault="004A5795" w:rsidP="00A1274B">
      <w:pPr>
        <w:pStyle w:val="Heading1"/>
        <w:rPr>
          <w:rFonts w:asciiTheme="majorHAnsi" w:hAnsiTheme="majorHAnsi" w:cstheme="majorHAnsi"/>
        </w:rPr>
      </w:pPr>
      <w:r w:rsidRPr="00AC6EC4">
        <w:rPr>
          <w:rFonts w:asciiTheme="majorHAnsi" w:hAnsiTheme="majorHAnsi" w:cstheme="majorHAnsi"/>
          <w:sz w:val="22"/>
        </w:rPr>
        <w:br w:type="page"/>
      </w:r>
      <w:bookmarkStart w:id="7" w:name="_Toc80868690"/>
      <w:r w:rsidR="00477CF0" w:rsidRPr="00AC6EC4">
        <w:rPr>
          <w:rFonts w:asciiTheme="majorHAnsi" w:hAnsiTheme="majorHAnsi" w:cstheme="majorHAnsi"/>
        </w:rPr>
        <w:lastRenderedPageBreak/>
        <w:t>Developments observed in the RA Government debt management from the start of 2020</w:t>
      </w:r>
      <w:bookmarkEnd w:id="7"/>
    </w:p>
    <w:p w:rsidR="00CB1593" w:rsidRPr="00AC6EC4" w:rsidRDefault="00CB1593" w:rsidP="00460F7D">
      <w:pPr>
        <w:spacing w:after="100" w:afterAutospacing="1"/>
        <w:ind w:firstLine="0"/>
        <w:rPr>
          <w:rFonts w:asciiTheme="majorHAnsi" w:hAnsiTheme="majorHAnsi" w:cstheme="majorHAnsi"/>
        </w:rPr>
      </w:pPr>
      <w:r w:rsidRPr="00AC6EC4">
        <w:rPr>
          <w:rFonts w:asciiTheme="majorHAnsi" w:hAnsiTheme="majorHAnsi" w:cstheme="majorHAnsi"/>
        </w:rPr>
        <w:t xml:space="preserve">At the end of 2020 the RA Government debt/GDP ratio was 63.5%, which </w:t>
      </w:r>
      <w:r w:rsidR="00385180" w:rsidRPr="00AC6EC4">
        <w:rPr>
          <w:rFonts w:asciiTheme="majorHAnsi" w:hAnsiTheme="majorHAnsi" w:cstheme="majorHAnsi"/>
        </w:rPr>
        <w:t>was</w:t>
      </w:r>
      <w:r w:rsidRPr="00AC6EC4">
        <w:rPr>
          <w:rFonts w:asciiTheme="majorHAnsi" w:hAnsiTheme="majorHAnsi" w:cstheme="majorHAnsi"/>
        </w:rPr>
        <w:t xml:space="preserve"> more </w:t>
      </w:r>
      <w:r w:rsidR="00385180" w:rsidRPr="00AC6EC4">
        <w:rPr>
          <w:rFonts w:asciiTheme="majorHAnsi" w:hAnsiTheme="majorHAnsi" w:cstheme="majorHAnsi"/>
        </w:rPr>
        <w:t xml:space="preserve">by 4.9 percentage points </w:t>
      </w:r>
      <w:r w:rsidRPr="00AC6EC4">
        <w:rPr>
          <w:rFonts w:asciiTheme="majorHAnsi" w:hAnsiTheme="majorHAnsi" w:cstheme="majorHAnsi"/>
        </w:rPr>
        <w:t xml:space="preserve">than the planned indicator. It passed the 60% threshold </w:t>
      </w:r>
      <w:r w:rsidR="00460F7D" w:rsidRPr="00AC6EC4">
        <w:rPr>
          <w:rFonts w:asciiTheme="majorHAnsi" w:hAnsiTheme="majorHAnsi" w:cstheme="majorHAnsi"/>
        </w:rPr>
        <w:t>set by the fiscal rules, leading to the application of the strictest requirements of</w:t>
      </w:r>
      <w:r w:rsidR="00385180" w:rsidRPr="00AC6EC4">
        <w:rPr>
          <w:rFonts w:asciiTheme="majorHAnsi" w:hAnsiTheme="majorHAnsi" w:cstheme="majorHAnsi"/>
        </w:rPr>
        <w:t xml:space="preserve"> the</w:t>
      </w:r>
      <w:r w:rsidR="00460F7D" w:rsidRPr="00AC6EC4">
        <w:rPr>
          <w:rFonts w:asciiTheme="majorHAnsi" w:hAnsiTheme="majorHAnsi" w:cstheme="majorHAnsi"/>
        </w:rPr>
        <w:t xml:space="preserve"> fiscal rules. </w:t>
      </w:r>
    </w:p>
    <w:p w:rsidR="00CB1593" w:rsidRPr="00AC6EC4" w:rsidRDefault="00CB1593" w:rsidP="00CB1593">
      <w:pPr>
        <w:ind w:firstLine="0"/>
        <w:rPr>
          <w:rFonts w:asciiTheme="majorHAnsi" w:hAnsiTheme="majorHAnsi" w:cstheme="majorHAnsi"/>
        </w:rPr>
      </w:pPr>
      <w:r w:rsidRPr="00AC6EC4">
        <w:rPr>
          <w:rFonts w:asciiTheme="majorHAnsi" w:hAnsiTheme="majorHAnsi" w:cstheme="majorHAnsi"/>
        </w:rPr>
        <w:t xml:space="preserve">As a result of the RA Government debt management all benchmark indicators defined by the 2020-2022 RA Government Debt Management Strategy were within the outlined ranges. </w:t>
      </w:r>
    </w:p>
    <w:p w:rsidR="00CB1593" w:rsidRPr="00AC6EC4" w:rsidRDefault="00CB1593" w:rsidP="00CB1593">
      <w:pPr>
        <w:ind w:left="360"/>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2115"/>
        <w:gridCol w:w="2127"/>
      </w:tblGrid>
      <w:tr w:rsidR="001F2522" w:rsidRPr="00AC6EC4" w:rsidTr="005F7214">
        <w:trPr>
          <w:tblHeader/>
          <w:jc w:val="center"/>
        </w:trPr>
        <w:tc>
          <w:tcPr>
            <w:tcW w:w="5893" w:type="dxa"/>
            <w:tcBorders>
              <w:top w:val="thinThickThinSmallGap" w:sz="24" w:space="0" w:color="auto"/>
              <w:left w:val="nil"/>
              <w:bottom w:val="thinThickSmallGap" w:sz="24" w:space="0" w:color="auto"/>
              <w:right w:val="nil"/>
            </w:tcBorders>
            <w:shd w:val="clear" w:color="auto" w:fill="365F91" w:themeFill="accent1" w:themeFillShade="BF"/>
          </w:tcPr>
          <w:p w:rsidR="00025E2D" w:rsidRPr="00AC6EC4" w:rsidRDefault="00025E2D" w:rsidP="00062901">
            <w:pPr>
              <w:spacing w:line="240" w:lineRule="auto"/>
              <w:rPr>
                <w:rFonts w:asciiTheme="majorHAnsi" w:hAnsiTheme="majorHAnsi" w:cstheme="majorHAnsi"/>
                <w:color w:val="FFFFFF" w:themeColor="background1"/>
              </w:rPr>
            </w:pPr>
          </w:p>
        </w:tc>
        <w:tc>
          <w:tcPr>
            <w:tcW w:w="2115"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25E2D" w:rsidRPr="00AC6EC4" w:rsidRDefault="00274E65" w:rsidP="00062901">
            <w:pPr>
              <w:spacing w:line="240" w:lineRule="auto"/>
              <w:rPr>
                <w:rFonts w:asciiTheme="majorHAnsi" w:hAnsiTheme="majorHAnsi" w:cstheme="majorHAnsi"/>
                <w:color w:val="FFFFFF" w:themeColor="background1"/>
                <w:lang w:val="en-US"/>
              </w:rPr>
            </w:pPr>
            <w:r w:rsidRPr="00AC6EC4">
              <w:rPr>
                <w:rFonts w:asciiTheme="majorHAnsi" w:hAnsiTheme="majorHAnsi" w:cstheme="majorHAnsi"/>
                <w:color w:val="FFFFFF" w:themeColor="background1"/>
                <w:lang w:val="en-US"/>
              </w:rPr>
              <w:t>Benchmark</w:t>
            </w:r>
          </w:p>
        </w:tc>
        <w:tc>
          <w:tcPr>
            <w:tcW w:w="2127" w:type="dxa"/>
            <w:tcBorders>
              <w:top w:val="thinThickThinSmallGap" w:sz="24" w:space="0" w:color="auto"/>
              <w:left w:val="nil"/>
              <w:bottom w:val="thinThickSmallGap" w:sz="24" w:space="0" w:color="auto"/>
              <w:right w:val="nil"/>
            </w:tcBorders>
            <w:shd w:val="clear" w:color="auto" w:fill="365F91" w:themeFill="accent1" w:themeFillShade="BF"/>
          </w:tcPr>
          <w:p w:rsidR="00F010C3" w:rsidRPr="00AC6EC4" w:rsidRDefault="00025E2D" w:rsidP="00062901">
            <w:pPr>
              <w:spacing w:line="240" w:lineRule="auto"/>
              <w:rPr>
                <w:rFonts w:asciiTheme="majorHAnsi" w:hAnsiTheme="majorHAnsi" w:cstheme="majorHAnsi"/>
                <w:color w:val="FFFFFF" w:themeColor="background1"/>
              </w:rPr>
            </w:pPr>
            <w:r w:rsidRPr="00AC6EC4">
              <w:rPr>
                <w:rFonts w:asciiTheme="majorHAnsi" w:hAnsiTheme="majorHAnsi" w:cstheme="majorHAnsi"/>
                <w:color w:val="FFFFFF" w:themeColor="background1"/>
              </w:rPr>
              <w:t>31.12.</w:t>
            </w:r>
            <w:r w:rsidR="003641B1" w:rsidRPr="00AC6EC4">
              <w:rPr>
                <w:rFonts w:asciiTheme="majorHAnsi" w:hAnsiTheme="majorHAnsi" w:cstheme="majorHAnsi"/>
                <w:color w:val="FFFFFF" w:themeColor="background1"/>
              </w:rPr>
              <w:t>20</w:t>
            </w:r>
            <w:r w:rsidR="00365842" w:rsidRPr="00AC6EC4">
              <w:rPr>
                <w:rFonts w:asciiTheme="majorHAnsi" w:hAnsiTheme="majorHAnsi" w:cstheme="majorHAnsi"/>
                <w:color w:val="FFFFFF" w:themeColor="background1"/>
              </w:rPr>
              <w:t>20</w:t>
            </w:r>
          </w:p>
          <w:p w:rsidR="00025E2D" w:rsidRPr="00AC6EC4" w:rsidRDefault="00274E65" w:rsidP="00062901">
            <w:pPr>
              <w:spacing w:line="240" w:lineRule="auto"/>
              <w:rPr>
                <w:rFonts w:asciiTheme="majorHAnsi" w:hAnsiTheme="majorHAnsi" w:cstheme="majorHAnsi"/>
                <w:color w:val="FFFFFF" w:themeColor="background1"/>
                <w:lang w:val="en-US"/>
              </w:rPr>
            </w:pPr>
            <w:r w:rsidRPr="00AC6EC4">
              <w:rPr>
                <w:rFonts w:asciiTheme="majorHAnsi" w:hAnsiTheme="majorHAnsi" w:cstheme="majorHAnsi"/>
                <w:color w:val="FFFFFF" w:themeColor="background1"/>
                <w:lang w:val="en-US"/>
              </w:rPr>
              <w:t>Actual</w:t>
            </w:r>
          </w:p>
        </w:tc>
      </w:tr>
      <w:tr w:rsidR="005F7214" w:rsidRPr="00AC6EC4" w:rsidTr="00E31CAF">
        <w:trPr>
          <w:jc w:val="center"/>
        </w:trPr>
        <w:tc>
          <w:tcPr>
            <w:tcW w:w="5893" w:type="dxa"/>
            <w:tcBorders>
              <w:top w:val="thinThickSmallGap" w:sz="24" w:space="0" w:color="auto"/>
              <w:left w:val="nil"/>
              <w:right w:val="nil"/>
            </w:tcBorders>
          </w:tcPr>
          <w:p w:rsidR="005F7214" w:rsidRPr="00AC6EC4" w:rsidRDefault="005F7214" w:rsidP="00062901">
            <w:pPr>
              <w:spacing w:line="240" w:lineRule="auto"/>
              <w:ind w:firstLine="321"/>
              <w:rPr>
                <w:rFonts w:asciiTheme="majorHAnsi" w:hAnsiTheme="majorHAnsi" w:cstheme="majorHAnsi"/>
                <w:b/>
              </w:rPr>
            </w:pPr>
            <w:r w:rsidRPr="00AC6EC4">
              <w:rPr>
                <w:rFonts w:asciiTheme="majorHAnsi" w:hAnsiTheme="majorHAnsi" w:cstheme="majorHAnsi"/>
                <w:b/>
              </w:rPr>
              <w:t>Refinancing risk</w:t>
            </w:r>
          </w:p>
        </w:tc>
        <w:tc>
          <w:tcPr>
            <w:tcW w:w="2115" w:type="dxa"/>
            <w:tcBorders>
              <w:top w:val="thinThickSmallGap" w:sz="24" w:space="0" w:color="auto"/>
              <w:left w:val="nil"/>
              <w:right w:val="nil"/>
            </w:tcBorders>
            <w:vAlign w:val="center"/>
          </w:tcPr>
          <w:p w:rsidR="005F7214" w:rsidRPr="00AC6EC4" w:rsidRDefault="005F7214" w:rsidP="00062901">
            <w:pPr>
              <w:spacing w:line="240" w:lineRule="auto"/>
              <w:ind w:firstLine="0"/>
              <w:jc w:val="center"/>
              <w:rPr>
                <w:rFonts w:asciiTheme="majorHAnsi" w:hAnsiTheme="majorHAnsi" w:cstheme="majorHAnsi"/>
                <w:b/>
              </w:rPr>
            </w:pPr>
          </w:p>
        </w:tc>
        <w:tc>
          <w:tcPr>
            <w:tcW w:w="2127" w:type="dxa"/>
            <w:tcBorders>
              <w:top w:val="thinThickSmallGap" w:sz="24" w:space="0" w:color="auto"/>
              <w:left w:val="nil"/>
              <w:right w:val="nil"/>
            </w:tcBorders>
            <w:vAlign w:val="center"/>
          </w:tcPr>
          <w:p w:rsidR="005F7214" w:rsidRPr="00AC6EC4" w:rsidRDefault="005F7214" w:rsidP="00062901">
            <w:pPr>
              <w:spacing w:line="240" w:lineRule="auto"/>
              <w:ind w:firstLine="0"/>
              <w:jc w:val="center"/>
              <w:rPr>
                <w:rFonts w:asciiTheme="majorHAnsi" w:hAnsiTheme="majorHAnsi" w:cstheme="majorHAnsi"/>
                <w:b/>
              </w:rPr>
            </w:pPr>
          </w:p>
        </w:tc>
      </w:tr>
      <w:tr w:rsidR="00530FED" w:rsidRPr="00AC6EC4" w:rsidTr="00E31CAF">
        <w:trPr>
          <w:jc w:val="center"/>
        </w:trPr>
        <w:tc>
          <w:tcPr>
            <w:tcW w:w="5893" w:type="dxa"/>
            <w:tcBorders>
              <w:left w:val="nil"/>
              <w:right w:val="nil"/>
            </w:tcBorders>
          </w:tcPr>
          <w:p w:rsidR="00530FED" w:rsidRPr="00AC6EC4" w:rsidRDefault="00530FED" w:rsidP="00062901">
            <w:pPr>
              <w:spacing w:line="240" w:lineRule="auto"/>
              <w:ind w:left="604" w:firstLine="0"/>
              <w:rPr>
                <w:rFonts w:asciiTheme="majorHAnsi" w:hAnsiTheme="majorHAnsi" w:cstheme="majorHAnsi"/>
              </w:rPr>
            </w:pPr>
            <w:r w:rsidRPr="00AC6EC4">
              <w:rPr>
                <w:rFonts w:asciiTheme="majorHAnsi" w:hAnsiTheme="majorHAnsi" w:cstheme="majorHAnsi"/>
              </w:rPr>
              <w:t>Average time to maturity</w:t>
            </w:r>
          </w:p>
        </w:tc>
        <w:tc>
          <w:tcPr>
            <w:tcW w:w="2115" w:type="dxa"/>
            <w:tcBorders>
              <w:left w:val="nil"/>
              <w:right w:val="nil"/>
            </w:tcBorders>
            <w:vAlign w:val="center"/>
          </w:tcPr>
          <w:p w:rsidR="00530FED" w:rsidRPr="00AC6EC4" w:rsidRDefault="00530FED" w:rsidP="00062901">
            <w:pPr>
              <w:spacing w:line="240" w:lineRule="auto"/>
              <w:jc w:val="center"/>
              <w:rPr>
                <w:rFonts w:asciiTheme="majorHAnsi" w:hAnsiTheme="majorHAnsi" w:cstheme="majorHAnsi"/>
              </w:rPr>
            </w:pPr>
            <w:r w:rsidRPr="00AC6EC4">
              <w:rPr>
                <w:rFonts w:asciiTheme="majorHAnsi" w:hAnsiTheme="majorHAnsi" w:cstheme="majorHAnsi"/>
              </w:rPr>
              <w:t>8 – 11 years</w:t>
            </w:r>
          </w:p>
        </w:tc>
        <w:tc>
          <w:tcPr>
            <w:tcW w:w="2127" w:type="dxa"/>
            <w:tcBorders>
              <w:left w:val="nil"/>
              <w:right w:val="nil"/>
            </w:tcBorders>
            <w:vAlign w:val="center"/>
          </w:tcPr>
          <w:p w:rsidR="00530FED" w:rsidRPr="00AC6EC4" w:rsidRDefault="00530FED" w:rsidP="00062901">
            <w:pPr>
              <w:spacing w:line="240" w:lineRule="auto"/>
              <w:ind w:firstLine="0"/>
              <w:jc w:val="center"/>
              <w:rPr>
                <w:rFonts w:asciiTheme="majorHAnsi" w:hAnsiTheme="majorHAnsi" w:cstheme="majorHAnsi"/>
              </w:rPr>
            </w:pPr>
            <w:r w:rsidRPr="00AC6EC4">
              <w:rPr>
                <w:rFonts w:asciiTheme="majorHAnsi" w:hAnsiTheme="majorHAnsi" w:cstheme="majorHAnsi"/>
              </w:rPr>
              <w:t xml:space="preserve">8.8 </w:t>
            </w:r>
            <w:r w:rsidR="00FB1209" w:rsidRPr="00AC6EC4">
              <w:rPr>
                <w:rFonts w:asciiTheme="majorHAnsi" w:hAnsiTheme="majorHAnsi" w:cstheme="majorHAnsi"/>
              </w:rPr>
              <w:t>years</w:t>
            </w:r>
          </w:p>
        </w:tc>
      </w:tr>
      <w:tr w:rsidR="00530FED" w:rsidRPr="00AC6EC4" w:rsidTr="00E31CAF">
        <w:trPr>
          <w:jc w:val="center"/>
        </w:trPr>
        <w:tc>
          <w:tcPr>
            <w:tcW w:w="5893" w:type="dxa"/>
            <w:tcBorders>
              <w:left w:val="nil"/>
              <w:right w:val="nil"/>
            </w:tcBorders>
          </w:tcPr>
          <w:p w:rsidR="00530FED" w:rsidRPr="00AC6EC4" w:rsidRDefault="00530FED" w:rsidP="00062901">
            <w:pPr>
              <w:spacing w:line="240" w:lineRule="auto"/>
              <w:ind w:left="604" w:firstLine="0"/>
              <w:rPr>
                <w:rFonts w:asciiTheme="majorHAnsi" w:hAnsiTheme="majorHAnsi" w:cstheme="majorHAnsi"/>
              </w:rPr>
            </w:pPr>
            <w:r w:rsidRPr="00AC6EC4">
              <w:rPr>
                <w:rFonts w:asciiTheme="majorHAnsi" w:hAnsiTheme="majorHAnsi" w:cstheme="majorHAnsi"/>
              </w:rPr>
              <w:t>Share of the Government treasury bonds maturing within a year in the outstanding Government treasury bonds (at the end of the year)</w:t>
            </w:r>
          </w:p>
        </w:tc>
        <w:tc>
          <w:tcPr>
            <w:tcW w:w="2115" w:type="dxa"/>
            <w:tcBorders>
              <w:left w:val="nil"/>
              <w:right w:val="nil"/>
            </w:tcBorders>
            <w:vAlign w:val="center"/>
          </w:tcPr>
          <w:p w:rsidR="00530FED" w:rsidRPr="00AC6EC4" w:rsidRDefault="00530FED" w:rsidP="00062901">
            <w:pPr>
              <w:spacing w:line="240" w:lineRule="auto"/>
              <w:jc w:val="center"/>
              <w:rPr>
                <w:rFonts w:asciiTheme="majorHAnsi" w:hAnsiTheme="majorHAnsi" w:cstheme="majorHAnsi"/>
              </w:rPr>
            </w:pPr>
            <w:r w:rsidRPr="00AC6EC4">
              <w:rPr>
                <w:rFonts w:asciiTheme="majorHAnsi" w:hAnsiTheme="majorHAnsi" w:cstheme="majorHAnsi"/>
              </w:rPr>
              <w:t>max 20%</w:t>
            </w:r>
          </w:p>
        </w:tc>
        <w:tc>
          <w:tcPr>
            <w:tcW w:w="2127" w:type="dxa"/>
            <w:tcBorders>
              <w:left w:val="nil"/>
              <w:right w:val="nil"/>
            </w:tcBorders>
            <w:vAlign w:val="center"/>
          </w:tcPr>
          <w:p w:rsidR="00530FED" w:rsidRPr="00AC6EC4" w:rsidRDefault="00530FED" w:rsidP="00062901">
            <w:pPr>
              <w:spacing w:line="240" w:lineRule="auto"/>
              <w:ind w:firstLine="0"/>
              <w:jc w:val="center"/>
              <w:rPr>
                <w:rFonts w:asciiTheme="majorHAnsi" w:hAnsiTheme="majorHAnsi" w:cstheme="majorHAnsi"/>
              </w:rPr>
            </w:pPr>
            <w:r w:rsidRPr="00AC6EC4">
              <w:rPr>
                <w:rFonts w:asciiTheme="majorHAnsi" w:hAnsiTheme="majorHAnsi" w:cstheme="majorHAnsi"/>
              </w:rPr>
              <w:t>11.5 %</w:t>
            </w:r>
          </w:p>
        </w:tc>
      </w:tr>
      <w:tr w:rsidR="00530FED" w:rsidRPr="00AC6EC4" w:rsidTr="00E31CAF">
        <w:trPr>
          <w:jc w:val="center"/>
        </w:trPr>
        <w:tc>
          <w:tcPr>
            <w:tcW w:w="5893" w:type="dxa"/>
            <w:tcBorders>
              <w:left w:val="nil"/>
              <w:right w:val="nil"/>
            </w:tcBorders>
          </w:tcPr>
          <w:p w:rsidR="00530FED" w:rsidRPr="00AC6EC4" w:rsidRDefault="00530FED" w:rsidP="00062901">
            <w:pPr>
              <w:spacing w:line="240" w:lineRule="auto"/>
              <w:ind w:firstLine="321"/>
              <w:rPr>
                <w:rFonts w:asciiTheme="majorHAnsi" w:hAnsiTheme="majorHAnsi" w:cstheme="majorHAnsi"/>
                <w:b/>
              </w:rPr>
            </w:pPr>
            <w:r w:rsidRPr="00AC6EC4">
              <w:rPr>
                <w:rFonts w:asciiTheme="majorHAnsi" w:hAnsiTheme="majorHAnsi" w:cstheme="majorHAnsi"/>
                <w:b/>
              </w:rPr>
              <w:t>Interest rate risk</w:t>
            </w:r>
          </w:p>
        </w:tc>
        <w:tc>
          <w:tcPr>
            <w:tcW w:w="2115" w:type="dxa"/>
            <w:tcBorders>
              <w:left w:val="nil"/>
              <w:right w:val="nil"/>
            </w:tcBorders>
            <w:vAlign w:val="center"/>
          </w:tcPr>
          <w:p w:rsidR="00530FED" w:rsidRPr="00AC6EC4" w:rsidRDefault="00530FED" w:rsidP="00062901">
            <w:pPr>
              <w:spacing w:line="240" w:lineRule="auto"/>
              <w:jc w:val="center"/>
              <w:rPr>
                <w:rFonts w:asciiTheme="majorHAnsi" w:hAnsiTheme="majorHAnsi" w:cstheme="majorHAnsi"/>
                <w:b/>
              </w:rPr>
            </w:pPr>
          </w:p>
        </w:tc>
        <w:tc>
          <w:tcPr>
            <w:tcW w:w="2127" w:type="dxa"/>
            <w:tcBorders>
              <w:left w:val="nil"/>
              <w:right w:val="nil"/>
            </w:tcBorders>
            <w:vAlign w:val="center"/>
          </w:tcPr>
          <w:p w:rsidR="00530FED" w:rsidRPr="00AC6EC4" w:rsidRDefault="00530FED" w:rsidP="00062901">
            <w:pPr>
              <w:spacing w:line="240" w:lineRule="auto"/>
              <w:ind w:firstLine="0"/>
              <w:jc w:val="center"/>
              <w:rPr>
                <w:rFonts w:asciiTheme="majorHAnsi" w:hAnsiTheme="majorHAnsi" w:cstheme="majorHAnsi"/>
                <w:b/>
              </w:rPr>
            </w:pPr>
          </w:p>
        </w:tc>
      </w:tr>
      <w:tr w:rsidR="00530FED" w:rsidRPr="00AC6EC4" w:rsidTr="00E31CAF">
        <w:trPr>
          <w:jc w:val="center"/>
        </w:trPr>
        <w:tc>
          <w:tcPr>
            <w:tcW w:w="5893" w:type="dxa"/>
            <w:tcBorders>
              <w:left w:val="nil"/>
              <w:right w:val="nil"/>
            </w:tcBorders>
          </w:tcPr>
          <w:p w:rsidR="00530FED" w:rsidRPr="00AC6EC4" w:rsidRDefault="00530FED" w:rsidP="00062901">
            <w:pPr>
              <w:spacing w:line="240" w:lineRule="auto"/>
              <w:ind w:left="604" w:firstLine="0"/>
              <w:rPr>
                <w:rFonts w:asciiTheme="majorHAnsi" w:hAnsiTheme="majorHAnsi" w:cstheme="majorHAnsi"/>
              </w:rPr>
            </w:pPr>
            <w:r w:rsidRPr="00AC6EC4">
              <w:rPr>
                <w:rFonts w:asciiTheme="majorHAnsi" w:hAnsiTheme="majorHAnsi" w:cstheme="majorHAnsi"/>
              </w:rPr>
              <w:t>Share of fixed rate debt in total debt</w:t>
            </w:r>
          </w:p>
        </w:tc>
        <w:tc>
          <w:tcPr>
            <w:tcW w:w="2115" w:type="dxa"/>
            <w:tcBorders>
              <w:left w:val="nil"/>
              <w:right w:val="nil"/>
            </w:tcBorders>
            <w:vAlign w:val="center"/>
          </w:tcPr>
          <w:p w:rsidR="00530FED" w:rsidRPr="00AC6EC4" w:rsidRDefault="00530FED" w:rsidP="00062901">
            <w:pPr>
              <w:spacing w:line="240" w:lineRule="auto"/>
              <w:jc w:val="center"/>
              <w:rPr>
                <w:rFonts w:asciiTheme="majorHAnsi" w:hAnsiTheme="majorHAnsi" w:cstheme="majorHAnsi"/>
              </w:rPr>
            </w:pPr>
            <w:r w:rsidRPr="00AC6EC4">
              <w:rPr>
                <w:rFonts w:asciiTheme="majorHAnsi" w:hAnsiTheme="majorHAnsi" w:cstheme="majorHAnsi"/>
              </w:rPr>
              <w:t>min 80%</w:t>
            </w:r>
          </w:p>
        </w:tc>
        <w:tc>
          <w:tcPr>
            <w:tcW w:w="2127" w:type="dxa"/>
            <w:tcBorders>
              <w:left w:val="nil"/>
              <w:right w:val="nil"/>
            </w:tcBorders>
            <w:vAlign w:val="center"/>
          </w:tcPr>
          <w:p w:rsidR="00530FED" w:rsidRPr="00AC6EC4" w:rsidRDefault="00530FED" w:rsidP="00062901">
            <w:pPr>
              <w:spacing w:line="240" w:lineRule="auto"/>
              <w:ind w:firstLine="0"/>
              <w:jc w:val="center"/>
              <w:rPr>
                <w:rFonts w:asciiTheme="majorHAnsi" w:hAnsiTheme="majorHAnsi" w:cstheme="majorHAnsi"/>
              </w:rPr>
            </w:pPr>
            <w:r w:rsidRPr="00AC6EC4">
              <w:rPr>
                <w:rFonts w:asciiTheme="majorHAnsi" w:hAnsiTheme="majorHAnsi" w:cstheme="majorHAnsi"/>
              </w:rPr>
              <w:t>80.4 %</w:t>
            </w:r>
          </w:p>
        </w:tc>
      </w:tr>
      <w:tr w:rsidR="00530FED" w:rsidRPr="00AC6EC4" w:rsidTr="00E31CAF">
        <w:trPr>
          <w:jc w:val="center"/>
        </w:trPr>
        <w:tc>
          <w:tcPr>
            <w:tcW w:w="5893" w:type="dxa"/>
            <w:tcBorders>
              <w:left w:val="nil"/>
              <w:right w:val="nil"/>
            </w:tcBorders>
          </w:tcPr>
          <w:p w:rsidR="00530FED" w:rsidRPr="00AC6EC4" w:rsidRDefault="00530FED" w:rsidP="00062901">
            <w:pPr>
              <w:spacing w:line="240" w:lineRule="auto"/>
              <w:ind w:firstLine="321"/>
              <w:rPr>
                <w:rFonts w:asciiTheme="majorHAnsi" w:hAnsiTheme="majorHAnsi" w:cstheme="majorHAnsi"/>
                <w:b/>
              </w:rPr>
            </w:pPr>
            <w:r w:rsidRPr="00AC6EC4">
              <w:rPr>
                <w:rFonts w:asciiTheme="majorHAnsi" w:hAnsiTheme="majorHAnsi" w:cstheme="majorHAnsi"/>
                <w:b/>
              </w:rPr>
              <w:t>Exchange rate risk</w:t>
            </w:r>
          </w:p>
        </w:tc>
        <w:tc>
          <w:tcPr>
            <w:tcW w:w="2115" w:type="dxa"/>
            <w:tcBorders>
              <w:left w:val="nil"/>
              <w:right w:val="nil"/>
            </w:tcBorders>
            <w:vAlign w:val="center"/>
          </w:tcPr>
          <w:p w:rsidR="00530FED" w:rsidRPr="00AC6EC4" w:rsidRDefault="00530FED" w:rsidP="00062901">
            <w:pPr>
              <w:spacing w:line="240" w:lineRule="auto"/>
              <w:jc w:val="center"/>
              <w:rPr>
                <w:rFonts w:asciiTheme="majorHAnsi" w:hAnsiTheme="majorHAnsi" w:cstheme="majorHAnsi"/>
                <w:b/>
              </w:rPr>
            </w:pPr>
          </w:p>
        </w:tc>
        <w:tc>
          <w:tcPr>
            <w:tcW w:w="2127" w:type="dxa"/>
            <w:tcBorders>
              <w:left w:val="nil"/>
              <w:right w:val="nil"/>
            </w:tcBorders>
            <w:vAlign w:val="center"/>
          </w:tcPr>
          <w:p w:rsidR="00530FED" w:rsidRPr="00AC6EC4" w:rsidRDefault="00530FED" w:rsidP="00062901">
            <w:pPr>
              <w:spacing w:line="240" w:lineRule="auto"/>
              <w:ind w:firstLine="0"/>
              <w:jc w:val="center"/>
              <w:rPr>
                <w:rFonts w:asciiTheme="majorHAnsi" w:hAnsiTheme="majorHAnsi" w:cstheme="majorHAnsi"/>
                <w:b/>
              </w:rPr>
            </w:pPr>
          </w:p>
        </w:tc>
      </w:tr>
      <w:tr w:rsidR="00530FED" w:rsidRPr="00AC6EC4" w:rsidTr="00E31CAF">
        <w:trPr>
          <w:jc w:val="center"/>
        </w:trPr>
        <w:tc>
          <w:tcPr>
            <w:tcW w:w="5893" w:type="dxa"/>
            <w:tcBorders>
              <w:left w:val="nil"/>
              <w:right w:val="nil"/>
            </w:tcBorders>
          </w:tcPr>
          <w:p w:rsidR="00530FED" w:rsidRPr="00AC6EC4" w:rsidRDefault="00530FED" w:rsidP="00062901">
            <w:pPr>
              <w:spacing w:line="240" w:lineRule="auto"/>
              <w:ind w:left="604" w:firstLine="0"/>
              <w:rPr>
                <w:rFonts w:asciiTheme="majorHAnsi" w:hAnsiTheme="majorHAnsi" w:cstheme="majorHAnsi"/>
                <w:b/>
              </w:rPr>
            </w:pPr>
            <w:r w:rsidRPr="00AC6EC4">
              <w:rPr>
                <w:rFonts w:asciiTheme="majorHAnsi" w:hAnsiTheme="majorHAnsi" w:cstheme="majorHAnsi"/>
              </w:rPr>
              <w:t>Share of domestic debt in total debt</w:t>
            </w:r>
          </w:p>
        </w:tc>
        <w:tc>
          <w:tcPr>
            <w:tcW w:w="2115" w:type="dxa"/>
            <w:tcBorders>
              <w:left w:val="nil"/>
              <w:right w:val="nil"/>
            </w:tcBorders>
            <w:vAlign w:val="center"/>
          </w:tcPr>
          <w:p w:rsidR="00530FED" w:rsidRPr="00AC6EC4" w:rsidRDefault="00530FED" w:rsidP="00062901">
            <w:pPr>
              <w:spacing w:line="240" w:lineRule="auto"/>
              <w:jc w:val="center"/>
              <w:rPr>
                <w:rFonts w:asciiTheme="majorHAnsi" w:hAnsiTheme="majorHAnsi" w:cstheme="majorHAnsi"/>
                <w:b/>
              </w:rPr>
            </w:pPr>
            <w:r w:rsidRPr="00AC6EC4">
              <w:rPr>
                <w:rFonts w:asciiTheme="majorHAnsi" w:hAnsiTheme="majorHAnsi" w:cstheme="majorHAnsi"/>
              </w:rPr>
              <w:t>min 20%</w:t>
            </w:r>
          </w:p>
        </w:tc>
        <w:tc>
          <w:tcPr>
            <w:tcW w:w="2127" w:type="dxa"/>
            <w:tcBorders>
              <w:left w:val="nil"/>
              <w:right w:val="nil"/>
            </w:tcBorders>
            <w:vAlign w:val="center"/>
          </w:tcPr>
          <w:p w:rsidR="00530FED" w:rsidRPr="00AC6EC4" w:rsidRDefault="00530FED" w:rsidP="00062901">
            <w:pPr>
              <w:spacing w:line="240" w:lineRule="auto"/>
              <w:ind w:firstLine="0"/>
              <w:jc w:val="center"/>
              <w:rPr>
                <w:rFonts w:asciiTheme="majorHAnsi" w:hAnsiTheme="majorHAnsi" w:cstheme="majorHAnsi"/>
              </w:rPr>
            </w:pPr>
            <w:r w:rsidRPr="00AC6EC4">
              <w:rPr>
                <w:rFonts w:asciiTheme="majorHAnsi" w:hAnsiTheme="majorHAnsi" w:cstheme="majorHAnsi"/>
              </w:rPr>
              <w:t>25.5 %</w:t>
            </w:r>
          </w:p>
        </w:tc>
      </w:tr>
      <w:tr w:rsidR="00530FED" w:rsidRPr="00AC6EC4" w:rsidTr="00E31CAF">
        <w:trPr>
          <w:jc w:val="center"/>
        </w:trPr>
        <w:tc>
          <w:tcPr>
            <w:tcW w:w="5893" w:type="dxa"/>
            <w:tcBorders>
              <w:left w:val="nil"/>
              <w:bottom w:val="thickThinSmallGap" w:sz="24" w:space="0" w:color="auto"/>
              <w:right w:val="nil"/>
            </w:tcBorders>
          </w:tcPr>
          <w:p w:rsidR="00530FED" w:rsidRPr="00AC6EC4" w:rsidRDefault="00530FED" w:rsidP="00062901">
            <w:pPr>
              <w:spacing w:line="240" w:lineRule="auto"/>
              <w:ind w:left="604" w:firstLine="0"/>
              <w:rPr>
                <w:rFonts w:asciiTheme="majorHAnsi" w:hAnsiTheme="majorHAnsi" w:cstheme="majorHAnsi"/>
              </w:rPr>
            </w:pPr>
            <w:r w:rsidRPr="00AC6EC4">
              <w:rPr>
                <w:rFonts w:asciiTheme="majorHAnsi" w:hAnsiTheme="majorHAnsi" w:cstheme="majorHAnsi"/>
              </w:rPr>
              <w:t>Share of AMD denominated debt in total debt</w:t>
            </w:r>
          </w:p>
        </w:tc>
        <w:tc>
          <w:tcPr>
            <w:tcW w:w="2115" w:type="dxa"/>
            <w:tcBorders>
              <w:left w:val="nil"/>
              <w:bottom w:val="thickThinSmallGap" w:sz="24" w:space="0" w:color="auto"/>
              <w:right w:val="nil"/>
            </w:tcBorders>
            <w:vAlign w:val="center"/>
          </w:tcPr>
          <w:p w:rsidR="00530FED" w:rsidRPr="00AC6EC4" w:rsidRDefault="00530FED" w:rsidP="00062901">
            <w:pPr>
              <w:spacing w:line="240" w:lineRule="auto"/>
              <w:jc w:val="center"/>
              <w:rPr>
                <w:rFonts w:asciiTheme="majorHAnsi" w:hAnsiTheme="majorHAnsi" w:cstheme="majorHAnsi"/>
              </w:rPr>
            </w:pPr>
            <w:r w:rsidRPr="00AC6EC4">
              <w:rPr>
                <w:rFonts w:asciiTheme="majorHAnsi" w:hAnsiTheme="majorHAnsi" w:cstheme="majorHAnsi"/>
              </w:rPr>
              <w:t>min 20%</w:t>
            </w:r>
          </w:p>
        </w:tc>
        <w:tc>
          <w:tcPr>
            <w:tcW w:w="2127" w:type="dxa"/>
            <w:tcBorders>
              <w:left w:val="nil"/>
              <w:bottom w:val="thickThinSmallGap" w:sz="24" w:space="0" w:color="auto"/>
              <w:right w:val="nil"/>
            </w:tcBorders>
            <w:vAlign w:val="center"/>
          </w:tcPr>
          <w:p w:rsidR="00530FED" w:rsidRPr="00AC6EC4" w:rsidRDefault="00530FED" w:rsidP="00062901">
            <w:pPr>
              <w:spacing w:line="240" w:lineRule="auto"/>
              <w:ind w:firstLine="0"/>
              <w:jc w:val="center"/>
              <w:rPr>
                <w:rFonts w:asciiTheme="majorHAnsi" w:hAnsiTheme="majorHAnsi" w:cstheme="majorHAnsi"/>
              </w:rPr>
            </w:pPr>
            <w:r w:rsidRPr="00AC6EC4">
              <w:rPr>
                <w:rFonts w:asciiTheme="majorHAnsi" w:hAnsiTheme="majorHAnsi" w:cstheme="majorHAnsi"/>
              </w:rPr>
              <w:t>24.4 %</w:t>
            </w:r>
          </w:p>
        </w:tc>
      </w:tr>
    </w:tbl>
    <w:p w:rsidR="00441030" w:rsidRPr="00AC6EC4" w:rsidRDefault="00441030" w:rsidP="00A1274B">
      <w:pPr>
        <w:rPr>
          <w:rFonts w:asciiTheme="majorHAnsi" w:hAnsiTheme="majorHAnsi" w:cstheme="majorHAnsi"/>
        </w:rPr>
      </w:pPr>
    </w:p>
    <w:p w:rsidR="003C092F" w:rsidRPr="00AC6EC4" w:rsidRDefault="00460F7D" w:rsidP="003C092F">
      <w:pPr>
        <w:spacing w:line="336" w:lineRule="auto"/>
        <w:ind w:firstLine="0"/>
        <w:rPr>
          <w:rFonts w:asciiTheme="majorHAnsi" w:hAnsiTheme="majorHAnsi" w:cstheme="majorHAnsi"/>
        </w:rPr>
      </w:pPr>
      <w:r w:rsidRPr="00AC6EC4">
        <w:rPr>
          <w:rFonts w:asciiTheme="majorHAnsi" w:hAnsiTheme="majorHAnsi" w:cstheme="majorHAnsi"/>
        </w:rPr>
        <w:t xml:space="preserve">In 2020 the deficit financing by domestic net borrowings (without promissory notes) constituted AMD 300.5 billion or </w:t>
      </w:r>
      <w:r w:rsidR="005F55D9" w:rsidRPr="00AC6EC4">
        <w:rPr>
          <w:rFonts w:asciiTheme="majorHAnsi" w:hAnsiTheme="majorHAnsi" w:cstheme="majorHAnsi"/>
        </w:rPr>
        <w:t>8</w:t>
      </w:r>
      <w:r w:rsidRPr="00AC6EC4">
        <w:rPr>
          <w:rFonts w:asciiTheme="majorHAnsi" w:hAnsiTheme="majorHAnsi" w:cstheme="majorHAnsi"/>
        </w:rPr>
        <w:t>4</w:t>
      </w:r>
      <w:r w:rsidR="005F55D9" w:rsidRPr="00AC6EC4">
        <w:rPr>
          <w:rFonts w:asciiTheme="majorHAnsi" w:hAnsiTheme="majorHAnsi" w:cstheme="majorHAnsi"/>
        </w:rPr>
        <w:t>.7</w:t>
      </w:r>
      <w:r w:rsidRPr="00AC6EC4">
        <w:rPr>
          <w:rFonts w:asciiTheme="majorHAnsi" w:hAnsiTheme="majorHAnsi" w:cstheme="majorHAnsi"/>
        </w:rPr>
        <w:t xml:space="preserve">% of the total net borrowings for deficit financing, and by external net borrowings: AMD </w:t>
      </w:r>
      <w:r w:rsidR="005F55D9" w:rsidRPr="00AC6EC4">
        <w:rPr>
          <w:rFonts w:asciiTheme="majorHAnsi" w:hAnsiTheme="majorHAnsi" w:cstheme="majorHAnsi"/>
        </w:rPr>
        <w:t>54.1</w:t>
      </w:r>
      <w:r w:rsidRPr="00AC6EC4">
        <w:rPr>
          <w:rFonts w:asciiTheme="majorHAnsi" w:hAnsiTheme="majorHAnsi" w:cstheme="majorHAnsi"/>
        </w:rPr>
        <w:t xml:space="preserve"> billion or </w:t>
      </w:r>
      <w:r w:rsidR="005F55D9" w:rsidRPr="00AC6EC4">
        <w:rPr>
          <w:rFonts w:asciiTheme="majorHAnsi" w:hAnsiTheme="majorHAnsi" w:cstheme="majorHAnsi"/>
        </w:rPr>
        <w:t>15</w:t>
      </w:r>
      <w:r w:rsidRPr="00AC6EC4">
        <w:rPr>
          <w:rFonts w:asciiTheme="majorHAnsi" w:hAnsiTheme="majorHAnsi" w:cstheme="majorHAnsi"/>
        </w:rPr>
        <w:t>.</w:t>
      </w:r>
      <w:r w:rsidR="005F55D9" w:rsidRPr="00AC6EC4">
        <w:rPr>
          <w:rFonts w:asciiTheme="majorHAnsi" w:hAnsiTheme="majorHAnsi" w:cstheme="majorHAnsi"/>
        </w:rPr>
        <w:t>3</w:t>
      </w:r>
      <w:r w:rsidRPr="00AC6EC4">
        <w:rPr>
          <w:rFonts w:asciiTheme="majorHAnsi" w:hAnsiTheme="majorHAnsi" w:cstheme="majorHAnsi"/>
        </w:rPr>
        <w:t>% of the total net borrowings for deficit financing.</w:t>
      </w:r>
      <w:r w:rsidR="007C711D" w:rsidRPr="00AC6EC4">
        <w:rPr>
          <w:rFonts w:asciiTheme="majorHAnsi" w:hAnsiTheme="majorHAnsi" w:cstheme="majorHAnsi"/>
        </w:rPr>
        <w:t xml:space="preserve"> </w:t>
      </w:r>
      <w:r w:rsidR="007B6CCA" w:rsidRPr="00AC6EC4">
        <w:rPr>
          <w:rFonts w:asciiTheme="majorHAnsi" w:hAnsiTheme="majorHAnsi" w:cstheme="majorHAnsi"/>
        </w:rPr>
        <w:t>In</w:t>
      </w:r>
      <w:r w:rsidR="007C711D" w:rsidRPr="00AC6EC4">
        <w:rPr>
          <w:rFonts w:asciiTheme="majorHAnsi" w:hAnsiTheme="majorHAnsi" w:cstheme="majorHAnsi"/>
        </w:rPr>
        <w:t xml:space="preserve"> 2020 deficit financing by domestic net borrowings (without promissory notes) was planned to be implemented by the approved budget </w:t>
      </w:r>
      <w:r w:rsidR="000A73BE" w:rsidRPr="00AC6EC4">
        <w:rPr>
          <w:rFonts w:asciiTheme="majorHAnsi" w:hAnsiTheme="majorHAnsi" w:cstheme="majorHAnsi"/>
        </w:rPr>
        <w:t>at</w:t>
      </w:r>
      <w:r w:rsidR="007C711D" w:rsidRPr="00AC6EC4">
        <w:rPr>
          <w:rFonts w:asciiTheme="majorHAnsi" w:hAnsiTheme="majorHAnsi" w:cstheme="majorHAnsi"/>
        </w:rPr>
        <w:t xml:space="preserve"> the amount of AMD 145</w:t>
      </w:r>
      <w:r w:rsidR="007C711D" w:rsidRPr="00AC6EC4">
        <w:rPr>
          <w:rFonts w:ascii="Cambria Math" w:hAnsi="Cambria Math" w:cs="Cambria Math"/>
        </w:rPr>
        <w:t>․</w:t>
      </w:r>
      <w:r w:rsidR="007C711D" w:rsidRPr="00AC6EC4">
        <w:rPr>
          <w:rFonts w:asciiTheme="majorHAnsi" w:hAnsiTheme="majorHAnsi" w:cstheme="majorHAnsi"/>
        </w:rPr>
        <w:t xml:space="preserve">0 billion, but during the year the actual figure exceeded the initially approved program level more than twice due to the </w:t>
      </w:r>
      <w:r w:rsidR="003C092F" w:rsidRPr="00AC6EC4">
        <w:rPr>
          <w:rFonts w:asciiTheme="majorHAnsi" w:hAnsiTheme="majorHAnsi" w:cstheme="majorHAnsi"/>
        </w:rPr>
        <w:t>necessity to meet the financial needs arising from the pandemic and Artsakh war.</w:t>
      </w:r>
    </w:p>
    <w:p w:rsidR="00460D17" w:rsidRPr="00AC6EC4" w:rsidRDefault="00460D17" w:rsidP="00460D17">
      <w:pPr>
        <w:ind w:firstLine="0"/>
        <w:rPr>
          <w:rFonts w:asciiTheme="majorHAnsi" w:hAnsiTheme="majorHAnsi" w:cstheme="majorHAnsi"/>
        </w:rPr>
      </w:pPr>
      <w:r w:rsidRPr="00AC6EC4">
        <w:rPr>
          <w:rFonts w:asciiTheme="majorHAnsi" w:hAnsiTheme="majorHAnsi" w:cstheme="majorHAnsi"/>
        </w:rPr>
        <w:t xml:space="preserve">The weighted average yield of the primary allocations of the government treasury bonds in 2020 made </w:t>
      </w:r>
      <w:r w:rsidR="000A73BE" w:rsidRPr="00AC6EC4">
        <w:rPr>
          <w:rFonts w:asciiTheme="majorHAnsi" w:hAnsiTheme="majorHAnsi" w:cstheme="majorHAnsi"/>
        </w:rPr>
        <w:t xml:space="preserve">up </w:t>
      </w:r>
      <w:r w:rsidRPr="00AC6EC4">
        <w:rPr>
          <w:rFonts w:asciiTheme="majorHAnsi" w:hAnsiTheme="majorHAnsi" w:cstheme="majorHAnsi"/>
        </w:rPr>
        <w:t>7.74%, decreasing by 1.23 percentage points compared to the previous year (8.97%).</w:t>
      </w:r>
    </w:p>
    <w:p w:rsidR="00460D17" w:rsidRPr="00AC6EC4" w:rsidRDefault="00253CA5" w:rsidP="00460D17">
      <w:pPr>
        <w:spacing w:line="336" w:lineRule="auto"/>
        <w:ind w:firstLine="0"/>
        <w:rPr>
          <w:rFonts w:asciiTheme="majorHAnsi" w:hAnsiTheme="majorHAnsi" w:cstheme="majorHAnsi"/>
        </w:rPr>
      </w:pPr>
      <w:r w:rsidRPr="00AC6EC4">
        <w:rPr>
          <w:rFonts w:asciiTheme="majorHAnsi" w:hAnsiTheme="majorHAnsi" w:cstheme="majorHAnsi"/>
        </w:rPr>
        <w:t>At the beginning of 2021</w:t>
      </w:r>
      <w:r w:rsidR="005A515A" w:rsidRPr="00AC6EC4">
        <w:rPr>
          <w:rFonts w:asciiTheme="majorHAnsi" w:hAnsiTheme="majorHAnsi" w:cstheme="majorHAnsi"/>
        </w:rPr>
        <w:t xml:space="preserve"> </w:t>
      </w:r>
      <w:r w:rsidR="00460D17" w:rsidRPr="00AC6EC4">
        <w:rPr>
          <w:rFonts w:asciiTheme="majorHAnsi" w:hAnsiTheme="majorHAnsi" w:cstheme="majorHAnsi"/>
        </w:rPr>
        <w:t xml:space="preserve">RA Government successfully allocated Eurobonds in the international capital market, that had USD 750 million nominal value, 10-year maturity and </w:t>
      </w:r>
      <w:r w:rsidR="00AB6F64" w:rsidRPr="00AC6EC4">
        <w:rPr>
          <w:rFonts w:asciiTheme="majorHAnsi" w:hAnsiTheme="majorHAnsi" w:cstheme="majorHAnsi"/>
        </w:rPr>
        <w:t>3.875</w:t>
      </w:r>
      <w:r w:rsidR="005A515A" w:rsidRPr="00AC6EC4">
        <w:rPr>
          <w:rFonts w:asciiTheme="majorHAnsi" w:hAnsiTheme="majorHAnsi" w:cstheme="majorHAnsi"/>
        </w:rPr>
        <w:t>% yield</w:t>
      </w:r>
      <w:r w:rsidR="005A515A" w:rsidRPr="00AC6EC4">
        <w:rPr>
          <w:rFonts w:ascii="Cambria Math" w:hAnsi="Cambria Math" w:cs="Cambria Math"/>
        </w:rPr>
        <w:t>․</w:t>
      </w:r>
      <w:r w:rsidR="005A515A" w:rsidRPr="00AC6EC4">
        <w:rPr>
          <w:rFonts w:asciiTheme="majorHAnsi" w:hAnsiTheme="majorHAnsi" w:cstheme="majorHAnsi"/>
        </w:rPr>
        <w:t xml:space="preserve"> The latter</w:t>
      </w:r>
      <w:r w:rsidR="00460D17" w:rsidRPr="00AC6EC4">
        <w:rPr>
          <w:rFonts w:asciiTheme="majorHAnsi" w:hAnsiTheme="majorHAnsi" w:cstheme="majorHAnsi"/>
        </w:rPr>
        <w:t xml:space="preserve"> was significantly lower than the yields of Eurobonds issued in 201</w:t>
      </w:r>
      <w:r w:rsidR="00AB6F64" w:rsidRPr="00AC6EC4">
        <w:rPr>
          <w:rFonts w:asciiTheme="majorHAnsi" w:hAnsiTheme="majorHAnsi" w:cstheme="majorHAnsi"/>
        </w:rPr>
        <w:t>9</w:t>
      </w:r>
      <w:r w:rsidR="00460D17" w:rsidRPr="00AC6EC4">
        <w:rPr>
          <w:rFonts w:asciiTheme="majorHAnsi" w:hAnsiTheme="majorHAnsi" w:cstheme="majorHAnsi"/>
        </w:rPr>
        <w:t xml:space="preserve"> (</w:t>
      </w:r>
      <w:r w:rsidR="00AB6F64" w:rsidRPr="00AC6EC4">
        <w:rPr>
          <w:rFonts w:asciiTheme="majorHAnsi" w:hAnsiTheme="majorHAnsi" w:cstheme="majorHAnsi"/>
        </w:rPr>
        <w:t>4.2%</w:t>
      </w:r>
      <w:r w:rsidR="00460D17" w:rsidRPr="00AC6EC4">
        <w:rPr>
          <w:rFonts w:asciiTheme="majorHAnsi" w:hAnsiTheme="majorHAnsi" w:cstheme="majorHAnsi"/>
        </w:rPr>
        <w:t>) and in 201</w:t>
      </w:r>
      <w:r w:rsidR="00AB6F64" w:rsidRPr="00AC6EC4">
        <w:rPr>
          <w:rFonts w:asciiTheme="majorHAnsi" w:hAnsiTheme="majorHAnsi" w:cstheme="majorHAnsi"/>
        </w:rPr>
        <w:t>5</w:t>
      </w:r>
      <w:r w:rsidR="00460D17" w:rsidRPr="00AC6EC4">
        <w:rPr>
          <w:rFonts w:asciiTheme="majorHAnsi" w:hAnsiTheme="majorHAnsi" w:cstheme="majorHAnsi"/>
        </w:rPr>
        <w:t xml:space="preserve"> (</w:t>
      </w:r>
      <w:r w:rsidR="00AB6F64" w:rsidRPr="00AC6EC4">
        <w:rPr>
          <w:rFonts w:asciiTheme="majorHAnsi" w:hAnsiTheme="majorHAnsi" w:cstheme="majorHAnsi"/>
        </w:rPr>
        <w:t>7.5</w:t>
      </w:r>
      <w:r w:rsidR="00460D17" w:rsidRPr="00AC6EC4">
        <w:rPr>
          <w:rFonts w:asciiTheme="majorHAnsi" w:hAnsiTheme="majorHAnsi" w:cstheme="majorHAnsi"/>
        </w:rPr>
        <w:t>%). The coupon rate of newly issued Eurobonds is 3.</w:t>
      </w:r>
      <w:r w:rsidR="00AB6F64" w:rsidRPr="00AC6EC4">
        <w:rPr>
          <w:rFonts w:asciiTheme="majorHAnsi" w:hAnsiTheme="majorHAnsi" w:cstheme="majorHAnsi"/>
        </w:rPr>
        <w:t>6</w:t>
      </w:r>
      <w:r w:rsidR="00460D17" w:rsidRPr="00AC6EC4">
        <w:rPr>
          <w:rFonts w:asciiTheme="majorHAnsi" w:hAnsiTheme="majorHAnsi" w:cstheme="majorHAnsi"/>
        </w:rPr>
        <w:t>%</w:t>
      </w:r>
    </w:p>
    <w:p w:rsidR="00AB6F64" w:rsidRPr="00AC6EC4" w:rsidRDefault="00AB6F64" w:rsidP="00AB6F64">
      <w:pPr>
        <w:ind w:firstLine="0"/>
        <w:rPr>
          <w:rFonts w:asciiTheme="majorHAnsi" w:hAnsiTheme="majorHAnsi" w:cstheme="majorHAnsi"/>
        </w:rPr>
      </w:pPr>
      <w:r w:rsidRPr="00AC6EC4">
        <w:rPr>
          <w:rFonts w:asciiTheme="majorHAnsi" w:hAnsiTheme="majorHAnsi" w:cstheme="majorHAnsi"/>
        </w:rPr>
        <w:t xml:space="preserve">USD 97.7 million foreign currency </w:t>
      </w:r>
      <w:r w:rsidR="005A515A" w:rsidRPr="00AC6EC4">
        <w:rPr>
          <w:rFonts w:asciiTheme="majorHAnsi" w:hAnsiTheme="majorHAnsi" w:cstheme="majorHAnsi"/>
        </w:rPr>
        <w:t xml:space="preserve">denominated </w:t>
      </w:r>
      <w:r w:rsidRPr="00AC6EC4">
        <w:rPr>
          <w:rFonts w:asciiTheme="majorHAnsi" w:hAnsiTheme="majorHAnsi" w:cstheme="majorHAnsi"/>
        </w:rPr>
        <w:t>government bonds issued on September 30, 2013</w:t>
      </w:r>
      <w:r w:rsidR="0086085B" w:rsidRPr="00AC6EC4">
        <w:rPr>
          <w:rFonts w:asciiTheme="majorHAnsi" w:hAnsiTheme="majorHAnsi" w:cstheme="majorHAnsi"/>
        </w:rPr>
        <w:t xml:space="preserve"> were repaid as of September 30, 2020.</w:t>
      </w:r>
    </w:p>
    <w:p w:rsidR="003D05D6" w:rsidRPr="00AC6EC4" w:rsidRDefault="003D05D6" w:rsidP="00794FB9">
      <w:pPr>
        <w:ind w:firstLine="0"/>
        <w:rPr>
          <w:rFonts w:asciiTheme="majorHAnsi" w:hAnsiTheme="majorHAnsi" w:cstheme="majorHAnsi"/>
        </w:rPr>
      </w:pPr>
      <w:r w:rsidRPr="00AC6EC4">
        <w:rPr>
          <w:rFonts w:asciiTheme="majorHAnsi" w:hAnsiTheme="majorHAnsi" w:cstheme="majorHAnsi"/>
        </w:rPr>
        <w:t>When providing loans to its member countries, Internation</w:t>
      </w:r>
      <w:r w:rsidR="002E64F9" w:rsidRPr="00AC6EC4">
        <w:rPr>
          <w:rFonts w:asciiTheme="majorHAnsi" w:hAnsiTheme="majorHAnsi" w:cstheme="majorHAnsi"/>
        </w:rPr>
        <w:t>al Development Association (IDA:</w:t>
      </w:r>
      <w:r w:rsidRPr="00AC6EC4">
        <w:rPr>
          <w:rFonts w:asciiTheme="majorHAnsi" w:hAnsiTheme="majorHAnsi" w:cstheme="majorHAnsi"/>
        </w:rPr>
        <w:t xml:space="preserve"> </w:t>
      </w:r>
      <w:r w:rsidR="002E64F9" w:rsidRPr="00AC6EC4">
        <w:rPr>
          <w:rFonts w:asciiTheme="majorHAnsi" w:hAnsiTheme="majorHAnsi" w:cstheme="majorHAnsi"/>
        </w:rPr>
        <w:t xml:space="preserve">an </w:t>
      </w:r>
      <w:r w:rsidRPr="00AC6EC4">
        <w:rPr>
          <w:rFonts w:asciiTheme="majorHAnsi" w:hAnsiTheme="majorHAnsi" w:cstheme="majorHAnsi"/>
        </w:rPr>
        <w:t xml:space="preserve">institution included in the World Bank Group), takes into account and stipulates in the loan agreements that the terms of the provided concessional loans may be revised if the country's gross national income per </w:t>
      </w:r>
      <w:r w:rsidRPr="00AC6EC4">
        <w:rPr>
          <w:rFonts w:asciiTheme="majorHAnsi" w:hAnsiTheme="majorHAnsi" w:cstheme="majorHAnsi"/>
        </w:rPr>
        <w:lastRenderedPageBreak/>
        <w:t xml:space="preserve">capita improves. </w:t>
      </w:r>
      <w:r w:rsidR="00DB146F" w:rsidRPr="00AC6EC4">
        <w:rPr>
          <w:rFonts w:asciiTheme="majorHAnsi" w:hAnsiTheme="majorHAnsi" w:cstheme="majorHAnsi"/>
        </w:rPr>
        <w:t xml:space="preserve">The World Bank, studying the economic situation in Armenia in 2013, as well as taking into account that Armenia is creditworthy for financing from the loans of the International Bank for Reconstruction and Development and from 2015 will no longer be subject to lending from IDA resources, for </w:t>
      </w:r>
      <w:r w:rsidR="002E64F9" w:rsidRPr="00AC6EC4">
        <w:rPr>
          <w:rFonts w:asciiTheme="majorHAnsi" w:hAnsiTheme="majorHAnsi" w:cstheme="majorHAnsi"/>
        </w:rPr>
        <w:t xml:space="preserve">the majority </w:t>
      </w:r>
      <w:r w:rsidR="00DB146F" w:rsidRPr="00AC6EC4">
        <w:rPr>
          <w:rFonts w:asciiTheme="majorHAnsi" w:hAnsiTheme="majorHAnsi" w:cstheme="majorHAnsi"/>
        </w:rPr>
        <w:t xml:space="preserve">of the loans provided from July 1, 2014, in addition to the current interest rate, set </w:t>
      </w:r>
      <w:r w:rsidR="002E64F9" w:rsidRPr="00AC6EC4">
        <w:rPr>
          <w:rFonts w:asciiTheme="majorHAnsi" w:hAnsiTheme="majorHAnsi" w:cstheme="majorHAnsi"/>
        </w:rPr>
        <w:t xml:space="preserve">1.7% </w:t>
      </w:r>
      <w:r w:rsidR="00DB146F" w:rsidRPr="00AC6EC4">
        <w:rPr>
          <w:rFonts w:asciiTheme="majorHAnsi" w:hAnsiTheme="majorHAnsi" w:cstheme="majorHAnsi"/>
        </w:rPr>
        <w:t xml:space="preserve">additional annual interest rate. </w:t>
      </w:r>
      <w:r w:rsidRPr="00AC6EC4">
        <w:rPr>
          <w:rFonts w:asciiTheme="majorHAnsi" w:hAnsiTheme="majorHAnsi" w:cstheme="majorHAnsi"/>
        </w:rPr>
        <w:t xml:space="preserve">On June 4, 2020, the World Bank </w:t>
      </w:r>
      <w:r w:rsidR="00794FB9" w:rsidRPr="00AC6EC4">
        <w:rPr>
          <w:rFonts w:asciiTheme="majorHAnsi" w:hAnsiTheme="majorHAnsi" w:cstheme="majorHAnsi"/>
        </w:rPr>
        <w:t xml:space="preserve">informed that the additional interest rate (1.7%) will not be applied on </w:t>
      </w:r>
      <w:r w:rsidR="00F23F01" w:rsidRPr="00AC6EC4">
        <w:rPr>
          <w:rFonts w:asciiTheme="majorHAnsi" w:hAnsiTheme="majorHAnsi" w:cstheme="majorHAnsi"/>
        </w:rPr>
        <w:t>the majority</w:t>
      </w:r>
      <w:r w:rsidR="00794FB9" w:rsidRPr="00AC6EC4">
        <w:rPr>
          <w:rFonts w:asciiTheme="majorHAnsi" w:hAnsiTheme="majorHAnsi" w:cstheme="majorHAnsi"/>
        </w:rPr>
        <w:t xml:space="preserve"> of the loans provided to Armenia by the International Development Association during the World Bank's financial year (from July 1, 2020 to June 30, 2021)</w:t>
      </w:r>
      <w:r w:rsidR="00F23F01" w:rsidRPr="00AC6EC4">
        <w:rPr>
          <w:rFonts w:asciiTheme="majorHAnsi" w:hAnsiTheme="majorHAnsi" w:cstheme="majorHAnsi"/>
        </w:rPr>
        <w:t xml:space="preserve"> taking into account the possible deterioration of the economic situation in Armenia due to the COVID-19 pandemic and the request of the Armenian side</w:t>
      </w:r>
      <w:r w:rsidR="00794FB9" w:rsidRPr="00AC6EC4">
        <w:rPr>
          <w:rFonts w:asciiTheme="majorHAnsi" w:hAnsiTheme="majorHAnsi" w:cstheme="majorHAnsi"/>
        </w:rPr>
        <w:t>, which was extended for another year on June 29, 2021.</w:t>
      </w:r>
    </w:p>
    <w:p w:rsidR="00794FB9" w:rsidRPr="00AC6EC4" w:rsidRDefault="00794FB9" w:rsidP="00794FB9">
      <w:pPr>
        <w:spacing w:line="336" w:lineRule="auto"/>
        <w:ind w:firstLine="0"/>
        <w:rPr>
          <w:rFonts w:asciiTheme="majorHAnsi" w:hAnsiTheme="majorHAnsi" w:cstheme="majorHAnsi"/>
        </w:rPr>
      </w:pPr>
      <w:r w:rsidRPr="00AC6EC4">
        <w:rPr>
          <w:rFonts w:asciiTheme="majorHAnsi" w:hAnsiTheme="majorHAnsi" w:cstheme="majorHAnsi"/>
        </w:rPr>
        <w:t>By the order N 30-A of the RA Minister of Finance on 7 February, 2020, the "Program of Measures to Improve the Performance of the RA public debt management" was approved, which envisages to regulate certain debt management functions, as well as to increase debt management accountability and transparency.</w:t>
      </w:r>
      <w:r w:rsidR="00A43153" w:rsidRPr="00AC6EC4">
        <w:rPr>
          <w:rFonts w:asciiTheme="majorHAnsi" w:hAnsiTheme="majorHAnsi" w:cstheme="majorHAnsi"/>
        </w:rPr>
        <w:t xml:space="preserve"> During 2020, most of the measures envisaged by the above-mentioned program have already been implemented.</w:t>
      </w:r>
    </w:p>
    <w:p w:rsidR="00794FB9" w:rsidRPr="00AC6EC4" w:rsidRDefault="00794FB9" w:rsidP="00794FB9">
      <w:pPr>
        <w:spacing w:line="336" w:lineRule="auto"/>
        <w:ind w:firstLine="0"/>
        <w:rPr>
          <w:rFonts w:asciiTheme="majorHAnsi" w:hAnsiTheme="majorHAnsi" w:cstheme="majorHAnsi"/>
        </w:rPr>
      </w:pPr>
      <w:r w:rsidRPr="00AC6EC4">
        <w:rPr>
          <w:rFonts w:asciiTheme="majorHAnsi" w:hAnsiTheme="majorHAnsi" w:cstheme="majorHAnsi"/>
        </w:rPr>
        <w:t>During 2020 the following operations have been carried out with regard to the Government treasury securities:</w:t>
      </w:r>
    </w:p>
    <w:p w:rsidR="00025E2D" w:rsidRPr="00AC6EC4" w:rsidRDefault="00025E2D" w:rsidP="00E31CAF">
      <w:pPr>
        <w:keepNext/>
        <w:rPr>
          <w:rFonts w:asciiTheme="majorHAnsi" w:hAnsiTheme="majorHAnsi" w:cs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774"/>
        <w:gridCol w:w="1676"/>
        <w:gridCol w:w="1631"/>
        <w:gridCol w:w="1914"/>
      </w:tblGrid>
      <w:tr w:rsidR="0005609D" w:rsidRPr="00AC6EC4" w:rsidTr="0005609D">
        <w:trPr>
          <w:trHeight w:val="724"/>
          <w:tblHeader/>
          <w:jc w:val="center"/>
        </w:trPr>
        <w:tc>
          <w:tcPr>
            <w:tcW w:w="3213"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2020</w:t>
            </w:r>
          </w:p>
        </w:tc>
        <w:tc>
          <w:tcPr>
            <w:tcW w:w="1774"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Placement volume</w:t>
            </w:r>
          </w:p>
        </w:tc>
        <w:tc>
          <w:tcPr>
            <w:tcW w:w="1676"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Receipts from placement</w:t>
            </w:r>
          </w:p>
        </w:tc>
        <w:tc>
          <w:tcPr>
            <w:tcW w:w="1631"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Redemption and buyback volume</w:t>
            </w:r>
          </w:p>
        </w:tc>
        <w:tc>
          <w:tcPr>
            <w:tcW w:w="1914"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Interest amount paid</w:t>
            </w:r>
          </w:p>
        </w:tc>
      </w:tr>
      <w:tr w:rsidR="001257F4" w:rsidRPr="00AC6EC4" w:rsidTr="0005609D">
        <w:trPr>
          <w:trHeight w:val="485"/>
          <w:jc w:val="center"/>
        </w:trPr>
        <w:tc>
          <w:tcPr>
            <w:tcW w:w="3213" w:type="dxa"/>
            <w:tcBorders>
              <w:top w:val="thinThickSmallGap" w:sz="24" w:space="0" w:color="auto"/>
              <w:left w:val="nil"/>
              <w:bottom w:val="thickThinSmallGap" w:sz="24" w:space="0" w:color="auto"/>
              <w:right w:val="nil"/>
            </w:tcBorders>
          </w:tcPr>
          <w:p w:rsidR="00025E2D" w:rsidRPr="00AC6EC4" w:rsidRDefault="0005609D" w:rsidP="00062901">
            <w:pPr>
              <w:spacing w:line="240" w:lineRule="auto"/>
              <w:ind w:firstLine="0"/>
              <w:jc w:val="left"/>
              <w:rPr>
                <w:rFonts w:asciiTheme="majorHAnsi" w:hAnsiTheme="majorHAnsi" w:cstheme="majorHAnsi"/>
              </w:rPr>
            </w:pPr>
            <w:r w:rsidRPr="00AC6EC4">
              <w:rPr>
                <w:rFonts w:asciiTheme="majorHAnsi" w:hAnsiTheme="majorHAnsi" w:cstheme="majorHAnsi"/>
                <w:szCs w:val="20"/>
              </w:rPr>
              <w:t>Government treasury bonds, billion AMD</w:t>
            </w:r>
          </w:p>
        </w:tc>
        <w:tc>
          <w:tcPr>
            <w:tcW w:w="1774" w:type="dxa"/>
            <w:tcBorders>
              <w:top w:val="thinThickSmallGap" w:sz="24" w:space="0" w:color="auto"/>
              <w:left w:val="nil"/>
              <w:bottom w:val="thickThinSmallGap" w:sz="24" w:space="0" w:color="auto"/>
              <w:right w:val="nil"/>
            </w:tcBorders>
            <w:vAlign w:val="center"/>
          </w:tcPr>
          <w:p w:rsidR="00025E2D" w:rsidRPr="00AC6EC4" w:rsidRDefault="00601BCC" w:rsidP="00062901">
            <w:pPr>
              <w:spacing w:line="240" w:lineRule="auto"/>
              <w:ind w:firstLine="0"/>
              <w:jc w:val="center"/>
              <w:rPr>
                <w:rFonts w:asciiTheme="majorHAnsi" w:hAnsiTheme="majorHAnsi" w:cstheme="majorHAnsi"/>
              </w:rPr>
            </w:pPr>
            <w:r w:rsidRPr="00AC6EC4">
              <w:rPr>
                <w:rFonts w:asciiTheme="majorHAnsi" w:hAnsiTheme="majorHAnsi" w:cstheme="majorHAnsi"/>
              </w:rPr>
              <w:t>390</w:t>
            </w:r>
            <w:r w:rsidR="00983263" w:rsidRPr="00AC6EC4">
              <w:rPr>
                <w:rFonts w:asciiTheme="majorHAnsi" w:hAnsiTheme="majorHAnsi" w:cstheme="majorHAnsi"/>
              </w:rPr>
              <w:t>.</w:t>
            </w:r>
            <w:r w:rsidRPr="00AC6EC4">
              <w:rPr>
                <w:rFonts w:asciiTheme="majorHAnsi" w:hAnsiTheme="majorHAnsi" w:cstheme="majorHAnsi"/>
              </w:rPr>
              <w:t>0</w:t>
            </w:r>
          </w:p>
        </w:tc>
        <w:tc>
          <w:tcPr>
            <w:tcW w:w="1676" w:type="dxa"/>
            <w:tcBorders>
              <w:top w:val="thinThickSmallGap" w:sz="24" w:space="0" w:color="auto"/>
              <w:left w:val="nil"/>
              <w:bottom w:val="thickThinSmallGap" w:sz="24" w:space="0" w:color="auto"/>
              <w:right w:val="nil"/>
            </w:tcBorders>
            <w:vAlign w:val="center"/>
          </w:tcPr>
          <w:p w:rsidR="00025E2D" w:rsidRPr="00AC6EC4" w:rsidRDefault="00601BCC" w:rsidP="00062901">
            <w:pPr>
              <w:spacing w:line="240" w:lineRule="auto"/>
              <w:ind w:firstLine="0"/>
              <w:jc w:val="center"/>
              <w:rPr>
                <w:rFonts w:asciiTheme="majorHAnsi" w:hAnsiTheme="majorHAnsi" w:cstheme="majorHAnsi"/>
              </w:rPr>
            </w:pPr>
            <w:r w:rsidRPr="00AC6EC4">
              <w:rPr>
                <w:rFonts w:asciiTheme="majorHAnsi" w:hAnsiTheme="majorHAnsi" w:cstheme="majorHAnsi"/>
              </w:rPr>
              <w:t>411</w:t>
            </w:r>
            <w:r w:rsidR="00DE2EAD" w:rsidRPr="00AC6EC4">
              <w:rPr>
                <w:rFonts w:asciiTheme="majorHAnsi" w:hAnsiTheme="majorHAnsi" w:cstheme="majorHAnsi"/>
              </w:rPr>
              <w:t>.3</w:t>
            </w:r>
          </w:p>
        </w:tc>
        <w:tc>
          <w:tcPr>
            <w:tcW w:w="1631" w:type="dxa"/>
            <w:tcBorders>
              <w:top w:val="thinThickSmallGap" w:sz="24" w:space="0" w:color="auto"/>
              <w:left w:val="nil"/>
              <w:bottom w:val="thickThinSmallGap" w:sz="24" w:space="0" w:color="auto"/>
              <w:right w:val="nil"/>
            </w:tcBorders>
            <w:vAlign w:val="center"/>
          </w:tcPr>
          <w:p w:rsidR="00025E2D" w:rsidRPr="00AC6EC4" w:rsidRDefault="00983263" w:rsidP="00062901">
            <w:pPr>
              <w:spacing w:line="240" w:lineRule="auto"/>
              <w:ind w:firstLine="0"/>
              <w:jc w:val="center"/>
              <w:rPr>
                <w:rFonts w:asciiTheme="majorHAnsi" w:hAnsiTheme="majorHAnsi" w:cstheme="majorHAnsi"/>
              </w:rPr>
            </w:pPr>
            <w:r w:rsidRPr="00AC6EC4">
              <w:rPr>
                <w:rFonts w:asciiTheme="majorHAnsi" w:hAnsiTheme="majorHAnsi" w:cstheme="majorHAnsi"/>
              </w:rPr>
              <w:t>11</w:t>
            </w:r>
            <w:r w:rsidR="00601BCC" w:rsidRPr="00AC6EC4">
              <w:rPr>
                <w:rFonts w:asciiTheme="majorHAnsi" w:hAnsiTheme="majorHAnsi" w:cstheme="majorHAnsi"/>
              </w:rPr>
              <w:t>0</w:t>
            </w:r>
            <w:r w:rsidRPr="00AC6EC4">
              <w:rPr>
                <w:rFonts w:asciiTheme="majorHAnsi" w:hAnsiTheme="majorHAnsi" w:cstheme="majorHAnsi"/>
              </w:rPr>
              <w:t>.</w:t>
            </w:r>
            <w:r w:rsidR="00601BCC" w:rsidRPr="00AC6EC4">
              <w:rPr>
                <w:rFonts w:asciiTheme="majorHAnsi" w:hAnsiTheme="majorHAnsi" w:cstheme="majorHAnsi"/>
              </w:rPr>
              <w:t>9</w:t>
            </w:r>
          </w:p>
        </w:tc>
        <w:tc>
          <w:tcPr>
            <w:tcW w:w="1914" w:type="dxa"/>
            <w:tcBorders>
              <w:top w:val="thinThickSmallGap" w:sz="24" w:space="0" w:color="auto"/>
              <w:left w:val="nil"/>
              <w:bottom w:val="thickThinSmallGap" w:sz="24" w:space="0" w:color="auto"/>
              <w:right w:val="nil"/>
            </w:tcBorders>
            <w:vAlign w:val="center"/>
          </w:tcPr>
          <w:p w:rsidR="00025E2D" w:rsidRPr="00AC6EC4" w:rsidRDefault="00601BCC" w:rsidP="00062901">
            <w:pPr>
              <w:spacing w:line="240" w:lineRule="auto"/>
              <w:ind w:firstLine="0"/>
              <w:jc w:val="center"/>
              <w:rPr>
                <w:rFonts w:asciiTheme="majorHAnsi" w:hAnsiTheme="majorHAnsi" w:cstheme="majorHAnsi"/>
              </w:rPr>
            </w:pPr>
            <w:r w:rsidRPr="00AC6EC4">
              <w:rPr>
                <w:rFonts w:asciiTheme="majorHAnsi" w:hAnsiTheme="majorHAnsi" w:cstheme="majorHAnsi"/>
              </w:rPr>
              <w:t>86</w:t>
            </w:r>
            <w:r w:rsidR="00983263" w:rsidRPr="00AC6EC4">
              <w:rPr>
                <w:rFonts w:asciiTheme="majorHAnsi" w:hAnsiTheme="majorHAnsi" w:cstheme="majorHAnsi"/>
              </w:rPr>
              <w:t>.</w:t>
            </w:r>
            <w:r w:rsidRPr="00AC6EC4">
              <w:rPr>
                <w:rFonts w:asciiTheme="majorHAnsi" w:hAnsiTheme="majorHAnsi" w:cstheme="majorHAnsi"/>
              </w:rPr>
              <w:t>8</w:t>
            </w:r>
          </w:p>
        </w:tc>
      </w:tr>
    </w:tbl>
    <w:p w:rsidR="00794FB9" w:rsidRPr="00AC6EC4" w:rsidRDefault="00794FB9" w:rsidP="00794FB9">
      <w:pPr>
        <w:spacing w:before="120"/>
        <w:ind w:left="360" w:firstLine="0"/>
        <w:rPr>
          <w:rFonts w:asciiTheme="majorHAnsi" w:hAnsiTheme="majorHAnsi" w:cstheme="majorHAnsi"/>
        </w:rPr>
      </w:pPr>
      <w:r w:rsidRPr="00AC6EC4">
        <w:rPr>
          <w:rFonts w:asciiTheme="majorHAnsi" w:hAnsiTheme="majorHAnsi" w:cstheme="majorHAnsi"/>
        </w:rPr>
        <w:t>During 2020 the operations carried out with external loans were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717"/>
        <w:gridCol w:w="1382"/>
        <w:gridCol w:w="1936"/>
      </w:tblGrid>
      <w:tr w:rsidR="0005609D" w:rsidRPr="00AC6EC4" w:rsidTr="0005609D">
        <w:trPr>
          <w:trHeight w:val="479"/>
          <w:tblHeader/>
          <w:jc w:val="center"/>
        </w:trPr>
        <w:tc>
          <w:tcPr>
            <w:tcW w:w="3887"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color w:val="FFFFFF" w:themeColor="background1"/>
              </w:rPr>
              <w:t>2020</w:t>
            </w:r>
          </w:p>
        </w:tc>
        <w:tc>
          <w:tcPr>
            <w:tcW w:w="1717"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hanging="21"/>
              <w:rPr>
                <w:rFonts w:asciiTheme="majorHAnsi" w:hAnsiTheme="majorHAnsi" w:cstheme="majorHAnsi"/>
                <w:color w:val="FFFFFF"/>
              </w:rPr>
            </w:pPr>
            <w:r w:rsidRPr="00AC6EC4">
              <w:rPr>
                <w:rFonts w:asciiTheme="majorHAnsi" w:hAnsiTheme="majorHAnsi" w:cstheme="majorHAnsi"/>
                <w:color w:val="FFFFFF"/>
              </w:rPr>
              <w:t>Receipt</w:t>
            </w:r>
          </w:p>
        </w:tc>
        <w:tc>
          <w:tcPr>
            <w:tcW w:w="1382"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hanging="21"/>
              <w:rPr>
                <w:rFonts w:asciiTheme="majorHAnsi" w:hAnsiTheme="majorHAnsi" w:cstheme="majorHAnsi"/>
                <w:color w:val="FFFFFF"/>
              </w:rPr>
            </w:pPr>
            <w:r w:rsidRPr="00AC6EC4">
              <w:rPr>
                <w:rFonts w:asciiTheme="majorHAnsi" w:hAnsiTheme="majorHAnsi" w:cstheme="majorHAnsi"/>
                <w:color w:val="FFFFFF"/>
              </w:rPr>
              <w:t>Redemption</w:t>
            </w:r>
          </w:p>
        </w:tc>
        <w:tc>
          <w:tcPr>
            <w:tcW w:w="1936" w:type="dxa"/>
            <w:tcBorders>
              <w:top w:val="thinThickThinSmallGap" w:sz="24" w:space="0" w:color="auto"/>
              <w:left w:val="nil"/>
              <w:bottom w:val="thinThickSmallGap" w:sz="24" w:space="0" w:color="auto"/>
              <w:right w:val="nil"/>
            </w:tcBorders>
            <w:shd w:val="clear" w:color="auto" w:fill="365F91" w:themeFill="accent1" w:themeFillShade="BF"/>
          </w:tcPr>
          <w:p w:rsidR="0005609D" w:rsidRPr="00AC6EC4" w:rsidRDefault="0005609D" w:rsidP="00062901">
            <w:pPr>
              <w:spacing w:line="240" w:lineRule="auto"/>
              <w:ind w:hanging="21"/>
              <w:jc w:val="center"/>
              <w:rPr>
                <w:rFonts w:asciiTheme="majorHAnsi" w:hAnsiTheme="majorHAnsi" w:cstheme="majorHAnsi"/>
                <w:color w:val="FFFFFF"/>
              </w:rPr>
            </w:pPr>
            <w:r w:rsidRPr="00AC6EC4">
              <w:rPr>
                <w:rFonts w:asciiTheme="majorHAnsi" w:hAnsiTheme="majorHAnsi" w:cstheme="majorHAnsi"/>
                <w:color w:val="FFFFFF"/>
              </w:rPr>
              <w:t>Interest amount paid</w:t>
            </w:r>
          </w:p>
        </w:tc>
      </w:tr>
      <w:tr w:rsidR="0005609D" w:rsidRPr="00AC6EC4" w:rsidTr="0005609D">
        <w:trPr>
          <w:trHeight w:val="335"/>
          <w:jc w:val="center"/>
        </w:trPr>
        <w:tc>
          <w:tcPr>
            <w:tcW w:w="3887"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438"/>
              <w:rPr>
                <w:rFonts w:asciiTheme="majorHAnsi" w:hAnsiTheme="majorHAnsi" w:cstheme="majorHAnsi"/>
              </w:rPr>
            </w:pPr>
            <w:r w:rsidRPr="00AC6EC4">
              <w:rPr>
                <w:rFonts w:asciiTheme="majorHAnsi" w:hAnsiTheme="majorHAnsi" w:cstheme="majorHAnsi"/>
              </w:rPr>
              <w:t>External loans, million USD</w:t>
            </w:r>
          </w:p>
        </w:tc>
        <w:tc>
          <w:tcPr>
            <w:tcW w:w="1717"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416.1</w:t>
            </w:r>
          </w:p>
        </w:tc>
        <w:tc>
          <w:tcPr>
            <w:tcW w:w="1382"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214.0</w:t>
            </w:r>
          </w:p>
        </w:tc>
        <w:tc>
          <w:tcPr>
            <w:tcW w:w="1936"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101.6</w:t>
            </w:r>
          </w:p>
        </w:tc>
      </w:tr>
      <w:tr w:rsidR="0005609D" w:rsidRPr="00AC6EC4" w:rsidTr="0005609D">
        <w:trPr>
          <w:trHeight w:val="335"/>
          <w:jc w:val="center"/>
        </w:trPr>
        <w:tc>
          <w:tcPr>
            <w:tcW w:w="3887"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438"/>
              <w:rPr>
                <w:rFonts w:asciiTheme="majorHAnsi" w:hAnsiTheme="majorHAnsi" w:cstheme="majorHAnsi"/>
              </w:rPr>
            </w:pPr>
            <w:r w:rsidRPr="00AC6EC4">
              <w:rPr>
                <w:rFonts w:asciiTheme="majorHAnsi" w:hAnsiTheme="majorHAnsi" w:cstheme="majorHAnsi"/>
              </w:rPr>
              <w:t>External loans, billion AMD</w:t>
            </w:r>
          </w:p>
        </w:tc>
        <w:tc>
          <w:tcPr>
            <w:tcW w:w="1717"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203.8</w:t>
            </w:r>
          </w:p>
        </w:tc>
        <w:tc>
          <w:tcPr>
            <w:tcW w:w="1382"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103.1</w:t>
            </w:r>
          </w:p>
        </w:tc>
        <w:tc>
          <w:tcPr>
            <w:tcW w:w="1936"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48.6</w:t>
            </w:r>
          </w:p>
        </w:tc>
      </w:tr>
    </w:tbl>
    <w:p w:rsidR="00794FB9" w:rsidRPr="00AC6EC4" w:rsidRDefault="00794FB9" w:rsidP="00794FB9">
      <w:pPr>
        <w:spacing w:before="120"/>
        <w:ind w:firstLine="0"/>
        <w:rPr>
          <w:rFonts w:asciiTheme="majorHAnsi" w:hAnsiTheme="majorHAnsi" w:cstheme="majorHAnsi"/>
        </w:rPr>
      </w:pPr>
      <w:r w:rsidRPr="00AC6EC4">
        <w:rPr>
          <w:rFonts w:asciiTheme="majorHAnsi" w:hAnsiTheme="majorHAnsi" w:cstheme="majorHAnsi"/>
        </w:rPr>
        <w:t xml:space="preserve">During 2020 the operations carried out with </w:t>
      </w:r>
      <w:r w:rsidR="00211AA5" w:rsidRPr="00AC6EC4">
        <w:rPr>
          <w:rFonts w:asciiTheme="majorHAnsi" w:hAnsiTheme="majorHAnsi" w:cstheme="majorHAnsi"/>
        </w:rPr>
        <w:t>f</w:t>
      </w:r>
      <w:r w:rsidRPr="00AC6EC4">
        <w:rPr>
          <w:rFonts w:asciiTheme="majorHAnsi" w:hAnsiTheme="majorHAnsi" w:cstheme="majorHAnsi"/>
        </w:rPr>
        <w:t>oreign</w:t>
      </w:r>
      <w:r w:rsidR="00211AA5" w:rsidRPr="00AC6EC4">
        <w:rPr>
          <w:rFonts w:asciiTheme="majorHAnsi" w:hAnsiTheme="majorHAnsi" w:cstheme="majorHAnsi"/>
        </w:rPr>
        <w:t xml:space="preserve"> </w:t>
      </w:r>
      <w:r w:rsidRPr="00AC6EC4">
        <w:rPr>
          <w:rFonts w:asciiTheme="majorHAnsi" w:hAnsiTheme="majorHAnsi" w:cstheme="majorHAnsi"/>
        </w:rPr>
        <w:t>currency denominated Government bonds are the following:</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1566"/>
        <w:gridCol w:w="1764"/>
        <w:gridCol w:w="1624"/>
        <w:gridCol w:w="1799"/>
      </w:tblGrid>
      <w:tr w:rsidR="0005609D" w:rsidRPr="00AC6EC4" w:rsidTr="0005609D">
        <w:trPr>
          <w:trHeight w:val="479"/>
          <w:tblHeader/>
          <w:jc w:val="center"/>
        </w:trPr>
        <w:tc>
          <w:tcPr>
            <w:tcW w:w="355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2020</w:t>
            </w:r>
          </w:p>
        </w:tc>
        <w:tc>
          <w:tcPr>
            <w:tcW w:w="156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color w:val="FFFFFF"/>
              </w:rPr>
            </w:pPr>
            <w:r w:rsidRPr="00AC6EC4">
              <w:rPr>
                <w:rFonts w:asciiTheme="majorHAnsi" w:hAnsiTheme="majorHAnsi" w:cstheme="majorHAnsi"/>
                <w:color w:val="FFFFFF"/>
              </w:rPr>
              <w:t>Issue Volume</w:t>
            </w:r>
          </w:p>
        </w:tc>
        <w:tc>
          <w:tcPr>
            <w:tcW w:w="176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color w:val="FFFFFF"/>
              </w:rPr>
            </w:pPr>
            <w:r w:rsidRPr="00AC6EC4">
              <w:rPr>
                <w:rFonts w:asciiTheme="majorHAnsi" w:hAnsiTheme="majorHAnsi" w:cstheme="majorHAnsi"/>
                <w:color w:val="FFFFFF"/>
              </w:rPr>
              <w:t>Receipts from placement</w:t>
            </w:r>
          </w:p>
        </w:tc>
        <w:tc>
          <w:tcPr>
            <w:tcW w:w="162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color w:val="FFFFFF"/>
              </w:rPr>
            </w:pPr>
            <w:r w:rsidRPr="00AC6EC4">
              <w:rPr>
                <w:rFonts w:asciiTheme="majorHAnsi" w:hAnsiTheme="majorHAnsi" w:cstheme="majorHAnsi"/>
                <w:color w:val="FFFFFF"/>
              </w:rPr>
              <w:t>Redemption and buyback volume</w:t>
            </w:r>
          </w:p>
        </w:tc>
        <w:tc>
          <w:tcPr>
            <w:tcW w:w="1799"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5609D" w:rsidRPr="00AC6EC4" w:rsidRDefault="0005609D" w:rsidP="00062901">
            <w:pPr>
              <w:spacing w:line="240" w:lineRule="auto"/>
              <w:ind w:firstLine="0"/>
              <w:jc w:val="center"/>
              <w:rPr>
                <w:rFonts w:asciiTheme="majorHAnsi" w:hAnsiTheme="majorHAnsi" w:cstheme="majorHAnsi"/>
                <w:color w:val="FFFFFF"/>
              </w:rPr>
            </w:pPr>
            <w:r w:rsidRPr="00AC6EC4">
              <w:rPr>
                <w:rFonts w:asciiTheme="majorHAnsi" w:hAnsiTheme="majorHAnsi" w:cstheme="majorHAnsi"/>
                <w:color w:val="FFFFFF"/>
              </w:rPr>
              <w:t>Interest amount paid</w:t>
            </w:r>
          </w:p>
        </w:tc>
      </w:tr>
      <w:tr w:rsidR="0005609D" w:rsidRPr="00AC6EC4" w:rsidTr="0005609D">
        <w:trPr>
          <w:trHeight w:val="335"/>
          <w:jc w:val="center"/>
        </w:trPr>
        <w:tc>
          <w:tcPr>
            <w:tcW w:w="3551"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37"/>
              <w:rPr>
                <w:rFonts w:asciiTheme="majorHAnsi" w:hAnsiTheme="majorHAnsi" w:cstheme="majorHAnsi"/>
              </w:rPr>
            </w:pPr>
            <w:r w:rsidRPr="00AC6EC4">
              <w:rPr>
                <w:rFonts w:asciiTheme="majorHAnsi" w:hAnsiTheme="majorHAnsi" w:cstheme="majorHAnsi"/>
              </w:rPr>
              <w:t>Foreign</w:t>
            </w:r>
            <w:r w:rsidR="00211AA5" w:rsidRPr="00AC6EC4">
              <w:rPr>
                <w:rFonts w:asciiTheme="majorHAnsi" w:hAnsiTheme="majorHAnsi" w:cstheme="majorHAnsi"/>
                <w:lang w:val="en-US"/>
              </w:rPr>
              <w:t xml:space="preserve"> </w:t>
            </w:r>
            <w:r w:rsidRPr="00AC6EC4">
              <w:rPr>
                <w:rFonts w:asciiTheme="majorHAnsi" w:hAnsiTheme="majorHAnsi" w:cstheme="majorHAnsi"/>
              </w:rPr>
              <w:t>currency denominated Government bonds, million USD</w:t>
            </w:r>
          </w:p>
        </w:tc>
        <w:tc>
          <w:tcPr>
            <w:tcW w:w="1566"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764"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624"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97.7</w:t>
            </w:r>
          </w:p>
        </w:tc>
        <w:tc>
          <w:tcPr>
            <w:tcW w:w="1799" w:type="dxa"/>
            <w:tcBorders>
              <w:top w:val="thinThickSmallGap" w:sz="24" w:space="0" w:color="auto"/>
              <w:left w:val="nil"/>
              <w:bottom w:val="single" w:sz="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61.5</w:t>
            </w:r>
          </w:p>
        </w:tc>
      </w:tr>
      <w:tr w:rsidR="0005609D" w:rsidRPr="00AC6EC4" w:rsidTr="0005609D">
        <w:trPr>
          <w:trHeight w:val="335"/>
          <w:jc w:val="center"/>
        </w:trPr>
        <w:tc>
          <w:tcPr>
            <w:tcW w:w="3551" w:type="dxa"/>
            <w:tcBorders>
              <w:top w:val="single" w:sz="4" w:space="0" w:color="auto"/>
              <w:left w:val="nil"/>
              <w:bottom w:val="thickThinSmallGap" w:sz="24" w:space="0" w:color="auto"/>
              <w:right w:val="nil"/>
            </w:tcBorders>
            <w:vAlign w:val="center"/>
          </w:tcPr>
          <w:p w:rsidR="0005609D" w:rsidRPr="00AC6EC4" w:rsidRDefault="00211AA5" w:rsidP="00062901">
            <w:pPr>
              <w:spacing w:line="240" w:lineRule="auto"/>
              <w:ind w:firstLine="37"/>
              <w:rPr>
                <w:rFonts w:asciiTheme="majorHAnsi" w:hAnsiTheme="majorHAnsi" w:cstheme="majorHAnsi"/>
              </w:rPr>
            </w:pPr>
            <w:r w:rsidRPr="00AC6EC4">
              <w:rPr>
                <w:rFonts w:asciiTheme="majorHAnsi" w:hAnsiTheme="majorHAnsi" w:cstheme="majorHAnsi"/>
              </w:rPr>
              <w:t xml:space="preserve">Foreign </w:t>
            </w:r>
            <w:r w:rsidR="0005609D" w:rsidRPr="00AC6EC4">
              <w:rPr>
                <w:rFonts w:asciiTheme="majorHAnsi" w:hAnsiTheme="majorHAnsi" w:cstheme="majorHAnsi"/>
              </w:rPr>
              <w:t>currency denominated Government bonds, billion AMD</w:t>
            </w:r>
          </w:p>
        </w:tc>
        <w:tc>
          <w:tcPr>
            <w:tcW w:w="1566"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764"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624"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46.5</w:t>
            </w:r>
          </w:p>
        </w:tc>
        <w:tc>
          <w:tcPr>
            <w:tcW w:w="1799" w:type="dxa"/>
            <w:tcBorders>
              <w:top w:val="single" w:sz="4" w:space="0" w:color="auto"/>
              <w:left w:val="nil"/>
              <w:bottom w:val="thickThinSmallGap" w:sz="24" w:space="0" w:color="auto"/>
              <w:right w:val="nil"/>
            </w:tcBorders>
            <w:vAlign w:val="center"/>
          </w:tcPr>
          <w:p w:rsidR="0005609D" w:rsidRPr="00AC6EC4" w:rsidRDefault="0005609D" w:rsidP="00062901">
            <w:pPr>
              <w:spacing w:line="240" w:lineRule="auto"/>
              <w:ind w:firstLine="0"/>
              <w:jc w:val="center"/>
              <w:rPr>
                <w:rFonts w:asciiTheme="majorHAnsi" w:hAnsiTheme="majorHAnsi" w:cstheme="majorHAnsi"/>
              </w:rPr>
            </w:pPr>
            <w:r w:rsidRPr="00AC6EC4">
              <w:rPr>
                <w:rFonts w:asciiTheme="majorHAnsi" w:hAnsiTheme="majorHAnsi" w:cstheme="majorHAnsi"/>
              </w:rPr>
              <w:t>29.2</w:t>
            </w:r>
          </w:p>
        </w:tc>
      </w:tr>
    </w:tbl>
    <w:p w:rsidR="00425637" w:rsidRPr="00AC6EC4" w:rsidRDefault="00F9519E" w:rsidP="00E31CAF">
      <w:pPr>
        <w:pStyle w:val="Heading1"/>
        <w:spacing w:line="240" w:lineRule="auto"/>
        <w:ind w:firstLine="0"/>
        <w:jc w:val="left"/>
        <w:rPr>
          <w:rFonts w:asciiTheme="majorHAnsi" w:hAnsiTheme="majorHAnsi" w:cstheme="majorHAnsi"/>
        </w:rPr>
      </w:pPr>
      <w:r w:rsidRPr="00AC6EC4">
        <w:rPr>
          <w:rFonts w:asciiTheme="majorHAnsi" w:hAnsiTheme="majorHAnsi" w:cstheme="majorHAnsi"/>
          <w:sz w:val="22"/>
        </w:rPr>
        <w:br w:type="page"/>
      </w:r>
      <w:bookmarkStart w:id="8" w:name="_Toc80868691"/>
      <w:r w:rsidR="00D21D99" w:rsidRPr="00AC6EC4">
        <w:rPr>
          <w:rFonts w:asciiTheme="majorHAnsi" w:hAnsiTheme="majorHAnsi" w:cstheme="majorHAnsi"/>
        </w:rPr>
        <w:lastRenderedPageBreak/>
        <w:t>Cost-at-risk description of the RA Government debt portfolio</w:t>
      </w:r>
      <w:bookmarkEnd w:id="8"/>
    </w:p>
    <w:p w:rsidR="00794FB9" w:rsidRPr="00AC6EC4" w:rsidRDefault="00794FB9" w:rsidP="00794FB9">
      <w:pPr>
        <w:spacing w:after="120"/>
        <w:rPr>
          <w:rFonts w:asciiTheme="majorHAnsi" w:hAnsiTheme="majorHAnsi" w:cstheme="majorHAnsi"/>
        </w:rPr>
      </w:pPr>
      <w:r w:rsidRPr="00AC6EC4">
        <w:rPr>
          <w:rFonts w:asciiTheme="majorHAnsi" w:hAnsiTheme="majorHAnsi" w:cstheme="majorHAnsi"/>
        </w:rPr>
        <w:t>At the end of 20</w:t>
      </w:r>
      <w:r w:rsidRPr="00AC6EC4">
        <w:rPr>
          <w:rFonts w:asciiTheme="majorHAnsi" w:hAnsiTheme="majorHAnsi" w:cstheme="majorHAnsi"/>
          <w:lang w:val="en-US"/>
        </w:rPr>
        <w:t>20</w:t>
      </w:r>
      <w:r w:rsidRPr="00AC6EC4">
        <w:rPr>
          <w:rFonts w:asciiTheme="majorHAnsi" w:hAnsiTheme="majorHAnsi" w:cstheme="majorHAnsi"/>
        </w:rPr>
        <w:t xml:space="preserve"> cost and risk indicators</w:t>
      </w:r>
      <w:r w:rsidR="00A43153" w:rsidRPr="00AC6EC4">
        <w:rPr>
          <w:rFonts w:asciiTheme="majorHAnsi" w:hAnsiTheme="majorHAnsi" w:cstheme="majorHAnsi"/>
          <w:lang w:val="en-US"/>
        </w:rPr>
        <w:t xml:space="preserve"> of the </w:t>
      </w:r>
      <w:r w:rsidR="00A43153" w:rsidRPr="00AC6EC4">
        <w:rPr>
          <w:rFonts w:asciiTheme="majorHAnsi" w:hAnsiTheme="majorHAnsi" w:cstheme="majorHAnsi"/>
        </w:rPr>
        <w:t xml:space="preserve">RA Government </w:t>
      </w:r>
      <w:r w:rsidRPr="00AC6EC4">
        <w:rPr>
          <w:rFonts w:asciiTheme="majorHAnsi" w:hAnsiTheme="majorHAnsi" w:cstheme="majorHAnsi"/>
        </w:rPr>
        <w:t>were the following:</w:t>
      </w:r>
    </w:p>
    <w:p w:rsidR="000B18AF" w:rsidRPr="00AC6EC4" w:rsidRDefault="00274E65"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RA Government debt cost and risk indicators as of 31.12.20</w:t>
      </w:r>
      <w:r w:rsidRPr="00AC6EC4">
        <w:rPr>
          <w:rStyle w:val="Emphasis"/>
          <w:rFonts w:asciiTheme="majorHAnsi" w:hAnsiTheme="majorHAnsi" w:cstheme="majorHAnsi"/>
          <w:b w:val="0"/>
          <w:sz w:val="24"/>
          <w:szCs w:val="24"/>
          <w:lang w:val="en-US"/>
        </w:rPr>
        <w:t>20</w:t>
      </w:r>
      <w:r w:rsidR="009F17FE" w:rsidRPr="00AC6EC4">
        <w:rPr>
          <w:rStyle w:val="Emphasis"/>
          <w:rFonts w:asciiTheme="majorHAnsi" w:hAnsiTheme="majorHAnsi" w:cstheme="majorHAnsi"/>
          <w:b w:val="0"/>
          <w:sz w:val="24"/>
          <w:szCs w:val="24"/>
          <w:lang w:val="en-US"/>
        </w:rPr>
        <w:tab/>
      </w:r>
    </w:p>
    <w:tbl>
      <w:tblPr>
        <w:tblW w:w="10159" w:type="dxa"/>
        <w:tblInd w:w="108" w:type="dxa"/>
        <w:tblLayout w:type="fixed"/>
        <w:tblLook w:val="04A0" w:firstRow="1" w:lastRow="0" w:firstColumn="1" w:lastColumn="0" w:noHBand="0" w:noVBand="1"/>
      </w:tblPr>
      <w:tblGrid>
        <w:gridCol w:w="2155"/>
        <w:gridCol w:w="3686"/>
        <w:gridCol w:w="1672"/>
        <w:gridCol w:w="17"/>
        <w:gridCol w:w="1339"/>
        <w:gridCol w:w="17"/>
        <w:gridCol w:w="1256"/>
        <w:gridCol w:w="17"/>
      </w:tblGrid>
      <w:tr w:rsidR="005042D6" w:rsidRPr="00AC6EC4" w:rsidTr="00E34855">
        <w:trPr>
          <w:trHeight w:val="312"/>
          <w:tblHeader/>
        </w:trPr>
        <w:tc>
          <w:tcPr>
            <w:tcW w:w="5841" w:type="dxa"/>
            <w:gridSpan w:val="2"/>
            <w:tcBorders>
              <w:top w:val="single" w:sz="4" w:space="0" w:color="auto"/>
              <w:left w:val="single" w:sz="4" w:space="0" w:color="auto"/>
              <w:bottom w:val="single" w:sz="4" w:space="0" w:color="auto"/>
              <w:right w:val="single" w:sz="4" w:space="0" w:color="000000"/>
            </w:tcBorders>
            <w:shd w:val="clear" w:color="auto" w:fill="5B9BD5"/>
            <w:noWrap/>
            <w:vAlign w:val="bottom"/>
            <w:hideMark/>
          </w:tcPr>
          <w:p w:rsidR="005042D6" w:rsidRPr="00AC6EC4" w:rsidRDefault="005042D6" w:rsidP="00062901">
            <w:pPr>
              <w:spacing w:line="240" w:lineRule="auto"/>
              <w:ind w:firstLine="0"/>
              <w:rPr>
                <w:rFonts w:asciiTheme="majorHAnsi" w:hAnsiTheme="majorHAnsi" w:cstheme="majorHAnsi"/>
              </w:rPr>
            </w:pPr>
          </w:p>
        </w:tc>
        <w:tc>
          <w:tcPr>
            <w:tcW w:w="1689" w:type="dxa"/>
            <w:gridSpan w:val="2"/>
            <w:tcBorders>
              <w:top w:val="single" w:sz="4" w:space="0" w:color="auto"/>
              <w:left w:val="nil"/>
              <w:bottom w:val="single" w:sz="4" w:space="0" w:color="auto"/>
              <w:right w:val="single" w:sz="4" w:space="0" w:color="auto"/>
            </w:tcBorders>
            <w:shd w:val="clear" w:color="auto" w:fill="5B9BD5"/>
            <w:noWrap/>
            <w:vAlign w:val="center"/>
            <w:hideMark/>
          </w:tcPr>
          <w:p w:rsidR="005042D6" w:rsidRPr="00AC6EC4" w:rsidRDefault="005042D6" w:rsidP="00062901">
            <w:pPr>
              <w:spacing w:line="240" w:lineRule="auto"/>
              <w:ind w:firstLine="23"/>
              <w:jc w:val="center"/>
              <w:rPr>
                <w:rFonts w:asciiTheme="majorHAnsi" w:hAnsiTheme="majorHAnsi" w:cstheme="majorHAnsi"/>
                <w:b/>
                <w:bCs/>
                <w:color w:val="FFFFFF"/>
              </w:rPr>
            </w:pPr>
            <w:r w:rsidRPr="00AC6EC4">
              <w:rPr>
                <w:rFonts w:asciiTheme="majorHAnsi" w:hAnsiTheme="majorHAnsi" w:cstheme="majorHAnsi"/>
                <w:b/>
                <w:bCs/>
                <w:color w:val="FFFFFF"/>
              </w:rPr>
              <w:t>Foreign currency debt</w:t>
            </w:r>
          </w:p>
        </w:tc>
        <w:tc>
          <w:tcPr>
            <w:tcW w:w="1356" w:type="dxa"/>
            <w:gridSpan w:val="2"/>
            <w:tcBorders>
              <w:top w:val="single" w:sz="4" w:space="0" w:color="auto"/>
              <w:left w:val="nil"/>
              <w:bottom w:val="single" w:sz="4" w:space="0" w:color="auto"/>
              <w:right w:val="nil"/>
            </w:tcBorders>
            <w:shd w:val="clear" w:color="auto" w:fill="5B9BD5"/>
            <w:noWrap/>
            <w:vAlign w:val="center"/>
            <w:hideMark/>
          </w:tcPr>
          <w:p w:rsidR="005042D6" w:rsidRPr="00AC6EC4" w:rsidRDefault="005042D6" w:rsidP="00062901">
            <w:pPr>
              <w:spacing w:line="240" w:lineRule="auto"/>
              <w:ind w:firstLine="23"/>
              <w:jc w:val="center"/>
              <w:rPr>
                <w:rFonts w:asciiTheme="majorHAnsi" w:hAnsiTheme="majorHAnsi" w:cstheme="majorHAnsi"/>
                <w:b/>
                <w:bCs/>
                <w:color w:val="FFFFFF"/>
              </w:rPr>
            </w:pPr>
            <w:r w:rsidRPr="00AC6EC4">
              <w:rPr>
                <w:rFonts w:asciiTheme="majorHAnsi" w:hAnsiTheme="majorHAnsi" w:cstheme="majorHAnsi"/>
                <w:b/>
                <w:bCs/>
                <w:color w:val="FFFFFF"/>
              </w:rPr>
              <w:t xml:space="preserve">AMD </w:t>
            </w:r>
          </w:p>
          <w:p w:rsidR="005042D6" w:rsidRPr="00AC6EC4" w:rsidRDefault="005042D6" w:rsidP="00062901">
            <w:pPr>
              <w:spacing w:line="240" w:lineRule="auto"/>
              <w:ind w:firstLine="23"/>
              <w:jc w:val="center"/>
              <w:rPr>
                <w:rFonts w:asciiTheme="majorHAnsi" w:hAnsiTheme="majorHAnsi" w:cstheme="majorHAnsi"/>
                <w:b/>
                <w:bCs/>
                <w:color w:val="FFFFFF"/>
              </w:rPr>
            </w:pPr>
            <w:r w:rsidRPr="00AC6EC4">
              <w:rPr>
                <w:rFonts w:asciiTheme="majorHAnsi" w:hAnsiTheme="majorHAnsi" w:cstheme="majorHAnsi"/>
                <w:b/>
                <w:bCs/>
                <w:color w:val="FFFFFF"/>
              </w:rPr>
              <w:t>debt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5042D6" w:rsidRPr="00AC6EC4" w:rsidRDefault="005042D6" w:rsidP="00062901">
            <w:pPr>
              <w:spacing w:line="240" w:lineRule="auto"/>
              <w:ind w:firstLine="23"/>
              <w:jc w:val="center"/>
              <w:rPr>
                <w:rFonts w:asciiTheme="majorHAnsi" w:hAnsiTheme="majorHAnsi" w:cstheme="majorHAnsi"/>
                <w:b/>
                <w:bCs/>
                <w:color w:val="FFFFFF"/>
              </w:rPr>
            </w:pPr>
            <w:r w:rsidRPr="00AC6EC4">
              <w:rPr>
                <w:rFonts w:asciiTheme="majorHAnsi" w:hAnsiTheme="majorHAnsi" w:cstheme="majorHAnsi"/>
                <w:b/>
                <w:bCs/>
                <w:color w:val="FFFFFF"/>
              </w:rPr>
              <w:t>Total</w:t>
            </w:r>
          </w:p>
        </w:tc>
      </w:tr>
      <w:tr w:rsidR="00B03A20" w:rsidRPr="00AC6EC4" w:rsidTr="00E34855">
        <w:trPr>
          <w:trHeight w:val="312"/>
        </w:trPr>
        <w:tc>
          <w:tcPr>
            <w:tcW w:w="58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3A20" w:rsidRPr="00AC6EC4" w:rsidRDefault="00B03A20" w:rsidP="00062901">
            <w:pPr>
              <w:spacing w:line="240" w:lineRule="auto"/>
              <w:rPr>
                <w:rFonts w:asciiTheme="majorHAnsi" w:hAnsiTheme="majorHAnsi" w:cstheme="majorHAnsi"/>
              </w:rPr>
            </w:pPr>
            <w:r w:rsidRPr="00AC6EC4">
              <w:rPr>
                <w:rFonts w:asciiTheme="majorHAnsi" w:hAnsiTheme="majorHAnsi" w:cstheme="majorHAnsi"/>
              </w:rPr>
              <w:t>RA Government debt (billion AMD)</w:t>
            </w:r>
          </w:p>
        </w:tc>
        <w:tc>
          <w:tcPr>
            <w:tcW w:w="1689" w:type="dxa"/>
            <w:gridSpan w:val="2"/>
            <w:tcBorders>
              <w:top w:val="nil"/>
              <w:left w:val="nil"/>
              <w:bottom w:val="single" w:sz="4" w:space="0" w:color="auto"/>
              <w:right w:val="nil"/>
            </w:tcBorders>
            <w:shd w:val="clear" w:color="auto" w:fill="auto"/>
            <w:noWrap/>
            <w:vAlign w:val="center"/>
            <w:hideMark/>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2,965.1</w:t>
            </w:r>
          </w:p>
        </w:tc>
        <w:tc>
          <w:tcPr>
            <w:tcW w:w="1356" w:type="dxa"/>
            <w:gridSpan w:val="2"/>
            <w:tcBorders>
              <w:top w:val="nil"/>
              <w:left w:val="single" w:sz="4" w:space="0" w:color="auto"/>
              <w:bottom w:val="single" w:sz="4" w:space="0" w:color="auto"/>
              <w:right w:val="nil"/>
            </w:tcBorders>
            <w:shd w:val="clear" w:color="auto" w:fill="auto"/>
            <w:noWrap/>
            <w:vAlign w:val="center"/>
            <w:hideMark/>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958.8</w:t>
            </w:r>
          </w:p>
        </w:tc>
        <w:tc>
          <w:tcPr>
            <w:tcW w:w="1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3,923.9</w:t>
            </w:r>
          </w:p>
        </w:tc>
      </w:tr>
      <w:tr w:rsidR="00B03A20" w:rsidRPr="00AC6EC4" w:rsidTr="00E34855">
        <w:trPr>
          <w:trHeight w:val="312"/>
        </w:trPr>
        <w:tc>
          <w:tcPr>
            <w:tcW w:w="58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3A20" w:rsidRPr="00AC6EC4" w:rsidRDefault="00B03A20" w:rsidP="00062901">
            <w:pPr>
              <w:spacing w:line="240" w:lineRule="auto"/>
              <w:rPr>
                <w:rFonts w:asciiTheme="majorHAnsi" w:hAnsiTheme="majorHAnsi" w:cstheme="majorHAnsi"/>
              </w:rPr>
            </w:pPr>
            <w:r w:rsidRPr="00AC6EC4">
              <w:rPr>
                <w:rFonts w:asciiTheme="majorHAnsi" w:hAnsiTheme="majorHAnsi" w:cstheme="majorHAnsi"/>
              </w:rPr>
              <w:t>RA Government debt (million USD)</w:t>
            </w:r>
          </w:p>
        </w:tc>
        <w:tc>
          <w:tcPr>
            <w:tcW w:w="1689" w:type="dxa"/>
            <w:gridSpan w:val="2"/>
            <w:tcBorders>
              <w:top w:val="nil"/>
              <w:left w:val="nil"/>
              <w:bottom w:val="single" w:sz="4" w:space="0" w:color="auto"/>
              <w:right w:val="nil"/>
            </w:tcBorders>
            <w:shd w:val="clear" w:color="auto" w:fill="auto"/>
            <w:noWrap/>
            <w:vAlign w:val="center"/>
            <w:hideMark/>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5,673.8</w:t>
            </w:r>
          </w:p>
        </w:tc>
        <w:tc>
          <w:tcPr>
            <w:tcW w:w="1356" w:type="dxa"/>
            <w:gridSpan w:val="2"/>
            <w:tcBorders>
              <w:top w:val="nil"/>
              <w:left w:val="single" w:sz="4" w:space="0" w:color="auto"/>
              <w:bottom w:val="single" w:sz="4" w:space="0" w:color="auto"/>
              <w:right w:val="nil"/>
            </w:tcBorders>
            <w:shd w:val="clear" w:color="auto" w:fill="auto"/>
            <w:noWrap/>
            <w:vAlign w:val="center"/>
            <w:hideMark/>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1,834.8</w:t>
            </w:r>
          </w:p>
        </w:tc>
        <w:tc>
          <w:tcPr>
            <w:tcW w:w="1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7,508.5</w:t>
            </w:r>
          </w:p>
        </w:tc>
      </w:tr>
      <w:tr w:rsidR="00B03A20" w:rsidRPr="00AC6EC4" w:rsidTr="00E34855">
        <w:trPr>
          <w:trHeight w:val="318"/>
        </w:trPr>
        <w:tc>
          <w:tcPr>
            <w:tcW w:w="5841"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rsidR="00B03A20" w:rsidRPr="00AC6EC4" w:rsidRDefault="00B03A20" w:rsidP="00062901">
            <w:pPr>
              <w:spacing w:line="240" w:lineRule="auto"/>
              <w:rPr>
                <w:rFonts w:asciiTheme="majorHAnsi" w:hAnsiTheme="majorHAnsi" w:cstheme="majorHAnsi"/>
              </w:rPr>
            </w:pPr>
            <w:r w:rsidRPr="00AC6EC4">
              <w:rPr>
                <w:rFonts w:asciiTheme="majorHAnsi" w:hAnsiTheme="majorHAnsi" w:cstheme="majorHAnsi"/>
              </w:rPr>
              <w:t>RA Government debt / GDP, (%)</w:t>
            </w:r>
          </w:p>
        </w:tc>
        <w:tc>
          <w:tcPr>
            <w:tcW w:w="1689" w:type="dxa"/>
            <w:gridSpan w:val="2"/>
            <w:tcBorders>
              <w:top w:val="nil"/>
              <w:left w:val="nil"/>
              <w:bottom w:val="double" w:sz="6" w:space="0" w:color="auto"/>
              <w:right w:val="single" w:sz="4" w:space="0" w:color="auto"/>
            </w:tcBorders>
            <w:shd w:val="clear" w:color="auto" w:fill="auto"/>
            <w:noWrap/>
            <w:vAlign w:val="center"/>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48.0</w:t>
            </w:r>
          </w:p>
        </w:tc>
        <w:tc>
          <w:tcPr>
            <w:tcW w:w="1356" w:type="dxa"/>
            <w:gridSpan w:val="2"/>
            <w:tcBorders>
              <w:top w:val="nil"/>
              <w:left w:val="nil"/>
              <w:bottom w:val="double" w:sz="6" w:space="0" w:color="auto"/>
              <w:right w:val="single" w:sz="4" w:space="0" w:color="auto"/>
            </w:tcBorders>
            <w:shd w:val="clear" w:color="auto" w:fill="auto"/>
            <w:noWrap/>
            <w:vAlign w:val="center"/>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15.5</w:t>
            </w:r>
          </w:p>
        </w:tc>
        <w:tc>
          <w:tcPr>
            <w:tcW w:w="1273" w:type="dxa"/>
            <w:gridSpan w:val="2"/>
            <w:tcBorders>
              <w:top w:val="nil"/>
              <w:left w:val="nil"/>
              <w:bottom w:val="double" w:sz="6" w:space="0" w:color="auto"/>
              <w:right w:val="single" w:sz="4" w:space="0" w:color="auto"/>
            </w:tcBorders>
            <w:shd w:val="clear" w:color="auto" w:fill="auto"/>
            <w:noWrap/>
            <w:vAlign w:val="center"/>
          </w:tcPr>
          <w:p w:rsidR="00B03A20" w:rsidRPr="00AC6EC4" w:rsidRDefault="00B03A20" w:rsidP="00062901">
            <w:pPr>
              <w:spacing w:line="240" w:lineRule="auto"/>
              <w:ind w:firstLine="0"/>
              <w:jc w:val="center"/>
              <w:rPr>
                <w:rFonts w:asciiTheme="majorHAnsi" w:hAnsiTheme="majorHAnsi" w:cstheme="majorHAnsi"/>
              </w:rPr>
            </w:pPr>
            <w:r w:rsidRPr="00AC6EC4">
              <w:rPr>
                <w:rFonts w:asciiTheme="majorHAnsi" w:hAnsiTheme="majorHAnsi" w:cstheme="majorHAnsi"/>
              </w:rPr>
              <w:t>63.5</w:t>
            </w:r>
          </w:p>
        </w:tc>
      </w:tr>
      <w:tr w:rsidR="002B5CC7" w:rsidRPr="00AC6EC4" w:rsidTr="00E34855">
        <w:trPr>
          <w:gridAfter w:val="1"/>
          <w:wAfter w:w="17" w:type="dxa"/>
          <w:trHeight w:val="318"/>
        </w:trPr>
        <w:tc>
          <w:tcPr>
            <w:tcW w:w="2155" w:type="dxa"/>
            <w:vMerge w:val="restart"/>
            <w:tcBorders>
              <w:top w:val="nil"/>
              <w:left w:val="single" w:sz="4" w:space="0" w:color="auto"/>
              <w:bottom w:val="double" w:sz="6" w:space="0" w:color="000000"/>
              <w:right w:val="nil"/>
            </w:tcBorders>
            <w:shd w:val="clear" w:color="auto" w:fill="auto"/>
            <w:noWrap/>
            <w:vAlign w:val="center"/>
            <w:hideMark/>
          </w:tcPr>
          <w:p w:rsidR="002B5CC7" w:rsidRPr="00AC6EC4" w:rsidRDefault="002B5CC7" w:rsidP="00062901">
            <w:pPr>
              <w:spacing w:line="240" w:lineRule="auto"/>
              <w:ind w:firstLine="201"/>
              <w:rPr>
                <w:rFonts w:asciiTheme="majorHAnsi" w:hAnsiTheme="majorHAnsi" w:cstheme="majorHAnsi"/>
                <w:highlight w:val="yellow"/>
              </w:rPr>
            </w:pPr>
            <w:r w:rsidRPr="00AC6EC4">
              <w:rPr>
                <w:rFonts w:asciiTheme="majorHAnsi" w:hAnsiTheme="majorHAnsi" w:cstheme="majorHAnsi"/>
              </w:rPr>
              <w:t>Cost Indicators</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Interest payment / GDP, (%)</w:t>
            </w:r>
          </w:p>
        </w:tc>
        <w:tc>
          <w:tcPr>
            <w:tcW w:w="1672"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1.3</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1.4</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2.7</w:t>
            </w:r>
          </w:p>
        </w:tc>
      </w:tr>
      <w:tr w:rsidR="002B5CC7" w:rsidRPr="00AC6EC4" w:rsidTr="00E34855">
        <w:trPr>
          <w:gridAfter w:val="1"/>
          <w:wAfter w:w="17" w:type="dxa"/>
          <w:trHeight w:val="332"/>
        </w:trPr>
        <w:tc>
          <w:tcPr>
            <w:tcW w:w="2155" w:type="dxa"/>
            <w:vMerge/>
            <w:tcBorders>
              <w:top w:val="nil"/>
              <w:left w:val="single" w:sz="4" w:space="0" w:color="auto"/>
              <w:bottom w:val="double" w:sz="6" w:space="0" w:color="000000"/>
              <w:right w:val="nil"/>
            </w:tcBorders>
            <w:vAlign w:val="center"/>
            <w:hideMark/>
          </w:tcPr>
          <w:p w:rsidR="002B5CC7" w:rsidRPr="00AC6EC4" w:rsidRDefault="002B5CC7" w:rsidP="00062901">
            <w:pPr>
              <w:spacing w:line="240" w:lineRule="auto"/>
              <w:ind w:firstLine="201"/>
              <w:jc w:val="left"/>
              <w:rPr>
                <w:rFonts w:asciiTheme="majorHAnsi" w:hAnsiTheme="majorHAnsi" w:cstheme="majorHAnsi"/>
              </w:rPr>
            </w:pPr>
          </w:p>
        </w:tc>
        <w:tc>
          <w:tcPr>
            <w:tcW w:w="3686" w:type="dxa"/>
            <w:tcBorders>
              <w:top w:val="nil"/>
              <w:left w:val="single" w:sz="4" w:space="0" w:color="auto"/>
              <w:bottom w:val="double" w:sz="6" w:space="0" w:color="auto"/>
              <w:right w:val="single" w:sz="4" w:space="0" w:color="auto"/>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rPr>
            </w:pPr>
            <w:r w:rsidRPr="00AC6EC4">
              <w:rPr>
                <w:rFonts w:asciiTheme="majorHAnsi" w:hAnsiTheme="majorHAnsi" w:cstheme="majorHAnsi"/>
              </w:rPr>
              <w:t>Weighted average interest rate (%)</w:t>
            </w:r>
          </w:p>
        </w:tc>
        <w:tc>
          <w:tcPr>
            <w:tcW w:w="1672" w:type="dxa"/>
            <w:tcBorders>
              <w:top w:val="nil"/>
              <w:left w:val="nil"/>
              <w:bottom w:val="double" w:sz="6"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2.3</w:t>
            </w:r>
          </w:p>
        </w:tc>
        <w:tc>
          <w:tcPr>
            <w:tcW w:w="1356" w:type="dxa"/>
            <w:gridSpan w:val="2"/>
            <w:tcBorders>
              <w:top w:val="nil"/>
              <w:left w:val="nil"/>
              <w:bottom w:val="double" w:sz="6"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10.4</w:t>
            </w:r>
          </w:p>
        </w:tc>
        <w:tc>
          <w:tcPr>
            <w:tcW w:w="1273" w:type="dxa"/>
            <w:gridSpan w:val="2"/>
            <w:tcBorders>
              <w:top w:val="nil"/>
              <w:left w:val="nil"/>
              <w:bottom w:val="double" w:sz="6"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4.3</w:t>
            </w:r>
          </w:p>
        </w:tc>
      </w:tr>
      <w:tr w:rsidR="002B5CC7" w:rsidRPr="00AC6EC4" w:rsidTr="00E34855">
        <w:trPr>
          <w:gridAfter w:val="1"/>
          <w:wAfter w:w="17" w:type="dxa"/>
          <w:trHeight w:val="627"/>
        </w:trPr>
        <w:tc>
          <w:tcPr>
            <w:tcW w:w="2155" w:type="dxa"/>
            <w:vMerge w:val="restart"/>
            <w:tcBorders>
              <w:top w:val="nil"/>
              <w:left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201"/>
              <w:rPr>
                <w:rFonts w:asciiTheme="majorHAnsi" w:hAnsiTheme="majorHAnsi" w:cstheme="majorHAnsi"/>
              </w:rPr>
            </w:pPr>
            <w:r w:rsidRPr="00AC6EC4">
              <w:rPr>
                <w:rFonts w:asciiTheme="majorHAnsi" w:hAnsiTheme="majorHAnsi" w:cstheme="majorHAnsi"/>
              </w:rPr>
              <w:t>Refinancing risk</w:t>
            </w:r>
          </w:p>
        </w:tc>
        <w:tc>
          <w:tcPr>
            <w:tcW w:w="3686"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rPr>
            </w:pPr>
            <w:r w:rsidRPr="00AC6EC4">
              <w:rPr>
                <w:rFonts w:asciiTheme="majorHAnsi" w:hAnsiTheme="majorHAnsi" w:cstheme="majorHAnsi"/>
              </w:rPr>
              <w:t>Average Time to Maturity (years)</w:t>
            </w:r>
          </w:p>
        </w:tc>
        <w:tc>
          <w:tcPr>
            <w:tcW w:w="1672"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8.1</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10.8</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8.8</w:t>
            </w:r>
          </w:p>
        </w:tc>
      </w:tr>
      <w:tr w:rsidR="002B5CC7" w:rsidRPr="00AC6EC4" w:rsidTr="00E34855">
        <w:trPr>
          <w:gridAfter w:val="1"/>
          <w:wAfter w:w="17" w:type="dxa"/>
          <w:trHeight w:val="642"/>
        </w:trPr>
        <w:tc>
          <w:tcPr>
            <w:tcW w:w="2155" w:type="dxa"/>
            <w:vMerge/>
            <w:tcBorders>
              <w:left w:val="single" w:sz="4" w:space="0" w:color="auto"/>
              <w:bottom w:val="double" w:sz="6" w:space="0" w:color="000000"/>
              <w:right w:val="single" w:sz="4" w:space="0" w:color="auto"/>
            </w:tcBorders>
            <w:shd w:val="clear" w:color="auto" w:fill="auto"/>
            <w:vAlign w:val="center"/>
            <w:hideMark/>
          </w:tcPr>
          <w:p w:rsidR="002B5CC7" w:rsidRPr="00AC6EC4" w:rsidRDefault="002B5CC7" w:rsidP="00062901">
            <w:pPr>
              <w:spacing w:line="240" w:lineRule="auto"/>
              <w:ind w:firstLine="201"/>
              <w:jc w:val="left"/>
              <w:rPr>
                <w:rFonts w:asciiTheme="majorHAnsi" w:hAnsiTheme="majorHAnsi" w:cstheme="majorHAnsi"/>
              </w:rPr>
            </w:pPr>
          </w:p>
        </w:tc>
        <w:tc>
          <w:tcPr>
            <w:tcW w:w="3686" w:type="dxa"/>
            <w:tcBorders>
              <w:top w:val="nil"/>
              <w:left w:val="nil"/>
              <w:bottom w:val="double" w:sz="6" w:space="0" w:color="auto"/>
              <w:right w:val="single" w:sz="4" w:space="0" w:color="auto"/>
            </w:tcBorders>
            <w:shd w:val="clear" w:color="auto" w:fill="auto"/>
            <w:noWrap/>
            <w:vAlign w:val="center"/>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Debt Maturing in 1 year (% of total)</w:t>
            </w:r>
          </w:p>
        </w:tc>
        <w:tc>
          <w:tcPr>
            <w:tcW w:w="1672" w:type="dxa"/>
            <w:tcBorders>
              <w:top w:val="nil"/>
              <w:left w:val="nil"/>
              <w:bottom w:val="double" w:sz="6" w:space="0" w:color="auto"/>
              <w:right w:val="single" w:sz="4" w:space="0" w:color="auto"/>
            </w:tcBorders>
            <w:shd w:val="clear" w:color="auto" w:fill="auto"/>
            <w:noWrap/>
            <w:vAlign w:val="center"/>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4.0</w:t>
            </w:r>
          </w:p>
        </w:tc>
        <w:tc>
          <w:tcPr>
            <w:tcW w:w="1356" w:type="dxa"/>
            <w:gridSpan w:val="2"/>
            <w:tcBorders>
              <w:top w:val="nil"/>
              <w:left w:val="nil"/>
              <w:bottom w:val="double" w:sz="6" w:space="0" w:color="auto"/>
              <w:right w:val="single" w:sz="4" w:space="0" w:color="auto"/>
            </w:tcBorders>
            <w:shd w:val="clear" w:color="auto" w:fill="auto"/>
            <w:noWrap/>
            <w:vAlign w:val="center"/>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11.5</w:t>
            </w:r>
          </w:p>
        </w:tc>
        <w:tc>
          <w:tcPr>
            <w:tcW w:w="1273" w:type="dxa"/>
            <w:gridSpan w:val="2"/>
            <w:tcBorders>
              <w:top w:val="nil"/>
              <w:left w:val="nil"/>
              <w:bottom w:val="double" w:sz="6" w:space="0" w:color="auto"/>
              <w:right w:val="single" w:sz="4" w:space="0" w:color="auto"/>
            </w:tcBorders>
            <w:shd w:val="clear" w:color="auto" w:fill="auto"/>
            <w:noWrap/>
            <w:vAlign w:val="center"/>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5.8</w:t>
            </w:r>
          </w:p>
        </w:tc>
      </w:tr>
      <w:tr w:rsidR="002B5CC7" w:rsidRPr="00AC6EC4" w:rsidTr="00E34855">
        <w:trPr>
          <w:gridAfter w:val="1"/>
          <w:wAfter w:w="17" w:type="dxa"/>
          <w:trHeight w:val="615"/>
        </w:trPr>
        <w:tc>
          <w:tcPr>
            <w:tcW w:w="2155" w:type="dxa"/>
            <w:vMerge w:val="restart"/>
            <w:tcBorders>
              <w:top w:val="nil"/>
              <w:left w:val="single" w:sz="4" w:space="0" w:color="auto"/>
              <w:bottom w:val="nil"/>
              <w:right w:val="single" w:sz="4" w:space="0" w:color="auto"/>
            </w:tcBorders>
            <w:shd w:val="clear" w:color="auto" w:fill="auto"/>
            <w:noWrap/>
            <w:vAlign w:val="center"/>
            <w:hideMark/>
          </w:tcPr>
          <w:p w:rsidR="002B5CC7" w:rsidRPr="00AC6EC4" w:rsidRDefault="002B5CC7" w:rsidP="00062901">
            <w:pPr>
              <w:spacing w:line="240" w:lineRule="auto"/>
              <w:ind w:firstLine="201"/>
              <w:rPr>
                <w:rFonts w:asciiTheme="majorHAnsi" w:hAnsiTheme="majorHAnsi" w:cstheme="majorHAnsi"/>
              </w:rPr>
            </w:pPr>
            <w:r w:rsidRPr="00AC6EC4">
              <w:rPr>
                <w:rFonts w:asciiTheme="majorHAnsi" w:hAnsiTheme="majorHAnsi" w:cstheme="majorHAnsi"/>
              </w:rPr>
              <w:t>Interest rate risk</w:t>
            </w:r>
          </w:p>
        </w:tc>
        <w:tc>
          <w:tcPr>
            <w:tcW w:w="3686"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Average Time to Refixing (years)</w:t>
            </w:r>
          </w:p>
        </w:tc>
        <w:tc>
          <w:tcPr>
            <w:tcW w:w="1672"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5.9</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10.8</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7.1</w:t>
            </w:r>
          </w:p>
        </w:tc>
      </w:tr>
      <w:tr w:rsidR="002B5CC7" w:rsidRPr="00AC6EC4" w:rsidTr="00E34855">
        <w:trPr>
          <w:gridAfter w:val="1"/>
          <w:wAfter w:w="17" w:type="dxa"/>
          <w:trHeight w:val="616"/>
        </w:trPr>
        <w:tc>
          <w:tcPr>
            <w:tcW w:w="2155" w:type="dxa"/>
            <w:vMerge/>
            <w:tcBorders>
              <w:top w:val="nil"/>
              <w:left w:val="single" w:sz="4" w:space="0" w:color="auto"/>
              <w:bottom w:val="nil"/>
              <w:right w:val="single" w:sz="4" w:space="0" w:color="auto"/>
            </w:tcBorders>
            <w:vAlign w:val="center"/>
            <w:hideMark/>
          </w:tcPr>
          <w:p w:rsidR="002B5CC7" w:rsidRPr="00AC6EC4" w:rsidRDefault="002B5CC7" w:rsidP="00062901">
            <w:pPr>
              <w:spacing w:line="240" w:lineRule="auto"/>
              <w:ind w:firstLine="201"/>
              <w:jc w:val="left"/>
              <w:rPr>
                <w:rFonts w:asciiTheme="majorHAnsi" w:hAnsiTheme="majorHAnsi" w:cstheme="majorHAnsi"/>
              </w:rPr>
            </w:pPr>
          </w:p>
        </w:tc>
        <w:tc>
          <w:tcPr>
            <w:tcW w:w="3686"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Debt Refixing in 1 year (% of total)</w:t>
            </w:r>
          </w:p>
        </w:tc>
        <w:tc>
          <w:tcPr>
            <w:tcW w:w="1672" w:type="dxa"/>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30.3</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11.5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25.7</w:t>
            </w:r>
          </w:p>
        </w:tc>
      </w:tr>
      <w:tr w:rsidR="002B5CC7" w:rsidRPr="00AC6EC4" w:rsidTr="00E34855">
        <w:trPr>
          <w:gridAfter w:val="1"/>
          <w:wAfter w:w="17" w:type="dxa"/>
          <w:trHeight w:val="624"/>
        </w:trPr>
        <w:tc>
          <w:tcPr>
            <w:tcW w:w="2155" w:type="dxa"/>
            <w:vMerge/>
            <w:tcBorders>
              <w:top w:val="nil"/>
              <w:left w:val="single" w:sz="4" w:space="0" w:color="auto"/>
              <w:bottom w:val="nil"/>
              <w:right w:val="single" w:sz="4" w:space="0" w:color="auto"/>
            </w:tcBorders>
            <w:vAlign w:val="center"/>
            <w:hideMark/>
          </w:tcPr>
          <w:p w:rsidR="002B5CC7" w:rsidRPr="00AC6EC4" w:rsidRDefault="002B5CC7" w:rsidP="00062901">
            <w:pPr>
              <w:spacing w:line="240" w:lineRule="auto"/>
              <w:ind w:firstLine="201"/>
              <w:jc w:val="left"/>
              <w:rPr>
                <w:rFonts w:asciiTheme="majorHAnsi" w:hAnsiTheme="majorHAnsi" w:cstheme="majorHAnsi"/>
              </w:rPr>
            </w:pPr>
          </w:p>
        </w:tc>
        <w:tc>
          <w:tcPr>
            <w:tcW w:w="3686" w:type="dxa"/>
            <w:tcBorders>
              <w:top w:val="nil"/>
              <w:left w:val="nil"/>
              <w:right w:val="single" w:sz="4" w:space="0" w:color="auto"/>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Fixed Rate Debt (% of total)</w:t>
            </w:r>
          </w:p>
        </w:tc>
        <w:tc>
          <w:tcPr>
            <w:tcW w:w="1672" w:type="dxa"/>
            <w:tcBorders>
              <w:top w:val="nil"/>
              <w:left w:val="nil"/>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74.1</w:t>
            </w:r>
          </w:p>
        </w:tc>
        <w:tc>
          <w:tcPr>
            <w:tcW w:w="1356" w:type="dxa"/>
            <w:gridSpan w:val="2"/>
            <w:tcBorders>
              <w:top w:val="nil"/>
              <w:left w:val="nil"/>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273" w:type="dxa"/>
            <w:gridSpan w:val="2"/>
            <w:tcBorders>
              <w:top w:val="nil"/>
              <w:left w:val="nil"/>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80.4</w:t>
            </w:r>
          </w:p>
        </w:tc>
      </w:tr>
      <w:tr w:rsidR="002B5CC7" w:rsidRPr="00AC6EC4" w:rsidTr="00E34855">
        <w:trPr>
          <w:gridAfter w:val="1"/>
          <w:wAfter w:w="17" w:type="dxa"/>
          <w:trHeight w:val="318"/>
        </w:trPr>
        <w:tc>
          <w:tcPr>
            <w:tcW w:w="2155"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2B5CC7" w:rsidRPr="00AC6EC4" w:rsidRDefault="002B5CC7" w:rsidP="00062901">
            <w:pPr>
              <w:spacing w:line="240" w:lineRule="auto"/>
              <w:ind w:firstLine="201"/>
              <w:rPr>
                <w:rFonts w:asciiTheme="majorHAnsi" w:hAnsiTheme="majorHAnsi" w:cstheme="majorHAnsi"/>
              </w:rPr>
            </w:pPr>
            <w:r w:rsidRPr="00AC6EC4">
              <w:rPr>
                <w:rFonts w:asciiTheme="majorHAnsi" w:hAnsiTheme="majorHAnsi" w:cstheme="majorHAnsi"/>
              </w:rPr>
              <w:t>Exchange rate risk</w:t>
            </w:r>
          </w:p>
        </w:tc>
        <w:tc>
          <w:tcPr>
            <w:tcW w:w="3686" w:type="dxa"/>
            <w:tcBorders>
              <w:top w:val="double" w:sz="6" w:space="0" w:color="auto"/>
              <w:left w:val="nil"/>
              <w:bottom w:val="single" w:sz="4" w:space="0" w:color="auto"/>
              <w:right w:val="nil"/>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Foreign Exchange Debt (% of total)</w:t>
            </w:r>
          </w:p>
        </w:tc>
        <w:tc>
          <w:tcPr>
            <w:tcW w:w="1672"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356" w:type="dxa"/>
            <w:gridSpan w:val="2"/>
            <w:tcBorders>
              <w:top w:val="double" w:sz="6" w:space="0" w:color="auto"/>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273" w:type="dxa"/>
            <w:gridSpan w:val="2"/>
            <w:tcBorders>
              <w:top w:val="double" w:sz="6" w:space="0" w:color="auto"/>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75.6</w:t>
            </w:r>
          </w:p>
        </w:tc>
      </w:tr>
      <w:tr w:rsidR="002B5CC7" w:rsidRPr="00AC6EC4" w:rsidTr="00E34855">
        <w:trPr>
          <w:gridAfter w:val="1"/>
          <w:wAfter w:w="17" w:type="dxa"/>
          <w:trHeight w:val="288"/>
        </w:trPr>
        <w:tc>
          <w:tcPr>
            <w:tcW w:w="2155" w:type="dxa"/>
            <w:vMerge/>
            <w:tcBorders>
              <w:top w:val="double" w:sz="6" w:space="0" w:color="auto"/>
              <w:left w:val="single" w:sz="4" w:space="0" w:color="auto"/>
              <w:bottom w:val="single" w:sz="4" w:space="0" w:color="000000"/>
              <w:right w:val="single" w:sz="4" w:space="0" w:color="auto"/>
            </w:tcBorders>
            <w:vAlign w:val="center"/>
            <w:hideMark/>
          </w:tcPr>
          <w:p w:rsidR="002B5CC7" w:rsidRPr="00AC6EC4" w:rsidRDefault="002B5CC7" w:rsidP="00062901">
            <w:pPr>
              <w:spacing w:line="240" w:lineRule="auto"/>
              <w:ind w:firstLine="0"/>
              <w:rPr>
                <w:rFonts w:asciiTheme="majorHAnsi" w:hAnsiTheme="majorHAnsi" w:cstheme="majorHAnsi"/>
              </w:rPr>
            </w:pPr>
          </w:p>
        </w:tc>
        <w:tc>
          <w:tcPr>
            <w:tcW w:w="3686" w:type="dxa"/>
            <w:tcBorders>
              <w:top w:val="nil"/>
              <w:left w:val="nil"/>
              <w:bottom w:val="single" w:sz="4" w:space="0" w:color="auto"/>
              <w:right w:val="nil"/>
            </w:tcBorders>
            <w:shd w:val="clear" w:color="auto" w:fill="auto"/>
            <w:noWrap/>
            <w:vAlign w:val="center"/>
            <w:hideMark/>
          </w:tcPr>
          <w:p w:rsidR="002B5CC7" w:rsidRPr="00AC6EC4" w:rsidRDefault="002B5CC7" w:rsidP="00062901">
            <w:pPr>
              <w:spacing w:line="240" w:lineRule="auto"/>
              <w:ind w:hanging="72"/>
              <w:rPr>
                <w:rFonts w:asciiTheme="majorHAnsi" w:hAnsiTheme="majorHAnsi" w:cstheme="majorHAnsi"/>
                <w:highlight w:val="yellow"/>
              </w:rPr>
            </w:pPr>
            <w:r w:rsidRPr="00AC6EC4">
              <w:rPr>
                <w:rFonts w:asciiTheme="majorHAnsi" w:hAnsiTheme="majorHAnsi" w:cstheme="majorHAnsi"/>
              </w:rPr>
              <w:t>Short Term Foreign Exchange Debt (redemption</w:t>
            </w:r>
            <w:r w:rsidR="0027202D" w:rsidRPr="00AC6EC4">
              <w:rPr>
                <w:rFonts w:asciiTheme="majorHAnsi" w:hAnsiTheme="majorHAnsi" w:cstheme="majorHAnsi"/>
                <w:lang w:val="en-US"/>
              </w:rPr>
              <w:t>s</w:t>
            </w:r>
            <w:r w:rsidRPr="00AC6EC4">
              <w:rPr>
                <w:rFonts w:asciiTheme="majorHAnsi" w:hAnsiTheme="majorHAnsi" w:cstheme="majorHAnsi"/>
              </w:rPr>
              <w:t>) / International Reserves,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2B5CC7" w:rsidRPr="00AC6EC4" w:rsidRDefault="002B5CC7" w:rsidP="00062901">
            <w:pPr>
              <w:spacing w:line="240" w:lineRule="auto"/>
              <w:ind w:firstLine="0"/>
              <w:jc w:val="center"/>
              <w:rPr>
                <w:rFonts w:asciiTheme="majorHAnsi" w:hAnsiTheme="majorHAnsi" w:cstheme="majorHAnsi"/>
              </w:rPr>
            </w:pPr>
            <w:r w:rsidRPr="00AC6EC4">
              <w:rPr>
                <w:rFonts w:asciiTheme="majorHAnsi" w:hAnsiTheme="majorHAnsi" w:cstheme="majorHAnsi"/>
              </w:rPr>
              <w:t>8.7</w:t>
            </w:r>
          </w:p>
        </w:tc>
      </w:tr>
    </w:tbl>
    <w:p w:rsidR="000B18AF" w:rsidRPr="00AC6EC4" w:rsidRDefault="000B18AF" w:rsidP="00A1274B">
      <w:pPr>
        <w:rPr>
          <w:rFonts w:asciiTheme="majorHAnsi" w:hAnsiTheme="majorHAnsi" w:cstheme="majorHAnsi"/>
        </w:rPr>
      </w:pPr>
    </w:p>
    <w:p w:rsidR="00794FB9" w:rsidRPr="00AC6EC4" w:rsidRDefault="00794FB9" w:rsidP="00794FB9">
      <w:pPr>
        <w:spacing w:after="240"/>
        <w:ind w:firstLine="0"/>
        <w:rPr>
          <w:rFonts w:asciiTheme="majorHAnsi" w:hAnsiTheme="majorHAnsi" w:cstheme="majorHAnsi"/>
        </w:rPr>
      </w:pPr>
      <w:r w:rsidRPr="00AC6EC4">
        <w:rPr>
          <w:rFonts w:asciiTheme="majorHAnsi" w:hAnsiTheme="majorHAnsi" w:cstheme="majorHAnsi"/>
        </w:rPr>
        <w:t xml:space="preserve">The following indicators have been used in order to characterize the costs for the Government debt: Weighted average interest rate for the debt portfolio, Share of the interest payment in the State budget revenues and Share of the interest payment in GDP. </w:t>
      </w:r>
    </w:p>
    <w:p w:rsidR="008664B0" w:rsidRPr="00AC6EC4" w:rsidRDefault="008664B0" w:rsidP="008664B0">
      <w:pPr>
        <w:spacing w:after="240"/>
        <w:ind w:firstLine="0"/>
        <w:rPr>
          <w:rFonts w:asciiTheme="majorHAnsi" w:hAnsiTheme="majorHAnsi" w:cstheme="majorHAnsi"/>
        </w:rPr>
      </w:pPr>
      <w:r w:rsidRPr="00AC6EC4">
        <w:rPr>
          <w:rFonts w:asciiTheme="majorHAnsi" w:hAnsiTheme="majorHAnsi" w:cstheme="majorHAnsi"/>
        </w:rPr>
        <w:t xml:space="preserve">The average interest rate for the RA Government debt portfolio was 4.3% at the end of 2020, moreover, for AMD denominated debt it comprised </w:t>
      </w:r>
      <w:r w:rsidRPr="00AC6EC4">
        <w:rPr>
          <w:rFonts w:asciiTheme="majorHAnsi" w:hAnsiTheme="majorHAnsi" w:cstheme="majorHAnsi"/>
          <w:lang w:val="en-US"/>
        </w:rPr>
        <w:t>10.4</w:t>
      </w:r>
      <w:r w:rsidRPr="00AC6EC4">
        <w:rPr>
          <w:rFonts w:asciiTheme="majorHAnsi" w:hAnsiTheme="majorHAnsi" w:cstheme="majorHAnsi"/>
        </w:rPr>
        <w:t>%, for foreign currency debt</w:t>
      </w:r>
      <w:r w:rsidR="008D4FDE" w:rsidRPr="00AC6EC4">
        <w:rPr>
          <w:rFonts w:asciiTheme="majorHAnsi" w:hAnsiTheme="majorHAnsi" w:cstheme="majorHAnsi"/>
          <w:lang w:val="en-US"/>
        </w:rPr>
        <w:t>:</w:t>
      </w:r>
      <w:r w:rsidRPr="00AC6EC4">
        <w:rPr>
          <w:rFonts w:asciiTheme="majorHAnsi" w:hAnsiTheme="majorHAnsi" w:cstheme="majorHAnsi"/>
        </w:rPr>
        <w:t xml:space="preserve"> </w:t>
      </w:r>
      <w:r w:rsidRPr="00AC6EC4">
        <w:rPr>
          <w:rFonts w:asciiTheme="majorHAnsi" w:hAnsiTheme="majorHAnsi" w:cstheme="majorHAnsi"/>
          <w:lang w:val="en-US"/>
        </w:rPr>
        <w:t>2.3</w:t>
      </w:r>
      <w:r w:rsidRPr="00AC6EC4">
        <w:rPr>
          <w:rFonts w:asciiTheme="majorHAnsi" w:hAnsiTheme="majorHAnsi" w:cstheme="majorHAnsi"/>
        </w:rPr>
        <w:t>%.</w:t>
      </w:r>
    </w:p>
    <w:p w:rsidR="00B7784A" w:rsidRPr="00AC6EC4" w:rsidRDefault="00B7784A" w:rsidP="00B7784A">
      <w:pPr>
        <w:spacing w:after="240"/>
        <w:ind w:firstLine="0"/>
        <w:rPr>
          <w:rFonts w:asciiTheme="majorHAnsi" w:hAnsiTheme="majorHAnsi" w:cstheme="majorHAnsi"/>
        </w:rPr>
      </w:pPr>
      <w:r w:rsidRPr="00AC6EC4">
        <w:rPr>
          <w:rFonts w:asciiTheme="majorHAnsi" w:hAnsiTheme="majorHAnsi" w:cstheme="majorHAnsi"/>
        </w:rPr>
        <w:t xml:space="preserve">The average interest rate for the RA Government debt portfolio (the ratio of the debt interest payment in 2020 to the outstanding debt as of the end of the previous year) made up 5.0% against 5.1% in 2019. In case of separation by residency, the average interest rate for the RA Government external debt was 3.0% in 2020 against 3.5% in 2019, and the same indicator for the RA Government domestic debt made up </w:t>
      </w:r>
      <w:r w:rsidRPr="00AC6EC4">
        <w:rPr>
          <w:rFonts w:asciiTheme="majorHAnsi" w:hAnsiTheme="majorHAnsi" w:cstheme="majorHAnsi"/>
          <w:lang w:val="en-US"/>
        </w:rPr>
        <w:t>12.1</w:t>
      </w:r>
      <w:r w:rsidRPr="00AC6EC4">
        <w:rPr>
          <w:rFonts w:asciiTheme="majorHAnsi" w:hAnsiTheme="majorHAnsi" w:cstheme="majorHAnsi"/>
        </w:rPr>
        <w:t>% against 1</w:t>
      </w:r>
      <w:r w:rsidRPr="00AC6EC4">
        <w:rPr>
          <w:rFonts w:asciiTheme="majorHAnsi" w:hAnsiTheme="majorHAnsi" w:cstheme="majorHAnsi"/>
          <w:lang w:val="en-US"/>
        </w:rPr>
        <w:t>1</w:t>
      </w:r>
      <w:r w:rsidR="008D4FDE" w:rsidRPr="00AC6EC4">
        <w:rPr>
          <w:rFonts w:asciiTheme="majorHAnsi" w:hAnsiTheme="majorHAnsi" w:cstheme="majorHAnsi"/>
          <w:lang w:val="en-US"/>
        </w:rPr>
        <w:t>.0</w:t>
      </w:r>
      <w:r w:rsidRPr="00AC6EC4">
        <w:rPr>
          <w:rFonts w:asciiTheme="majorHAnsi" w:hAnsiTheme="majorHAnsi" w:cstheme="majorHAnsi"/>
        </w:rPr>
        <w:t>% of the previous year. The interest rates of the external loans have an increasing trend, because Armenia no longer has access to the concessional loans provided by the international organizations</w:t>
      </w:r>
      <w:r w:rsidR="008D4FDE" w:rsidRPr="00AC6EC4">
        <w:rPr>
          <w:rFonts w:asciiTheme="majorHAnsi" w:hAnsiTheme="majorHAnsi" w:cstheme="majorHAnsi"/>
        </w:rPr>
        <w:t xml:space="preserve"> as a result of being classified as a middle-income country</w:t>
      </w:r>
      <w:r w:rsidRPr="00AC6EC4">
        <w:rPr>
          <w:rFonts w:asciiTheme="majorHAnsi" w:hAnsiTheme="majorHAnsi" w:cstheme="majorHAnsi"/>
        </w:rPr>
        <w:t xml:space="preserve">. Moreover, the World Bank and the Asian Development Bank have reviewed and increased the interest rates for the previously provided </w:t>
      </w:r>
      <w:r w:rsidRPr="00AC6EC4">
        <w:rPr>
          <w:rFonts w:asciiTheme="majorHAnsi" w:hAnsiTheme="majorHAnsi" w:cstheme="majorHAnsi"/>
        </w:rPr>
        <w:lastRenderedPageBreak/>
        <w:t xml:space="preserve">concessional loans. Regarding to the average interest rate in the domestic market, the average weighted yield of GS comprised </w:t>
      </w:r>
      <w:r w:rsidR="00DB568A" w:rsidRPr="00AC6EC4">
        <w:rPr>
          <w:rFonts w:asciiTheme="majorHAnsi" w:hAnsiTheme="majorHAnsi" w:cstheme="majorHAnsi"/>
          <w:lang w:val="en-US"/>
        </w:rPr>
        <w:t>10.4</w:t>
      </w:r>
      <w:r w:rsidRPr="00AC6EC4">
        <w:rPr>
          <w:rFonts w:asciiTheme="majorHAnsi" w:hAnsiTheme="majorHAnsi" w:cstheme="majorHAnsi"/>
        </w:rPr>
        <w:t>% as of 31 December, 20</w:t>
      </w:r>
      <w:r w:rsidR="00DB568A" w:rsidRPr="00AC6EC4">
        <w:rPr>
          <w:rFonts w:asciiTheme="majorHAnsi" w:hAnsiTheme="majorHAnsi" w:cstheme="majorHAnsi"/>
          <w:lang w:val="en-US"/>
        </w:rPr>
        <w:t>20</w:t>
      </w:r>
      <w:r w:rsidRPr="00AC6EC4">
        <w:rPr>
          <w:rFonts w:asciiTheme="majorHAnsi" w:hAnsiTheme="majorHAnsi" w:cstheme="majorHAnsi"/>
        </w:rPr>
        <w:t>, compared to 1</w:t>
      </w:r>
      <w:r w:rsidR="00DB568A" w:rsidRPr="00AC6EC4">
        <w:rPr>
          <w:rFonts w:asciiTheme="majorHAnsi" w:hAnsiTheme="majorHAnsi" w:cstheme="majorHAnsi"/>
        </w:rPr>
        <w:t>1</w:t>
      </w:r>
      <w:r w:rsidRPr="00AC6EC4">
        <w:rPr>
          <w:rFonts w:asciiTheme="majorHAnsi" w:hAnsiTheme="majorHAnsi" w:cstheme="majorHAnsi"/>
        </w:rPr>
        <w:t>.8% at the end of 201</w:t>
      </w:r>
      <w:r w:rsidR="00DB568A" w:rsidRPr="00AC6EC4">
        <w:rPr>
          <w:rFonts w:asciiTheme="majorHAnsi" w:hAnsiTheme="majorHAnsi" w:cstheme="majorHAnsi"/>
        </w:rPr>
        <w:t>9</w:t>
      </w:r>
      <w:r w:rsidRPr="00AC6EC4">
        <w:rPr>
          <w:rFonts w:asciiTheme="majorHAnsi" w:hAnsiTheme="majorHAnsi" w:cstheme="majorHAnsi"/>
        </w:rPr>
        <w:t>.</w:t>
      </w:r>
    </w:p>
    <w:p w:rsidR="007901C3" w:rsidRPr="00AC6EC4" w:rsidRDefault="0005609D" w:rsidP="00A61C34">
      <w:pPr>
        <w:pStyle w:val="af5"/>
        <w:numPr>
          <w:ilvl w:val="0"/>
          <w:numId w:val="28"/>
        </w:numPr>
        <w:tabs>
          <w:tab w:val="left" w:pos="567"/>
          <w:tab w:val="left" w:pos="1276"/>
        </w:tabs>
        <w:ind w:hanging="720"/>
        <w:rPr>
          <w:rFonts w:asciiTheme="majorHAnsi" w:hAnsiTheme="majorHAnsi" w:cstheme="majorHAnsi"/>
          <w:b w:val="0"/>
          <w:bCs w:val="0"/>
        </w:rPr>
      </w:pPr>
      <w:r w:rsidRPr="00AC6EC4">
        <w:rPr>
          <w:rFonts w:asciiTheme="majorHAnsi" w:hAnsiTheme="majorHAnsi" w:cstheme="majorHAnsi"/>
          <w:b w:val="0"/>
          <w:bCs w:val="0"/>
        </w:rPr>
        <w:t>Average yield dynamics in 2018-2020</w:t>
      </w:r>
    </w:p>
    <w:p w:rsidR="009426A1" w:rsidRPr="00AC6EC4" w:rsidRDefault="00834B41" w:rsidP="001C7D73">
      <w:pPr>
        <w:ind w:firstLine="0"/>
        <w:rPr>
          <w:rFonts w:asciiTheme="majorHAnsi" w:hAnsiTheme="majorHAnsi" w:cstheme="majorHAnsi"/>
        </w:rPr>
      </w:pPr>
      <w:r w:rsidRPr="00AC6EC4">
        <w:rPr>
          <w:rFonts w:asciiTheme="majorHAnsi" w:hAnsiTheme="majorHAnsi" w:cstheme="majorHAnsi"/>
          <w:noProof/>
          <w:lang w:val="en-US"/>
        </w:rPr>
        <w:drawing>
          <wp:inline distT="0" distB="0" distL="0" distR="0" wp14:anchorId="409B51B3" wp14:editId="219A09AF">
            <wp:extent cx="6457950" cy="3682365"/>
            <wp:effectExtent l="0" t="0" r="0" b="13335"/>
            <wp:docPr id="1" name="Chart 1">
              <a:extLst xmlns:a="http://schemas.openxmlformats.org/drawingml/2006/main">
                <a:ext uri="{FF2B5EF4-FFF2-40B4-BE49-F238E27FC236}">
                  <a16:creationId xmlns:a16="http://schemas.microsoft.com/office/drawing/2014/main" id="{00000000-0008-0000-1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568A" w:rsidRPr="00AC6EC4" w:rsidRDefault="00DB568A" w:rsidP="00DB568A">
      <w:pPr>
        <w:ind w:firstLine="0"/>
        <w:rPr>
          <w:rFonts w:asciiTheme="majorHAnsi" w:hAnsiTheme="majorHAnsi" w:cstheme="majorHAnsi"/>
        </w:rPr>
      </w:pPr>
      <w:r w:rsidRPr="00AC6EC4">
        <w:rPr>
          <w:rFonts w:asciiTheme="majorHAnsi" w:hAnsiTheme="majorHAnsi" w:cstheme="majorHAnsi"/>
        </w:rPr>
        <w:t xml:space="preserve">As a result of the year, </w:t>
      </w:r>
      <w:r w:rsidR="00A43153" w:rsidRPr="00AC6EC4">
        <w:rPr>
          <w:rFonts w:asciiTheme="majorHAnsi" w:hAnsiTheme="majorHAnsi" w:cstheme="majorHAnsi"/>
        </w:rPr>
        <w:t>the RA government</w:t>
      </w:r>
      <w:r w:rsidRPr="00AC6EC4">
        <w:rPr>
          <w:rFonts w:asciiTheme="majorHAnsi" w:hAnsiTheme="majorHAnsi" w:cstheme="majorHAnsi"/>
        </w:rPr>
        <w:t xml:space="preserve"> succeeded in </w:t>
      </w:r>
      <w:r w:rsidR="000215A0" w:rsidRPr="00AC6EC4">
        <w:rPr>
          <w:rFonts w:asciiTheme="majorHAnsi" w:hAnsiTheme="majorHAnsi" w:cstheme="majorHAnsi"/>
        </w:rPr>
        <w:t>reduction</w:t>
      </w:r>
      <w:r w:rsidRPr="00AC6EC4">
        <w:rPr>
          <w:rFonts w:asciiTheme="majorHAnsi" w:hAnsiTheme="majorHAnsi" w:cstheme="majorHAnsi"/>
        </w:rPr>
        <w:t xml:space="preserve"> of the weighted average yield by 1.4 percentage points, which was mainly due to the growing demand </w:t>
      </w:r>
      <w:r w:rsidR="000215A0" w:rsidRPr="00AC6EC4">
        <w:rPr>
          <w:rFonts w:asciiTheme="majorHAnsi" w:hAnsiTheme="majorHAnsi" w:cstheme="majorHAnsi"/>
        </w:rPr>
        <w:t>by the</w:t>
      </w:r>
      <w:r w:rsidRPr="00AC6EC4">
        <w:rPr>
          <w:rFonts w:asciiTheme="majorHAnsi" w:hAnsiTheme="majorHAnsi" w:cstheme="majorHAnsi"/>
        </w:rPr>
        <w:t xml:space="preserve"> financial institutions for less risky assets </w:t>
      </w:r>
      <w:r w:rsidR="000215A0" w:rsidRPr="00AC6EC4">
        <w:rPr>
          <w:rFonts w:asciiTheme="majorHAnsi" w:hAnsiTheme="majorHAnsi" w:cstheme="majorHAnsi"/>
        </w:rPr>
        <w:t>within</w:t>
      </w:r>
      <w:r w:rsidRPr="00AC6EC4">
        <w:rPr>
          <w:rFonts w:asciiTheme="majorHAnsi" w:hAnsiTheme="majorHAnsi" w:cstheme="majorHAnsi"/>
        </w:rPr>
        <w:t xml:space="preserve"> growing uncertainty in the real sector of the economy, </w:t>
      </w:r>
      <w:r w:rsidR="000215A0" w:rsidRPr="00AC6EC4">
        <w:rPr>
          <w:rFonts w:asciiTheme="majorHAnsi" w:hAnsiTheme="majorHAnsi" w:cstheme="majorHAnsi"/>
        </w:rPr>
        <w:t xml:space="preserve">due to </w:t>
      </w:r>
      <w:r w:rsidRPr="00AC6EC4">
        <w:rPr>
          <w:rFonts w:asciiTheme="majorHAnsi" w:hAnsiTheme="majorHAnsi" w:cstheme="majorHAnsi"/>
        </w:rPr>
        <w:t>the continued easing of monetary conditions by the Central Bank for most of the year, as well as the buyback and redemption of the high-yield GS during 2020.</w:t>
      </w:r>
    </w:p>
    <w:p w:rsidR="00DB568A" w:rsidRPr="00AC6EC4" w:rsidRDefault="00DB568A" w:rsidP="00DB568A">
      <w:pPr>
        <w:spacing w:after="240"/>
        <w:ind w:firstLine="0"/>
        <w:rPr>
          <w:rFonts w:asciiTheme="majorHAnsi" w:hAnsiTheme="majorHAnsi" w:cstheme="majorHAnsi"/>
        </w:rPr>
      </w:pPr>
      <w:r w:rsidRPr="00AC6EC4">
        <w:rPr>
          <w:rFonts w:asciiTheme="majorHAnsi" w:hAnsiTheme="majorHAnsi" w:cstheme="majorHAnsi"/>
        </w:rPr>
        <w:t>During 20</w:t>
      </w:r>
      <w:r w:rsidR="00EC6049" w:rsidRPr="00AC6EC4">
        <w:rPr>
          <w:rFonts w:asciiTheme="majorHAnsi" w:hAnsiTheme="majorHAnsi" w:cstheme="majorHAnsi"/>
        </w:rPr>
        <w:t>20</w:t>
      </w:r>
      <w:r w:rsidRPr="00AC6EC4">
        <w:rPr>
          <w:rFonts w:asciiTheme="majorHAnsi" w:hAnsiTheme="majorHAnsi" w:cstheme="majorHAnsi"/>
        </w:rPr>
        <w:t xml:space="preserve">, the RA Government paid AMD </w:t>
      </w:r>
      <w:r w:rsidR="00EC6049" w:rsidRPr="00AC6EC4">
        <w:rPr>
          <w:rFonts w:asciiTheme="majorHAnsi" w:hAnsiTheme="majorHAnsi" w:cstheme="majorHAnsi"/>
        </w:rPr>
        <w:t xml:space="preserve">164.7 </w:t>
      </w:r>
      <w:r w:rsidRPr="00AC6EC4">
        <w:rPr>
          <w:rFonts w:asciiTheme="majorHAnsi" w:hAnsiTheme="majorHAnsi" w:cstheme="majorHAnsi"/>
        </w:rPr>
        <w:t>billion interest on debt, which constituted 10.</w:t>
      </w:r>
      <w:r w:rsidR="00EC6049" w:rsidRPr="00AC6EC4">
        <w:rPr>
          <w:rFonts w:asciiTheme="majorHAnsi" w:hAnsiTheme="majorHAnsi" w:cstheme="majorHAnsi"/>
          <w:lang w:val="en-US"/>
        </w:rPr>
        <w:t>6</w:t>
      </w:r>
      <w:r w:rsidRPr="00AC6EC4">
        <w:rPr>
          <w:rFonts w:asciiTheme="majorHAnsi" w:hAnsiTheme="majorHAnsi" w:cstheme="majorHAnsi"/>
        </w:rPr>
        <w:t xml:space="preserve">% of the State budget revenues, </w:t>
      </w:r>
      <w:r w:rsidR="00EC6049" w:rsidRPr="00AC6EC4">
        <w:rPr>
          <w:rFonts w:asciiTheme="majorHAnsi" w:hAnsiTheme="majorHAnsi" w:cstheme="majorHAnsi"/>
        </w:rPr>
        <w:t>8</w:t>
      </w:r>
      <w:r w:rsidRPr="00AC6EC4">
        <w:rPr>
          <w:rFonts w:asciiTheme="majorHAnsi" w:hAnsiTheme="majorHAnsi" w:cstheme="majorHAnsi"/>
        </w:rPr>
        <w:t>.7% of State budget expenditures and 2.</w:t>
      </w:r>
      <w:r w:rsidR="00EC6049" w:rsidRPr="00AC6EC4">
        <w:rPr>
          <w:rFonts w:asciiTheme="majorHAnsi" w:hAnsiTheme="majorHAnsi" w:cstheme="majorHAnsi"/>
        </w:rPr>
        <w:t>7</w:t>
      </w:r>
      <w:r w:rsidRPr="00AC6EC4">
        <w:rPr>
          <w:rFonts w:asciiTheme="majorHAnsi" w:hAnsiTheme="majorHAnsi" w:cstheme="majorHAnsi"/>
        </w:rPr>
        <w:t xml:space="preserve">% of GDP. All these three indicators reflect a moderate level of the RA Government debt costs.  </w:t>
      </w:r>
    </w:p>
    <w:p w:rsidR="00EC6049" w:rsidRPr="00AC6EC4" w:rsidRDefault="00EC6049" w:rsidP="00A1274B">
      <w:pPr>
        <w:rPr>
          <w:rFonts w:asciiTheme="majorHAnsi" w:hAnsiTheme="majorHAnsi" w:cstheme="majorHAnsi"/>
        </w:rPr>
      </w:pPr>
      <w:r w:rsidRPr="00AC6EC4">
        <w:rPr>
          <w:rFonts w:asciiTheme="majorHAnsi" w:hAnsiTheme="majorHAnsi" w:cstheme="majorHAnsi"/>
        </w:rPr>
        <w:t xml:space="preserve">Risks management is essential from the perspective of resolving the issue for the </w:t>
      </w:r>
      <w:r w:rsidR="00D84EEF" w:rsidRPr="00AC6EC4">
        <w:rPr>
          <w:rFonts w:asciiTheme="majorHAnsi" w:hAnsiTheme="majorHAnsi" w:cstheme="majorHAnsi"/>
        </w:rPr>
        <w:t>effective</w:t>
      </w:r>
      <w:r w:rsidRPr="00AC6EC4">
        <w:rPr>
          <w:rFonts w:asciiTheme="majorHAnsi" w:hAnsiTheme="majorHAnsi" w:cstheme="majorHAnsi"/>
        </w:rPr>
        <w:t xml:space="preserve"> management of the RA Government debt. </w:t>
      </w:r>
    </w:p>
    <w:p w:rsidR="00EC6049" w:rsidRPr="00AC6EC4" w:rsidRDefault="00EC6049" w:rsidP="00EC6049">
      <w:pPr>
        <w:spacing w:after="240"/>
        <w:rPr>
          <w:rFonts w:asciiTheme="majorHAnsi" w:hAnsiTheme="majorHAnsi" w:cstheme="majorHAnsi"/>
          <w:b/>
          <w:i/>
        </w:rPr>
      </w:pPr>
    </w:p>
    <w:p w:rsidR="00EC6049" w:rsidRPr="00AC6EC4" w:rsidRDefault="00EC6049" w:rsidP="00EC6049">
      <w:pPr>
        <w:spacing w:after="240"/>
        <w:rPr>
          <w:rFonts w:asciiTheme="majorHAnsi" w:hAnsiTheme="majorHAnsi" w:cstheme="majorHAnsi"/>
          <w:b/>
          <w:i/>
        </w:rPr>
      </w:pPr>
      <w:r w:rsidRPr="00AC6EC4">
        <w:rPr>
          <w:rFonts w:asciiTheme="majorHAnsi" w:hAnsiTheme="majorHAnsi" w:cstheme="majorHAnsi"/>
          <w:b/>
          <w:i/>
        </w:rPr>
        <w:t>Exchange Rate Risk</w:t>
      </w:r>
    </w:p>
    <w:p w:rsidR="00EC6049" w:rsidRPr="00AC6EC4" w:rsidRDefault="00EC6049" w:rsidP="00EC6049">
      <w:pPr>
        <w:spacing w:after="240"/>
        <w:rPr>
          <w:rFonts w:asciiTheme="majorHAnsi" w:hAnsiTheme="majorHAnsi" w:cstheme="majorHAnsi"/>
        </w:rPr>
      </w:pPr>
      <w:r w:rsidRPr="00AC6EC4">
        <w:rPr>
          <w:rFonts w:asciiTheme="majorHAnsi" w:hAnsiTheme="majorHAnsi" w:cstheme="majorHAnsi"/>
        </w:rPr>
        <w:t xml:space="preserve">The most significant market risk in the existing RA Government debt portfolio is the exchange rate risk. The exchange rate </w:t>
      </w:r>
      <w:r w:rsidR="00834B20" w:rsidRPr="00AC6EC4">
        <w:rPr>
          <w:rFonts w:asciiTheme="majorHAnsi" w:hAnsiTheme="majorHAnsi" w:cstheme="majorHAnsi"/>
        </w:rPr>
        <w:t xml:space="preserve">risk </w:t>
      </w:r>
      <w:r w:rsidRPr="00AC6EC4">
        <w:rPr>
          <w:rFonts w:asciiTheme="majorHAnsi" w:hAnsiTheme="majorHAnsi" w:cstheme="majorHAnsi"/>
        </w:rPr>
        <w:t>is mostly measures by the following two indicators: Share of the foreign currency denominated debt in the total debt and Share of the foreign currency denominated short-term debt in the international reserves.</w:t>
      </w:r>
    </w:p>
    <w:p w:rsidR="00EC6049" w:rsidRPr="00AC6EC4" w:rsidRDefault="00EC6049" w:rsidP="00EC6049">
      <w:pPr>
        <w:spacing w:after="240"/>
        <w:ind w:firstLine="0"/>
        <w:rPr>
          <w:rFonts w:asciiTheme="majorHAnsi" w:hAnsiTheme="majorHAnsi" w:cstheme="majorHAnsi"/>
        </w:rPr>
      </w:pPr>
      <w:r w:rsidRPr="00AC6EC4">
        <w:rPr>
          <w:rFonts w:asciiTheme="majorHAnsi" w:hAnsiTheme="majorHAnsi" w:cstheme="majorHAnsi"/>
        </w:rPr>
        <w:lastRenderedPageBreak/>
        <w:t xml:space="preserve">The current RA Government debt portfolio is exposed to a high exchange rate risk, because, as of 31 December 2020, the major part of the debt </w:t>
      </w:r>
      <w:r w:rsidR="00834B20" w:rsidRPr="00AC6EC4">
        <w:rPr>
          <w:rFonts w:asciiTheme="majorHAnsi" w:hAnsiTheme="majorHAnsi" w:cstheme="majorHAnsi"/>
        </w:rPr>
        <w:t>(</w:t>
      </w:r>
      <w:r w:rsidRPr="00AC6EC4">
        <w:rPr>
          <w:rFonts w:asciiTheme="majorHAnsi" w:hAnsiTheme="majorHAnsi" w:cstheme="majorHAnsi"/>
        </w:rPr>
        <w:t>75.6%</w:t>
      </w:r>
      <w:r w:rsidR="00834B20" w:rsidRPr="00AC6EC4">
        <w:rPr>
          <w:rFonts w:asciiTheme="majorHAnsi" w:hAnsiTheme="majorHAnsi" w:cstheme="majorHAnsi"/>
        </w:rPr>
        <w:t>)</w:t>
      </w:r>
      <w:r w:rsidRPr="00AC6EC4">
        <w:rPr>
          <w:rFonts w:asciiTheme="majorHAnsi" w:hAnsiTheme="majorHAnsi" w:cstheme="majorHAnsi"/>
        </w:rPr>
        <w:t xml:space="preserve"> </w:t>
      </w:r>
      <w:r w:rsidR="00834B20" w:rsidRPr="00AC6EC4">
        <w:rPr>
          <w:rFonts w:asciiTheme="majorHAnsi" w:hAnsiTheme="majorHAnsi" w:cstheme="majorHAnsi"/>
        </w:rPr>
        <w:t>had been</w:t>
      </w:r>
      <w:r w:rsidRPr="00AC6EC4">
        <w:rPr>
          <w:rFonts w:asciiTheme="majorHAnsi" w:hAnsiTheme="majorHAnsi" w:cstheme="majorHAnsi"/>
        </w:rPr>
        <w:t xml:space="preserve"> borrowed in foreign currency (it decreased by 3.65 percentage points compared to the previous year).</w:t>
      </w:r>
    </w:p>
    <w:p w:rsidR="00425637" w:rsidRPr="00AC6EC4" w:rsidRDefault="00A61C34" w:rsidP="00A61C34">
      <w:pPr>
        <w:pStyle w:val="af5"/>
        <w:numPr>
          <w:ilvl w:val="0"/>
          <w:numId w:val="28"/>
        </w:numPr>
        <w:tabs>
          <w:tab w:val="left" w:pos="993"/>
        </w:tabs>
        <w:ind w:left="0" w:firstLine="0"/>
        <w:jc w:val="both"/>
        <w:rPr>
          <w:rFonts w:asciiTheme="majorHAnsi" w:hAnsiTheme="majorHAnsi" w:cstheme="majorHAnsi"/>
          <w:b w:val="0"/>
          <w:bCs w:val="0"/>
        </w:rPr>
      </w:pPr>
      <w:r w:rsidRPr="00AC6EC4">
        <w:rPr>
          <w:rFonts w:asciiTheme="majorHAnsi" w:hAnsiTheme="majorHAnsi" w:cstheme="majorHAnsi"/>
          <w:b w:val="0"/>
          <w:bCs w:val="0"/>
        </w:rPr>
        <w:t xml:space="preserve">The shares of the foreign currency and AMD denominated RA Government debts in </w:t>
      </w:r>
      <w:r w:rsidRPr="00AC6EC4">
        <w:rPr>
          <w:rFonts w:asciiTheme="majorHAnsi" w:hAnsiTheme="majorHAnsi" w:cstheme="majorHAnsi"/>
          <w:b w:val="0"/>
          <w:bCs w:val="0"/>
          <w:lang w:val="en-US"/>
        </w:rPr>
        <w:t>2019</w:t>
      </w:r>
      <w:r w:rsidRPr="00AC6EC4">
        <w:rPr>
          <w:rFonts w:asciiTheme="majorHAnsi" w:hAnsiTheme="majorHAnsi" w:cstheme="majorHAnsi"/>
          <w:b w:val="0"/>
          <w:bCs w:val="0"/>
        </w:rPr>
        <w:t>-20</w:t>
      </w:r>
      <w:r w:rsidRPr="00AC6EC4">
        <w:rPr>
          <w:rFonts w:asciiTheme="majorHAnsi" w:hAnsiTheme="majorHAnsi" w:cstheme="majorHAnsi"/>
          <w:b w:val="0"/>
          <w:bCs w:val="0"/>
          <w:lang w:val="en-US"/>
        </w:rPr>
        <w:t>20</w:t>
      </w:r>
      <w:r w:rsidRPr="00AC6EC4">
        <w:rPr>
          <w:rFonts w:asciiTheme="majorHAnsi" w:hAnsiTheme="majorHAnsi" w:cstheme="majorHAnsi"/>
          <w:b w:val="0"/>
          <w:bCs w:val="0"/>
        </w:rPr>
        <w:t xml:space="preserve"> (%)</w:t>
      </w:r>
    </w:p>
    <w:p w:rsidR="00672D48" w:rsidRPr="00AC6EC4" w:rsidRDefault="005B4BD4" w:rsidP="001C7D73">
      <w:pPr>
        <w:ind w:firstLine="0"/>
        <w:rPr>
          <w:rFonts w:asciiTheme="majorHAnsi" w:hAnsiTheme="majorHAnsi" w:cstheme="majorHAnsi"/>
        </w:rPr>
      </w:pPr>
      <w:r w:rsidRPr="00AC6EC4">
        <w:rPr>
          <w:rFonts w:asciiTheme="majorHAnsi" w:hAnsiTheme="majorHAnsi" w:cstheme="majorHAnsi"/>
          <w:noProof/>
          <w:lang w:val="en-US"/>
        </w:rPr>
        <w:drawing>
          <wp:inline distT="0" distB="0" distL="0" distR="0" wp14:anchorId="2D724742" wp14:editId="142469CC">
            <wp:extent cx="5410200" cy="2783205"/>
            <wp:effectExtent l="0" t="0" r="0" b="17145"/>
            <wp:docPr id="2" name="Chart 2">
              <a:extLst xmlns:a="http://schemas.openxmlformats.org/drawingml/2006/main">
                <a:ext uri="{FF2B5EF4-FFF2-40B4-BE49-F238E27FC236}">
                  <a16:creationId xmlns:a16="http://schemas.microsoft.com/office/drawing/2014/main" id="{00000000-0008-0000-0B00-00002F0CF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637" w:rsidRPr="00AC6EC4" w:rsidRDefault="00425637" w:rsidP="00A1274B">
      <w:pPr>
        <w:rPr>
          <w:rFonts w:asciiTheme="majorHAnsi" w:hAnsiTheme="majorHAnsi" w:cstheme="majorHAnsi"/>
        </w:rPr>
      </w:pPr>
    </w:p>
    <w:p w:rsidR="00A80E1C" w:rsidRPr="00AC6EC4" w:rsidRDefault="00A80E1C" w:rsidP="00A80E1C">
      <w:pPr>
        <w:ind w:firstLine="0"/>
        <w:rPr>
          <w:rFonts w:asciiTheme="majorHAnsi" w:hAnsiTheme="majorHAnsi" w:cstheme="majorHAnsi"/>
        </w:rPr>
      </w:pPr>
      <w:r w:rsidRPr="00AC6EC4">
        <w:rPr>
          <w:rFonts w:asciiTheme="majorHAnsi" w:hAnsiTheme="majorHAnsi" w:cstheme="majorHAnsi"/>
        </w:rPr>
        <w:t>The foreign currency structure of the FX denominated RA Government debt portfolio is presented below:</w:t>
      </w:r>
    </w:p>
    <w:p w:rsidR="00425637" w:rsidRPr="00AC6EC4" w:rsidRDefault="00A61C34" w:rsidP="00A61C34">
      <w:pPr>
        <w:pStyle w:val="af5"/>
        <w:numPr>
          <w:ilvl w:val="0"/>
          <w:numId w:val="28"/>
        </w:numPr>
        <w:tabs>
          <w:tab w:val="left" w:pos="993"/>
        </w:tabs>
        <w:ind w:left="0" w:firstLine="0"/>
        <w:jc w:val="both"/>
        <w:rPr>
          <w:rFonts w:asciiTheme="majorHAnsi" w:hAnsiTheme="majorHAnsi" w:cstheme="majorHAnsi"/>
          <w:b w:val="0"/>
          <w:bCs w:val="0"/>
        </w:rPr>
      </w:pPr>
      <w:r w:rsidRPr="00AC6EC4">
        <w:rPr>
          <w:rFonts w:asciiTheme="majorHAnsi" w:hAnsiTheme="majorHAnsi" w:cstheme="majorHAnsi"/>
          <w:b w:val="0"/>
          <w:bCs w:val="0"/>
        </w:rPr>
        <w:t>The foreign currency structure of the RA Government debt portfolio at the end of 20</w:t>
      </w:r>
      <w:r w:rsidRPr="00AC6EC4">
        <w:rPr>
          <w:rFonts w:asciiTheme="majorHAnsi" w:hAnsiTheme="majorHAnsi" w:cstheme="majorHAnsi"/>
          <w:b w:val="0"/>
          <w:bCs w:val="0"/>
          <w:lang w:val="en-US"/>
        </w:rPr>
        <w:t>20</w:t>
      </w:r>
    </w:p>
    <w:p w:rsidR="00425637" w:rsidRPr="00AC6EC4" w:rsidRDefault="00103045" w:rsidP="00A1274B">
      <w:pPr>
        <w:rPr>
          <w:rFonts w:asciiTheme="majorHAnsi" w:hAnsiTheme="majorHAnsi" w:cstheme="majorHAnsi"/>
        </w:rPr>
      </w:pPr>
      <w:r w:rsidRPr="00AC6EC4">
        <w:rPr>
          <w:rFonts w:asciiTheme="majorHAnsi" w:hAnsiTheme="majorHAnsi" w:cstheme="majorHAnsi"/>
          <w:noProof/>
          <w:lang w:val="en-US"/>
        </w:rPr>
        <mc:AlternateContent>
          <mc:Choice Requires="wpg">
            <w:drawing>
              <wp:anchor distT="0" distB="0" distL="114300" distR="114300" simplePos="0" relativeHeight="251658752" behindDoc="0" locked="0" layoutInCell="1" allowOverlap="1" wp14:anchorId="53FB8123" wp14:editId="7296073C">
                <wp:simplePos x="0" y="0"/>
                <wp:positionH relativeFrom="column">
                  <wp:posOffset>60960</wp:posOffset>
                </wp:positionH>
                <wp:positionV relativeFrom="paragraph">
                  <wp:posOffset>170815</wp:posOffset>
                </wp:positionV>
                <wp:extent cx="6469380" cy="2714625"/>
                <wp:effectExtent l="0" t="0" r="7620" b="9525"/>
                <wp:wrapNone/>
                <wp:docPr id="12" name="Group 1"/>
                <wp:cNvGraphicFramePr/>
                <a:graphic xmlns:a="http://schemas.openxmlformats.org/drawingml/2006/main">
                  <a:graphicData uri="http://schemas.microsoft.com/office/word/2010/wordprocessingGroup">
                    <wpg:wgp>
                      <wpg:cNvGrpSpPr/>
                      <wpg:grpSpPr bwMode="auto">
                        <a:xfrm>
                          <a:off x="0" y="0"/>
                          <a:ext cx="6469380" cy="2714625"/>
                          <a:chOff x="0" y="0"/>
                          <a:chExt cx="8439667" cy="2711360"/>
                        </a:xfrm>
                      </wpg:grpSpPr>
                      <wpg:graphicFrame>
                        <wpg:cNvPr id="13" name="Graphique 2"/>
                        <wpg:cNvFrPr>
                          <a:graphicFrameLocks/>
                        </wpg:cNvFrPr>
                        <wpg:xfrm>
                          <a:off x="0" y="0"/>
                          <a:ext cx="4257229" cy="27051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4" name="Graphique 3"/>
                        <wpg:cNvFrPr>
                          <a:graphicFrameLocks/>
                        </wpg:cNvFrPr>
                        <wpg:xfrm>
                          <a:off x="4257229" y="3085"/>
                          <a:ext cx="4182438" cy="2708275"/>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w:pict>
              <v:group w14:anchorId="0C0B8D10" id="Group 1" o:spid="_x0000_s1026" style="position:absolute;margin-left:4.8pt;margin-top:13.45pt;width:509.4pt;height:213.75pt;z-index:251658752;mso-width-relative:margin;mso-height-relative:margin" coordsize="84396,27113" o:gfxdata="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">
                <v:shape id="Graphique 2" o:spid="_x0000_s1027" type="#_x0000_t75" style="position:absolute;left:-79;top:-60;width:42704;height:27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">
                  <v:imagedata r:id="rId14" o:title=""/>
                  <o:lock v:ext="edit" aspectratio="f"/>
                </v:shape>
                <v:shape id="Graphique 3" o:spid="_x0000_s1028" type="#_x0000_t75" style="position:absolute;left:42546;width:41910;height:271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">
                  <v:imagedata r:id="rId15" o:title=""/>
                  <o:lock v:ext="edit" aspectratio="f"/>
                </v:shape>
              </v:group>
            </w:pict>
          </mc:Fallback>
        </mc:AlternateContent>
      </w: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103045" w:rsidRPr="00AC6EC4" w:rsidRDefault="00103045" w:rsidP="00A1274B">
      <w:pPr>
        <w:rPr>
          <w:rFonts w:asciiTheme="majorHAnsi" w:hAnsiTheme="majorHAnsi" w:cstheme="majorHAnsi"/>
        </w:rPr>
      </w:pPr>
    </w:p>
    <w:p w:rsidR="00586D24" w:rsidRPr="00AC6EC4" w:rsidRDefault="00586D24" w:rsidP="00586D24">
      <w:pPr>
        <w:spacing w:after="240"/>
        <w:ind w:firstLine="0"/>
        <w:rPr>
          <w:rFonts w:asciiTheme="majorHAnsi" w:hAnsiTheme="majorHAnsi" w:cstheme="majorHAnsi"/>
        </w:rPr>
      </w:pPr>
      <w:r w:rsidRPr="00AC6EC4">
        <w:rPr>
          <w:rFonts w:asciiTheme="majorHAnsi" w:hAnsiTheme="majorHAnsi" w:cstheme="majorHAnsi"/>
        </w:rPr>
        <w:t xml:space="preserve">The right figure shows the foreign currency structure of the debt portfolio by the distribution of the shares of the corresponding SDR foreign currencies. </w:t>
      </w:r>
    </w:p>
    <w:p w:rsidR="00586D24" w:rsidRPr="00AC6EC4" w:rsidRDefault="00586D24" w:rsidP="00586D24">
      <w:pPr>
        <w:ind w:firstLine="0"/>
        <w:rPr>
          <w:rFonts w:asciiTheme="majorHAnsi" w:hAnsiTheme="majorHAnsi" w:cstheme="majorHAnsi"/>
        </w:rPr>
      </w:pPr>
      <w:r w:rsidRPr="00AC6EC4">
        <w:rPr>
          <w:rFonts w:asciiTheme="majorHAnsi" w:hAnsiTheme="majorHAnsi" w:cstheme="majorHAnsi"/>
        </w:rPr>
        <w:t xml:space="preserve">The share of short-term foreign currency debt in international reserves </w:t>
      </w:r>
      <w:r w:rsidR="002B1480" w:rsidRPr="00AC6EC4">
        <w:rPr>
          <w:rFonts w:asciiTheme="majorHAnsi" w:hAnsiTheme="majorHAnsi" w:cstheme="majorHAnsi"/>
        </w:rPr>
        <w:t>comprised</w:t>
      </w:r>
      <w:r w:rsidRPr="00AC6EC4">
        <w:rPr>
          <w:rFonts w:asciiTheme="majorHAnsi" w:hAnsiTheme="majorHAnsi" w:cstheme="majorHAnsi"/>
        </w:rPr>
        <w:t xml:space="preserve"> 8.7%, which means that there is a sufficient amount of foreign currency assets to repay foreign currency debt.</w:t>
      </w:r>
    </w:p>
    <w:p w:rsidR="00586D24" w:rsidRPr="00AC6EC4" w:rsidRDefault="00586D24" w:rsidP="00586D24">
      <w:pPr>
        <w:spacing w:after="240"/>
        <w:ind w:firstLine="0"/>
        <w:rPr>
          <w:rFonts w:asciiTheme="majorHAnsi" w:hAnsiTheme="majorHAnsi" w:cstheme="majorHAnsi"/>
        </w:rPr>
      </w:pPr>
      <w:r w:rsidRPr="00AC6EC4">
        <w:rPr>
          <w:rFonts w:asciiTheme="majorHAnsi" w:hAnsiTheme="majorHAnsi" w:cstheme="majorHAnsi"/>
        </w:rPr>
        <w:lastRenderedPageBreak/>
        <w:t>The high share of the foreign currency debt is the result of the higher share in the debt portfolio of the borrowings provided by the bilateral and multilateral external creditors, as well as the existence of two issuances of Eurobonds with total USD 1.0 billion outstanding amount. In 2020, the share of the short-term FX denominated debt in the international reserves decreased by 1.8 percentage points and constituted 8.7%.</w:t>
      </w:r>
    </w:p>
    <w:p w:rsidR="00475386" w:rsidRPr="00AC6EC4" w:rsidRDefault="00475386" w:rsidP="00475386">
      <w:pPr>
        <w:spacing w:after="240"/>
        <w:rPr>
          <w:rFonts w:asciiTheme="majorHAnsi" w:hAnsiTheme="majorHAnsi" w:cstheme="majorHAnsi"/>
          <w:b/>
          <w:i/>
        </w:rPr>
      </w:pPr>
    </w:p>
    <w:p w:rsidR="00475386" w:rsidRPr="00AC6EC4" w:rsidRDefault="00475386" w:rsidP="00475386">
      <w:pPr>
        <w:spacing w:after="240"/>
        <w:rPr>
          <w:rFonts w:asciiTheme="majorHAnsi" w:hAnsiTheme="majorHAnsi" w:cstheme="majorHAnsi"/>
          <w:b/>
          <w:i/>
        </w:rPr>
      </w:pPr>
      <w:r w:rsidRPr="00AC6EC4">
        <w:rPr>
          <w:rFonts w:asciiTheme="majorHAnsi" w:hAnsiTheme="majorHAnsi" w:cstheme="majorHAnsi"/>
          <w:b/>
          <w:i/>
        </w:rPr>
        <w:t>Refinancing risk</w:t>
      </w:r>
    </w:p>
    <w:p w:rsidR="00475386" w:rsidRPr="00AC6EC4" w:rsidRDefault="00475386" w:rsidP="00475386">
      <w:pPr>
        <w:spacing w:after="240"/>
        <w:rPr>
          <w:rFonts w:asciiTheme="majorHAnsi" w:hAnsiTheme="majorHAnsi" w:cstheme="majorHAnsi"/>
        </w:rPr>
      </w:pPr>
      <w:r w:rsidRPr="00AC6EC4">
        <w:rPr>
          <w:rFonts w:asciiTheme="majorHAnsi" w:hAnsiTheme="majorHAnsi" w:cstheme="majorHAnsi"/>
        </w:rPr>
        <w:t xml:space="preserve">The refinancing risk of the Government debt portfolio is assessed mainly through three indicators: </w:t>
      </w:r>
      <w:r w:rsidR="00AC6EC4" w:rsidRPr="00AC6EC4">
        <w:rPr>
          <w:rFonts w:asciiTheme="majorHAnsi" w:hAnsiTheme="majorHAnsi" w:cstheme="majorHAnsi"/>
        </w:rPr>
        <w:t>a</w:t>
      </w:r>
      <w:r w:rsidR="00957521" w:rsidRPr="00AC6EC4">
        <w:rPr>
          <w:rFonts w:asciiTheme="majorHAnsi" w:hAnsiTheme="majorHAnsi" w:cstheme="majorHAnsi"/>
        </w:rPr>
        <w:t xml:space="preserve">verage time to maturity, </w:t>
      </w:r>
      <w:r w:rsidR="00AC6EC4" w:rsidRPr="00AC6EC4">
        <w:rPr>
          <w:rFonts w:asciiTheme="majorHAnsi" w:hAnsiTheme="majorHAnsi" w:cstheme="majorHAnsi"/>
        </w:rPr>
        <w:t>s</w:t>
      </w:r>
      <w:r w:rsidRPr="00AC6EC4">
        <w:rPr>
          <w:rFonts w:asciiTheme="majorHAnsi" w:hAnsiTheme="majorHAnsi" w:cstheme="majorHAnsi"/>
        </w:rPr>
        <w:t xml:space="preserve">hare of debt maturing in one year and the </w:t>
      </w:r>
      <w:r w:rsidR="00AC6EC4" w:rsidRPr="00AC6EC4">
        <w:rPr>
          <w:rFonts w:asciiTheme="majorHAnsi" w:hAnsiTheme="majorHAnsi" w:cstheme="majorHAnsi"/>
        </w:rPr>
        <w:t>r</w:t>
      </w:r>
      <w:r w:rsidRPr="00AC6EC4">
        <w:rPr>
          <w:rFonts w:asciiTheme="majorHAnsi" w:hAnsiTheme="majorHAnsi" w:cstheme="majorHAnsi"/>
        </w:rPr>
        <w:t>edemption profile of the Government debt portfolio.</w:t>
      </w:r>
    </w:p>
    <w:p w:rsidR="00AD548F" w:rsidRPr="00AC6EC4" w:rsidRDefault="00AD548F" w:rsidP="00106FAB">
      <w:pPr>
        <w:spacing w:after="240"/>
        <w:ind w:firstLine="0"/>
        <w:rPr>
          <w:rFonts w:asciiTheme="majorHAnsi" w:hAnsiTheme="majorHAnsi" w:cstheme="majorHAnsi"/>
        </w:rPr>
      </w:pPr>
      <w:r w:rsidRPr="00AC6EC4">
        <w:rPr>
          <w:rFonts w:asciiTheme="majorHAnsi" w:hAnsiTheme="majorHAnsi" w:cstheme="majorHAnsi"/>
        </w:rPr>
        <w:t>The average time to maturity indicator for the RA Government debt was 8.8 years as of 31 December 2020. Moreover, the average time to maturity for the RA Government external debt comprised 8.1 years, compared to 8.9 years for the previous period, and the average time to maturity for domestic debt was 10.6 years, against 9.8 years for the previous period. These two indicators were in a favourable range in terms of refinancing risk of the RA Government debt portfolio.</w:t>
      </w:r>
    </w:p>
    <w:p w:rsidR="00475386" w:rsidRPr="00AC6EC4" w:rsidRDefault="00AD548F" w:rsidP="00106FAB">
      <w:pPr>
        <w:tabs>
          <w:tab w:val="left" w:pos="1080"/>
        </w:tabs>
        <w:spacing w:after="240"/>
        <w:ind w:firstLine="0"/>
        <w:rPr>
          <w:rFonts w:asciiTheme="majorHAnsi" w:hAnsiTheme="majorHAnsi" w:cstheme="majorHAnsi"/>
        </w:rPr>
      </w:pPr>
      <w:r w:rsidRPr="00AC6EC4">
        <w:rPr>
          <w:rFonts w:asciiTheme="majorHAnsi" w:hAnsiTheme="majorHAnsi" w:cstheme="majorHAnsi"/>
        </w:rPr>
        <w:t>A</w:t>
      </w:r>
      <w:r w:rsidR="00475386" w:rsidRPr="00AC6EC4">
        <w:rPr>
          <w:rFonts w:asciiTheme="majorHAnsi" w:hAnsiTheme="majorHAnsi" w:cstheme="majorHAnsi"/>
        </w:rPr>
        <w:t>s of 31 December 20</w:t>
      </w:r>
      <w:r w:rsidR="00934BED" w:rsidRPr="00AC6EC4">
        <w:rPr>
          <w:rFonts w:asciiTheme="majorHAnsi" w:hAnsiTheme="majorHAnsi" w:cstheme="majorHAnsi"/>
        </w:rPr>
        <w:t>20</w:t>
      </w:r>
      <w:r w:rsidR="00475386" w:rsidRPr="00AC6EC4">
        <w:rPr>
          <w:rFonts w:asciiTheme="majorHAnsi" w:hAnsiTheme="majorHAnsi" w:cstheme="majorHAnsi"/>
        </w:rPr>
        <w:t xml:space="preserve">, the share of debt maturing in one year constituted only </w:t>
      </w:r>
      <w:r w:rsidRPr="00AC6EC4">
        <w:rPr>
          <w:rFonts w:asciiTheme="majorHAnsi" w:hAnsiTheme="majorHAnsi" w:cstheme="majorHAnsi"/>
        </w:rPr>
        <w:t>5.8</w:t>
      </w:r>
      <w:r w:rsidR="00475386" w:rsidRPr="00AC6EC4">
        <w:rPr>
          <w:rFonts w:asciiTheme="majorHAnsi" w:hAnsiTheme="majorHAnsi" w:cstheme="majorHAnsi"/>
        </w:rPr>
        <w:t xml:space="preserve">%. It </w:t>
      </w:r>
      <w:r w:rsidRPr="00AC6EC4">
        <w:rPr>
          <w:rFonts w:asciiTheme="majorHAnsi" w:hAnsiTheme="majorHAnsi" w:cstheme="majorHAnsi"/>
        </w:rPr>
        <w:t>de</w:t>
      </w:r>
      <w:r w:rsidR="00475386" w:rsidRPr="00AC6EC4">
        <w:rPr>
          <w:rFonts w:asciiTheme="majorHAnsi" w:hAnsiTheme="majorHAnsi" w:cstheme="majorHAnsi"/>
        </w:rPr>
        <w:t xml:space="preserve">creased by </w:t>
      </w:r>
      <w:r w:rsidRPr="00AC6EC4">
        <w:rPr>
          <w:rFonts w:asciiTheme="majorHAnsi" w:hAnsiTheme="majorHAnsi" w:cstheme="majorHAnsi"/>
        </w:rPr>
        <w:t>1.2</w:t>
      </w:r>
      <w:r w:rsidR="00475386" w:rsidRPr="00AC6EC4">
        <w:rPr>
          <w:rFonts w:asciiTheme="majorHAnsi" w:hAnsiTheme="majorHAnsi" w:cstheme="majorHAnsi"/>
        </w:rPr>
        <w:t xml:space="preserve"> percentage points compared to the previous year, mainly due to the Eurobonds matured in 2020, as well as due to the </w:t>
      </w:r>
      <w:r w:rsidRPr="00AC6EC4">
        <w:rPr>
          <w:rFonts w:asciiTheme="majorHAnsi" w:hAnsiTheme="majorHAnsi" w:cstheme="majorHAnsi"/>
        </w:rPr>
        <w:t>reduction</w:t>
      </w:r>
      <w:r w:rsidR="00475386" w:rsidRPr="00AC6EC4">
        <w:rPr>
          <w:rFonts w:asciiTheme="majorHAnsi" w:hAnsiTheme="majorHAnsi" w:cstheme="majorHAnsi"/>
        </w:rPr>
        <w:t xml:space="preserve"> of the weight of </w:t>
      </w:r>
      <w:r w:rsidRPr="00AC6EC4">
        <w:rPr>
          <w:rFonts w:asciiTheme="majorHAnsi" w:hAnsiTheme="majorHAnsi" w:cstheme="majorHAnsi"/>
        </w:rPr>
        <w:t>GS</w:t>
      </w:r>
      <w:r w:rsidR="00475386" w:rsidRPr="00AC6EC4">
        <w:rPr>
          <w:rFonts w:asciiTheme="majorHAnsi" w:hAnsiTheme="majorHAnsi" w:cstheme="majorHAnsi"/>
        </w:rPr>
        <w:t xml:space="preserve"> to be redeemed in </w:t>
      </w:r>
      <w:r w:rsidRPr="00AC6EC4">
        <w:rPr>
          <w:rFonts w:asciiTheme="majorHAnsi" w:hAnsiTheme="majorHAnsi" w:cstheme="majorHAnsi"/>
        </w:rPr>
        <w:t>coming year</w:t>
      </w:r>
      <w:r w:rsidR="00106FAB" w:rsidRPr="00AC6EC4">
        <w:rPr>
          <w:rFonts w:asciiTheme="majorHAnsi" w:hAnsiTheme="majorHAnsi" w:cstheme="majorHAnsi"/>
        </w:rPr>
        <w:t xml:space="preserve"> by 1.1 percentage points</w:t>
      </w:r>
      <w:r w:rsidR="00475386" w:rsidRPr="00AC6EC4">
        <w:rPr>
          <w:rFonts w:asciiTheme="majorHAnsi" w:hAnsiTheme="majorHAnsi" w:cstheme="majorHAnsi"/>
        </w:rPr>
        <w:t xml:space="preserve">. In case of </w:t>
      </w:r>
      <w:r w:rsidR="005822A7" w:rsidRPr="00AC6EC4">
        <w:rPr>
          <w:rFonts w:asciiTheme="majorHAnsi" w:hAnsiTheme="majorHAnsi" w:cstheme="majorHAnsi"/>
        </w:rPr>
        <w:t>considering</w:t>
      </w:r>
      <w:r w:rsidR="00475386" w:rsidRPr="00AC6EC4">
        <w:rPr>
          <w:rFonts w:asciiTheme="majorHAnsi" w:hAnsiTheme="majorHAnsi" w:cstheme="majorHAnsi"/>
        </w:rPr>
        <w:t xml:space="preserve"> by residency, the share of the RA Government external debt maturing in one year was 4.</w:t>
      </w:r>
      <w:r w:rsidR="00106FAB" w:rsidRPr="00AC6EC4">
        <w:rPr>
          <w:rFonts w:asciiTheme="majorHAnsi" w:hAnsiTheme="majorHAnsi" w:cstheme="majorHAnsi"/>
        </w:rPr>
        <w:t>1</w:t>
      </w:r>
      <w:r w:rsidR="00475386" w:rsidRPr="00AC6EC4">
        <w:rPr>
          <w:rFonts w:asciiTheme="majorHAnsi" w:hAnsiTheme="majorHAnsi" w:cstheme="majorHAnsi"/>
        </w:rPr>
        <w:t xml:space="preserve">%, and the share of the RA Government domestic debt comprised </w:t>
      </w:r>
      <w:r w:rsidR="00106FAB" w:rsidRPr="00AC6EC4">
        <w:rPr>
          <w:rFonts w:asciiTheme="majorHAnsi" w:hAnsiTheme="majorHAnsi" w:cstheme="majorHAnsi"/>
        </w:rPr>
        <w:t>11.0</w:t>
      </w:r>
      <w:r w:rsidR="00475386" w:rsidRPr="00AC6EC4">
        <w:rPr>
          <w:rFonts w:asciiTheme="majorHAnsi" w:hAnsiTheme="majorHAnsi" w:cstheme="majorHAnsi"/>
        </w:rPr>
        <w:t xml:space="preserve">%. It is worth mentioning that the share of domestic debt </w:t>
      </w:r>
      <w:r w:rsidR="005822A7" w:rsidRPr="00AC6EC4">
        <w:rPr>
          <w:rFonts w:asciiTheme="majorHAnsi" w:hAnsiTheme="majorHAnsi" w:cstheme="majorHAnsi"/>
        </w:rPr>
        <w:t>comprised</w:t>
      </w:r>
      <w:r w:rsidR="00475386" w:rsidRPr="00AC6EC4">
        <w:rPr>
          <w:rFonts w:asciiTheme="majorHAnsi" w:hAnsiTheme="majorHAnsi" w:cstheme="majorHAnsi"/>
        </w:rPr>
        <w:t xml:space="preserve"> </w:t>
      </w:r>
      <w:r w:rsidR="00106FAB" w:rsidRPr="00AC6EC4">
        <w:rPr>
          <w:rFonts w:asciiTheme="majorHAnsi" w:hAnsiTheme="majorHAnsi" w:cstheme="majorHAnsi"/>
        </w:rPr>
        <w:t>1</w:t>
      </w:r>
      <w:r w:rsidR="00475386" w:rsidRPr="00AC6EC4">
        <w:rPr>
          <w:rFonts w:asciiTheme="majorHAnsi" w:hAnsiTheme="majorHAnsi" w:cstheme="majorHAnsi"/>
        </w:rPr>
        <w:t>5</w:t>
      </w:r>
      <w:r w:rsidR="00106FAB" w:rsidRPr="00AC6EC4">
        <w:rPr>
          <w:rFonts w:asciiTheme="majorHAnsi" w:hAnsiTheme="majorHAnsi" w:cstheme="majorHAnsi"/>
        </w:rPr>
        <w:t>.5</w:t>
      </w:r>
      <w:r w:rsidR="00475386" w:rsidRPr="00AC6EC4">
        <w:rPr>
          <w:rFonts w:asciiTheme="majorHAnsi" w:hAnsiTheme="majorHAnsi" w:cstheme="majorHAnsi"/>
        </w:rPr>
        <w:t xml:space="preserve">% as at the end of 2019. The small volume of the Government external and domestic debt maturing in one year is possible to refinance without difficulties, which means that the RA Government debt portfolio exposed to a </w:t>
      </w:r>
      <w:r w:rsidR="00106FAB" w:rsidRPr="00AC6EC4">
        <w:rPr>
          <w:rFonts w:asciiTheme="majorHAnsi" w:hAnsiTheme="majorHAnsi" w:cstheme="majorHAnsi"/>
        </w:rPr>
        <w:t>low</w:t>
      </w:r>
      <w:r w:rsidR="00475386" w:rsidRPr="00AC6EC4">
        <w:rPr>
          <w:rFonts w:asciiTheme="majorHAnsi" w:hAnsiTheme="majorHAnsi" w:cstheme="majorHAnsi"/>
        </w:rPr>
        <w:t xml:space="preserve"> refinancing risk.</w:t>
      </w:r>
    </w:p>
    <w:p w:rsidR="00106FAB" w:rsidRPr="00AC6EC4" w:rsidRDefault="00106FAB" w:rsidP="00106FAB">
      <w:pPr>
        <w:spacing w:after="240"/>
        <w:rPr>
          <w:rFonts w:asciiTheme="majorHAnsi" w:hAnsiTheme="majorHAnsi" w:cstheme="majorHAnsi"/>
        </w:rPr>
      </w:pPr>
      <w:r w:rsidRPr="00AC6EC4">
        <w:rPr>
          <w:rFonts w:asciiTheme="majorHAnsi" w:hAnsiTheme="majorHAnsi" w:cstheme="majorHAnsi"/>
        </w:rPr>
        <w:t>The refinancing risk is better illustrated by the redemption profile, where the large redemption volumes in 2025 and 2029 are determined by the redemptions of the two issued Eurobonds, which constitute correspondingly the 47.9% and 46.6% of the debt being redeemed in the given year.</w:t>
      </w:r>
    </w:p>
    <w:p w:rsidR="00425637" w:rsidRPr="00AC6EC4" w:rsidRDefault="00A61C34" w:rsidP="00744BBB">
      <w:pPr>
        <w:pStyle w:val="af5"/>
        <w:numPr>
          <w:ilvl w:val="0"/>
          <w:numId w:val="28"/>
        </w:numPr>
        <w:tabs>
          <w:tab w:val="left" w:pos="993"/>
        </w:tabs>
        <w:ind w:left="0" w:firstLine="0"/>
        <w:jc w:val="both"/>
        <w:rPr>
          <w:rFonts w:asciiTheme="majorHAnsi" w:hAnsiTheme="majorHAnsi" w:cstheme="majorHAnsi"/>
          <w:b w:val="0"/>
          <w:bCs w:val="0"/>
        </w:rPr>
      </w:pPr>
      <w:r w:rsidRPr="00AC6EC4">
        <w:rPr>
          <w:rFonts w:asciiTheme="majorHAnsi" w:hAnsiTheme="majorHAnsi" w:cstheme="majorHAnsi"/>
          <w:b w:val="0"/>
          <w:bCs w:val="0"/>
        </w:rPr>
        <w:lastRenderedPageBreak/>
        <w:t>Redemption profile of the Government debt by instruments, as of 31.12.</w:t>
      </w:r>
      <w:r w:rsidR="006964A9" w:rsidRPr="00AC6EC4">
        <w:rPr>
          <w:rFonts w:asciiTheme="majorHAnsi" w:hAnsiTheme="majorHAnsi" w:cstheme="majorHAnsi"/>
          <w:b w:val="0"/>
          <w:bCs w:val="0"/>
          <w:lang w:val="en-US"/>
        </w:rPr>
        <w:t>2020</w:t>
      </w:r>
      <w:r w:rsidRPr="00AC6EC4">
        <w:rPr>
          <w:rFonts w:asciiTheme="majorHAnsi" w:hAnsiTheme="majorHAnsi" w:cstheme="majorHAnsi"/>
          <w:b w:val="0"/>
          <w:bCs w:val="0"/>
        </w:rPr>
        <w:t xml:space="preserve"> </w:t>
      </w:r>
      <w:r w:rsidR="00744BBB" w:rsidRPr="00AC6EC4">
        <w:rPr>
          <w:rFonts w:asciiTheme="majorHAnsi" w:hAnsiTheme="majorHAnsi" w:cstheme="majorHAnsi"/>
          <w:b w:val="0"/>
          <w:bCs w:val="0"/>
        </w:rPr>
        <w:t>(</w:t>
      </w:r>
      <w:r w:rsidRPr="00AC6EC4">
        <w:rPr>
          <w:rFonts w:asciiTheme="majorHAnsi" w:hAnsiTheme="majorHAnsi" w:cstheme="majorHAnsi"/>
          <w:b w:val="0"/>
          <w:bCs w:val="0"/>
        </w:rPr>
        <w:t>billion AMD)</w:t>
      </w:r>
    </w:p>
    <w:p w:rsidR="00A70839" w:rsidRPr="00AC6EC4" w:rsidRDefault="000074A5" w:rsidP="00857076">
      <w:pPr>
        <w:ind w:firstLine="0"/>
        <w:rPr>
          <w:rFonts w:asciiTheme="majorHAnsi" w:hAnsiTheme="majorHAnsi" w:cstheme="majorHAnsi"/>
        </w:rPr>
      </w:pPr>
      <w:r w:rsidRPr="00AC6EC4">
        <w:rPr>
          <w:rFonts w:asciiTheme="majorHAnsi" w:hAnsiTheme="majorHAnsi" w:cstheme="majorHAnsi"/>
          <w:noProof/>
          <w:lang w:val="en-US"/>
        </w:rPr>
        <w:drawing>
          <wp:inline distT="0" distB="0" distL="0" distR="0" wp14:anchorId="00A07BBE" wp14:editId="27B7CDB7">
            <wp:extent cx="6482080" cy="3034665"/>
            <wp:effectExtent l="0" t="0" r="13970" b="13335"/>
            <wp:docPr id="15" name="Chart 15">
              <a:extLst xmlns:a="http://schemas.openxmlformats.org/drawingml/2006/main">
                <a:ext uri="{FF2B5EF4-FFF2-40B4-BE49-F238E27FC236}">
                  <a16:creationId xmlns:a16="http://schemas.microsoft.com/office/drawing/2014/main" id="{00000000-0008-0000-1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6FAB" w:rsidRPr="00AC6EC4" w:rsidRDefault="00106FAB" w:rsidP="00106FAB">
      <w:pPr>
        <w:rPr>
          <w:rFonts w:asciiTheme="majorHAnsi" w:hAnsiTheme="majorHAnsi" w:cstheme="majorHAnsi"/>
          <w:b/>
        </w:rPr>
      </w:pPr>
    </w:p>
    <w:p w:rsidR="00106FAB" w:rsidRPr="00AC6EC4" w:rsidRDefault="00106FAB" w:rsidP="00106FAB">
      <w:pPr>
        <w:spacing w:after="240"/>
        <w:ind w:firstLine="0"/>
        <w:rPr>
          <w:rFonts w:asciiTheme="majorHAnsi" w:hAnsiTheme="majorHAnsi" w:cstheme="majorHAnsi"/>
        </w:rPr>
      </w:pPr>
      <w:r w:rsidRPr="00AC6EC4">
        <w:rPr>
          <w:rFonts w:asciiTheme="majorHAnsi" w:hAnsiTheme="majorHAnsi" w:cstheme="majorHAnsi"/>
        </w:rPr>
        <w:t xml:space="preserve">The Government debt redemption profile is as follows with classification into domestic and external debts (in other words </w:t>
      </w:r>
      <w:r w:rsidR="00B66800" w:rsidRPr="00AC6EC4">
        <w:rPr>
          <w:rFonts w:asciiTheme="majorHAnsi" w:hAnsiTheme="majorHAnsi" w:cstheme="majorHAnsi"/>
        </w:rPr>
        <w:t xml:space="preserve">with </w:t>
      </w:r>
      <w:r w:rsidRPr="00AC6EC4">
        <w:rPr>
          <w:rFonts w:asciiTheme="majorHAnsi" w:hAnsiTheme="majorHAnsi" w:cstheme="majorHAnsi"/>
        </w:rPr>
        <w:t>classification by residency):</w:t>
      </w:r>
    </w:p>
    <w:p w:rsidR="00425637" w:rsidRPr="00AC6EC4" w:rsidRDefault="00744BBB" w:rsidP="00744BBB">
      <w:pPr>
        <w:pStyle w:val="af5"/>
        <w:numPr>
          <w:ilvl w:val="0"/>
          <w:numId w:val="28"/>
        </w:numPr>
        <w:tabs>
          <w:tab w:val="left" w:pos="993"/>
        </w:tabs>
        <w:ind w:left="0" w:firstLine="0"/>
        <w:jc w:val="both"/>
        <w:rPr>
          <w:rFonts w:asciiTheme="majorHAnsi" w:hAnsiTheme="majorHAnsi" w:cstheme="majorHAnsi"/>
          <w:b w:val="0"/>
          <w:bCs w:val="0"/>
        </w:rPr>
      </w:pPr>
      <w:r w:rsidRPr="00AC6EC4">
        <w:rPr>
          <w:rFonts w:asciiTheme="majorHAnsi" w:hAnsiTheme="majorHAnsi" w:cstheme="majorHAnsi"/>
          <w:b w:val="0"/>
          <w:bCs w:val="0"/>
        </w:rPr>
        <w:t xml:space="preserve">Redemption profile of the Government debt as </w:t>
      </w:r>
      <w:r w:rsidRPr="00AC6EC4">
        <w:rPr>
          <w:rFonts w:asciiTheme="majorHAnsi" w:hAnsiTheme="majorHAnsi" w:cstheme="majorHAnsi"/>
          <w:b w:val="0"/>
          <w:bCs w:val="0"/>
          <w:lang w:val="en-US"/>
        </w:rPr>
        <w:t xml:space="preserve">of </w:t>
      </w:r>
      <w:r w:rsidR="00425637" w:rsidRPr="00AC6EC4">
        <w:rPr>
          <w:rFonts w:asciiTheme="majorHAnsi" w:hAnsiTheme="majorHAnsi" w:cstheme="majorHAnsi"/>
          <w:b w:val="0"/>
          <w:bCs w:val="0"/>
        </w:rPr>
        <w:t>31.12.</w:t>
      </w:r>
      <w:r w:rsidR="00902131" w:rsidRPr="00AC6EC4">
        <w:rPr>
          <w:rFonts w:asciiTheme="majorHAnsi" w:hAnsiTheme="majorHAnsi" w:cstheme="majorHAnsi"/>
          <w:b w:val="0"/>
          <w:bCs w:val="0"/>
        </w:rPr>
        <w:t>2020</w:t>
      </w:r>
    </w:p>
    <w:p w:rsidR="00F3422D" w:rsidRPr="00AC6EC4" w:rsidRDefault="00D44AE2" w:rsidP="00857076">
      <w:pPr>
        <w:ind w:firstLine="0"/>
        <w:rPr>
          <w:rFonts w:asciiTheme="majorHAnsi" w:hAnsiTheme="majorHAnsi" w:cstheme="majorHAnsi"/>
          <w:color w:val="FF0000"/>
          <w:sz w:val="20"/>
          <w:szCs w:val="20"/>
        </w:rPr>
      </w:pPr>
      <w:r w:rsidRPr="00AC6EC4">
        <w:rPr>
          <w:rFonts w:asciiTheme="majorHAnsi" w:hAnsiTheme="majorHAnsi" w:cstheme="majorHAnsi"/>
          <w:noProof/>
          <w:lang w:val="en-US"/>
        </w:rPr>
        <w:drawing>
          <wp:inline distT="0" distB="0" distL="0" distR="0" wp14:anchorId="515BA6F8" wp14:editId="442153FE">
            <wp:extent cx="6482080" cy="3331845"/>
            <wp:effectExtent l="0" t="0" r="33020" b="40005"/>
            <wp:docPr id="16" name="Chart 16">
              <a:extLst xmlns:a="http://schemas.openxmlformats.org/drawingml/2006/main">
                <a:ext uri="{FF2B5EF4-FFF2-40B4-BE49-F238E27FC236}">
                  <a16:creationId xmlns:a16="http://schemas.microsoft.com/office/drawing/2014/main" id="{00000000-0008-0000-1200-00001EE8F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6FAB" w:rsidRPr="00AC6EC4" w:rsidRDefault="00106FAB" w:rsidP="00106FAB">
      <w:pPr>
        <w:rPr>
          <w:rFonts w:asciiTheme="majorHAnsi" w:hAnsiTheme="majorHAnsi" w:cstheme="majorHAnsi"/>
        </w:rPr>
      </w:pPr>
    </w:p>
    <w:p w:rsidR="00106FAB" w:rsidRPr="00AC6EC4" w:rsidRDefault="00106FAB" w:rsidP="00106FAB">
      <w:pPr>
        <w:spacing w:after="240"/>
        <w:ind w:firstLine="0"/>
        <w:rPr>
          <w:rFonts w:asciiTheme="majorHAnsi" w:hAnsiTheme="majorHAnsi" w:cstheme="majorHAnsi"/>
        </w:rPr>
      </w:pPr>
      <w:r w:rsidRPr="00AC6EC4">
        <w:rPr>
          <w:rFonts w:asciiTheme="majorHAnsi" w:hAnsiTheme="majorHAnsi" w:cstheme="majorHAnsi"/>
        </w:rPr>
        <w:t>The redemptions of the Government debt formed by the end of 2020 are spread until 2054 for external debt and until 2050 for domestic debt.</w:t>
      </w:r>
    </w:p>
    <w:p w:rsidR="00106FAB" w:rsidRPr="00AC6EC4" w:rsidRDefault="00106FAB" w:rsidP="00106FAB">
      <w:pPr>
        <w:ind w:firstLine="720"/>
        <w:rPr>
          <w:rFonts w:asciiTheme="majorHAnsi" w:hAnsiTheme="majorHAnsi" w:cstheme="majorHAnsi"/>
          <w:i/>
        </w:rPr>
      </w:pPr>
    </w:p>
    <w:p w:rsidR="00106FAB" w:rsidRPr="00AC6EC4" w:rsidRDefault="00106FAB" w:rsidP="00106FAB">
      <w:pPr>
        <w:spacing w:after="240"/>
        <w:rPr>
          <w:rFonts w:asciiTheme="majorHAnsi" w:hAnsiTheme="majorHAnsi" w:cstheme="majorHAnsi"/>
          <w:b/>
          <w:i/>
        </w:rPr>
      </w:pPr>
      <w:r w:rsidRPr="00AC6EC4">
        <w:rPr>
          <w:rFonts w:asciiTheme="majorHAnsi" w:hAnsiTheme="majorHAnsi" w:cstheme="majorHAnsi"/>
          <w:b/>
          <w:i/>
        </w:rPr>
        <w:lastRenderedPageBreak/>
        <w:t>Interest rate risk</w:t>
      </w:r>
    </w:p>
    <w:p w:rsidR="00106FAB" w:rsidRPr="00AC6EC4" w:rsidRDefault="00106FAB" w:rsidP="00106FAB">
      <w:pPr>
        <w:spacing w:after="240"/>
        <w:ind w:firstLine="0"/>
        <w:rPr>
          <w:rFonts w:asciiTheme="majorHAnsi" w:hAnsiTheme="majorHAnsi" w:cstheme="majorHAnsi"/>
        </w:rPr>
      </w:pPr>
      <w:r w:rsidRPr="00AC6EC4">
        <w:rPr>
          <w:rFonts w:asciiTheme="majorHAnsi" w:hAnsiTheme="majorHAnsi" w:cstheme="majorHAnsi"/>
        </w:rPr>
        <w:t>The interest rate risk for the Government debt portfolio is assessed mainly through three indicators: the share of the fixed interest rate debt in the total debt, the share of debt to be refixed in the next year in the total debt, average time to refixing.</w:t>
      </w:r>
    </w:p>
    <w:p w:rsidR="00106FAB" w:rsidRPr="00AC6EC4" w:rsidRDefault="00106FAB" w:rsidP="00106FAB">
      <w:pPr>
        <w:spacing w:after="240"/>
        <w:ind w:firstLine="0"/>
        <w:rPr>
          <w:rFonts w:asciiTheme="majorHAnsi" w:hAnsiTheme="majorHAnsi" w:cstheme="majorHAnsi"/>
        </w:rPr>
      </w:pPr>
      <w:r w:rsidRPr="00AC6EC4">
        <w:rPr>
          <w:rFonts w:asciiTheme="majorHAnsi" w:hAnsiTheme="majorHAnsi" w:cstheme="majorHAnsi"/>
        </w:rPr>
        <w:t>8</w:t>
      </w:r>
      <w:r w:rsidRPr="00AC6EC4">
        <w:rPr>
          <w:rFonts w:asciiTheme="majorHAnsi" w:hAnsiTheme="majorHAnsi" w:cstheme="majorHAnsi"/>
          <w:lang w:val="en-US"/>
        </w:rPr>
        <w:t>0.4</w:t>
      </w:r>
      <w:r w:rsidRPr="00AC6EC4">
        <w:rPr>
          <w:rFonts w:asciiTheme="majorHAnsi" w:hAnsiTheme="majorHAnsi" w:cstheme="majorHAnsi"/>
        </w:rPr>
        <w:t xml:space="preserve">% of the RA Government debt is with fixed interest rate. Moreover, </w:t>
      </w:r>
      <w:r w:rsidR="00DB5DD2" w:rsidRPr="00AC6EC4">
        <w:rPr>
          <w:rFonts w:asciiTheme="majorHAnsi" w:hAnsiTheme="majorHAnsi" w:cstheme="majorHAnsi"/>
        </w:rPr>
        <w:t>73.7</w:t>
      </w:r>
      <w:r w:rsidRPr="00AC6EC4">
        <w:rPr>
          <w:rFonts w:asciiTheme="majorHAnsi" w:hAnsiTheme="majorHAnsi" w:cstheme="majorHAnsi"/>
        </w:rPr>
        <w:t xml:space="preserve">% of the external debt and the whole domestic debt are with fixed interest rate. In this case, the rise of the yields for the floating interest rate debt cannot result in a significant increase of the costs. </w:t>
      </w:r>
    </w:p>
    <w:p w:rsidR="00DB5DD2" w:rsidRPr="00AC6EC4" w:rsidRDefault="00DB5DD2" w:rsidP="00DB5DD2">
      <w:pPr>
        <w:spacing w:after="240"/>
        <w:ind w:firstLine="0"/>
        <w:rPr>
          <w:rFonts w:asciiTheme="majorHAnsi" w:hAnsiTheme="majorHAnsi" w:cstheme="majorHAnsi"/>
        </w:rPr>
      </w:pPr>
      <w:r w:rsidRPr="00AC6EC4">
        <w:rPr>
          <w:rFonts w:asciiTheme="majorHAnsi" w:hAnsiTheme="majorHAnsi" w:cstheme="majorHAnsi"/>
        </w:rPr>
        <w:t>Nevertheless, 25.7% of the Government debt is subject to refixing in 202</w:t>
      </w:r>
      <w:r w:rsidRPr="00AC6EC4">
        <w:rPr>
          <w:rFonts w:asciiTheme="majorHAnsi" w:hAnsiTheme="majorHAnsi" w:cstheme="majorHAnsi"/>
          <w:lang w:val="en-US"/>
        </w:rPr>
        <w:t xml:space="preserve">1, hence the </w:t>
      </w:r>
      <w:r w:rsidRPr="00AC6EC4">
        <w:rPr>
          <w:rFonts w:asciiTheme="majorHAnsi" w:hAnsiTheme="majorHAnsi" w:cstheme="majorHAnsi"/>
        </w:rPr>
        <w:t>interest rate risk</w:t>
      </w:r>
      <w:r w:rsidRPr="00AC6EC4">
        <w:rPr>
          <w:rFonts w:asciiTheme="majorHAnsi" w:hAnsiTheme="majorHAnsi" w:cstheme="majorHAnsi"/>
          <w:lang w:val="en-US"/>
        </w:rPr>
        <w:t xml:space="preserve"> is </w:t>
      </w:r>
      <w:r w:rsidRPr="00AC6EC4">
        <w:rPr>
          <w:rFonts w:asciiTheme="majorHAnsi" w:hAnsiTheme="majorHAnsi" w:cstheme="majorHAnsi"/>
        </w:rPr>
        <w:t>moderate</w:t>
      </w:r>
      <w:r w:rsidRPr="00AC6EC4">
        <w:rPr>
          <w:rFonts w:asciiTheme="majorHAnsi" w:hAnsiTheme="majorHAnsi" w:cstheme="majorHAnsi"/>
          <w:lang w:val="en-US"/>
        </w:rPr>
        <w:t xml:space="preserve"> with regard to this indicator</w:t>
      </w:r>
      <w:r w:rsidRPr="00AC6EC4">
        <w:rPr>
          <w:rFonts w:asciiTheme="majorHAnsi" w:hAnsiTheme="majorHAnsi" w:cstheme="majorHAnsi"/>
        </w:rPr>
        <w:t>.</w:t>
      </w:r>
    </w:p>
    <w:p w:rsidR="00057327" w:rsidRPr="00AC6EC4" w:rsidRDefault="00057327" w:rsidP="00057327">
      <w:pPr>
        <w:spacing w:after="240"/>
        <w:ind w:firstLine="0"/>
        <w:rPr>
          <w:rFonts w:asciiTheme="majorHAnsi" w:hAnsiTheme="majorHAnsi" w:cstheme="majorHAnsi"/>
        </w:rPr>
      </w:pPr>
      <w:r w:rsidRPr="00AC6EC4">
        <w:rPr>
          <w:rFonts w:asciiTheme="majorHAnsi" w:hAnsiTheme="majorHAnsi" w:cstheme="majorHAnsi"/>
        </w:rPr>
        <w:t xml:space="preserve">At the end of 2020, the Average time to refixing indicator comprised 7.1 years, which can be assessed </w:t>
      </w:r>
      <w:r w:rsidR="0012336D" w:rsidRPr="00AC6EC4">
        <w:rPr>
          <w:rFonts w:asciiTheme="majorHAnsi" w:hAnsiTheme="majorHAnsi" w:cstheme="majorHAnsi"/>
        </w:rPr>
        <w:t xml:space="preserve">as </w:t>
      </w:r>
      <w:r w:rsidRPr="00AC6EC4">
        <w:rPr>
          <w:rFonts w:asciiTheme="majorHAnsi" w:hAnsiTheme="majorHAnsi" w:cstheme="majorHAnsi"/>
        </w:rPr>
        <w:t>a low level of interest rate risk for the debt portfolio. This indicator is lower than the Average time to maturity indicator, because 19.6% of the debt is with floating interest rate, which is also subject to refixing during 2021.</w:t>
      </w:r>
    </w:p>
    <w:p w:rsidR="00626D37" w:rsidRPr="00AC6EC4" w:rsidRDefault="00057327" w:rsidP="00057327">
      <w:pPr>
        <w:ind w:firstLine="0"/>
        <w:rPr>
          <w:rFonts w:asciiTheme="majorHAnsi" w:hAnsiTheme="majorHAnsi" w:cstheme="majorHAnsi"/>
        </w:rPr>
      </w:pPr>
      <w:r w:rsidRPr="00AC6EC4">
        <w:rPr>
          <w:rFonts w:asciiTheme="majorHAnsi" w:hAnsiTheme="majorHAnsi" w:cstheme="majorHAnsi"/>
        </w:rPr>
        <w:t xml:space="preserve">As a result of the slow pace of performance of external-funded loan programs in recent years, and the consequent prolongation of loan disbursement deadlines, it was created a situation when </w:t>
      </w:r>
      <w:r w:rsidR="00973287" w:rsidRPr="00AC6EC4">
        <w:rPr>
          <w:rFonts w:asciiTheme="majorHAnsi" w:hAnsiTheme="majorHAnsi" w:cstheme="majorHAnsi"/>
        </w:rPr>
        <w:t>con</w:t>
      </w:r>
      <w:r w:rsidR="00AC6EC4" w:rsidRPr="00AC6EC4">
        <w:rPr>
          <w:rFonts w:asciiTheme="majorHAnsi" w:hAnsiTheme="majorHAnsi" w:cstheme="majorHAnsi"/>
        </w:rPr>
        <w:t>c</w:t>
      </w:r>
      <w:r w:rsidR="00973287" w:rsidRPr="00AC6EC4">
        <w:rPr>
          <w:rFonts w:asciiTheme="majorHAnsi" w:hAnsiTheme="majorHAnsi" w:cstheme="majorHAnsi"/>
        </w:rPr>
        <w:t xml:space="preserve">essional periods for </w:t>
      </w:r>
      <w:r w:rsidRPr="00AC6EC4">
        <w:rPr>
          <w:rFonts w:asciiTheme="majorHAnsi" w:hAnsiTheme="majorHAnsi" w:cstheme="majorHAnsi"/>
        </w:rPr>
        <w:t xml:space="preserve">a number of loans have </w:t>
      </w:r>
      <w:r w:rsidR="00F94406" w:rsidRPr="00AC6EC4">
        <w:rPr>
          <w:rFonts w:asciiTheme="majorHAnsi" w:hAnsiTheme="majorHAnsi" w:cstheme="majorHAnsi"/>
        </w:rPr>
        <w:t xml:space="preserve">been </w:t>
      </w:r>
      <w:r w:rsidRPr="00AC6EC4">
        <w:rPr>
          <w:rFonts w:asciiTheme="majorHAnsi" w:hAnsiTheme="majorHAnsi" w:cstheme="majorHAnsi"/>
        </w:rPr>
        <w:t>expir</w:t>
      </w:r>
      <w:r w:rsidR="00F94406" w:rsidRPr="00AC6EC4">
        <w:rPr>
          <w:rFonts w:asciiTheme="majorHAnsi" w:hAnsiTheme="majorHAnsi" w:cstheme="majorHAnsi"/>
        </w:rPr>
        <w:t>ing</w:t>
      </w:r>
      <w:r w:rsidRPr="00AC6EC4">
        <w:rPr>
          <w:rFonts w:asciiTheme="majorHAnsi" w:hAnsiTheme="majorHAnsi" w:cstheme="majorHAnsi"/>
        </w:rPr>
        <w:t xml:space="preserve">, but the </w:t>
      </w:r>
      <w:r w:rsidR="00973287" w:rsidRPr="00AC6EC4">
        <w:rPr>
          <w:rFonts w:asciiTheme="majorHAnsi" w:hAnsiTheme="majorHAnsi" w:cstheme="majorHAnsi"/>
        </w:rPr>
        <w:t>loans</w:t>
      </w:r>
      <w:r w:rsidRPr="00AC6EC4">
        <w:rPr>
          <w:rFonts w:asciiTheme="majorHAnsi" w:hAnsiTheme="majorHAnsi" w:cstheme="majorHAnsi"/>
        </w:rPr>
        <w:t xml:space="preserve"> have not been fully disbursed</w:t>
      </w:r>
      <w:r w:rsidR="00F94406" w:rsidRPr="00AC6EC4">
        <w:rPr>
          <w:rFonts w:asciiTheme="majorHAnsi" w:hAnsiTheme="majorHAnsi" w:cstheme="majorHAnsi"/>
        </w:rPr>
        <w:t xml:space="preserve"> yet</w:t>
      </w:r>
      <w:r w:rsidRPr="00AC6EC4">
        <w:rPr>
          <w:rFonts w:asciiTheme="majorHAnsi" w:hAnsiTheme="majorHAnsi" w:cstheme="majorHAnsi"/>
        </w:rPr>
        <w:t xml:space="preserve">, and in some cases, </w:t>
      </w:r>
      <w:r w:rsidR="00F94406" w:rsidRPr="00AC6EC4">
        <w:rPr>
          <w:rFonts w:asciiTheme="majorHAnsi" w:hAnsiTheme="majorHAnsi" w:cstheme="majorHAnsi"/>
        </w:rPr>
        <w:t>almost no disburs</w:t>
      </w:r>
      <w:r w:rsidR="00AC6EC4" w:rsidRPr="00AC6EC4">
        <w:rPr>
          <w:rFonts w:asciiTheme="majorHAnsi" w:hAnsiTheme="majorHAnsi" w:cstheme="majorHAnsi"/>
        </w:rPr>
        <w:t>e</w:t>
      </w:r>
      <w:r w:rsidR="00F94406" w:rsidRPr="00AC6EC4">
        <w:rPr>
          <w:rFonts w:asciiTheme="majorHAnsi" w:hAnsiTheme="majorHAnsi" w:cstheme="majorHAnsi"/>
        </w:rPr>
        <w:t>ment took place</w:t>
      </w:r>
      <w:r w:rsidRPr="00AC6EC4">
        <w:rPr>
          <w:rFonts w:asciiTheme="majorHAnsi" w:hAnsiTheme="majorHAnsi" w:cstheme="majorHAnsi"/>
        </w:rPr>
        <w:t xml:space="preserve">. </w:t>
      </w:r>
      <w:r w:rsidR="00626D37" w:rsidRPr="00AC6EC4">
        <w:rPr>
          <w:rFonts w:asciiTheme="majorHAnsi" w:hAnsiTheme="majorHAnsi" w:cstheme="majorHAnsi"/>
        </w:rPr>
        <w:t>Maintaining such behavio</w:t>
      </w:r>
      <w:r w:rsidR="00AC6EC4" w:rsidRPr="00AC6EC4">
        <w:rPr>
          <w:rFonts w:asciiTheme="majorHAnsi" w:hAnsiTheme="majorHAnsi" w:cstheme="majorHAnsi"/>
        </w:rPr>
        <w:t>u</w:t>
      </w:r>
      <w:r w:rsidR="00626D37" w:rsidRPr="00AC6EC4">
        <w:rPr>
          <w:rFonts w:asciiTheme="majorHAnsi" w:hAnsiTheme="majorHAnsi" w:cstheme="majorHAnsi"/>
        </w:rPr>
        <w:t xml:space="preserve">r can increase the risk of debt refinancing </w:t>
      </w:r>
      <w:r w:rsidR="0012336D" w:rsidRPr="00AC6EC4">
        <w:rPr>
          <w:rFonts w:asciiTheme="majorHAnsi" w:hAnsiTheme="majorHAnsi" w:cstheme="majorHAnsi"/>
        </w:rPr>
        <w:t>and</w:t>
      </w:r>
      <w:r w:rsidR="00626D37" w:rsidRPr="00AC6EC4">
        <w:rPr>
          <w:rFonts w:asciiTheme="majorHAnsi" w:hAnsiTheme="majorHAnsi" w:cstheme="majorHAnsi"/>
        </w:rPr>
        <w:t xml:space="preserve"> interest rate risk, </w:t>
      </w:r>
      <w:r w:rsidR="00CB5F0B" w:rsidRPr="00AC6EC4">
        <w:rPr>
          <w:rFonts w:asciiTheme="majorHAnsi" w:hAnsiTheme="majorHAnsi" w:cstheme="majorHAnsi"/>
        </w:rPr>
        <w:t>as ceteris paribus</w:t>
      </w:r>
      <w:r w:rsidR="00626D37" w:rsidRPr="00AC6EC4">
        <w:rPr>
          <w:rFonts w:asciiTheme="majorHAnsi" w:hAnsiTheme="majorHAnsi" w:cstheme="majorHAnsi"/>
        </w:rPr>
        <w:t>, if the princ</w:t>
      </w:r>
      <w:r w:rsidR="00895173" w:rsidRPr="00AC6EC4">
        <w:rPr>
          <w:rFonts w:asciiTheme="majorHAnsi" w:hAnsiTheme="majorHAnsi" w:cstheme="majorHAnsi"/>
        </w:rPr>
        <w:t>ipal repayment deadlines for tho</w:t>
      </w:r>
      <w:r w:rsidR="00626D37" w:rsidRPr="00AC6EC4">
        <w:rPr>
          <w:rFonts w:asciiTheme="majorHAnsi" w:hAnsiTheme="majorHAnsi" w:cstheme="majorHAnsi"/>
        </w:rPr>
        <w:t xml:space="preserve">se loans remain unchanged </w:t>
      </w:r>
      <w:r w:rsidR="0012336D" w:rsidRPr="00AC6EC4">
        <w:rPr>
          <w:rFonts w:asciiTheme="majorHAnsi" w:hAnsiTheme="majorHAnsi" w:cstheme="majorHAnsi"/>
        </w:rPr>
        <w:t>and</w:t>
      </w:r>
      <w:r w:rsidR="00626D37" w:rsidRPr="00AC6EC4">
        <w:rPr>
          <w:rFonts w:asciiTheme="majorHAnsi" w:hAnsiTheme="majorHAnsi" w:cstheme="majorHAnsi"/>
        </w:rPr>
        <w:t xml:space="preserve"> disbursements </w:t>
      </w:r>
      <w:r w:rsidR="00895173" w:rsidRPr="00AC6EC4">
        <w:rPr>
          <w:rFonts w:asciiTheme="majorHAnsi" w:hAnsiTheme="majorHAnsi" w:cstheme="majorHAnsi"/>
        </w:rPr>
        <w:t xml:space="preserve">would be implemented </w:t>
      </w:r>
      <w:r w:rsidR="00626D37" w:rsidRPr="00AC6EC4">
        <w:rPr>
          <w:rFonts w:asciiTheme="majorHAnsi" w:hAnsiTheme="majorHAnsi" w:cstheme="majorHAnsi"/>
        </w:rPr>
        <w:t xml:space="preserve">at a faster </w:t>
      </w:r>
      <w:r w:rsidR="00895173" w:rsidRPr="00AC6EC4">
        <w:rPr>
          <w:rFonts w:asciiTheme="majorHAnsi" w:hAnsiTheme="majorHAnsi" w:cstheme="majorHAnsi"/>
        </w:rPr>
        <w:t>pace</w:t>
      </w:r>
      <w:r w:rsidR="00626D37" w:rsidRPr="00AC6EC4">
        <w:rPr>
          <w:rFonts w:asciiTheme="majorHAnsi" w:hAnsiTheme="majorHAnsi" w:cstheme="majorHAnsi"/>
        </w:rPr>
        <w:t xml:space="preserve">, then </w:t>
      </w:r>
      <w:r w:rsidR="00895173" w:rsidRPr="00AC6EC4">
        <w:rPr>
          <w:rFonts w:asciiTheme="majorHAnsi" w:hAnsiTheme="majorHAnsi" w:cstheme="majorHAnsi"/>
        </w:rPr>
        <w:t xml:space="preserve">the </w:t>
      </w:r>
      <w:r w:rsidR="00626D37" w:rsidRPr="00AC6EC4">
        <w:rPr>
          <w:rFonts w:asciiTheme="majorHAnsi" w:hAnsiTheme="majorHAnsi" w:cstheme="majorHAnsi"/>
        </w:rPr>
        <w:t>remaining time to maturi</w:t>
      </w:r>
      <w:r w:rsidR="00895173" w:rsidRPr="00AC6EC4">
        <w:rPr>
          <w:rFonts w:asciiTheme="majorHAnsi" w:hAnsiTheme="majorHAnsi" w:cstheme="majorHAnsi"/>
        </w:rPr>
        <w:t>ty</w:t>
      </w:r>
      <w:r w:rsidR="00626D37" w:rsidRPr="00AC6EC4">
        <w:rPr>
          <w:rFonts w:asciiTheme="majorHAnsi" w:hAnsiTheme="majorHAnsi" w:cstheme="majorHAnsi"/>
        </w:rPr>
        <w:t xml:space="preserve"> and time to refixing with regard to external loans will be significantly reduced, as well as the shares of the debt maturing in one year and refixing in one year will be increased.</w:t>
      </w:r>
    </w:p>
    <w:p w:rsidR="003F6C91" w:rsidRPr="00AC6EC4" w:rsidRDefault="003F6C91" w:rsidP="00EA1301">
      <w:pPr>
        <w:spacing w:after="240"/>
        <w:ind w:firstLine="0"/>
        <w:rPr>
          <w:rFonts w:asciiTheme="majorHAnsi" w:hAnsiTheme="majorHAnsi" w:cstheme="majorHAnsi"/>
        </w:rPr>
      </w:pPr>
      <w:r w:rsidRPr="00AC6EC4">
        <w:rPr>
          <w:rFonts w:asciiTheme="majorHAnsi" w:hAnsiTheme="majorHAnsi" w:cstheme="majorHAnsi"/>
        </w:rPr>
        <w:t>Costs at risks analysis of the existing RA Government debt portfolio shows that the existing debt portfolio is mostly exposed to the exchange rate risk. This is confirmed by the sensitivity analy</w:t>
      </w:r>
      <w:r w:rsidR="00AC6EC4" w:rsidRPr="00AC6EC4">
        <w:rPr>
          <w:rFonts w:asciiTheme="majorHAnsi" w:hAnsiTheme="majorHAnsi" w:cstheme="majorHAnsi"/>
        </w:rPr>
        <w:t>s</w:t>
      </w:r>
      <w:r w:rsidRPr="00AC6EC4">
        <w:rPr>
          <w:rFonts w:asciiTheme="majorHAnsi" w:hAnsiTheme="majorHAnsi" w:cstheme="majorHAnsi"/>
        </w:rPr>
        <w:t>es of the RA Government debt portfolio carried out within the framework of this strategy.</w:t>
      </w:r>
    </w:p>
    <w:p w:rsidR="00425637" w:rsidRPr="00AC6EC4" w:rsidRDefault="00425637" w:rsidP="00A1274B">
      <w:pPr>
        <w:rPr>
          <w:rFonts w:asciiTheme="majorHAnsi" w:hAnsiTheme="majorHAnsi" w:cstheme="majorHAnsi"/>
        </w:rPr>
      </w:pPr>
    </w:p>
    <w:p w:rsidR="00895173" w:rsidRPr="00AC6EC4" w:rsidRDefault="00895173">
      <w:pPr>
        <w:spacing w:line="240" w:lineRule="auto"/>
        <w:ind w:firstLine="0"/>
        <w:jc w:val="left"/>
        <w:rPr>
          <w:rFonts w:asciiTheme="majorHAnsi" w:hAnsiTheme="majorHAnsi" w:cstheme="majorHAnsi"/>
          <w:b/>
          <w:bCs/>
          <w:color w:val="002060"/>
          <w:kern w:val="32"/>
          <w:sz w:val="28"/>
        </w:rPr>
      </w:pPr>
      <w:r w:rsidRPr="00AC6EC4">
        <w:rPr>
          <w:rFonts w:asciiTheme="majorHAnsi" w:hAnsiTheme="majorHAnsi" w:cstheme="majorHAnsi"/>
        </w:rPr>
        <w:br w:type="page"/>
      </w:r>
    </w:p>
    <w:p w:rsidR="00025E2D" w:rsidRPr="00AC6EC4" w:rsidRDefault="009A2197" w:rsidP="007B6FD3">
      <w:pPr>
        <w:pStyle w:val="Heading1"/>
        <w:spacing w:line="240" w:lineRule="auto"/>
        <w:rPr>
          <w:rFonts w:asciiTheme="majorHAnsi" w:hAnsiTheme="majorHAnsi" w:cstheme="majorHAnsi"/>
        </w:rPr>
      </w:pPr>
      <w:bookmarkStart w:id="9" w:name="_Toc80868692"/>
      <w:r w:rsidRPr="00AC6EC4">
        <w:rPr>
          <w:rFonts w:asciiTheme="majorHAnsi" w:hAnsiTheme="majorHAnsi" w:cstheme="majorHAnsi"/>
        </w:rPr>
        <w:lastRenderedPageBreak/>
        <w:t>2022-2024 RA Government Debt Management Strategy</w:t>
      </w:r>
      <w:bookmarkEnd w:id="9"/>
    </w:p>
    <w:p w:rsidR="00025E2D" w:rsidRPr="00AC6EC4" w:rsidRDefault="00A74960" w:rsidP="001173A4">
      <w:pPr>
        <w:pStyle w:val="Heading2"/>
        <w:rPr>
          <w:rFonts w:asciiTheme="majorHAnsi" w:hAnsiTheme="majorHAnsi" w:cstheme="majorHAnsi"/>
        </w:rPr>
      </w:pPr>
      <w:bookmarkStart w:id="10" w:name="_Toc80868693"/>
      <w:r w:rsidRPr="00AC6EC4">
        <w:rPr>
          <w:rFonts w:asciiTheme="majorHAnsi" w:hAnsiTheme="majorHAnsi" w:cstheme="majorHAnsi"/>
        </w:rPr>
        <w:t>Macroeconomic assumptions and key risk factors</w:t>
      </w:r>
      <w:bookmarkEnd w:id="10"/>
    </w:p>
    <w:p w:rsidR="00EA1301" w:rsidRPr="00AC6EC4" w:rsidRDefault="00EA1301" w:rsidP="00EA1301">
      <w:pPr>
        <w:ind w:firstLine="0"/>
        <w:rPr>
          <w:rFonts w:asciiTheme="majorHAnsi" w:hAnsiTheme="majorHAnsi" w:cstheme="majorHAnsi"/>
        </w:rPr>
      </w:pPr>
      <w:r w:rsidRPr="00AC6EC4">
        <w:rPr>
          <w:rFonts w:asciiTheme="majorHAnsi" w:hAnsiTheme="majorHAnsi" w:cstheme="majorHAnsi"/>
        </w:rPr>
        <w:t xml:space="preserve">In the medium term, </w:t>
      </w:r>
      <w:r w:rsidR="00D028DF" w:rsidRPr="00AC6EC4">
        <w:rPr>
          <w:rFonts w:asciiTheme="majorHAnsi" w:hAnsiTheme="majorHAnsi" w:cstheme="majorHAnsi"/>
        </w:rPr>
        <w:t xml:space="preserve">the </w:t>
      </w:r>
      <w:r w:rsidRPr="00AC6EC4">
        <w:rPr>
          <w:rFonts w:asciiTheme="majorHAnsi" w:hAnsiTheme="majorHAnsi" w:cstheme="majorHAnsi"/>
        </w:rPr>
        <w:t xml:space="preserve">fiscal policy will be aimed at reducing the government's debt burden and promoting long-term economic growth. In parallel with the recovery of the economy, it is planned to smoothly reduce the government debt burden to ensure the target of reducing the </w:t>
      </w:r>
      <w:r w:rsidR="00D028DF" w:rsidRPr="00AC6EC4">
        <w:rPr>
          <w:rFonts w:asciiTheme="majorHAnsi" w:hAnsiTheme="majorHAnsi" w:cstheme="majorHAnsi"/>
        </w:rPr>
        <w:t>G</w:t>
      </w:r>
      <w:r w:rsidRPr="00AC6EC4">
        <w:rPr>
          <w:rFonts w:asciiTheme="majorHAnsi" w:hAnsiTheme="majorHAnsi" w:cstheme="majorHAnsi"/>
        </w:rPr>
        <w:t xml:space="preserve">overnment debt/GDP ratio </w:t>
      </w:r>
      <w:r w:rsidR="00D028DF" w:rsidRPr="00AC6EC4">
        <w:rPr>
          <w:rFonts w:asciiTheme="majorHAnsi" w:hAnsiTheme="majorHAnsi" w:cstheme="majorHAnsi"/>
        </w:rPr>
        <w:t>below</w:t>
      </w:r>
      <w:r w:rsidRPr="00AC6EC4">
        <w:rPr>
          <w:rFonts w:asciiTheme="majorHAnsi" w:hAnsiTheme="majorHAnsi" w:cstheme="majorHAnsi"/>
        </w:rPr>
        <w:t xml:space="preserve"> 60% set by the fiscal rules. Along with </w:t>
      </w:r>
      <w:r w:rsidR="00D028DF" w:rsidRPr="00AC6EC4">
        <w:rPr>
          <w:rFonts w:asciiTheme="majorHAnsi" w:hAnsiTheme="majorHAnsi" w:cstheme="majorHAnsi"/>
        </w:rPr>
        <w:t xml:space="preserve">the </w:t>
      </w:r>
      <w:r w:rsidRPr="00AC6EC4">
        <w:rPr>
          <w:rFonts w:asciiTheme="majorHAnsi" w:hAnsiTheme="majorHAnsi" w:cstheme="majorHAnsi"/>
        </w:rPr>
        <w:t xml:space="preserve">fiscal consolidation, there will be a return to the logic of "golden rules" of public finances set by </w:t>
      </w:r>
      <w:r w:rsidR="00D028DF" w:rsidRPr="00AC6EC4">
        <w:rPr>
          <w:rFonts w:asciiTheme="majorHAnsi" w:hAnsiTheme="majorHAnsi" w:cstheme="majorHAnsi"/>
        </w:rPr>
        <w:t xml:space="preserve">the </w:t>
      </w:r>
      <w:r w:rsidRPr="00AC6EC4">
        <w:rPr>
          <w:rFonts w:asciiTheme="majorHAnsi" w:hAnsiTheme="majorHAnsi" w:cstheme="majorHAnsi"/>
        </w:rPr>
        <w:t xml:space="preserve">fiscal rules, creating a </w:t>
      </w:r>
      <w:r w:rsidR="00437A7E" w:rsidRPr="00AC6EC4">
        <w:rPr>
          <w:rFonts w:asciiTheme="majorHAnsi" w:hAnsiTheme="majorHAnsi" w:cstheme="majorHAnsi"/>
        </w:rPr>
        <w:t>stable</w:t>
      </w:r>
      <w:r w:rsidRPr="00AC6EC4">
        <w:rPr>
          <w:rFonts w:asciiTheme="majorHAnsi" w:hAnsiTheme="majorHAnsi" w:cstheme="majorHAnsi"/>
        </w:rPr>
        <w:t xml:space="preserve"> basis for long-term economic growth and improving the structure of budget expenditures.</w:t>
      </w:r>
    </w:p>
    <w:p w:rsidR="00437A7E" w:rsidRPr="00AC6EC4" w:rsidRDefault="00437A7E" w:rsidP="00437A7E">
      <w:pPr>
        <w:tabs>
          <w:tab w:val="left" w:pos="993"/>
        </w:tabs>
        <w:ind w:firstLine="0"/>
        <w:rPr>
          <w:rFonts w:asciiTheme="majorHAnsi" w:hAnsiTheme="majorHAnsi" w:cstheme="majorHAnsi"/>
          <w:lang w:val="es-ES"/>
        </w:rPr>
      </w:pPr>
      <w:r w:rsidRPr="00AC6EC4">
        <w:rPr>
          <w:rFonts w:asciiTheme="majorHAnsi" w:hAnsiTheme="majorHAnsi" w:cstheme="majorHAnsi"/>
        </w:rPr>
        <w:t>The macroeconomic forecasts and assumptions are briefly summarized in the following points:</w:t>
      </w:r>
      <w:r w:rsidRPr="00AC6EC4">
        <w:rPr>
          <w:rFonts w:asciiTheme="majorHAnsi" w:hAnsiTheme="majorHAnsi" w:cstheme="majorHAnsi"/>
          <w:lang w:val="es-ES"/>
        </w:rPr>
        <w:t xml:space="preserve"> </w:t>
      </w:r>
    </w:p>
    <w:p w:rsidR="00437A7E" w:rsidRPr="00AC6EC4" w:rsidRDefault="00437A7E" w:rsidP="00437A7E">
      <w:pPr>
        <w:pStyle w:val="ListParagraph"/>
        <w:numPr>
          <w:ilvl w:val="0"/>
          <w:numId w:val="32"/>
        </w:numPr>
        <w:tabs>
          <w:tab w:val="left" w:pos="993"/>
        </w:tabs>
        <w:spacing w:line="360" w:lineRule="auto"/>
        <w:ind w:left="714" w:hanging="357"/>
        <w:rPr>
          <w:rFonts w:asciiTheme="majorHAnsi" w:eastAsia="Times New Roman" w:hAnsiTheme="majorHAnsi" w:cstheme="majorHAnsi"/>
        </w:rPr>
      </w:pPr>
      <w:r w:rsidRPr="00AC6EC4">
        <w:rPr>
          <w:rFonts w:asciiTheme="majorHAnsi" w:eastAsia="Times New Roman" w:hAnsiTheme="majorHAnsi" w:cstheme="majorHAnsi"/>
        </w:rPr>
        <w:t xml:space="preserve">At present, the world is still suffering from the effects of the pandemic, but the negative effects are gradually weakening. IMF has revised its global economic growth forecast for 2021 upwards </w:t>
      </w:r>
      <w:r w:rsidR="00101EEE" w:rsidRPr="00AC6EC4">
        <w:rPr>
          <w:rFonts w:asciiTheme="majorHAnsi" w:eastAsia="Times New Roman" w:hAnsiTheme="majorHAnsi" w:cstheme="majorHAnsi"/>
        </w:rPr>
        <w:t>at</w:t>
      </w:r>
      <w:r w:rsidRPr="00AC6EC4">
        <w:rPr>
          <w:rFonts w:asciiTheme="majorHAnsi" w:eastAsia="Times New Roman" w:hAnsiTheme="majorHAnsi" w:cstheme="majorHAnsi"/>
        </w:rPr>
        <w:t xml:space="preserve"> </w:t>
      </w:r>
      <w:r w:rsidR="00101EEE" w:rsidRPr="00AC6EC4">
        <w:rPr>
          <w:rFonts w:asciiTheme="majorHAnsi" w:eastAsia="Times New Roman" w:hAnsiTheme="majorHAnsi" w:cstheme="majorHAnsi"/>
        </w:rPr>
        <w:t>6%</w:t>
      </w:r>
      <w:r w:rsidRPr="00AC6EC4">
        <w:rPr>
          <w:rFonts w:asciiTheme="majorHAnsi" w:eastAsia="Times New Roman" w:hAnsiTheme="majorHAnsi" w:cstheme="majorHAnsi"/>
        </w:rPr>
        <w:t xml:space="preserve"> framework </w:t>
      </w:r>
      <w:r w:rsidR="00101EEE" w:rsidRPr="00AC6EC4">
        <w:rPr>
          <w:rFonts w:asciiTheme="majorHAnsi" w:eastAsia="Times New Roman" w:hAnsiTheme="majorHAnsi" w:cstheme="majorHAnsi"/>
        </w:rPr>
        <w:t xml:space="preserve">taking into account the current developments and the expectations for the growth of the economic activity in the coming months of the year. </w:t>
      </w:r>
      <w:r w:rsidRPr="00AC6EC4">
        <w:rPr>
          <w:rFonts w:asciiTheme="majorHAnsi" w:eastAsia="Times New Roman" w:hAnsiTheme="majorHAnsi" w:cstheme="majorHAnsi"/>
        </w:rPr>
        <w:t>According to the IMF forecasts done in April, the economies of the partner countries of the RA estimated economic growth higher than their potential growth, outlining the recovery process, which will have a significant positive impact on the economic activity of the RA.</w:t>
      </w:r>
    </w:p>
    <w:p w:rsidR="00437A7E" w:rsidRPr="00AC6EC4" w:rsidRDefault="00437A7E" w:rsidP="00AC6EC4">
      <w:pPr>
        <w:pStyle w:val="ListParagraph12"/>
        <w:numPr>
          <w:ilvl w:val="0"/>
          <w:numId w:val="20"/>
        </w:numPr>
        <w:ind w:left="709"/>
        <w:rPr>
          <w:rFonts w:asciiTheme="majorHAnsi" w:hAnsiTheme="majorHAnsi" w:cstheme="majorHAnsi"/>
          <w:sz w:val="22"/>
          <w:szCs w:val="22"/>
          <w:lang w:eastAsia="en-US"/>
        </w:rPr>
      </w:pPr>
      <w:r w:rsidRPr="00AC6EC4">
        <w:rPr>
          <w:rFonts w:asciiTheme="majorHAnsi" w:hAnsiTheme="majorHAnsi" w:cstheme="majorHAnsi"/>
          <w:sz w:val="22"/>
          <w:szCs w:val="22"/>
          <w:lang w:eastAsia="en-US"/>
        </w:rPr>
        <w:t xml:space="preserve">The fiscal measures taken </w:t>
      </w:r>
      <w:r w:rsidR="003A14F6" w:rsidRPr="00AC6EC4">
        <w:rPr>
          <w:rFonts w:asciiTheme="majorHAnsi" w:hAnsiTheme="majorHAnsi" w:cstheme="majorHAnsi"/>
          <w:sz w:val="22"/>
          <w:szCs w:val="22"/>
          <w:lang w:eastAsia="en-US"/>
        </w:rPr>
        <w:t xml:space="preserve">and </w:t>
      </w:r>
      <w:r w:rsidR="001764F9" w:rsidRPr="00AC6EC4">
        <w:rPr>
          <w:rFonts w:asciiTheme="majorHAnsi" w:hAnsiTheme="majorHAnsi" w:cstheme="majorHAnsi"/>
          <w:sz w:val="22"/>
          <w:szCs w:val="22"/>
          <w:lang w:eastAsia="en-US"/>
        </w:rPr>
        <w:t xml:space="preserve">currently </w:t>
      </w:r>
      <w:r w:rsidR="003A14F6" w:rsidRPr="00AC6EC4">
        <w:rPr>
          <w:rFonts w:asciiTheme="majorHAnsi" w:hAnsiTheme="majorHAnsi" w:cstheme="majorHAnsi"/>
          <w:sz w:val="22"/>
          <w:szCs w:val="22"/>
          <w:lang w:eastAsia="en-US"/>
        </w:rPr>
        <w:t xml:space="preserve">taking </w:t>
      </w:r>
      <w:r w:rsidRPr="00AC6EC4">
        <w:rPr>
          <w:rFonts w:asciiTheme="majorHAnsi" w:hAnsiTheme="majorHAnsi" w:cstheme="majorHAnsi"/>
          <w:sz w:val="22"/>
          <w:szCs w:val="22"/>
          <w:lang w:eastAsia="en-US"/>
        </w:rPr>
        <w:t xml:space="preserve">by the </w:t>
      </w:r>
      <w:r w:rsidR="001764F9" w:rsidRPr="00AC6EC4">
        <w:rPr>
          <w:rFonts w:asciiTheme="majorHAnsi" w:hAnsiTheme="majorHAnsi" w:cstheme="majorHAnsi"/>
          <w:sz w:val="22"/>
          <w:szCs w:val="22"/>
          <w:lang w:eastAsia="en-US"/>
        </w:rPr>
        <w:t xml:space="preserve">RA </w:t>
      </w:r>
      <w:r w:rsidRPr="00AC6EC4">
        <w:rPr>
          <w:rFonts w:asciiTheme="majorHAnsi" w:hAnsiTheme="majorHAnsi" w:cstheme="majorHAnsi"/>
          <w:sz w:val="22"/>
          <w:szCs w:val="22"/>
          <w:lang w:eastAsia="en-US"/>
        </w:rPr>
        <w:t xml:space="preserve">Government </w:t>
      </w:r>
      <w:r w:rsidR="001764F9" w:rsidRPr="00AC6EC4">
        <w:rPr>
          <w:rFonts w:asciiTheme="majorHAnsi" w:hAnsiTheme="majorHAnsi" w:cstheme="majorHAnsi"/>
          <w:sz w:val="22"/>
          <w:szCs w:val="22"/>
          <w:lang w:eastAsia="en-US"/>
        </w:rPr>
        <w:t>for</w:t>
      </w:r>
      <w:r w:rsidRPr="00AC6EC4">
        <w:rPr>
          <w:rFonts w:asciiTheme="majorHAnsi" w:hAnsiTheme="majorHAnsi" w:cstheme="majorHAnsi"/>
          <w:sz w:val="22"/>
          <w:szCs w:val="22"/>
          <w:lang w:eastAsia="en-US"/>
        </w:rPr>
        <w:t xml:space="preserve"> mitigat</w:t>
      </w:r>
      <w:r w:rsidR="001764F9" w:rsidRPr="00AC6EC4">
        <w:rPr>
          <w:rFonts w:asciiTheme="majorHAnsi" w:hAnsiTheme="majorHAnsi" w:cstheme="majorHAnsi"/>
          <w:sz w:val="22"/>
          <w:szCs w:val="22"/>
          <w:lang w:eastAsia="en-US"/>
        </w:rPr>
        <w:t>ion</w:t>
      </w:r>
      <w:r w:rsidRPr="00AC6EC4">
        <w:rPr>
          <w:rFonts w:asciiTheme="majorHAnsi" w:hAnsiTheme="majorHAnsi" w:cstheme="majorHAnsi"/>
          <w:sz w:val="22"/>
          <w:szCs w:val="22"/>
          <w:lang w:eastAsia="en-US"/>
        </w:rPr>
        <w:t xml:space="preserve"> </w:t>
      </w:r>
      <w:r w:rsidR="001764F9" w:rsidRPr="00AC6EC4">
        <w:rPr>
          <w:rFonts w:asciiTheme="majorHAnsi" w:hAnsiTheme="majorHAnsi" w:cstheme="majorHAnsi"/>
          <w:sz w:val="22"/>
          <w:szCs w:val="22"/>
          <w:lang w:eastAsia="en-US"/>
        </w:rPr>
        <w:t xml:space="preserve">of </w:t>
      </w:r>
      <w:r w:rsidRPr="00AC6EC4">
        <w:rPr>
          <w:rFonts w:asciiTheme="majorHAnsi" w:hAnsiTheme="majorHAnsi" w:cstheme="majorHAnsi"/>
          <w:sz w:val="22"/>
          <w:szCs w:val="22"/>
          <w:lang w:eastAsia="en-US"/>
        </w:rPr>
        <w:t xml:space="preserve">the negative effects of the </w:t>
      </w:r>
      <w:r w:rsidR="009B21B5" w:rsidRPr="00AC6EC4">
        <w:rPr>
          <w:rFonts w:asciiTheme="majorHAnsi" w:hAnsiTheme="majorHAnsi" w:cstheme="majorHAnsi"/>
          <w:sz w:val="22"/>
          <w:szCs w:val="22"/>
          <w:lang w:eastAsia="en-US"/>
        </w:rPr>
        <w:t>pan</w:t>
      </w:r>
      <w:r w:rsidRPr="00AC6EC4">
        <w:rPr>
          <w:rFonts w:asciiTheme="majorHAnsi" w:hAnsiTheme="majorHAnsi" w:cstheme="majorHAnsi"/>
          <w:sz w:val="22"/>
          <w:szCs w:val="22"/>
          <w:lang w:eastAsia="en-US"/>
        </w:rPr>
        <w:t>demic and Artsakh war</w:t>
      </w:r>
      <w:r w:rsidR="003A14F6" w:rsidRPr="00AC6EC4">
        <w:rPr>
          <w:rFonts w:asciiTheme="majorHAnsi" w:hAnsiTheme="majorHAnsi" w:cstheme="majorHAnsi"/>
          <w:sz w:val="22"/>
          <w:szCs w:val="22"/>
          <w:lang w:eastAsia="en-US"/>
        </w:rPr>
        <w:t xml:space="preserve"> and </w:t>
      </w:r>
      <w:r w:rsidR="001764F9" w:rsidRPr="00AC6EC4">
        <w:rPr>
          <w:rFonts w:asciiTheme="majorHAnsi" w:hAnsiTheme="majorHAnsi" w:cstheme="majorHAnsi"/>
          <w:sz w:val="22"/>
          <w:szCs w:val="22"/>
          <w:lang w:eastAsia="en-US"/>
        </w:rPr>
        <w:t>for</w:t>
      </w:r>
      <w:r w:rsidR="003A14F6" w:rsidRPr="00AC6EC4">
        <w:rPr>
          <w:rFonts w:asciiTheme="majorHAnsi" w:hAnsiTheme="majorHAnsi" w:cstheme="majorHAnsi"/>
          <w:sz w:val="22"/>
          <w:szCs w:val="22"/>
          <w:lang w:eastAsia="en-US"/>
        </w:rPr>
        <w:t xml:space="preserve"> recover</w:t>
      </w:r>
      <w:r w:rsidR="001764F9" w:rsidRPr="00AC6EC4">
        <w:rPr>
          <w:rFonts w:asciiTheme="majorHAnsi" w:hAnsiTheme="majorHAnsi" w:cstheme="majorHAnsi"/>
          <w:sz w:val="22"/>
          <w:szCs w:val="22"/>
          <w:lang w:eastAsia="en-US"/>
        </w:rPr>
        <w:t>ing</w:t>
      </w:r>
      <w:r w:rsidR="003A14F6" w:rsidRPr="00AC6EC4">
        <w:rPr>
          <w:rFonts w:asciiTheme="majorHAnsi" w:hAnsiTheme="majorHAnsi" w:cstheme="majorHAnsi"/>
          <w:sz w:val="22"/>
          <w:szCs w:val="22"/>
          <w:lang w:eastAsia="en-US"/>
        </w:rPr>
        <w:t xml:space="preserve"> </w:t>
      </w:r>
      <w:r w:rsidR="001764F9" w:rsidRPr="00AC6EC4">
        <w:rPr>
          <w:rFonts w:asciiTheme="majorHAnsi" w:hAnsiTheme="majorHAnsi" w:cstheme="majorHAnsi"/>
          <w:sz w:val="22"/>
          <w:szCs w:val="22"/>
          <w:lang w:eastAsia="en-US"/>
        </w:rPr>
        <w:t xml:space="preserve">of </w:t>
      </w:r>
      <w:r w:rsidR="003A14F6" w:rsidRPr="00AC6EC4">
        <w:rPr>
          <w:rFonts w:asciiTheme="majorHAnsi" w:hAnsiTheme="majorHAnsi" w:cstheme="majorHAnsi"/>
          <w:sz w:val="22"/>
          <w:szCs w:val="22"/>
          <w:lang w:eastAsia="en-US"/>
        </w:rPr>
        <w:t xml:space="preserve">the economy, as well as </w:t>
      </w:r>
      <w:r w:rsidR="001764F9" w:rsidRPr="00AC6EC4">
        <w:rPr>
          <w:rFonts w:asciiTheme="majorHAnsi" w:hAnsiTheme="majorHAnsi" w:cstheme="majorHAnsi"/>
          <w:sz w:val="22"/>
          <w:szCs w:val="22"/>
          <w:lang w:eastAsia="en-US"/>
        </w:rPr>
        <w:t xml:space="preserve">the </w:t>
      </w:r>
      <w:r w:rsidR="003A14F6" w:rsidRPr="00AC6EC4">
        <w:rPr>
          <w:rFonts w:asciiTheme="majorHAnsi" w:hAnsiTheme="majorHAnsi" w:cstheme="majorHAnsi"/>
          <w:sz w:val="22"/>
          <w:szCs w:val="22"/>
          <w:lang w:eastAsia="en-US"/>
        </w:rPr>
        <w:t xml:space="preserve">gradual neutralization of the negative effects of the global pandemic </w:t>
      </w:r>
      <w:r w:rsidR="001764F9" w:rsidRPr="00AC6EC4">
        <w:rPr>
          <w:rFonts w:asciiTheme="majorHAnsi" w:hAnsiTheme="majorHAnsi" w:cstheme="majorHAnsi"/>
          <w:sz w:val="22"/>
          <w:szCs w:val="22"/>
          <w:lang w:eastAsia="en-US"/>
        </w:rPr>
        <w:t>along with</w:t>
      </w:r>
      <w:r w:rsidR="003A14F6" w:rsidRPr="00AC6EC4">
        <w:rPr>
          <w:rFonts w:asciiTheme="majorHAnsi" w:hAnsiTheme="majorHAnsi" w:cstheme="majorHAnsi"/>
          <w:sz w:val="22"/>
          <w:szCs w:val="22"/>
          <w:lang w:eastAsia="en-US"/>
        </w:rPr>
        <w:t xml:space="preserve"> the overcoming the global crisis of pandemic, the economic growth in 2021 will </w:t>
      </w:r>
      <w:r w:rsidR="001764F9" w:rsidRPr="00AC6EC4">
        <w:rPr>
          <w:rFonts w:asciiTheme="majorHAnsi" w:hAnsiTheme="majorHAnsi" w:cstheme="majorHAnsi"/>
          <w:sz w:val="22"/>
          <w:szCs w:val="22"/>
          <w:lang w:eastAsia="en-US"/>
        </w:rPr>
        <w:t xml:space="preserve">be </w:t>
      </w:r>
      <w:r w:rsidR="003A14F6" w:rsidRPr="00AC6EC4">
        <w:rPr>
          <w:rFonts w:asciiTheme="majorHAnsi" w:hAnsiTheme="majorHAnsi" w:cstheme="majorHAnsi"/>
          <w:sz w:val="22"/>
          <w:szCs w:val="22"/>
          <w:lang w:eastAsia="en-US"/>
        </w:rPr>
        <w:t>restore</w:t>
      </w:r>
      <w:r w:rsidR="001764F9" w:rsidRPr="00AC6EC4">
        <w:rPr>
          <w:rFonts w:asciiTheme="majorHAnsi" w:hAnsiTheme="majorHAnsi" w:cstheme="majorHAnsi"/>
          <w:sz w:val="22"/>
          <w:szCs w:val="22"/>
          <w:lang w:eastAsia="en-US"/>
        </w:rPr>
        <w:t>d</w:t>
      </w:r>
      <w:r w:rsidR="003A14F6" w:rsidRPr="00AC6EC4">
        <w:rPr>
          <w:rFonts w:asciiTheme="majorHAnsi" w:hAnsiTheme="majorHAnsi" w:cstheme="majorHAnsi"/>
          <w:sz w:val="22"/>
          <w:szCs w:val="22"/>
          <w:lang w:eastAsia="en-US"/>
        </w:rPr>
        <w:t xml:space="preserve"> and </w:t>
      </w:r>
      <w:r w:rsidR="001764F9" w:rsidRPr="00AC6EC4">
        <w:rPr>
          <w:rFonts w:asciiTheme="majorHAnsi" w:hAnsiTheme="majorHAnsi" w:cstheme="majorHAnsi"/>
          <w:sz w:val="22"/>
          <w:szCs w:val="22"/>
          <w:lang w:eastAsia="en-US"/>
        </w:rPr>
        <w:t xml:space="preserve">it will </w:t>
      </w:r>
      <w:r w:rsidR="003A14F6" w:rsidRPr="00AC6EC4">
        <w:rPr>
          <w:rFonts w:asciiTheme="majorHAnsi" w:hAnsiTheme="majorHAnsi" w:cstheme="majorHAnsi"/>
          <w:sz w:val="22"/>
          <w:szCs w:val="22"/>
          <w:lang w:eastAsia="en-US"/>
        </w:rPr>
        <w:t>approach its potential level</w:t>
      </w:r>
      <w:r w:rsidR="009B21B5" w:rsidRPr="00AC6EC4">
        <w:rPr>
          <w:rFonts w:asciiTheme="majorHAnsi" w:hAnsiTheme="majorHAnsi" w:cstheme="majorHAnsi"/>
          <w:sz w:val="22"/>
          <w:szCs w:val="22"/>
          <w:lang w:eastAsia="en-US"/>
        </w:rPr>
        <w:t xml:space="preserve"> in m</w:t>
      </w:r>
      <w:r w:rsidR="00AC6EC4" w:rsidRPr="00AC6EC4">
        <w:rPr>
          <w:rFonts w:asciiTheme="majorHAnsi" w:hAnsiTheme="majorHAnsi" w:cstheme="majorHAnsi"/>
          <w:sz w:val="22"/>
          <w:szCs w:val="22"/>
          <w:lang w:eastAsia="en-US"/>
        </w:rPr>
        <w:t>e</w:t>
      </w:r>
      <w:r w:rsidR="009B21B5" w:rsidRPr="00AC6EC4">
        <w:rPr>
          <w:rFonts w:asciiTheme="majorHAnsi" w:hAnsiTheme="majorHAnsi" w:cstheme="majorHAnsi"/>
          <w:sz w:val="22"/>
          <w:szCs w:val="22"/>
          <w:lang w:eastAsia="en-US"/>
        </w:rPr>
        <w:t>dium-term</w:t>
      </w:r>
      <w:r w:rsidR="003A14F6" w:rsidRPr="00AC6EC4">
        <w:rPr>
          <w:rFonts w:asciiTheme="majorHAnsi" w:hAnsiTheme="majorHAnsi" w:cstheme="majorHAnsi"/>
          <w:sz w:val="22"/>
          <w:szCs w:val="22"/>
          <w:lang w:eastAsia="en-US"/>
        </w:rPr>
        <w:t>.</w:t>
      </w:r>
      <w:r w:rsidR="003A14F6" w:rsidRPr="00AC6EC4">
        <w:rPr>
          <w:rFonts w:asciiTheme="majorHAnsi" w:hAnsiTheme="majorHAnsi" w:cstheme="majorHAnsi"/>
        </w:rPr>
        <w:t xml:space="preserve"> </w:t>
      </w:r>
      <w:r w:rsidR="003A14F6" w:rsidRPr="00AC6EC4">
        <w:rPr>
          <w:rFonts w:asciiTheme="majorHAnsi" w:hAnsiTheme="majorHAnsi" w:cstheme="majorHAnsi"/>
          <w:sz w:val="22"/>
          <w:szCs w:val="22"/>
          <w:lang w:eastAsia="en-US"/>
        </w:rPr>
        <w:t xml:space="preserve">Under these </w:t>
      </w:r>
      <w:r w:rsidR="009F0B2E" w:rsidRPr="00AC6EC4">
        <w:rPr>
          <w:rFonts w:asciiTheme="majorHAnsi" w:hAnsiTheme="majorHAnsi" w:cstheme="majorHAnsi"/>
          <w:sz w:val="22"/>
          <w:szCs w:val="22"/>
          <w:lang w:eastAsia="en-US"/>
        </w:rPr>
        <w:t>circumstances</w:t>
      </w:r>
      <w:r w:rsidR="003A14F6" w:rsidRPr="00AC6EC4">
        <w:rPr>
          <w:rFonts w:asciiTheme="majorHAnsi" w:hAnsiTheme="majorHAnsi" w:cstheme="majorHAnsi"/>
          <w:sz w:val="22"/>
          <w:szCs w:val="22"/>
          <w:lang w:eastAsia="en-US"/>
        </w:rPr>
        <w:t xml:space="preserve">, the forecast of </w:t>
      </w:r>
      <w:r w:rsidR="009F0B2E" w:rsidRPr="00AC6EC4">
        <w:rPr>
          <w:rFonts w:asciiTheme="majorHAnsi" w:hAnsiTheme="majorHAnsi" w:cstheme="majorHAnsi"/>
          <w:sz w:val="22"/>
          <w:szCs w:val="22"/>
          <w:lang w:eastAsia="en-US"/>
        </w:rPr>
        <w:t xml:space="preserve">the </w:t>
      </w:r>
      <w:r w:rsidR="003A14F6" w:rsidRPr="00AC6EC4">
        <w:rPr>
          <w:rFonts w:asciiTheme="majorHAnsi" w:hAnsiTheme="majorHAnsi" w:cstheme="majorHAnsi"/>
          <w:sz w:val="22"/>
          <w:szCs w:val="22"/>
          <w:lang w:eastAsia="en-US"/>
        </w:rPr>
        <w:t xml:space="preserve">economic growth is 6.0% for 2021, and an average 4.3% </w:t>
      </w:r>
      <w:r w:rsidR="00A025DC" w:rsidRPr="00AC6EC4">
        <w:rPr>
          <w:rFonts w:asciiTheme="majorHAnsi" w:hAnsiTheme="majorHAnsi" w:cstheme="majorHAnsi"/>
          <w:sz w:val="22"/>
          <w:szCs w:val="22"/>
          <w:lang w:eastAsia="en-US"/>
        </w:rPr>
        <w:t>for</w:t>
      </w:r>
      <w:r w:rsidR="003A14F6" w:rsidRPr="00AC6EC4">
        <w:rPr>
          <w:rFonts w:asciiTheme="majorHAnsi" w:hAnsiTheme="majorHAnsi" w:cstheme="majorHAnsi"/>
          <w:sz w:val="22"/>
          <w:szCs w:val="22"/>
          <w:lang w:eastAsia="en-US"/>
        </w:rPr>
        <w:t xml:space="preserve"> the medium term.</w:t>
      </w:r>
      <w:r w:rsidR="00A025DC" w:rsidRPr="00AC6EC4">
        <w:rPr>
          <w:rFonts w:asciiTheme="majorHAnsi" w:hAnsiTheme="majorHAnsi" w:cstheme="majorHAnsi"/>
        </w:rPr>
        <w:t xml:space="preserve"> </w:t>
      </w:r>
      <w:r w:rsidR="00A025DC" w:rsidRPr="00AC6EC4">
        <w:rPr>
          <w:rFonts w:asciiTheme="majorHAnsi" w:hAnsiTheme="majorHAnsi" w:cstheme="majorHAnsi"/>
          <w:sz w:val="22"/>
          <w:szCs w:val="22"/>
          <w:lang w:eastAsia="en-US"/>
        </w:rPr>
        <w:t xml:space="preserve">However, the Government of the RA has </w:t>
      </w:r>
      <w:r w:rsidR="009F0B2E" w:rsidRPr="00AC6EC4">
        <w:rPr>
          <w:rFonts w:asciiTheme="majorHAnsi" w:hAnsiTheme="majorHAnsi" w:cstheme="majorHAnsi"/>
          <w:sz w:val="22"/>
          <w:szCs w:val="22"/>
          <w:lang w:eastAsia="en-US"/>
        </w:rPr>
        <w:t xml:space="preserve">also </w:t>
      </w:r>
      <w:r w:rsidR="00A025DC" w:rsidRPr="00AC6EC4">
        <w:rPr>
          <w:rFonts w:asciiTheme="majorHAnsi" w:hAnsiTheme="majorHAnsi" w:cstheme="majorHAnsi"/>
          <w:sz w:val="22"/>
          <w:szCs w:val="22"/>
          <w:lang w:eastAsia="en-US"/>
        </w:rPr>
        <w:t xml:space="preserve">developed a target (high) economic growth scenario, which envisages an average 7% economic growth for 2022-2026, combined with </w:t>
      </w:r>
      <w:r w:rsidR="009F0B2E" w:rsidRPr="00AC6EC4">
        <w:rPr>
          <w:rFonts w:asciiTheme="majorHAnsi" w:hAnsiTheme="majorHAnsi" w:cstheme="majorHAnsi"/>
          <w:sz w:val="22"/>
          <w:szCs w:val="22"/>
          <w:lang w:eastAsia="en-US"/>
        </w:rPr>
        <w:t xml:space="preserve">the </w:t>
      </w:r>
      <w:r w:rsidR="00A025DC" w:rsidRPr="00AC6EC4">
        <w:rPr>
          <w:rFonts w:asciiTheme="majorHAnsi" w:hAnsiTheme="majorHAnsi" w:cstheme="majorHAnsi"/>
          <w:sz w:val="22"/>
          <w:szCs w:val="22"/>
          <w:lang w:eastAsia="en-US"/>
        </w:rPr>
        <w:t xml:space="preserve">sustainable economic progress and </w:t>
      </w:r>
      <w:r w:rsidR="009F0B2E" w:rsidRPr="00AC6EC4">
        <w:rPr>
          <w:rFonts w:asciiTheme="majorHAnsi" w:hAnsiTheme="majorHAnsi" w:cstheme="majorHAnsi"/>
          <w:sz w:val="22"/>
          <w:szCs w:val="22"/>
          <w:lang w:eastAsia="en-US"/>
        </w:rPr>
        <w:t xml:space="preserve">the </w:t>
      </w:r>
      <w:r w:rsidR="00A025DC" w:rsidRPr="00AC6EC4">
        <w:rPr>
          <w:rFonts w:asciiTheme="majorHAnsi" w:hAnsiTheme="majorHAnsi" w:cstheme="majorHAnsi"/>
          <w:sz w:val="22"/>
          <w:szCs w:val="22"/>
          <w:lang w:eastAsia="en-US"/>
        </w:rPr>
        <w:t>increas</w:t>
      </w:r>
      <w:r w:rsidR="009F0B2E" w:rsidRPr="00AC6EC4">
        <w:rPr>
          <w:rFonts w:asciiTheme="majorHAnsi" w:hAnsiTheme="majorHAnsi" w:cstheme="majorHAnsi"/>
          <w:sz w:val="22"/>
          <w:szCs w:val="22"/>
          <w:lang w:eastAsia="en-US"/>
        </w:rPr>
        <w:t>e of</w:t>
      </w:r>
      <w:r w:rsidR="00A025DC" w:rsidRPr="00AC6EC4">
        <w:rPr>
          <w:rFonts w:asciiTheme="majorHAnsi" w:hAnsiTheme="majorHAnsi" w:cstheme="majorHAnsi"/>
          <w:sz w:val="22"/>
          <w:szCs w:val="22"/>
          <w:lang w:eastAsia="en-US"/>
        </w:rPr>
        <w:t xml:space="preserve"> competitiveness</w:t>
      </w:r>
      <w:r w:rsidR="009F0B2E" w:rsidRPr="00AC6EC4">
        <w:rPr>
          <w:rStyle w:val="FootnoteReference"/>
          <w:rFonts w:asciiTheme="majorHAnsi" w:hAnsiTheme="majorHAnsi" w:cstheme="majorHAnsi"/>
          <w:sz w:val="22"/>
          <w:szCs w:val="22"/>
        </w:rPr>
        <w:footnoteReference w:id="1"/>
      </w:r>
      <w:r w:rsidR="00A025DC" w:rsidRPr="00AC6EC4">
        <w:rPr>
          <w:rFonts w:asciiTheme="majorHAnsi" w:hAnsiTheme="majorHAnsi" w:cstheme="majorHAnsi"/>
          <w:sz w:val="22"/>
          <w:szCs w:val="22"/>
          <w:lang w:eastAsia="en-US"/>
        </w:rPr>
        <w:t>.</w:t>
      </w:r>
    </w:p>
    <w:p w:rsidR="00A025DC" w:rsidRPr="00AC6EC4" w:rsidRDefault="00A222D2" w:rsidP="00AC6EC4">
      <w:pPr>
        <w:pStyle w:val="ListParagraph12"/>
        <w:numPr>
          <w:ilvl w:val="0"/>
          <w:numId w:val="20"/>
        </w:numPr>
        <w:ind w:left="709"/>
        <w:rPr>
          <w:rFonts w:asciiTheme="majorHAnsi" w:eastAsia="Calibri" w:hAnsiTheme="majorHAnsi" w:cstheme="majorHAnsi"/>
          <w:sz w:val="22"/>
          <w:szCs w:val="22"/>
        </w:rPr>
      </w:pPr>
      <w:r w:rsidRPr="00AC6EC4">
        <w:rPr>
          <w:rFonts w:asciiTheme="majorHAnsi" w:hAnsiTheme="majorHAnsi" w:cstheme="majorHAnsi"/>
          <w:sz w:val="22"/>
          <w:szCs w:val="22"/>
          <w:lang w:val="es-ES"/>
        </w:rPr>
        <w:t>In 2021 there will be incre</w:t>
      </w:r>
      <w:r w:rsidR="00AC6EC4" w:rsidRPr="00AC6EC4">
        <w:rPr>
          <w:rFonts w:asciiTheme="majorHAnsi" w:hAnsiTheme="majorHAnsi" w:cstheme="majorHAnsi"/>
          <w:sz w:val="22"/>
          <w:szCs w:val="22"/>
          <w:lang w:val="es-ES"/>
        </w:rPr>
        <w:t>a</w:t>
      </w:r>
      <w:r w:rsidRPr="00AC6EC4">
        <w:rPr>
          <w:rFonts w:asciiTheme="majorHAnsi" w:hAnsiTheme="majorHAnsi" w:cstheme="majorHAnsi"/>
          <w:sz w:val="22"/>
          <w:szCs w:val="22"/>
          <w:lang w:val="es-ES"/>
        </w:rPr>
        <w:t xml:space="preserve">se in </w:t>
      </w:r>
      <w:r w:rsidRPr="00AC6EC4">
        <w:rPr>
          <w:rFonts w:asciiTheme="majorHAnsi" w:hAnsiTheme="majorHAnsi" w:cstheme="majorHAnsi"/>
          <w:sz w:val="22"/>
          <w:szCs w:val="22"/>
          <w:lang w:val="en-US"/>
        </w:rPr>
        <w:t>the</w:t>
      </w:r>
      <w:r w:rsidRPr="00AC6EC4">
        <w:rPr>
          <w:rFonts w:asciiTheme="majorHAnsi" w:hAnsiTheme="majorHAnsi" w:cstheme="majorHAnsi"/>
          <w:sz w:val="22"/>
          <w:szCs w:val="22"/>
          <w:lang w:val="es-ES"/>
        </w:rPr>
        <w:t xml:space="preserve"> </w:t>
      </w:r>
      <w:r w:rsidRPr="00AC6EC4">
        <w:rPr>
          <w:rFonts w:asciiTheme="majorHAnsi" w:hAnsiTheme="majorHAnsi" w:cstheme="majorHAnsi"/>
          <w:sz w:val="22"/>
          <w:szCs w:val="22"/>
          <w:lang w:val="en-US"/>
        </w:rPr>
        <w:t>volumes</w:t>
      </w:r>
      <w:r w:rsidRPr="00AC6EC4">
        <w:rPr>
          <w:rFonts w:asciiTheme="majorHAnsi" w:hAnsiTheme="majorHAnsi" w:cstheme="majorHAnsi"/>
          <w:sz w:val="22"/>
          <w:szCs w:val="22"/>
          <w:lang w:val="es-ES"/>
        </w:rPr>
        <w:t xml:space="preserve"> of dollar-denominated </w:t>
      </w:r>
      <w:r w:rsidRPr="00AC6EC4">
        <w:rPr>
          <w:rFonts w:asciiTheme="majorHAnsi" w:hAnsiTheme="majorHAnsi" w:cstheme="majorHAnsi"/>
          <w:sz w:val="22"/>
          <w:szCs w:val="22"/>
          <w:lang w:val="en-US"/>
        </w:rPr>
        <w:t>exports</w:t>
      </w:r>
      <w:r w:rsidRPr="00AC6EC4">
        <w:rPr>
          <w:rFonts w:asciiTheme="majorHAnsi" w:hAnsiTheme="majorHAnsi" w:cstheme="majorHAnsi"/>
          <w:sz w:val="22"/>
          <w:szCs w:val="22"/>
          <w:lang w:val="es-ES"/>
        </w:rPr>
        <w:t xml:space="preserve"> and </w:t>
      </w:r>
      <w:r w:rsidRPr="00AC6EC4">
        <w:rPr>
          <w:rFonts w:asciiTheme="majorHAnsi" w:hAnsiTheme="majorHAnsi" w:cstheme="majorHAnsi"/>
          <w:sz w:val="22"/>
          <w:szCs w:val="22"/>
        </w:rPr>
        <w:t>imports</w:t>
      </w:r>
      <w:r w:rsidRPr="00AC6EC4">
        <w:rPr>
          <w:rFonts w:asciiTheme="majorHAnsi" w:hAnsiTheme="majorHAnsi" w:cstheme="majorHAnsi"/>
          <w:sz w:val="22"/>
          <w:szCs w:val="22"/>
          <w:lang w:val="es-ES"/>
        </w:rPr>
        <w:t xml:space="preserve"> along with</w:t>
      </w:r>
      <w:r w:rsidR="00A025DC" w:rsidRPr="00AC6EC4">
        <w:rPr>
          <w:rFonts w:asciiTheme="majorHAnsi" w:hAnsiTheme="majorHAnsi" w:cstheme="majorHAnsi"/>
          <w:sz w:val="22"/>
          <w:szCs w:val="22"/>
          <w:lang w:val="es-ES"/>
        </w:rPr>
        <w:t xml:space="preserve"> the </w:t>
      </w:r>
      <w:r w:rsidR="00CD5623" w:rsidRPr="00AC6EC4">
        <w:rPr>
          <w:rFonts w:asciiTheme="majorHAnsi" w:hAnsiTheme="majorHAnsi" w:cstheme="majorHAnsi"/>
          <w:sz w:val="22"/>
          <w:szCs w:val="22"/>
          <w:lang w:val="es-ES"/>
        </w:rPr>
        <w:t xml:space="preserve">gradually </w:t>
      </w:r>
      <w:r w:rsidR="00A025DC" w:rsidRPr="00AC6EC4">
        <w:rPr>
          <w:rFonts w:asciiTheme="majorHAnsi" w:hAnsiTheme="majorHAnsi" w:cstheme="majorHAnsi"/>
          <w:sz w:val="22"/>
          <w:szCs w:val="22"/>
          <w:lang w:val="es-ES"/>
        </w:rPr>
        <w:t xml:space="preserve">recovery of </w:t>
      </w:r>
      <w:r w:rsidRPr="00AC6EC4">
        <w:rPr>
          <w:rFonts w:asciiTheme="majorHAnsi" w:hAnsiTheme="majorHAnsi" w:cstheme="majorHAnsi"/>
          <w:sz w:val="22"/>
          <w:szCs w:val="22"/>
          <w:lang w:val="es-ES"/>
        </w:rPr>
        <w:t xml:space="preserve">the </w:t>
      </w:r>
      <w:r w:rsidR="00A025DC" w:rsidRPr="00AC6EC4">
        <w:rPr>
          <w:rFonts w:asciiTheme="majorHAnsi" w:hAnsiTheme="majorHAnsi" w:cstheme="majorHAnsi"/>
          <w:sz w:val="22"/>
          <w:szCs w:val="22"/>
          <w:lang w:val="es-ES"/>
        </w:rPr>
        <w:t>economic activity and domestic and external demand.</w:t>
      </w:r>
      <w:r w:rsidR="00A025DC" w:rsidRPr="00AC6EC4">
        <w:rPr>
          <w:rFonts w:asciiTheme="majorHAnsi" w:hAnsiTheme="majorHAnsi" w:cstheme="majorHAnsi"/>
          <w:sz w:val="22"/>
          <w:szCs w:val="22"/>
        </w:rPr>
        <w:t xml:space="preserve"> </w:t>
      </w:r>
      <w:r w:rsidR="00CD5623" w:rsidRPr="00AC6EC4">
        <w:rPr>
          <w:rFonts w:asciiTheme="majorHAnsi" w:hAnsiTheme="majorHAnsi" w:cstheme="majorHAnsi"/>
          <w:sz w:val="22"/>
          <w:szCs w:val="22"/>
          <w:lang w:val="en-US"/>
        </w:rPr>
        <w:t>T</w:t>
      </w:r>
      <w:r w:rsidR="00A025DC" w:rsidRPr="00AC6EC4">
        <w:rPr>
          <w:rFonts w:asciiTheme="majorHAnsi" w:hAnsiTheme="majorHAnsi" w:cstheme="majorHAnsi"/>
          <w:sz w:val="22"/>
          <w:szCs w:val="22"/>
          <w:lang w:val="es-ES"/>
        </w:rPr>
        <w:t xml:space="preserve">he current account deficit will </w:t>
      </w:r>
      <w:r w:rsidR="00CD5623" w:rsidRPr="00AC6EC4">
        <w:rPr>
          <w:rFonts w:asciiTheme="majorHAnsi" w:hAnsiTheme="majorHAnsi" w:cstheme="majorHAnsi"/>
          <w:sz w:val="22"/>
          <w:szCs w:val="22"/>
          <w:lang w:val="es-ES"/>
        </w:rPr>
        <w:t xml:space="preserve">be </w:t>
      </w:r>
      <w:r w:rsidR="00A025DC" w:rsidRPr="00AC6EC4">
        <w:rPr>
          <w:rFonts w:asciiTheme="majorHAnsi" w:hAnsiTheme="majorHAnsi" w:cstheme="majorHAnsi"/>
          <w:sz w:val="22"/>
          <w:szCs w:val="22"/>
          <w:lang w:val="es-ES"/>
        </w:rPr>
        <w:t>improve</w:t>
      </w:r>
      <w:r w:rsidR="00CD5623" w:rsidRPr="00AC6EC4">
        <w:rPr>
          <w:rFonts w:asciiTheme="majorHAnsi" w:hAnsiTheme="majorHAnsi" w:cstheme="majorHAnsi"/>
          <w:sz w:val="22"/>
          <w:szCs w:val="22"/>
          <w:lang w:val="es-ES"/>
        </w:rPr>
        <w:t>d</w:t>
      </w:r>
      <w:r w:rsidR="00A025DC" w:rsidRPr="00AC6EC4">
        <w:rPr>
          <w:rFonts w:asciiTheme="majorHAnsi" w:hAnsiTheme="majorHAnsi" w:cstheme="majorHAnsi"/>
          <w:sz w:val="22"/>
          <w:szCs w:val="22"/>
          <w:lang w:val="es-ES"/>
        </w:rPr>
        <w:t xml:space="preserve"> in 2021, approaching 2.1% of GDP</w:t>
      </w:r>
      <w:r w:rsidR="00CD5623" w:rsidRPr="00AC6EC4">
        <w:rPr>
          <w:rFonts w:asciiTheme="majorHAnsi" w:hAnsiTheme="majorHAnsi" w:cstheme="majorHAnsi"/>
          <w:sz w:val="22"/>
          <w:szCs w:val="22"/>
          <w:lang w:val="es-ES"/>
        </w:rPr>
        <w:t>, mainly due to the rapid recovery of remittances</w:t>
      </w:r>
      <w:r w:rsidR="00A025DC" w:rsidRPr="00AC6EC4">
        <w:rPr>
          <w:rFonts w:asciiTheme="majorHAnsi" w:hAnsiTheme="majorHAnsi" w:cstheme="majorHAnsi"/>
          <w:sz w:val="22"/>
          <w:szCs w:val="22"/>
          <w:lang w:val="es-ES"/>
        </w:rPr>
        <w:t>.</w:t>
      </w:r>
      <w:r w:rsidR="00A025DC" w:rsidRPr="00AC6EC4">
        <w:rPr>
          <w:rFonts w:asciiTheme="majorHAnsi" w:hAnsiTheme="majorHAnsi" w:cstheme="majorHAnsi"/>
          <w:sz w:val="22"/>
          <w:szCs w:val="22"/>
        </w:rPr>
        <w:t xml:space="preserve"> </w:t>
      </w:r>
      <w:r w:rsidR="00A025DC" w:rsidRPr="00AC6EC4">
        <w:rPr>
          <w:rFonts w:asciiTheme="majorHAnsi" w:hAnsiTheme="majorHAnsi" w:cstheme="majorHAnsi"/>
          <w:sz w:val="22"/>
          <w:szCs w:val="22"/>
          <w:lang w:val="es-ES"/>
        </w:rPr>
        <w:t xml:space="preserve">In the medium term, the current account deficit will deepen, </w:t>
      </w:r>
      <w:r w:rsidR="00CD5623" w:rsidRPr="00AC6EC4">
        <w:rPr>
          <w:rFonts w:asciiTheme="majorHAnsi" w:hAnsiTheme="majorHAnsi" w:cstheme="majorHAnsi"/>
          <w:sz w:val="22"/>
          <w:szCs w:val="22"/>
          <w:lang w:val="es-ES"/>
        </w:rPr>
        <w:t>striv</w:t>
      </w:r>
      <w:r w:rsidR="00A025DC" w:rsidRPr="00AC6EC4">
        <w:rPr>
          <w:rFonts w:asciiTheme="majorHAnsi" w:hAnsiTheme="majorHAnsi" w:cstheme="majorHAnsi"/>
          <w:sz w:val="22"/>
          <w:szCs w:val="22"/>
          <w:lang w:val="es-ES"/>
        </w:rPr>
        <w:t>ing to reach its equilibrium level</w:t>
      </w:r>
      <w:r w:rsidR="00A025DC" w:rsidRPr="00AC6EC4">
        <w:rPr>
          <w:rFonts w:asciiTheme="majorHAnsi" w:hAnsiTheme="majorHAnsi" w:cstheme="majorHAnsi"/>
          <w:sz w:val="24"/>
          <w:szCs w:val="24"/>
          <w:lang w:val="es-ES"/>
        </w:rPr>
        <w:t>.</w:t>
      </w:r>
    </w:p>
    <w:p w:rsidR="00FD00B7" w:rsidRPr="00AC6EC4" w:rsidRDefault="00FD00B7" w:rsidP="00AC6EC4">
      <w:pPr>
        <w:pStyle w:val="ListParagraph12"/>
        <w:numPr>
          <w:ilvl w:val="0"/>
          <w:numId w:val="20"/>
        </w:numPr>
        <w:ind w:left="709"/>
        <w:rPr>
          <w:rFonts w:asciiTheme="majorHAnsi" w:hAnsiTheme="majorHAnsi" w:cstheme="majorHAnsi"/>
          <w:sz w:val="22"/>
          <w:szCs w:val="22"/>
          <w:lang w:val="es-ES"/>
        </w:rPr>
      </w:pPr>
      <w:r w:rsidRPr="00AC6EC4">
        <w:rPr>
          <w:rFonts w:asciiTheme="majorHAnsi" w:hAnsiTheme="majorHAnsi" w:cstheme="majorHAnsi"/>
          <w:sz w:val="22"/>
          <w:szCs w:val="22"/>
          <w:lang w:val="es-ES"/>
        </w:rPr>
        <w:t xml:space="preserve">In 2021, the </w:t>
      </w:r>
      <w:r w:rsidR="00A90AAF" w:rsidRPr="00AC6EC4">
        <w:rPr>
          <w:rFonts w:asciiTheme="majorHAnsi" w:hAnsiTheme="majorHAnsi" w:cstheme="majorHAnsi"/>
          <w:sz w:val="22"/>
          <w:szCs w:val="22"/>
          <w:lang w:val="es-ES"/>
        </w:rPr>
        <w:t xml:space="preserve">RA </w:t>
      </w:r>
      <w:r w:rsidRPr="00AC6EC4">
        <w:rPr>
          <w:rFonts w:asciiTheme="majorHAnsi" w:hAnsiTheme="majorHAnsi" w:cstheme="majorHAnsi"/>
          <w:sz w:val="22"/>
          <w:szCs w:val="22"/>
          <w:lang w:val="es-ES"/>
        </w:rPr>
        <w:t>Government will carry out smooth fiscal consolidation aim</w:t>
      </w:r>
      <w:r w:rsidR="00A90AAF" w:rsidRPr="00AC6EC4">
        <w:rPr>
          <w:rFonts w:asciiTheme="majorHAnsi" w:hAnsiTheme="majorHAnsi" w:cstheme="majorHAnsi"/>
          <w:sz w:val="22"/>
          <w:szCs w:val="22"/>
          <w:lang w:val="es-ES"/>
        </w:rPr>
        <w:t>ing</w:t>
      </w:r>
      <w:r w:rsidRPr="00AC6EC4">
        <w:rPr>
          <w:rFonts w:asciiTheme="majorHAnsi" w:hAnsiTheme="majorHAnsi" w:cstheme="majorHAnsi"/>
          <w:sz w:val="22"/>
          <w:szCs w:val="22"/>
          <w:lang w:val="es-ES"/>
        </w:rPr>
        <w:t xml:space="preserve"> not disrupting the recovery of the economy</w:t>
      </w:r>
      <w:r w:rsidR="00A90AAF" w:rsidRPr="00AC6EC4">
        <w:rPr>
          <w:rFonts w:asciiTheme="majorHAnsi" w:hAnsiTheme="majorHAnsi" w:cstheme="majorHAnsi"/>
          <w:sz w:val="22"/>
          <w:szCs w:val="22"/>
          <w:lang w:val="es-ES"/>
        </w:rPr>
        <w:t xml:space="preserve"> and</w:t>
      </w:r>
      <w:r w:rsidRPr="00AC6EC4">
        <w:rPr>
          <w:rFonts w:asciiTheme="majorHAnsi" w:hAnsiTheme="majorHAnsi" w:cstheme="majorHAnsi"/>
          <w:sz w:val="22"/>
          <w:szCs w:val="22"/>
          <w:lang w:val="es-ES"/>
        </w:rPr>
        <w:t xml:space="preserve"> ensuring the reduction of the debt burden, and in the medium term, in parallel with the </w:t>
      </w:r>
      <w:r w:rsidR="00A90AAF" w:rsidRPr="00AC6EC4">
        <w:rPr>
          <w:rFonts w:asciiTheme="majorHAnsi" w:hAnsiTheme="majorHAnsi" w:cstheme="majorHAnsi"/>
          <w:sz w:val="22"/>
          <w:szCs w:val="22"/>
          <w:lang w:val="es-ES"/>
        </w:rPr>
        <w:t>recovery of the economy</w:t>
      </w:r>
      <w:r w:rsidRPr="00AC6EC4">
        <w:rPr>
          <w:rFonts w:asciiTheme="majorHAnsi" w:hAnsiTheme="majorHAnsi" w:cstheme="majorHAnsi"/>
          <w:sz w:val="22"/>
          <w:szCs w:val="22"/>
          <w:lang w:val="es-ES"/>
        </w:rPr>
        <w:t xml:space="preserve">, the fiscal policy will focus on reducing debt </w:t>
      </w:r>
      <w:r w:rsidRPr="00AC6EC4">
        <w:rPr>
          <w:rFonts w:asciiTheme="majorHAnsi" w:hAnsiTheme="majorHAnsi" w:cstheme="majorHAnsi"/>
          <w:sz w:val="22"/>
          <w:szCs w:val="22"/>
          <w:lang w:val="es-ES"/>
        </w:rPr>
        <w:lastRenderedPageBreak/>
        <w:t>levels and on maintaining sustainability, as well as the promotion of long-</w:t>
      </w:r>
      <w:r w:rsidR="00A90AAF" w:rsidRPr="00AC6EC4">
        <w:rPr>
          <w:rFonts w:asciiTheme="majorHAnsi" w:hAnsiTheme="majorHAnsi" w:cstheme="majorHAnsi"/>
          <w:sz w:val="22"/>
          <w:szCs w:val="22"/>
          <w:lang w:val="es-ES"/>
        </w:rPr>
        <w:t>term economic growth</w:t>
      </w:r>
      <w:r w:rsidRPr="00AC6EC4">
        <w:rPr>
          <w:rFonts w:asciiTheme="majorHAnsi" w:hAnsiTheme="majorHAnsi" w:cstheme="majorHAnsi"/>
          <w:sz w:val="22"/>
          <w:szCs w:val="22"/>
          <w:lang w:val="es-ES"/>
        </w:rPr>
        <w:t xml:space="preserve"> with an emphasis on increasing the share of public investment and the efficiency of spending.</w:t>
      </w:r>
    </w:p>
    <w:p w:rsidR="00301F32" w:rsidRPr="00AC6EC4" w:rsidRDefault="00FD00B7" w:rsidP="00AC6EC4">
      <w:pPr>
        <w:pStyle w:val="ListParagraph12"/>
        <w:numPr>
          <w:ilvl w:val="0"/>
          <w:numId w:val="20"/>
        </w:numPr>
        <w:ind w:left="709"/>
        <w:rPr>
          <w:rFonts w:asciiTheme="majorHAnsi" w:hAnsiTheme="majorHAnsi" w:cstheme="majorHAnsi"/>
          <w:color w:val="000000"/>
          <w:sz w:val="22"/>
          <w:szCs w:val="22"/>
          <w:lang w:val="es-ES"/>
        </w:rPr>
      </w:pPr>
      <w:r w:rsidRPr="00AC6EC4">
        <w:rPr>
          <w:rFonts w:asciiTheme="majorHAnsi" w:hAnsiTheme="majorHAnsi" w:cstheme="majorHAnsi"/>
          <w:sz w:val="22"/>
          <w:szCs w:val="22"/>
        </w:rPr>
        <w:t xml:space="preserve">In the short run the </w:t>
      </w:r>
      <w:r w:rsidR="009B21B5" w:rsidRPr="00AC6EC4">
        <w:rPr>
          <w:rFonts w:asciiTheme="majorHAnsi" w:hAnsiTheme="majorHAnsi" w:cstheme="majorHAnsi"/>
          <w:sz w:val="22"/>
          <w:szCs w:val="22"/>
        </w:rPr>
        <w:t xml:space="preserve">RA </w:t>
      </w:r>
      <w:r w:rsidRPr="00AC6EC4">
        <w:rPr>
          <w:rFonts w:asciiTheme="majorHAnsi" w:hAnsiTheme="majorHAnsi" w:cstheme="majorHAnsi"/>
          <w:sz w:val="22"/>
          <w:szCs w:val="22"/>
        </w:rPr>
        <w:t xml:space="preserve">Central Bank will </w:t>
      </w:r>
      <w:r w:rsidR="0030383B" w:rsidRPr="00AC6EC4">
        <w:rPr>
          <w:rFonts w:asciiTheme="majorHAnsi" w:hAnsiTheme="majorHAnsi" w:cstheme="majorHAnsi"/>
          <w:sz w:val="22"/>
          <w:szCs w:val="22"/>
          <w:lang w:val="en-US"/>
        </w:rPr>
        <w:t>go on</w:t>
      </w:r>
      <w:r w:rsidRPr="00AC6EC4">
        <w:rPr>
          <w:rFonts w:asciiTheme="majorHAnsi" w:hAnsiTheme="majorHAnsi" w:cstheme="majorHAnsi"/>
          <w:sz w:val="22"/>
          <w:szCs w:val="22"/>
        </w:rPr>
        <w:t xml:space="preserve"> implement</w:t>
      </w:r>
      <w:r w:rsidR="0030383B" w:rsidRPr="00AC6EC4">
        <w:rPr>
          <w:rFonts w:asciiTheme="majorHAnsi" w:hAnsiTheme="majorHAnsi" w:cstheme="majorHAnsi"/>
          <w:sz w:val="22"/>
          <w:szCs w:val="22"/>
          <w:lang w:val="en-US"/>
        </w:rPr>
        <w:t>ing</w:t>
      </w:r>
      <w:r w:rsidRPr="00AC6EC4">
        <w:rPr>
          <w:rFonts w:asciiTheme="majorHAnsi" w:hAnsiTheme="majorHAnsi" w:cstheme="majorHAnsi"/>
          <w:sz w:val="22"/>
          <w:szCs w:val="22"/>
        </w:rPr>
        <w:t xml:space="preserve"> the monetary policy aimed at neutraliz</w:t>
      </w:r>
      <w:r w:rsidR="0030383B" w:rsidRPr="00AC6EC4">
        <w:rPr>
          <w:rFonts w:asciiTheme="majorHAnsi" w:hAnsiTheme="majorHAnsi" w:cstheme="majorHAnsi"/>
          <w:sz w:val="22"/>
          <w:szCs w:val="22"/>
          <w:lang w:val="en-US"/>
        </w:rPr>
        <w:t>ation of</w:t>
      </w:r>
      <w:r w:rsidRPr="00AC6EC4">
        <w:rPr>
          <w:rFonts w:asciiTheme="majorHAnsi" w:hAnsiTheme="majorHAnsi" w:cstheme="majorHAnsi"/>
          <w:sz w:val="22"/>
          <w:szCs w:val="22"/>
        </w:rPr>
        <w:t xml:space="preserve"> the risks of accelerating inflation expectations, </w:t>
      </w:r>
      <w:r w:rsidR="00301F32" w:rsidRPr="00AC6EC4">
        <w:rPr>
          <w:rFonts w:asciiTheme="majorHAnsi" w:hAnsiTheme="majorHAnsi" w:cstheme="majorHAnsi"/>
          <w:sz w:val="22"/>
          <w:szCs w:val="22"/>
        </w:rPr>
        <w:t>at the same time, providing the most favo</w:t>
      </w:r>
      <w:r w:rsidR="002E4CCE">
        <w:rPr>
          <w:rFonts w:asciiTheme="majorHAnsi" w:hAnsiTheme="majorHAnsi" w:cstheme="majorHAnsi"/>
          <w:sz w:val="22"/>
          <w:szCs w:val="22"/>
        </w:rPr>
        <w:t>u</w:t>
      </w:r>
      <w:r w:rsidR="00301F32" w:rsidRPr="00AC6EC4">
        <w:rPr>
          <w:rFonts w:asciiTheme="majorHAnsi" w:hAnsiTheme="majorHAnsi" w:cstheme="majorHAnsi"/>
          <w:sz w:val="22"/>
          <w:szCs w:val="22"/>
        </w:rPr>
        <w:t xml:space="preserve">rable conditions for the full recovery of aggregate demand, and in the medium term, in order to achieve the inflation target, </w:t>
      </w:r>
      <w:r w:rsidR="004A0D08" w:rsidRPr="00AC6EC4">
        <w:rPr>
          <w:rFonts w:asciiTheme="majorHAnsi" w:hAnsiTheme="majorHAnsi" w:cstheme="majorHAnsi"/>
          <w:sz w:val="22"/>
          <w:szCs w:val="22"/>
          <w:lang w:val="en-US"/>
        </w:rPr>
        <w:t>will be</w:t>
      </w:r>
      <w:r w:rsidR="00301F32" w:rsidRPr="00AC6EC4">
        <w:rPr>
          <w:rFonts w:asciiTheme="majorHAnsi" w:hAnsiTheme="majorHAnsi" w:cstheme="majorHAnsi"/>
          <w:sz w:val="22"/>
          <w:szCs w:val="22"/>
        </w:rPr>
        <w:t xml:space="preserve"> ready to respond accordingly in case of any risks.</w:t>
      </w:r>
    </w:p>
    <w:p w:rsidR="00301F32" w:rsidRPr="00AC6EC4" w:rsidRDefault="00301F32" w:rsidP="00AC6EC4">
      <w:pPr>
        <w:pStyle w:val="ListParagraph12"/>
        <w:numPr>
          <w:ilvl w:val="0"/>
          <w:numId w:val="20"/>
        </w:numPr>
        <w:ind w:left="709"/>
        <w:rPr>
          <w:rFonts w:asciiTheme="majorHAnsi" w:hAnsiTheme="majorHAnsi" w:cstheme="majorHAnsi"/>
          <w:sz w:val="22"/>
          <w:szCs w:val="22"/>
        </w:rPr>
      </w:pPr>
      <w:r w:rsidRPr="00AC6EC4">
        <w:rPr>
          <w:rFonts w:asciiTheme="majorHAnsi" w:hAnsiTheme="majorHAnsi" w:cstheme="majorHAnsi"/>
          <w:sz w:val="22"/>
          <w:szCs w:val="22"/>
        </w:rPr>
        <w:t xml:space="preserve">The development of the world economy will largely depend on health measures to overcome COVID-19 pandemic, support packages և vaccination programs. In these conditions, </w:t>
      </w:r>
      <w:r w:rsidR="00EC0F62" w:rsidRPr="00AC6EC4">
        <w:rPr>
          <w:rFonts w:asciiTheme="majorHAnsi" w:hAnsiTheme="majorHAnsi" w:cstheme="majorHAnsi"/>
          <w:sz w:val="22"/>
          <w:szCs w:val="22"/>
        </w:rPr>
        <w:t xml:space="preserve">the risks are assessed as balanced </w:t>
      </w:r>
      <w:r w:rsidRPr="00AC6EC4">
        <w:rPr>
          <w:rFonts w:asciiTheme="majorHAnsi" w:hAnsiTheme="majorHAnsi" w:cstheme="majorHAnsi"/>
          <w:sz w:val="22"/>
          <w:szCs w:val="22"/>
        </w:rPr>
        <w:t>in the forecasts of</w:t>
      </w:r>
      <w:r w:rsidR="00EC0F62" w:rsidRPr="00AC6EC4">
        <w:rPr>
          <w:rFonts w:asciiTheme="majorHAnsi" w:hAnsiTheme="majorHAnsi" w:cstheme="majorHAnsi"/>
          <w:sz w:val="22"/>
          <w:szCs w:val="22"/>
          <w:lang w:val="en-US"/>
        </w:rPr>
        <w:t xml:space="preserve"> the</w:t>
      </w:r>
      <w:r w:rsidRPr="00AC6EC4">
        <w:rPr>
          <w:rFonts w:asciiTheme="majorHAnsi" w:hAnsiTheme="majorHAnsi" w:cstheme="majorHAnsi"/>
          <w:sz w:val="22"/>
          <w:szCs w:val="22"/>
        </w:rPr>
        <w:t xml:space="preserve"> economic growth of the world</w:t>
      </w:r>
      <w:r w:rsidR="00EC0F62" w:rsidRPr="00AC6EC4">
        <w:rPr>
          <w:rFonts w:asciiTheme="majorHAnsi" w:hAnsiTheme="majorHAnsi" w:cstheme="majorHAnsi"/>
          <w:sz w:val="22"/>
          <w:szCs w:val="22"/>
          <w:lang w:val="en-US"/>
        </w:rPr>
        <w:t>,</w:t>
      </w:r>
      <w:r w:rsidRPr="00AC6EC4">
        <w:rPr>
          <w:rFonts w:asciiTheme="majorHAnsi" w:hAnsiTheme="majorHAnsi" w:cstheme="majorHAnsi"/>
          <w:sz w:val="22"/>
          <w:szCs w:val="22"/>
        </w:rPr>
        <w:t xml:space="preserve"> RA partners</w:t>
      </w:r>
      <w:r w:rsidR="00EC0F62" w:rsidRPr="00AC6EC4">
        <w:rPr>
          <w:rFonts w:asciiTheme="majorHAnsi" w:hAnsiTheme="majorHAnsi" w:cstheme="majorHAnsi"/>
          <w:sz w:val="22"/>
          <w:szCs w:val="22"/>
          <w:lang w:val="en-US"/>
        </w:rPr>
        <w:t xml:space="preserve"> and</w:t>
      </w:r>
      <w:r w:rsidRPr="00AC6EC4">
        <w:rPr>
          <w:rFonts w:asciiTheme="majorHAnsi" w:hAnsiTheme="majorHAnsi" w:cstheme="majorHAnsi"/>
          <w:sz w:val="22"/>
          <w:szCs w:val="22"/>
        </w:rPr>
        <w:t xml:space="preserve"> RA.</w:t>
      </w:r>
    </w:p>
    <w:p w:rsidR="00354B35" w:rsidRPr="00AC6EC4" w:rsidRDefault="00354B35" w:rsidP="006F6643">
      <w:pPr>
        <w:pStyle w:val="ListParagraph12"/>
        <w:ind w:left="1080" w:firstLine="0"/>
        <w:rPr>
          <w:rFonts w:asciiTheme="majorHAnsi" w:hAnsiTheme="majorHAnsi" w:cstheme="majorHAnsi"/>
          <w:sz w:val="22"/>
          <w:szCs w:val="22"/>
          <w:highlight w:val="yellow"/>
          <w:lang w:val="es-ES"/>
        </w:rPr>
      </w:pPr>
    </w:p>
    <w:p w:rsidR="00301F32" w:rsidRPr="00AC6EC4" w:rsidRDefault="00301F32" w:rsidP="00301F32">
      <w:pPr>
        <w:ind w:firstLine="0"/>
        <w:rPr>
          <w:rFonts w:asciiTheme="majorHAnsi" w:hAnsiTheme="majorHAnsi" w:cstheme="majorHAnsi"/>
        </w:rPr>
      </w:pPr>
      <w:r w:rsidRPr="00AC6EC4">
        <w:rPr>
          <w:rFonts w:asciiTheme="majorHAnsi" w:hAnsiTheme="majorHAnsi" w:cstheme="majorHAnsi"/>
        </w:rPr>
        <w:t>The key indictors underlying in the 2022-2024 RA Government debt management strategy are reflected in the table below:</w:t>
      </w:r>
    </w:p>
    <w:p w:rsidR="00025E2D" w:rsidRPr="00AC6EC4" w:rsidRDefault="00AC6EC4"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Pr>
          <w:rStyle w:val="Emphasis"/>
          <w:rFonts w:asciiTheme="majorHAnsi" w:hAnsiTheme="majorHAnsi" w:cstheme="majorHAnsi"/>
          <w:b w:val="0"/>
          <w:sz w:val="24"/>
          <w:szCs w:val="24"/>
        </w:rPr>
        <w:t>2020-2024 RA Gover</w:t>
      </w:r>
      <w:r w:rsidR="007605DF" w:rsidRPr="00AC6EC4">
        <w:rPr>
          <w:rStyle w:val="Emphasis"/>
          <w:rFonts w:asciiTheme="majorHAnsi" w:hAnsiTheme="majorHAnsi" w:cstheme="majorHAnsi"/>
          <w:b w:val="0"/>
          <w:sz w:val="24"/>
          <w:szCs w:val="24"/>
        </w:rPr>
        <w:t>nme</w:t>
      </w:r>
      <w:r>
        <w:rPr>
          <w:rStyle w:val="Emphasis"/>
          <w:rFonts w:asciiTheme="majorHAnsi" w:hAnsiTheme="majorHAnsi" w:cstheme="majorHAnsi"/>
          <w:b w:val="0"/>
          <w:sz w:val="24"/>
          <w:szCs w:val="24"/>
        </w:rPr>
        <w:t>n</w:t>
      </w:r>
      <w:r w:rsidR="007605DF" w:rsidRPr="00AC6EC4">
        <w:rPr>
          <w:rStyle w:val="Emphasis"/>
          <w:rFonts w:asciiTheme="majorHAnsi" w:hAnsiTheme="majorHAnsi" w:cstheme="majorHAnsi"/>
          <w:b w:val="0"/>
          <w:sz w:val="24"/>
          <w:szCs w:val="24"/>
        </w:rPr>
        <w:t xml:space="preserve">t debt management strategy key indicators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1322"/>
        <w:gridCol w:w="1277"/>
        <w:gridCol w:w="1322"/>
        <w:gridCol w:w="1233"/>
        <w:gridCol w:w="1110"/>
      </w:tblGrid>
      <w:tr w:rsidR="00C25B98" w:rsidRPr="00AC6EC4" w:rsidTr="002B0887">
        <w:trPr>
          <w:trHeight w:val="584"/>
          <w:tblHeader/>
          <w:jc w:val="center"/>
        </w:trPr>
        <w:tc>
          <w:tcPr>
            <w:tcW w:w="3502" w:type="dxa"/>
            <w:tcBorders>
              <w:top w:val="thinThickThinSmallGap" w:sz="24" w:space="0" w:color="auto"/>
              <w:left w:val="nil"/>
              <w:bottom w:val="thinThickSmallGap" w:sz="24" w:space="0" w:color="auto"/>
              <w:right w:val="nil"/>
            </w:tcBorders>
            <w:shd w:val="clear" w:color="auto" w:fill="365F91" w:themeFill="accent1" w:themeFillShade="BF"/>
          </w:tcPr>
          <w:p w:rsidR="00A75F14" w:rsidRPr="00AC6EC4" w:rsidRDefault="00A75F14" w:rsidP="00062901">
            <w:pPr>
              <w:spacing w:line="240" w:lineRule="auto"/>
              <w:ind w:firstLine="0"/>
              <w:rPr>
                <w:rFonts w:asciiTheme="majorHAnsi" w:hAnsiTheme="majorHAnsi" w:cstheme="majorHAnsi"/>
                <w:color w:val="FFFFFF" w:themeColor="background1"/>
              </w:rPr>
            </w:pPr>
          </w:p>
        </w:tc>
        <w:tc>
          <w:tcPr>
            <w:tcW w:w="1322"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A75F14" w:rsidRPr="00AC6EC4" w:rsidRDefault="00A75F14"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w:t>
            </w:r>
            <w:r w:rsidR="00A740F4" w:rsidRPr="00AC6EC4">
              <w:rPr>
                <w:rFonts w:asciiTheme="majorHAnsi" w:hAnsiTheme="majorHAnsi" w:cstheme="majorHAnsi"/>
                <w:color w:val="FFFFFF" w:themeColor="background1"/>
              </w:rPr>
              <w:t>20</w:t>
            </w:r>
            <w:r w:rsidRPr="00AC6EC4">
              <w:rPr>
                <w:rFonts w:asciiTheme="majorHAnsi" w:hAnsiTheme="majorHAnsi" w:cstheme="majorHAnsi"/>
                <w:color w:val="FFFFFF" w:themeColor="background1"/>
              </w:rPr>
              <w:t xml:space="preserve"> </w:t>
            </w:r>
            <w:r w:rsidR="002B0887" w:rsidRPr="00AC6EC4">
              <w:rPr>
                <w:rFonts w:asciiTheme="majorHAnsi" w:hAnsiTheme="majorHAnsi" w:cstheme="majorHAnsi"/>
                <w:color w:val="FFFFFF" w:themeColor="background1"/>
                <w:lang w:val="en-US"/>
              </w:rPr>
              <w:t>Actual</w:t>
            </w:r>
          </w:p>
        </w:tc>
        <w:tc>
          <w:tcPr>
            <w:tcW w:w="1277"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75F14" w:rsidRPr="00AC6EC4" w:rsidDel="007A73B0" w:rsidRDefault="00A75F14"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740F4" w:rsidRPr="00AC6EC4">
              <w:rPr>
                <w:rFonts w:asciiTheme="majorHAnsi" w:hAnsiTheme="majorHAnsi" w:cstheme="majorHAnsi"/>
                <w:color w:val="FFFFFF" w:themeColor="background1"/>
              </w:rPr>
              <w:t>1</w:t>
            </w:r>
            <w:r w:rsidRPr="00AC6EC4">
              <w:rPr>
                <w:rFonts w:asciiTheme="majorHAnsi" w:hAnsiTheme="majorHAnsi" w:cstheme="majorHAnsi"/>
                <w:color w:val="FFFFFF" w:themeColor="background1"/>
              </w:rPr>
              <w:t xml:space="preserve"> </w:t>
            </w:r>
            <w:r w:rsidR="002B0887" w:rsidRPr="00AC6EC4">
              <w:rPr>
                <w:rFonts w:asciiTheme="majorHAnsi" w:hAnsiTheme="majorHAnsi" w:cstheme="majorHAnsi"/>
                <w:color w:val="FFFFFF" w:themeColor="background1"/>
                <w:lang w:val="en-US"/>
              </w:rPr>
              <w:t>Forecast</w:t>
            </w:r>
          </w:p>
        </w:tc>
        <w:tc>
          <w:tcPr>
            <w:tcW w:w="132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75F14" w:rsidRPr="00AC6EC4" w:rsidRDefault="00A75F14"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740F4" w:rsidRPr="00AC6EC4">
              <w:rPr>
                <w:rFonts w:asciiTheme="majorHAnsi" w:hAnsiTheme="majorHAnsi" w:cstheme="majorHAnsi"/>
                <w:color w:val="FFFFFF" w:themeColor="background1"/>
              </w:rPr>
              <w:t>2</w:t>
            </w:r>
            <w:r w:rsidRPr="00AC6EC4">
              <w:rPr>
                <w:rFonts w:asciiTheme="majorHAnsi" w:hAnsiTheme="majorHAnsi" w:cstheme="majorHAnsi"/>
                <w:color w:val="FFFFFF" w:themeColor="background1"/>
              </w:rPr>
              <w:t xml:space="preserve"> </w:t>
            </w:r>
            <w:r w:rsidR="002B0887" w:rsidRPr="00AC6EC4">
              <w:rPr>
                <w:rFonts w:asciiTheme="majorHAnsi" w:hAnsiTheme="majorHAnsi" w:cstheme="majorHAnsi"/>
                <w:color w:val="FFFFFF" w:themeColor="background1"/>
                <w:lang w:val="en-US"/>
              </w:rPr>
              <w:t>Forecast</w:t>
            </w:r>
          </w:p>
        </w:tc>
        <w:tc>
          <w:tcPr>
            <w:tcW w:w="1233"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75F14" w:rsidRPr="00AC6EC4" w:rsidRDefault="00A75F14"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740F4" w:rsidRPr="00AC6EC4">
              <w:rPr>
                <w:rFonts w:asciiTheme="majorHAnsi" w:hAnsiTheme="majorHAnsi" w:cstheme="majorHAnsi"/>
                <w:color w:val="FFFFFF" w:themeColor="background1"/>
              </w:rPr>
              <w:t>3</w:t>
            </w:r>
            <w:r w:rsidRPr="00AC6EC4">
              <w:rPr>
                <w:rFonts w:asciiTheme="majorHAnsi" w:hAnsiTheme="majorHAnsi" w:cstheme="majorHAnsi"/>
                <w:color w:val="FFFFFF" w:themeColor="background1"/>
              </w:rPr>
              <w:t xml:space="preserve"> </w:t>
            </w:r>
            <w:r w:rsidR="002B0887" w:rsidRPr="00AC6EC4">
              <w:rPr>
                <w:rFonts w:asciiTheme="majorHAnsi" w:hAnsiTheme="majorHAnsi" w:cstheme="majorHAnsi"/>
                <w:color w:val="FFFFFF" w:themeColor="background1"/>
                <w:lang w:val="en-US"/>
              </w:rPr>
              <w:t>Forecast</w:t>
            </w:r>
          </w:p>
        </w:tc>
        <w:tc>
          <w:tcPr>
            <w:tcW w:w="111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75F14" w:rsidRPr="00AC6EC4" w:rsidRDefault="00A75F14"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740F4" w:rsidRPr="00AC6EC4">
              <w:rPr>
                <w:rFonts w:asciiTheme="majorHAnsi" w:hAnsiTheme="majorHAnsi" w:cstheme="majorHAnsi"/>
                <w:color w:val="FFFFFF" w:themeColor="background1"/>
              </w:rPr>
              <w:t>4</w:t>
            </w:r>
            <w:r w:rsidRPr="00AC6EC4">
              <w:rPr>
                <w:rFonts w:asciiTheme="majorHAnsi" w:hAnsiTheme="majorHAnsi" w:cstheme="majorHAnsi"/>
                <w:color w:val="FFFFFF" w:themeColor="background1"/>
              </w:rPr>
              <w:t xml:space="preserve"> </w:t>
            </w:r>
            <w:r w:rsidR="002B0887" w:rsidRPr="00AC6EC4">
              <w:rPr>
                <w:rFonts w:asciiTheme="majorHAnsi" w:hAnsiTheme="majorHAnsi" w:cstheme="majorHAnsi"/>
                <w:color w:val="FFFFFF" w:themeColor="background1"/>
                <w:lang w:val="en-US"/>
              </w:rPr>
              <w:t>Forecast</w:t>
            </w:r>
          </w:p>
        </w:tc>
      </w:tr>
      <w:tr w:rsidR="007605DF" w:rsidRPr="00AC6EC4" w:rsidTr="00AF5AB6">
        <w:trPr>
          <w:trHeight w:val="318"/>
          <w:jc w:val="center"/>
        </w:trPr>
        <w:tc>
          <w:tcPr>
            <w:tcW w:w="3502" w:type="dxa"/>
            <w:tcBorders>
              <w:top w:val="thinThickSmallGap" w:sz="24" w:space="0" w:color="auto"/>
              <w:left w:val="nil"/>
              <w:right w:val="nil"/>
            </w:tcBorders>
            <w:vAlign w:val="center"/>
          </w:tcPr>
          <w:p w:rsidR="007605DF" w:rsidRPr="00AC6EC4" w:rsidRDefault="007605DF" w:rsidP="00062901">
            <w:pPr>
              <w:spacing w:line="240" w:lineRule="auto"/>
              <w:ind w:left="20" w:firstLine="159"/>
              <w:rPr>
                <w:rFonts w:asciiTheme="majorHAnsi" w:hAnsiTheme="majorHAnsi" w:cstheme="majorHAnsi"/>
              </w:rPr>
            </w:pPr>
            <w:r w:rsidRPr="00AC6EC4">
              <w:rPr>
                <w:rFonts w:asciiTheme="majorHAnsi" w:hAnsiTheme="majorHAnsi" w:cstheme="majorHAnsi"/>
                <w:color w:val="171717"/>
              </w:rPr>
              <w:t>Real GDP growth (%)</w:t>
            </w:r>
          </w:p>
        </w:tc>
        <w:tc>
          <w:tcPr>
            <w:tcW w:w="1322" w:type="dxa"/>
            <w:tcBorders>
              <w:top w:val="thinThickSmallGap" w:sz="24" w:space="0" w:color="auto"/>
              <w:left w:val="double" w:sz="4" w:space="0" w:color="auto"/>
              <w:right w:val="nil"/>
            </w:tcBorders>
            <w:vAlign w:val="bottom"/>
          </w:tcPr>
          <w:p w:rsidR="007605DF" w:rsidRPr="00AC6EC4" w:rsidRDefault="007605DF" w:rsidP="00062901">
            <w:pPr>
              <w:spacing w:line="240" w:lineRule="auto"/>
              <w:ind w:firstLine="0"/>
              <w:rPr>
                <w:rFonts w:asciiTheme="majorHAnsi" w:hAnsiTheme="majorHAnsi" w:cstheme="majorHAnsi"/>
              </w:rPr>
            </w:pPr>
            <w:r w:rsidRPr="00AC6EC4">
              <w:rPr>
                <w:rFonts w:asciiTheme="majorHAnsi" w:hAnsiTheme="majorHAnsi" w:cstheme="majorHAnsi"/>
              </w:rPr>
              <w:t>-7.4</w:t>
            </w:r>
          </w:p>
        </w:tc>
        <w:tc>
          <w:tcPr>
            <w:tcW w:w="1277" w:type="dxa"/>
            <w:tcBorders>
              <w:top w:val="thinThickSmallGap" w:sz="24" w:space="0" w:color="auto"/>
              <w:left w:val="nil"/>
              <w:right w:val="nil"/>
            </w:tcBorders>
            <w:vAlign w:val="bottom"/>
          </w:tcPr>
          <w:p w:rsidR="007605DF" w:rsidRPr="00AC6EC4" w:rsidRDefault="007605DF" w:rsidP="00062901">
            <w:pPr>
              <w:spacing w:line="240" w:lineRule="auto"/>
              <w:ind w:firstLine="0"/>
              <w:rPr>
                <w:rFonts w:asciiTheme="majorHAnsi" w:hAnsiTheme="majorHAnsi" w:cstheme="majorHAnsi"/>
              </w:rPr>
            </w:pPr>
            <w:r w:rsidRPr="00AC6EC4">
              <w:rPr>
                <w:rFonts w:asciiTheme="majorHAnsi" w:hAnsiTheme="majorHAnsi" w:cstheme="majorHAnsi"/>
              </w:rPr>
              <w:t>6.0</w:t>
            </w:r>
          </w:p>
        </w:tc>
        <w:tc>
          <w:tcPr>
            <w:tcW w:w="1322" w:type="dxa"/>
            <w:tcBorders>
              <w:top w:val="thinThickSmallGap" w:sz="24" w:space="0" w:color="auto"/>
              <w:left w:val="nil"/>
              <w:right w:val="nil"/>
            </w:tcBorders>
            <w:vAlign w:val="bottom"/>
          </w:tcPr>
          <w:p w:rsidR="007605DF" w:rsidRPr="00AC6EC4" w:rsidRDefault="007605DF" w:rsidP="00062901">
            <w:pPr>
              <w:spacing w:line="240" w:lineRule="auto"/>
              <w:ind w:firstLine="0"/>
              <w:rPr>
                <w:rFonts w:asciiTheme="majorHAnsi" w:hAnsiTheme="majorHAnsi" w:cstheme="majorHAnsi"/>
              </w:rPr>
            </w:pPr>
            <w:r w:rsidRPr="00AC6EC4">
              <w:rPr>
                <w:rFonts w:asciiTheme="majorHAnsi" w:hAnsiTheme="majorHAnsi" w:cstheme="majorHAnsi"/>
              </w:rPr>
              <w:t>5.2</w:t>
            </w:r>
          </w:p>
        </w:tc>
        <w:tc>
          <w:tcPr>
            <w:tcW w:w="1233" w:type="dxa"/>
            <w:tcBorders>
              <w:top w:val="thinThickSmallGap" w:sz="24" w:space="0" w:color="auto"/>
              <w:left w:val="nil"/>
              <w:right w:val="nil"/>
            </w:tcBorders>
            <w:vAlign w:val="bottom"/>
          </w:tcPr>
          <w:p w:rsidR="007605DF" w:rsidRPr="00AC6EC4" w:rsidRDefault="007605DF" w:rsidP="00062901">
            <w:pPr>
              <w:spacing w:line="240" w:lineRule="auto"/>
              <w:ind w:firstLine="0"/>
              <w:rPr>
                <w:rFonts w:asciiTheme="majorHAnsi" w:hAnsiTheme="majorHAnsi" w:cstheme="majorHAnsi"/>
              </w:rPr>
            </w:pPr>
            <w:r w:rsidRPr="00AC6EC4">
              <w:rPr>
                <w:rFonts w:asciiTheme="majorHAnsi" w:hAnsiTheme="majorHAnsi" w:cstheme="majorHAnsi"/>
              </w:rPr>
              <w:t>3.7</w:t>
            </w:r>
          </w:p>
        </w:tc>
        <w:tc>
          <w:tcPr>
            <w:tcW w:w="1110" w:type="dxa"/>
            <w:tcBorders>
              <w:top w:val="thinThickSmallGap" w:sz="24" w:space="0" w:color="auto"/>
              <w:left w:val="nil"/>
              <w:right w:val="nil"/>
            </w:tcBorders>
            <w:vAlign w:val="bottom"/>
          </w:tcPr>
          <w:p w:rsidR="007605DF" w:rsidRPr="00AC6EC4" w:rsidRDefault="007605DF" w:rsidP="00062901">
            <w:pPr>
              <w:spacing w:line="240" w:lineRule="auto"/>
              <w:ind w:firstLine="0"/>
              <w:rPr>
                <w:rFonts w:asciiTheme="majorHAnsi" w:hAnsiTheme="majorHAnsi" w:cstheme="majorHAnsi"/>
              </w:rPr>
            </w:pPr>
            <w:r w:rsidRPr="00AC6EC4">
              <w:rPr>
                <w:rFonts w:asciiTheme="majorHAnsi" w:hAnsiTheme="majorHAnsi" w:cstheme="majorHAnsi"/>
              </w:rPr>
              <w:t>4.0</w:t>
            </w:r>
          </w:p>
        </w:tc>
      </w:tr>
      <w:tr w:rsidR="007605DF" w:rsidRPr="00AC6EC4" w:rsidTr="007B6FD3">
        <w:trPr>
          <w:trHeight w:val="334"/>
          <w:jc w:val="center"/>
        </w:trPr>
        <w:tc>
          <w:tcPr>
            <w:tcW w:w="3502" w:type="dxa"/>
            <w:tcBorders>
              <w:left w:val="nil"/>
              <w:right w:val="nil"/>
            </w:tcBorders>
            <w:vAlign w:val="center"/>
          </w:tcPr>
          <w:p w:rsidR="007605DF" w:rsidRPr="00AC6EC4" w:rsidRDefault="007605DF" w:rsidP="00062901">
            <w:pPr>
              <w:spacing w:line="240" w:lineRule="auto"/>
              <w:ind w:left="20" w:firstLine="159"/>
              <w:rPr>
                <w:rFonts w:asciiTheme="majorHAnsi" w:hAnsiTheme="majorHAnsi" w:cstheme="majorHAnsi"/>
              </w:rPr>
            </w:pPr>
            <w:r w:rsidRPr="00AC6EC4">
              <w:rPr>
                <w:rFonts w:asciiTheme="majorHAnsi" w:hAnsiTheme="majorHAnsi" w:cstheme="majorHAnsi"/>
                <w:color w:val="171717"/>
              </w:rPr>
              <w:t xml:space="preserve">CPI (period average, </w:t>
            </w:r>
            <w:r w:rsidRPr="00AC6EC4">
              <w:rPr>
                <w:rFonts w:asciiTheme="majorHAnsi" w:hAnsiTheme="majorHAnsi" w:cstheme="majorHAnsi"/>
                <w:color w:val="171717"/>
                <w:lang w:val="ru-RU"/>
              </w:rPr>
              <w:t>%</w:t>
            </w:r>
            <w:r w:rsidRPr="00AC6EC4">
              <w:rPr>
                <w:rFonts w:asciiTheme="majorHAnsi" w:hAnsiTheme="majorHAnsi" w:cstheme="majorHAnsi"/>
                <w:color w:val="171717"/>
              </w:rPr>
              <w:t>)</w:t>
            </w:r>
          </w:p>
        </w:tc>
        <w:tc>
          <w:tcPr>
            <w:tcW w:w="1322" w:type="dxa"/>
            <w:tcBorders>
              <w:left w:val="double" w:sz="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1.2</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5.3</w:t>
            </w:r>
          </w:p>
        </w:tc>
        <w:tc>
          <w:tcPr>
            <w:tcW w:w="1322"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4.1</w:t>
            </w:r>
          </w:p>
        </w:tc>
        <w:tc>
          <w:tcPr>
            <w:tcW w:w="1233"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4.0</w:t>
            </w:r>
          </w:p>
        </w:tc>
        <w:tc>
          <w:tcPr>
            <w:tcW w:w="1110"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4.0</w:t>
            </w:r>
          </w:p>
        </w:tc>
      </w:tr>
      <w:tr w:rsidR="00A740B0" w:rsidRPr="00AC6EC4" w:rsidTr="007B6FD3">
        <w:trPr>
          <w:trHeight w:val="334"/>
          <w:jc w:val="center"/>
        </w:trPr>
        <w:tc>
          <w:tcPr>
            <w:tcW w:w="9766" w:type="dxa"/>
            <w:gridSpan w:val="6"/>
            <w:tcBorders>
              <w:left w:val="nil"/>
              <w:right w:val="nil"/>
            </w:tcBorders>
            <w:vAlign w:val="center"/>
          </w:tcPr>
          <w:p w:rsidR="001D307D"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b/>
                <w:iCs/>
                <w:color w:val="171717"/>
              </w:rPr>
              <w:t>RA Government transactions (% share of GDP)</w:t>
            </w:r>
          </w:p>
        </w:tc>
      </w:tr>
      <w:tr w:rsidR="007605DF" w:rsidRPr="00AC6EC4" w:rsidTr="007B6FD3">
        <w:trPr>
          <w:trHeight w:val="334"/>
          <w:jc w:val="center"/>
        </w:trPr>
        <w:tc>
          <w:tcPr>
            <w:tcW w:w="3502" w:type="dxa"/>
            <w:tcBorders>
              <w:left w:val="nil"/>
              <w:right w:val="nil"/>
            </w:tcBorders>
            <w:vAlign w:val="center"/>
          </w:tcPr>
          <w:p w:rsidR="007605DF" w:rsidRPr="00AC6EC4" w:rsidRDefault="007605DF" w:rsidP="00062901">
            <w:pPr>
              <w:spacing w:line="240" w:lineRule="auto"/>
              <w:ind w:left="20" w:firstLine="159"/>
              <w:rPr>
                <w:rFonts w:asciiTheme="majorHAnsi" w:hAnsiTheme="majorHAnsi" w:cstheme="majorHAnsi"/>
              </w:rPr>
            </w:pPr>
            <w:r w:rsidRPr="00AC6EC4">
              <w:rPr>
                <w:rFonts w:asciiTheme="majorHAnsi" w:hAnsiTheme="majorHAnsi" w:cstheme="majorHAnsi"/>
                <w:color w:val="171717"/>
              </w:rPr>
              <w:t>Revenues and grants</w:t>
            </w:r>
          </w:p>
        </w:tc>
        <w:tc>
          <w:tcPr>
            <w:tcW w:w="1322" w:type="dxa"/>
            <w:tcBorders>
              <w:left w:val="double" w:sz="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25.2</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23.5</w:t>
            </w:r>
          </w:p>
        </w:tc>
        <w:tc>
          <w:tcPr>
            <w:tcW w:w="1322"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24.0</w:t>
            </w:r>
          </w:p>
        </w:tc>
        <w:tc>
          <w:tcPr>
            <w:tcW w:w="1233"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24.1</w:t>
            </w:r>
          </w:p>
        </w:tc>
        <w:tc>
          <w:tcPr>
            <w:tcW w:w="1110"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24.3</w:t>
            </w:r>
          </w:p>
        </w:tc>
      </w:tr>
      <w:tr w:rsidR="007605DF" w:rsidRPr="00AC6EC4" w:rsidTr="007B6FD3">
        <w:trPr>
          <w:trHeight w:val="272"/>
          <w:jc w:val="center"/>
        </w:trPr>
        <w:tc>
          <w:tcPr>
            <w:tcW w:w="3502" w:type="dxa"/>
            <w:tcBorders>
              <w:left w:val="nil"/>
              <w:right w:val="nil"/>
            </w:tcBorders>
            <w:vAlign w:val="center"/>
          </w:tcPr>
          <w:p w:rsidR="007605DF" w:rsidRPr="00AC6EC4" w:rsidRDefault="007605DF" w:rsidP="00062901">
            <w:pPr>
              <w:spacing w:line="240" w:lineRule="auto"/>
              <w:ind w:firstLine="159"/>
              <w:rPr>
                <w:rFonts w:asciiTheme="majorHAnsi" w:hAnsiTheme="majorHAnsi" w:cstheme="majorHAnsi"/>
              </w:rPr>
            </w:pPr>
            <w:r w:rsidRPr="00AC6EC4">
              <w:rPr>
                <w:rFonts w:asciiTheme="majorHAnsi" w:hAnsiTheme="majorHAnsi" w:cstheme="majorHAnsi"/>
                <w:color w:val="171717"/>
              </w:rPr>
              <w:t>Expenditures</w:t>
            </w:r>
          </w:p>
        </w:tc>
        <w:tc>
          <w:tcPr>
            <w:tcW w:w="1322" w:type="dxa"/>
            <w:tcBorders>
              <w:left w:val="double" w:sz="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30.6</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28.1</w:t>
            </w:r>
          </w:p>
        </w:tc>
        <w:tc>
          <w:tcPr>
            <w:tcW w:w="1322"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26.4</w:t>
            </w:r>
          </w:p>
        </w:tc>
        <w:tc>
          <w:tcPr>
            <w:tcW w:w="1233"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26.1</w:t>
            </w:r>
          </w:p>
        </w:tc>
        <w:tc>
          <w:tcPr>
            <w:tcW w:w="1110"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26.2</w:t>
            </w:r>
          </w:p>
        </w:tc>
      </w:tr>
      <w:tr w:rsidR="007605DF" w:rsidRPr="00AC6EC4" w:rsidTr="007B6FD3">
        <w:trPr>
          <w:trHeight w:val="378"/>
          <w:jc w:val="center"/>
        </w:trPr>
        <w:tc>
          <w:tcPr>
            <w:tcW w:w="3502" w:type="dxa"/>
            <w:tcBorders>
              <w:left w:val="nil"/>
              <w:right w:val="nil"/>
            </w:tcBorders>
            <w:vAlign w:val="center"/>
          </w:tcPr>
          <w:p w:rsidR="007605DF" w:rsidRPr="00AC6EC4" w:rsidRDefault="007605DF" w:rsidP="00062901">
            <w:pPr>
              <w:spacing w:line="240" w:lineRule="auto"/>
              <w:ind w:firstLine="159"/>
              <w:rPr>
                <w:rFonts w:asciiTheme="majorHAnsi" w:hAnsiTheme="majorHAnsi" w:cstheme="majorHAnsi"/>
                <w:color w:val="171717"/>
              </w:rPr>
            </w:pPr>
            <w:r w:rsidRPr="00AC6EC4">
              <w:rPr>
                <w:rFonts w:asciiTheme="majorHAnsi" w:hAnsiTheme="majorHAnsi" w:cstheme="majorHAnsi"/>
                <w:color w:val="171717"/>
              </w:rPr>
              <w:t>Deficit  (-)</w:t>
            </w:r>
          </w:p>
        </w:tc>
        <w:tc>
          <w:tcPr>
            <w:tcW w:w="1322" w:type="dxa"/>
            <w:tcBorders>
              <w:left w:val="double" w:sz="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-5.4</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-4.6</w:t>
            </w:r>
          </w:p>
        </w:tc>
        <w:tc>
          <w:tcPr>
            <w:tcW w:w="1322"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-2.4</w:t>
            </w:r>
          </w:p>
        </w:tc>
        <w:tc>
          <w:tcPr>
            <w:tcW w:w="1233"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-2.1</w:t>
            </w:r>
          </w:p>
        </w:tc>
        <w:tc>
          <w:tcPr>
            <w:tcW w:w="1110"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-1.9</w:t>
            </w:r>
          </w:p>
        </w:tc>
      </w:tr>
      <w:tr w:rsidR="007605DF" w:rsidRPr="00AC6EC4" w:rsidTr="007B6FD3">
        <w:trPr>
          <w:trHeight w:val="376"/>
          <w:jc w:val="center"/>
        </w:trPr>
        <w:tc>
          <w:tcPr>
            <w:tcW w:w="3502" w:type="dxa"/>
            <w:tcBorders>
              <w:left w:val="nil"/>
              <w:right w:val="nil"/>
            </w:tcBorders>
            <w:vAlign w:val="center"/>
          </w:tcPr>
          <w:p w:rsidR="007605DF" w:rsidRPr="00AC6EC4" w:rsidRDefault="007605DF" w:rsidP="00062901">
            <w:pPr>
              <w:spacing w:line="240" w:lineRule="auto"/>
              <w:ind w:firstLine="159"/>
              <w:rPr>
                <w:rFonts w:asciiTheme="majorHAnsi" w:hAnsiTheme="majorHAnsi" w:cstheme="majorHAnsi"/>
              </w:rPr>
            </w:pPr>
            <w:r w:rsidRPr="00AC6EC4">
              <w:rPr>
                <w:rFonts w:asciiTheme="majorHAnsi" w:hAnsiTheme="majorHAnsi" w:cstheme="majorHAnsi"/>
                <w:color w:val="171717"/>
              </w:rPr>
              <w:t>RA Government debt</w:t>
            </w:r>
          </w:p>
        </w:tc>
        <w:tc>
          <w:tcPr>
            <w:tcW w:w="1322" w:type="dxa"/>
            <w:tcBorders>
              <w:left w:val="double" w:sz="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63.5</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62.3</w:t>
            </w:r>
          </w:p>
        </w:tc>
        <w:tc>
          <w:tcPr>
            <w:tcW w:w="1322"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60.5</w:t>
            </w:r>
          </w:p>
        </w:tc>
        <w:tc>
          <w:tcPr>
            <w:tcW w:w="1233"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58.7</w:t>
            </w:r>
          </w:p>
        </w:tc>
        <w:tc>
          <w:tcPr>
            <w:tcW w:w="1110"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56.8</w:t>
            </w:r>
          </w:p>
        </w:tc>
      </w:tr>
      <w:tr w:rsidR="00A740B0" w:rsidRPr="00AC6EC4" w:rsidTr="007B6FD3">
        <w:trPr>
          <w:trHeight w:val="345"/>
          <w:jc w:val="center"/>
        </w:trPr>
        <w:tc>
          <w:tcPr>
            <w:tcW w:w="9766" w:type="dxa"/>
            <w:gridSpan w:val="6"/>
            <w:tcBorders>
              <w:left w:val="nil"/>
              <w:right w:val="nil"/>
            </w:tcBorders>
            <w:vAlign w:val="center"/>
          </w:tcPr>
          <w:p w:rsidR="001D307D" w:rsidRPr="00AC6EC4" w:rsidDel="00A75F1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b/>
                <w:iCs/>
                <w:color w:val="171717"/>
              </w:rPr>
              <w:t>External sector</w:t>
            </w:r>
          </w:p>
        </w:tc>
      </w:tr>
      <w:tr w:rsidR="007605DF" w:rsidRPr="00AC6EC4" w:rsidTr="007B6FD3">
        <w:trPr>
          <w:trHeight w:val="452"/>
          <w:jc w:val="center"/>
        </w:trPr>
        <w:tc>
          <w:tcPr>
            <w:tcW w:w="3502" w:type="dxa"/>
            <w:tcBorders>
              <w:left w:val="nil"/>
              <w:right w:val="nil"/>
            </w:tcBorders>
            <w:vAlign w:val="center"/>
          </w:tcPr>
          <w:p w:rsidR="007605DF" w:rsidRPr="00AC6EC4" w:rsidDel="00A75F14" w:rsidRDefault="007605DF" w:rsidP="00062901">
            <w:pPr>
              <w:spacing w:line="240" w:lineRule="auto"/>
              <w:ind w:firstLine="0"/>
              <w:rPr>
                <w:rFonts w:asciiTheme="majorHAnsi" w:hAnsiTheme="majorHAnsi" w:cstheme="majorHAnsi"/>
              </w:rPr>
            </w:pPr>
            <w:r w:rsidRPr="00AC6EC4">
              <w:rPr>
                <w:rFonts w:asciiTheme="majorHAnsi" w:hAnsiTheme="majorHAnsi" w:cstheme="majorHAnsi"/>
                <w:color w:val="171717"/>
              </w:rPr>
              <w:t>Exports of goods and services (million USD)</w:t>
            </w:r>
          </w:p>
        </w:tc>
        <w:tc>
          <w:tcPr>
            <w:tcW w:w="1322" w:type="dxa"/>
            <w:tcBorders>
              <w:left w:val="double" w:sz="4" w:space="0" w:color="auto"/>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3,762.6</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4,446.8</w:t>
            </w:r>
          </w:p>
        </w:tc>
        <w:tc>
          <w:tcPr>
            <w:tcW w:w="1322"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5,112.6</w:t>
            </w:r>
          </w:p>
        </w:tc>
        <w:tc>
          <w:tcPr>
            <w:tcW w:w="1233"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5,727.1</w:t>
            </w:r>
          </w:p>
        </w:tc>
        <w:tc>
          <w:tcPr>
            <w:tcW w:w="1110"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6,322.7</w:t>
            </w:r>
          </w:p>
        </w:tc>
      </w:tr>
      <w:tr w:rsidR="007605DF" w:rsidRPr="00AC6EC4" w:rsidTr="007B6FD3">
        <w:trPr>
          <w:trHeight w:val="452"/>
          <w:jc w:val="center"/>
        </w:trPr>
        <w:tc>
          <w:tcPr>
            <w:tcW w:w="3502" w:type="dxa"/>
            <w:tcBorders>
              <w:left w:val="nil"/>
              <w:right w:val="nil"/>
            </w:tcBorders>
            <w:vAlign w:val="center"/>
          </w:tcPr>
          <w:p w:rsidR="007605DF" w:rsidRPr="00AC6EC4" w:rsidDel="00A75F14" w:rsidRDefault="007605DF" w:rsidP="00062901">
            <w:pPr>
              <w:spacing w:line="240" w:lineRule="auto"/>
              <w:ind w:firstLine="0"/>
              <w:rPr>
                <w:rFonts w:asciiTheme="majorHAnsi" w:hAnsiTheme="majorHAnsi" w:cstheme="majorHAnsi"/>
              </w:rPr>
            </w:pPr>
            <w:r w:rsidRPr="00AC6EC4">
              <w:rPr>
                <w:rFonts w:asciiTheme="majorHAnsi" w:hAnsiTheme="majorHAnsi" w:cstheme="majorHAnsi"/>
                <w:color w:val="171717"/>
              </w:rPr>
              <w:t>Imports of goods and services (million USD)</w:t>
            </w:r>
          </w:p>
        </w:tc>
        <w:tc>
          <w:tcPr>
            <w:tcW w:w="1322" w:type="dxa"/>
            <w:tcBorders>
              <w:left w:val="double" w:sz="4" w:space="0" w:color="auto"/>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5,018.7</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5,835.7</w:t>
            </w:r>
          </w:p>
        </w:tc>
        <w:tc>
          <w:tcPr>
            <w:tcW w:w="1322"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6,722.0</w:t>
            </w:r>
          </w:p>
        </w:tc>
        <w:tc>
          <w:tcPr>
            <w:tcW w:w="1233"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7,467.8</w:t>
            </w:r>
          </w:p>
        </w:tc>
        <w:tc>
          <w:tcPr>
            <w:tcW w:w="1110"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8,155.8</w:t>
            </w:r>
          </w:p>
        </w:tc>
      </w:tr>
      <w:tr w:rsidR="007605DF" w:rsidRPr="00AC6EC4" w:rsidTr="007B6FD3">
        <w:trPr>
          <w:trHeight w:val="452"/>
          <w:jc w:val="center"/>
        </w:trPr>
        <w:tc>
          <w:tcPr>
            <w:tcW w:w="3502" w:type="dxa"/>
            <w:tcBorders>
              <w:left w:val="nil"/>
              <w:right w:val="nil"/>
            </w:tcBorders>
            <w:vAlign w:val="center"/>
          </w:tcPr>
          <w:p w:rsidR="007605DF" w:rsidRPr="00AC6EC4" w:rsidDel="00A75F14" w:rsidRDefault="007605DF" w:rsidP="00062901">
            <w:pPr>
              <w:spacing w:line="240" w:lineRule="auto"/>
              <w:ind w:firstLine="0"/>
              <w:rPr>
                <w:rFonts w:asciiTheme="majorHAnsi" w:hAnsiTheme="majorHAnsi" w:cstheme="majorHAnsi"/>
              </w:rPr>
            </w:pPr>
            <w:r w:rsidRPr="00AC6EC4">
              <w:rPr>
                <w:rFonts w:asciiTheme="majorHAnsi" w:hAnsiTheme="majorHAnsi" w:cstheme="majorHAnsi"/>
                <w:color w:val="171717"/>
              </w:rPr>
              <w:t>Current account balance (</w:t>
            </w:r>
            <w:r w:rsidRPr="00AC6EC4">
              <w:rPr>
                <w:rFonts w:asciiTheme="majorHAnsi" w:hAnsiTheme="majorHAnsi" w:cstheme="majorHAnsi"/>
                <w:iCs/>
                <w:color w:val="171717"/>
              </w:rPr>
              <w:t>% share of GDP</w:t>
            </w:r>
            <w:r w:rsidRPr="00AC6EC4">
              <w:rPr>
                <w:rFonts w:asciiTheme="majorHAnsi" w:hAnsiTheme="majorHAnsi" w:cstheme="majorHAnsi"/>
                <w:color w:val="171717"/>
              </w:rPr>
              <w:t>)</w:t>
            </w:r>
          </w:p>
        </w:tc>
        <w:tc>
          <w:tcPr>
            <w:tcW w:w="1322" w:type="dxa"/>
            <w:tcBorders>
              <w:left w:val="double" w:sz="4" w:space="0" w:color="auto"/>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-3.8</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-2.1</w:t>
            </w:r>
          </w:p>
        </w:tc>
        <w:tc>
          <w:tcPr>
            <w:tcW w:w="1322"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-2.9</w:t>
            </w:r>
          </w:p>
        </w:tc>
        <w:tc>
          <w:tcPr>
            <w:tcW w:w="1233"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-3.5</w:t>
            </w:r>
          </w:p>
        </w:tc>
        <w:tc>
          <w:tcPr>
            <w:tcW w:w="1110"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-3.8</w:t>
            </w:r>
          </w:p>
        </w:tc>
      </w:tr>
      <w:tr w:rsidR="007605DF" w:rsidRPr="00AC6EC4" w:rsidTr="007B6FD3">
        <w:trPr>
          <w:trHeight w:val="118"/>
          <w:jc w:val="center"/>
        </w:trPr>
        <w:tc>
          <w:tcPr>
            <w:tcW w:w="3502" w:type="dxa"/>
            <w:tcBorders>
              <w:left w:val="nil"/>
              <w:right w:val="nil"/>
            </w:tcBorders>
            <w:shd w:val="clear" w:color="auto" w:fill="D9D9D9"/>
            <w:vAlign w:val="center"/>
          </w:tcPr>
          <w:p w:rsidR="007605DF" w:rsidRPr="00AC6EC4" w:rsidDel="00A75F14" w:rsidRDefault="007605DF" w:rsidP="00062901">
            <w:pPr>
              <w:spacing w:line="240" w:lineRule="auto"/>
              <w:ind w:firstLine="0"/>
              <w:rPr>
                <w:rFonts w:asciiTheme="majorHAnsi" w:hAnsiTheme="majorHAnsi" w:cstheme="majorHAnsi"/>
                <w:sz w:val="8"/>
                <w:szCs w:val="8"/>
                <w:highlight w:val="yellow"/>
              </w:rPr>
            </w:pPr>
          </w:p>
        </w:tc>
        <w:tc>
          <w:tcPr>
            <w:tcW w:w="1322" w:type="dxa"/>
            <w:tcBorders>
              <w:left w:val="double" w:sz="4" w:space="0" w:color="auto"/>
              <w:right w:val="nil"/>
            </w:tcBorders>
            <w:shd w:val="clear" w:color="auto" w:fill="D9D9D9"/>
            <w:vAlign w:val="center"/>
          </w:tcPr>
          <w:p w:rsidR="007605DF" w:rsidRPr="00AC6EC4" w:rsidDel="00A75F14" w:rsidRDefault="007605DF" w:rsidP="00062901">
            <w:pPr>
              <w:spacing w:line="240" w:lineRule="auto"/>
              <w:ind w:firstLine="0"/>
              <w:jc w:val="center"/>
              <w:rPr>
                <w:rFonts w:asciiTheme="majorHAnsi" w:hAnsiTheme="majorHAnsi" w:cstheme="majorHAnsi"/>
                <w:sz w:val="8"/>
                <w:szCs w:val="8"/>
              </w:rPr>
            </w:pPr>
          </w:p>
        </w:tc>
        <w:tc>
          <w:tcPr>
            <w:tcW w:w="1277" w:type="dxa"/>
            <w:tcBorders>
              <w:left w:val="nil"/>
              <w:right w:val="nil"/>
            </w:tcBorders>
            <w:shd w:val="clear" w:color="auto" w:fill="D9D9D9"/>
            <w:vAlign w:val="center"/>
          </w:tcPr>
          <w:p w:rsidR="007605DF" w:rsidRPr="00AC6EC4" w:rsidRDefault="007605DF" w:rsidP="00062901">
            <w:pPr>
              <w:spacing w:line="240" w:lineRule="auto"/>
              <w:ind w:firstLine="0"/>
              <w:jc w:val="center"/>
              <w:rPr>
                <w:rFonts w:asciiTheme="majorHAnsi" w:hAnsiTheme="majorHAnsi" w:cstheme="majorHAnsi"/>
                <w:sz w:val="8"/>
                <w:szCs w:val="8"/>
              </w:rPr>
            </w:pPr>
          </w:p>
        </w:tc>
        <w:tc>
          <w:tcPr>
            <w:tcW w:w="1322" w:type="dxa"/>
            <w:tcBorders>
              <w:left w:val="nil"/>
              <w:right w:val="nil"/>
            </w:tcBorders>
            <w:shd w:val="clear" w:color="auto" w:fill="D9D9D9"/>
            <w:vAlign w:val="center"/>
          </w:tcPr>
          <w:p w:rsidR="007605DF" w:rsidRPr="00AC6EC4" w:rsidDel="00A75F14" w:rsidRDefault="007605DF" w:rsidP="00062901">
            <w:pPr>
              <w:spacing w:line="240" w:lineRule="auto"/>
              <w:ind w:firstLine="0"/>
              <w:jc w:val="center"/>
              <w:rPr>
                <w:rFonts w:asciiTheme="majorHAnsi" w:hAnsiTheme="majorHAnsi" w:cstheme="majorHAnsi"/>
                <w:sz w:val="8"/>
                <w:szCs w:val="8"/>
              </w:rPr>
            </w:pPr>
          </w:p>
        </w:tc>
        <w:tc>
          <w:tcPr>
            <w:tcW w:w="1233" w:type="dxa"/>
            <w:tcBorders>
              <w:left w:val="nil"/>
              <w:right w:val="nil"/>
            </w:tcBorders>
            <w:shd w:val="clear" w:color="auto" w:fill="D9D9D9"/>
            <w:vAlign w:val="center"/>
          </w:tcPr>
          <w:p w:rsidR="007605DF" w:rsidRPr="00AC6EC4" w:rsidDel="00A75F14" w:rsidRDefault="007605DF" w:rsidP="00062901">
            <w:pPr>
              <w:spacing w:line="240" w:lineRule="auto"/>
              <w:ind w:firstLine="0"/>
              <w:jc w:val="center"/>
              <w:rPr>
                <w:rFonts w:asciiTheme="majorHAnsi" w:hAnsiTheme="majorHAnsi" w:cstheme="majorHAnsi"/>
                <w:sz w:val="8"/>
                <w:szCs w:val="8"/>
              </w:rPr>
            </w:pPr>
          </w:p>
        </w:tc>
        <w:tc>
          <w:tcPr>
            <w:tcW w:w="1110" w:type="dxa"/>
            <w:tcBorders>
              <w:left w:val="nil"/>
              <w:right w:val="nil"/>
            </w:tcBorders>
            <w:shd w:val="clear" w:color="auto" w:fill="D9D9D9"/>
            <w:vAlign w:val="center"/>
          </w:tcPr>
          <w:p w:rsidR="007605DF" w:rsidRPr="00AC6EC4" w:rsidDel="00A75F14" w:rsidRDefault="007605DF" w:rsidP="00062901">
            <w:pPr>
              <w:spacing w:line="240" w:lineRule="auto"/>
              <w:ind w:firstLine="0"/>
              <w:jc w:val="center"/>
              <w:rPr>
                <w:rFonts w:asciiTheme="majorHAnsi" w:hAnsiTheme="majorHAnsi" w:cstheme="majorHAnsi"/>
                <w:sz w:val="8"/>
                <w:szCs w:val="8"/>
              </w:rPr>
            </w:pPr>
          </w:p>
        </w:tc>
      </w:tr>
      <w:tr w:rsidR="007605DF" w:rsidRPr="00AC6EC4" w:rsidTr="007B6FD3">
        <w:trPr>
          <w:trHeight w:val="275"/>
          <w:jc w:val="center"/>
        </w:trPr>
        <w:tc>
          <w:tcPr>
            <w:tcW w:w="3502" w:type="dxa"/>
            <w:tcBorders>
              <w:left w:val="nil"/>
              <w:right w:val="nil"/>
            </w:tcBorders>
            <w:vAlign w:val="center"/>
          </w:tcPr>
          <w:p w:rsidR="007605DF" w:rsidRPr="00AC6EC4" w:rsidDel="00A75F14" w:rsidRDefault="007605DF" w:rsidP="00062901">
            <w:pPr>
              <w:spacing w:line="240" w:lineRule="auto"/>
              <w:ind w:firstLine="0"/>
              <w:rPr>
                <w:rFonts w:asciiTheme="majorHAnsi" w:hAnsiTheme="majorHAnsi" w:cstheme="majorHAnsi"/>
              </w:rPr>
            </w:pPr>
            <w:r w:rsidRPr="00AC6EC4">
              <w:rPr>
                <w:rFonts w:asciiTheme="majorHAnsi" w:hAnsiTheme="majorHAnsi" w:cstheme="majorHAnsi"/>
              </w:rPr>
              <w:t>RA Government debt (billion AMD)</w:t>
            </w:r>
          </w:p>
        </w:tc>
        <w:tc>
          <w:tcPr>
            <w:tcW w:w="1322" w:type="dxa"/>
            <w:tcBorders>
              <w:left w:val="double" w:sz="4" w:space="0" w:color="auto"/>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3,923.9</w:t>
            </w:r>
          </w:p>
        </w:tc>
        <w:tc>
          <w:tcPr>
            <w:tcW w:w="1277"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4,286.3</w:t>
            </w:r>
          </w:p>
        </w:tc>
        <w:tc>
          <w:tcPr>
            <w:tcW w:w="1322"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4,579.8</w:t>
            </w:r>
          </w:p>
        </w:tc>
        <w:tc>
          <w:tcPr>
            <w:tcW w:w="1233"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4,794.8</w:t>
            </w:r>
          </w:p>
        </w:tc>
        <w:tc>
          <w:tcPr>
            <w:tcW w:w="1110" w:type="dxa"/>
            <w:tcBorders>
              <w:left w:val="nil"/>
              <w:right w:val="nil"/>
            </w:tcBorders>
            <w:vAlign w:val="center"/>
          </w:tcPr>
          <w:p w:rsidR="007605DF" w:rsidRPr="00AC6EC4" w:rsidDel="00A75F14" w:rsidRDefault="007605DF" w:rsidP="00062901">
            <w:pPr>
              <w:spacing w:line="240" w:lineRule="auto"/>
              <w:ind w:firstLine="0"/>
              <w:jc w:val="center"/>
              <w:rPr>
                <w:rFonts w:asciiTheme="majorHAnsi" w:hAnsiTheme="majorHAnsi" w:cstheme="majorHAnsi"/>
                <w:color w:val="FF0000"/>
              </w:rPr>
            </w:pPr>
            <w:r w:rsidRPr="00AC6EC4">
              <w:rPr>
                <w:rFonts w:asciiTheme="majorHAnsi" w:hAnsiTheme="majorHAnsi" w:cstheme="majorHAnsi"/>
              </w:rPr>
              <w:t>5,018.3</w:t>
            </w:r>
          </w:p>
        </w:tc>
      </w:tr>
      <w:tr w:rsidR="007605DF" w:rsidRPr="00AC6EC4" w:rsidTr="007B6FD3">
        <w:trPr>
          <w:trHeight w:val="452"/>
          <w:jc w:val="center"/>
        </w:trPr>
        <w:tc>
          <w:tcPr>
            <w:tcW w:w="3502" w:type="dxa"/>
            <w:tcBorders>
              <w:left w:val="nil"/>
              <w:bottom w:val="thickThinSmallGap" w:sz="24" w:space="0" w:color="auto"/>
              <w:right w:val="nil"/>
            </w:tcBorders>
            <w:vAlign w:val="center"/>
          </w:tcPr>
          <w:p w:rsidR="007605DF" w:rsidRPr="00AC6EC4" w:rsidRDefault="007605DF" w:rsidP="00062901">
            <w:pPr>
              <w:spacing w:line="240" w:lineRule="auto"/>
              <w:ind w:firstLine="0"/>
              <w:rPr>
                <w:rFonts w:asciiTheme="majorHAnsi" w:hAnsiTheme="majorHAnsi" w:cstheme="majorHAnsi"/>
              </w:rPr>
            </w:pPr>
            <w:r w:rsidRPr="00AC6EC4">
              <w:rPr>
                <w:rFonts w:asciiTheme="majorHAnsi" w:hAnsiTheme="majorHAnsi" w:cstheme="majorHAnsi"/>
                <w:iCs/>
                <w:color w:val="171717"/>
              </w:rPr>
              <w:t>Nominal GDP (billion AMD)</w:t>
            </w:r>
          </w:p>
        </w:tc>
        <w:tc>
          <w:tcPr>
            <w:tcW w:w="1322" w:type="dxa"/>
            <w:tcBorders>
              <w:left w:val="double" w:sz="4" w:space="0" w:color="auto"/>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6,181.7</w:t>
            </w:r>
          </w:p>
        </w:tc>
        <w:tc>
          <w:tcPr>
            <w:tcW w:w="1277"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6,880.2</w:t>
            </w:r>
          </w:p>
        </w:tc>
        <w:tc>
          <w:tcPr>
            <w:tcW w:w="1322"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7,570.8</w:t>
            </w:r>
          </w:p>
        </w:tc>
        <w:tc>
          <w:tcPr>
            <w:tcW w:w="1233"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8,171.1</w:t>
            </w:r>
          </w:p>
        </w:tc>
        <w:tc>
          <w:tcPr>
            <w:tcW w:w="1110"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8,835.4</w:t>
            </w:r>
          </w:p>
        </w:tc>
      </w:tr>
    </w:tbl>
    <w:p w:rsidR="00EB785D" w:rsidRPr="00AC6EC4" w:rsidRDefault="00EB785D" w:rsidP="00A1274B">
      <w:pPr>
        <w:rPr>
          <w:rFonts w:asciiTheme="majorHAnsi" w:hAnsiTheme="majorHAnsi" w:cstheme="majorHAnsi"/>
        </w:rPr>
      </w:pPr>
    </w:p>
    <w:p w:rsidR="00EB785D" w:rsidRPr="00AC6EC4" w:rsidRDefault="00EB785D" w:rsidP="00EB785D">
      <w:pPr>
        <w:ind w:firstLine="0"/>
        <w:rPr>
          <w:rFonts w:asciiTheme="majorHAnsi" w:hAnsiTheme="majorHAnsi" w:cstheme="majorHAnsi"/>
        </w:rPr>
      </w:pPr>
      <w:r w:rsidRPr="00AC6EC4">
        <w:rPr>
          <w:rFonts w:asciiTheme="majorHAnsi" w:hAnsiTheme="majorHAnsi" w:cstheme="majorHAnsi"/>
        </w:rPr>
        <w:t xml:space="preserve">The RA Government debt/GDP ratio is gradually decreasing in the medium term, and as of December 31, 2023, it will be below 60% threshold </w:t>
      </w:r>
      <w:r w:rsidR="00166A28" w:rsidRPr="00AC6EC4">
        <w:rPr>
          <w:rFonts w:asciiTheme="majorHAnsi" w:hAnsiTheme="majorHAnsi" w:cstheme="majorHAnsi"/>
        </w:rPr>
        <w:t>envisaged</w:t>
      </w:r>
      <w:r w:rsidRPr="00AC6EC4">
        <w:rPr>
          <w:rFonts w:asciiTheme="majorHAnsi" w:hAnsiTheme="majorHAnsi" w:cstheme="majorHAnsi"/>
        </w:rPr>
        <w:t xml:space="preserve"> by the Article 5 of the RA Law </w:t>
      </w:r>
      <w:r w:rsidR="0028315F" w:rsidRPr="00AC6EC4">
        <w:rPr>
          <w:rFonts w:asciiTheme="majorHAnsi" w:hAnsiTheme="majorHAnsi" w:cstheme="majorHAnsi"/>
        </w:rPr>
        <w:t>“On Public Debt”</w:t>
      </w:r>
      <w:r w:rsidRPr="00AC6EC4">
        <w:rPr>
          <w:rFonts w:asciiTheme="majorHAnsi" w:hAnsiTheme="majorHAnsi" w:cstheme="majorHAnsi"/>
        </w:rPr>
        <w:t xml:space="preserve">. As the RA Government debt/GDP will exceed 50% at the end of each year in 2023-2024, therefore, according to </w:t>
      </w:r>
      <w:r w:rsidR="009845F0" w:rsidRPr="00AC6EC4">
        <w:rPr>
          <w:rFonts w:asciiTheme="majorHAnsi" w:hAnsiTheme="majorHAnsi" w:cstheme="majorHAnsi"/>
        </w:rPr>
        <w:t xml:space="preserve">the </w:t>
      </w:r>
      <w:r w:rsidRPr="00AC6EC4">
        <w:rPr>
          <w:rFonts w:asciiTheme="majorHAnsi" w:hAnsiTheme="majorHAnsi" w:cstheme="majorHAnsi"/>
        </w:rPr>
        <w:t xml:space="preserve">Article 5, </w:t>
      </w:r>
      <w:r w:rsidR="0028315F" w:rsidRPr="00AC6EC4">
        <w:rPr>
          <w:rFonts w:asciiTheme="majorHAnsi" w:hAnsiTheme="majorHAnsi" w:cstheme="majorHAnsi"/>
        </w:rPr>
        <w:t>Point</w:t>
      </w:r>
      <w:r w:rsidRPr="00AC6EC4">
        <w:rPr>
          <w:rFonts w:asciiTheme="majorHAnsi" w:hAnsiTheme="majorHAnsi" w:cstheme="majorHAnsi"/>
        </w:rPr>
        <w:t xml:space="preserve"> 7 of the RA Law </w:t>
      </w:r>
      <w:r w:rsidR="0028315F" w:rsidRPr="00AC6EC4">
        <w:rPr>
          <w:rFonts w:asciiTheme="majorHAnsi" w:hAnsiTheme="majorHAnsi" w:cstheme="majorHAnsi"/>
        </w:rPr>
        <w:t>“On Public Debt”</w:t>
      </w:r>
      <w:r w:rsidRPr="00AC6EC4">
        <w:rPr>
          <w:rFonts w:asciiTheme="majorHAnsi" w:hAnsiTheme="majorHAnsi" w:cstheme="majorHAnsi"/>
        </w:rPr>
        <w:t>, the relevant fiscal rules established by</w:t>
      </w:r>
      <w:r w:rsidR="00182BD1" w:rsidRPr="00AC6EC4">
        <w:rPr>
          <w:rFonts w:asciiTheme="majorHAnsi" w:hAnsiTheme="majorHAnsi" w:cstheme="majorHAnsi"/>
        </w:rPr>
        <w:t xml:space="preserve"> the</w:t>
      </w:r>
      <w:r w:rsidRPr="00AC6EC4">
        <w:rPr>
          <w:rFonts w:asciiTheme="majorHAnsi" w:hAnsiTheme="majorHAnsi" w:cstheme="majorHAnsi"/>
        </w:rPr>
        <w:t xml:space="preserve"> law will be applied.</w:t>
      </w:r>
    </w:p>
    <w:p w:rsidR="0028315F" w:rsidRPr="00AC6EC4" w:rsidRDefault="0028315F" w:rsidP="0028315F">
      <w:pPr>
        <w:spacing w:after="240"/>
        <w:ind w:firstLine="0"/>
        <w:rPr>
          <w:rFonts w:asciiTheme="majorHAnsi" w:hAnsiTheme="majorHAnsi" w:cstheme="majorHAnsi"/>
        </w:rPr>
      </w:pPr>
      <w:r w:rsidRPr="00AC6EC4">
        <w:rPr>
          <w:rFonts w:asciiTheme="majorHAnsi" w:hAnsiTheme="majorHAnsi" w:cstheme="majorHAnsi"/>
        </w:rPr>
        <w:lastRenderedPageBreak/>
        <w:t>As according to the Article 12, point 1 of the RA Law “On Public Debt” the three-year RA Government debt strategic program is included in the Medium-Term Expenditure Framework, thus the RA Government debt strategy is based on the macroeconomic forecasts compliant with the 2022-2024 Medium-Term Expenditure Framework (MTEF)</w:t>
      </w:r>
      <w:r w:rsidR="00166A28" w:rsidRPr="00AC6EC4">
        <w:rPr>
          <w:rFonts w:asciiTheme="majorHAnsi" w:hAnsiTheme="majorHAnsi" w:cstheme="majorHAnsi"/>
        </w:rPr>
        <w:t>, the risks of which are manageable in terms of macroeconomic stability</w:t>
      </w:r>
      <w:r w:rsidRPr="00AC6EC4">
        <w:rPr>
          <w:rFonts w:asciiTheme="majorHAnsi" w:hAnsiTheme="majorHAnsi" w:cstheme="majorHAnsi"/>
        </w:rPr>
        <w:t xml:space="preserve">. The macroeconomic indicators and related risk analyses are presented in detail in the “Macroeconomic developments and forecasts” section of the 2022-2024 MTEF. </w:t>
      </w:r>
    </w:p>
    <w:p w:rsidR="0028315F" w:rsidRPr="00AC6EC4" w:rsidRDefault="0028315F" w:rsidP="0028315F">
      <w:pPr>
        <w:spacing w:after="240"/>
        <w:ind w:firstLine="0"/>
        <w:rPr>
          <w:rFonts w:asciiTheme="majorHAnsi" w:hAnsiTheme="majorHAnsi" w:cstheme="majorHAnsi"/>
        </w:rPr>
      </w:pPr>
      <w:r w:rsidRPr="00AC6EC4">
        <w:rPr>
          <w:rFonts w:asciiTheme="majorHAnsi" w:hAnsiTheme="majorHAnsi" w:cstheme="majorHAnsi"/>
        </w:rPr>
        <w:t xml:space="preserve">The input of realistic macroeconomic forecasts has a crucial role during the cost-at-risk analysis of debt, as their deviations can significantly alter the level and direction of the risk indicators. In other words, the fluctuations of both the market variables and the macroeconomic indicators can have a significant impact on the </w:t>
      </w:r>
      <w:r w:rsidR="00AF4EB7" w:rsidRPr="00AC6EC4">
        <w:rPr>
          <w:rFonts w:asciiTheme="majorHAnsi" w:hAnsiTheme="majorHAnsi" w:cstheme="majorHAnsi"/>
        </w:rPr>
        <w:t xml:space="preserve">cost and </w:t>
      </w:r>
      <w:r w:rsidRPr="00AC6EC4">
        <w:rPr>
          <w:rFonts w:asciiTheme="majorHAnsi" w:hAnsiTheme="majorHAnsi" w:cstheme="majorHAnsi"/>
        </w:rPr>
        <w:t>risk indicators of the RA Government debt.</w:t>
      </w:r>
    </w:p>
    <w:p w:rsidR="00AF4EB7" w:rsidRPr="00AC6EC4" w:rsidRDefault="00AF4EB7" w:rsidP="00AF4EB7">
      <w:pPr>
        <w:spacing w:after="240"/>
        <w:ind w:firstLine="0"/>
        <w:rPr>
          <w:rFonts w:asciiTheme="majorHAnsi" w:hAnsiTheme="majorHAnsi" w:cstheme="majorHAnsi"/>
        </w:rPr>
      </w:pPr>
      <w:r w:rsidRPr="00AC6EC4">
        <w:rPr>
          <w:rFonts w:asciiTheme="majorHAnsi" w:hAnsiTheme="majorHAnsi" w:cstheme="majorHAnsi"/>
        </w:rPr>
        <w:t xml:space="preserve">The forecast for the gross financing need </w:t>
      </w:r>
      <w:r w:rsidR="00166A28" w:rsidRPr="00AC6EC4">
        <w:rPr>
          <w:rFonts w:asciiTheme="majorHAnsi" w:hAnsiTheme="majorHAnsi" w:cstheme="majorHAnsi"/>
        </w:rPr>
        <w:t xml:space="preserve">under the baseline macro scenario </w:t>
      </w:r>
      <w:r w:rsidRPr="00AC6EC4">
        <w:rPr>
          <w:rFonts w:asciiTheme="majorHAnsi" w:hAnsiTheme="majorHAnsi" w:cstheme="majorHAnsi"/>
        </w:rPr>
        <w:t>is as follows:</w:t>
      </w:r>
    </w:p>
    <w:p w:rsidR="007030E0" w:rsidRPr="00AC6EC4" w:rsidRDefault="007605DF"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Gross financing need (billion AMD)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5"/>
        <w:gridCol w:w="1268"/>
        <w:gridCol w:w="1084"/>
        <w:gridCol w:w="1166"/>
        <w:gridCol w:w="1125"/>
        <w:gridCol w:w="1101"/>
      </w:tblGrid>
      <w:tr w:rsidR="007030E0" w:rsidRPr="00AC6EC4" w:rsidTr="007605DF">
        <w:trPr>
          <w:trHeight w:val="697"/>
          <w:tblHeader/>
          <w:jc w:val="center"/>
        </w:trPr>
        <w:tc>
          <w:tcPr>
            <w:tcW w:w="3885" w:type="dxa"/>
            <w:tcBorders>
              <w:top w:val="thinThickThinSmallGap" w:sz="24" w:space="0" w:color="auto"/>
              <w:left w:val="nil"/>
              <w:bottom w:val="thinThickSmallGap" w:sz="24" w:space="0" w:color="auto"/>
              <w:right w:val="nil"/>
            </w:tcBorders>
            <w:shd w:val="clear" w:color="auto" w:fill="365F91" w:themeFill="accent1" w:themeFillShade="BF"/>
          </w:tcPr>
          <w:p w:rsidR="007030E0" w:rsidRPr="00AC6EC4" w:rsidRDefault="007030E0" w:rsidP="00062901">
            <w:pPr>
              <w:keepNext/>
              <w:spacing w:line="240" w:lineRule="auto"/>
              <w:ind w:firstLine="0"/>
              <w:rPr>
                <w:rFonts w:asciiTheme="majorHAnsi" w:hAnsiTheme="majorHAnsi" w:cstheme="majorHAnsi"/>
                <w:color w:val="FFFFFF" w:themeColor="background1"/>
              </w:rPr>
            </w:pPr>
          </w:p>
        </w:tc>
        <w:tc>
          <w:tcPr>
            <w:tcW w:w="1268"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7030E0" w:rsidRPr="00AC6EC4" w:rsidRDefault="007030E0"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w:t>
            </w:r>
            <w:r w:rsidR="002B7F55" w:rsidRPr="00AC6EC4">
              <w:rPr>
                <w:rFonts w:asciiTheme="majorHAnsi" w:hAnsiTheme="majorHAnsi" w:cstheme="majorHAnsi"/>
                <w:color w:val="FFFFFF" w:themeColor="background1"/>
              </w:rPr>
              <w:t>20</w:t>
            </w:r>
            <w:r w:rsidRPr="00AC6EC4">
              <w:rPr>
                <w:rFonts w:asciiTheme="majorHAnsi" w:hAnsiTheme="majorHAnsi" w:cstheme="majorHAnsi"/>
                <w:color w:val="FFFFFF" w:themeColor="background1"/>
              </w:rPr>
              <w:t xml:space="preserve"> </w:t>
            </w:r>
            <w:r w:rsidR="007605DF" w:rsidRPr="00AC6EC4">
              <w:rPr>
                <w:rFonts w:asciiTheme="majorHAnsi" w:hAnsiTheme="majorHAnsi" w:cstheme="majorHAnsi"/>
                <w:color w:val="FFFFFF" w:themeColor="background1"/>
              </w:rPr>
              <w:t>Actual</w:t>
            </w:r>
          </w:p>
        </w:tc>
        <w:tc>
          <w:tcPr>
            <w:tcW w:w="108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7030E0" w:rsidRPr="00AC6EC4" w:rsidRDefault="007030E0"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2B7F55" w:rsidRPr="00AC6EC4">
              <w:rPr>
                <w:rFonts w:asciiTheme="majorHAnsi" w:hAnsiTheme="majorHAnsi" w:cstheme="majorHAnsi"/>
                <w:color w:val="FFFFFF" w:themeColor="background1"/>
              </w:rPr>
              <w:t>1</w:t>
            </w:r>
            <w:r w:rsidRPr="00AC6EC4">
              <w:rPr>
                <w:rFonts w:asciiTheme="majorHAnsi" w:hAnsiTheme="majorHAnsi" w:cstheme="majorHAnsi"/>
                <w:color w:val="FFFFFF" w:themeColor="background1"/>
              </w:rPr>
              <w:t xml:space="preserve"> </w:t>
            </w:r>
            <w:r w:rsidR="007605DF" w:rsidRPr="00AC6EC4">
              <w:rPr>
                <w:rFonts w:asciiTheme="majorHAnsi" w:hAnsiTheme="majorHAnsi" w:cstheme="majorHAnsi"/>
                <w:color w:val="FFFFFF" w:themeColor="background1"/>
              </w:rPr>
              <w:t>Forecast</w:t>
            </w:r>
          </w:p>
        </w:tc>
        <w:tc>
          <w:tcPr>
            <w:tcW w:w="116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7030E0" w:rsidRPr="00AC6EC4" w:rsidRDefault="007030E0"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2B7F55" w:rsidRPr="00AC6EC4">
              <w:rPr>
                <w:rFonts w:asciiTheme="majorHAnsi" w:hAnsiTheme="majorHAnsi" w:cstheme="majorHAnsi"/>
                <w:color w:val="FFFFFF" w:themeColor="background1"/>
              </w:rPr>
              <w:t>2</w:t>
            </w:r>
            <w:r w:rsidRPr="00AC6EC4">
              <w:rPr>
                <w:rFonts w:asciiTheme="majorHAnsi" w:hAnsiTheme="majorHAnsi" w:cstheme="majorHAnsi"/>
                <w:color w:val="FFFFFF" w:themeColor="background1"/>
              </w:rPr>
              <w:t xml:space="preserve"> </w:t>
            </w:r>
            <w:r w:rsidR="007605DF" w:rsidRPr="00AC6EC4">
              <w:rPr>
                <w:rFonts w:asciiTheme="majorHAnsi" w:hAnsiTheme="majorHAnsi" w:cstheme="majorHAnsi"/>
                <w:color w:val="FFFFFF" w:themeColor="background1"/>
              </w:rPr>
              <w:t>Forecast</w:t>
            </w:r>
          </w:p>
        </w:tc>
        <w:tc>
          <w:tcPr>
            <w:tcW w:w="1125"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7030E0" w:rsidRPr="00AC6EC4" w:rsidRDefault="007030E0"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2B7F55" w:rsidRPr="00AC6EC4">
              <w:rPr>
                <w:rFonts w:asciiTheme="majorHAnsi" w:hAnsiTheme="majorHAnsi" w:cstheme="majorHAnsi"/>
                <w:color w:val="FFFFFF" w:themeColor="background1"/>
              </w:rPr>
              <w:t>3</w:t>
            </w:r>
            <w:r w:rsidRPr="00AC6EC4">
              <w:rPr>
                <w:rFonts w:asciiTheme="majorHAnsi" w:hAnsiTheme="majorHAnsi" w:cstheme="majorHAnsi"/>
                <w:color w:val="FFFFFF" w:themeColor="background1"/>
              </w:rPr>
              <w:t xml:space="preserve"> </w:t>
            </w:r>
            <w:r w:rsidR="007605DF" w:rsidRPr="00AC6EC4">
              <w:rPr>
                <w:rFonts w:asciiTheme="majorHAnsi" w:hAnsiTheme="majorHAnsi" w:cstheme="majorHAnsi"/>
                <w:color w:val="FFFFFF" w:themeColor="background1"/>
              </w:rPr>
              <w:t>Forecast</w:t>
            </w:r>
            <w:r w:rsidR="007605DF" w:rsidRPr="00AC6EC4">
              <w:rPr>
                <w:rFonts w:asciiTheme="majorHAnsi" w:hAnsiTheme="majorHAnsi" w:cstheme="majorHAnsi"/>
                <w:color w:val="FFFFFF" w:themeColor="background1"/>
                <w:lang w:val="ru-RU"/>
              </w:rPr>
              <w:t xml:space="preserve"> </w:t>
            </w:r>
          </w:p>
        </w:tc>
        <w:tc>
          <w:tcPr>
            <w:tcW w:w="110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7030E0" w:rsidRPr="00AC6EC4" w:rsidRDefault="007030E0" w:rsidP="00062901">
            <w:pPr>
              <w:keepNext/>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2B7F55" w:rsidRPr="00AC6EC4">
              <w:rPr>
                <w:rFonts w:asciiTheme="majorHAnsi" w:hAnsiTheme="majorHAnsi" w:cstheme="majorHAnsi"/>
                <w:color w:val="FFFFFF" w:themeColor="background1"/>
              </w:rPr>
              <w:t>4</w:t>
            </w:r>
            <w:r w:rsidRPr="00AC6EC4">
              <w:rPr>
                <w:rFonts w:asciiTheme="majorHAnsi" w:hAnsiTheme="majorHAnsi" w:cstheme="majorHAnsi"/>
                <w:color w:val="FFFFFF" w:themeColor="background1"/>
              </w:rPr>
              <w:t xml:space="preserve"> </w:t>
            </w:r>
            <w:r w:rsidR="007605DF" w:rsidRPr="00AC6EC4">
              <w:rPr>
                <w:rFonts w:asciiTheme="majorHAnsi" w:hAnsiTheme="majorHAnsi" w:cstheme="majorHAnsi"/>
                <w:color w:val="FFFFFF" w:themeColor="background1"/>
              </w:rPr>
              <w:t>Forecast</w:t>
            </w:r>
          </w:p>
        </w:tc>
      </w:tr>
      <w:tr w:rsidR="007605DF" w:rsidRPr="00AC6EC4" w:rsidTr="007605DF">
        <w:trPr>
          <w:trHeight w:val="563"/>
          <w:jc w:val="center"/>
        </w:trPr>
        <w:tc>
          <w:tcPr>
            <w:tcW w:w="3885" w:type="dxa"/>
            <w:tcBorders>
              <w:top w:val="thinThickSmallGap" w:sz="24" w:space="0" w:color="auto"/>
              <w:left w:val="nil"/>
              <w:right w:val="nil"/>
            </w:tcBorders>
            <w:vAlign w:val="center"/>
          </w:tcPr>
          <w:p w:rsidR="007605DF" w:rsidRPr="00AC6EC4" w:rsidRDefault="007605DF" w:rsidP="00062901">
            <w:pPr>
              <w:spacing w:line="240" w:lineRule="auto"/>
              <w:ind w:left="321" w:firstLine="0"/>
              <w:rPr>
                <w:rFonts w:asciiTheme="majorHAnsi" w:hAnsiTheme="majorHAnsi" w:cstheme="majorHAnsi"/>
              </w:rPr>
            </w:pPr>
            <w:r w:rsidRPr="00AC6EC4">
              <w:rPr>
                <w:rFonts w:asciiTheme="majorHAnsi" w:hAnsiTheme="majorHAnsi" w:cstheme="majorHAnsi"/>
              </w:rPr>
              <w:t>State budget primary balance</w:t>
            </w:r>
          </w:p>
        </w:tc>
        <w:tc>
          <w:tcPr>
            <w:tcW w:w="1268" w:type="dxa"/>
            <w:tcBorders>
              <w:top w:val="thinThickSmallGap" w:sz="24" w:space="0" w:color="auto"/>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(169.3)</w:t>
            </w:r>
          </w:p>
        </w:tc>
        <w:tc>
          <w:tcPr>
            <w:tcW w:w="1084" w:type="dxa"/>
            <w:tcBorders>
              <w:top w:val="thinThickSmallGap" w:sz="24" w:space="0" w:color="auto"/>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(124.3)</w:t>
            </w:r>
          </w:p>
        </w:tc>
        <w:tc>
          <w:tcPr>
            <w:tcW w:w="1166" w:type="dxa"/>
            <w:tcBorders>
              <w:top w:val="thinThickSmallGap" w:sz="24" w:space="0" w:color="auto"/>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34.0</w:t>
            </w:r>
          </w:p>
        </w:tc>
        <w:tc>
          <w:tcPr>
            <w:tcW w:w="1125" w:type="dxa"/>
            <w:tcBorders>
              <w:top w:val="thinThickSmallGap" w:sz="24" w:space="0" w:color="auto"/>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74.7</w:t>
            </w:r>
          </w:p>
        </w:tc>
        <w:tc>
          <w:tcPr>
            <w:tcW w:w="1101" w:type="dxa"/>
            <w:tcBorders>
              <w:top w:val="thinThickSmallGap" w:sz="24" w:space="0" w:color="auto"/>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104.3</w:t>
            </w:r>
          </w:p>
        </w:tc>
      </w:tr>
      <w:tr w:rsidR="007605DF" w:rsidRPr="00AC6EC4" w:rsidTr="007605DF">
        <w:trPr>
          <w:trHeight w:val="553"/>
          <w:jc w:val="center"/>
        </w:trPr>
        <w:tc>
          <w:tcPr>
            <w:tcW w:w="3885" w:type="dxa"/>
            <w:tcBorders>
              <w:left w:val="nil"/>
              <w:right w:val="nil"/>
            </w:tcBorders>
            <w:vAlign w:val="center"/>
          </w:tcPr>
          <w:p w:rsidR="007605DF" w:rsidRPr="00AC6EC4" w:rsidRDefault="007605DF" w:rsidP="00062901">
            <w:pPr>
              <w:spacing w:line="240" w:lineRule="auto"/>
              <w:ind w:left="321" w:firstLine="0"/>
              <w:rPr>
                <w:rFonts w:asciiTheme="majorHAnsi" w:hAnsiTheme="majorHAnsi" w:cstheme="majorHAnsi"/>
              </w:rPr>
            </w:pPr>
            <w:r w:rsidRPr="00AC6EC4">
              <w:rPr>
                <w:rFonts w:asciiTheme="majorHAnsi" w:hAnsiTheme="majorHAnsi" w:cstheme="majorHAnsi"/>
              </w:rPr>
              <w:t>RA Government debt interest payments</w:t>
            </w:r>
          </w:p>
        </w:tc>
        <w:tc>
          <w:tcPr>
            <w:tcW w:w="1268"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164.7</w:t>
            </w:r>
          </w:p>
        </w:tc>
        <w:tc>
          <w:tcPr>
            <w:tcW w:w="1084"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194.5</w:t>
            </w:r>
          </w:p>
        </w:tc>
        <w:tc>
          <w:tcPr>
            <w:tcW w:w="1166"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215.7</w:t>
            </w:r>
          </w:p>
        </w:tc>
        <w:tc>
          <w:tcPr>
            <w:tcW w:w="1125"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243.5</w:t>
            </w:r>
          </w:p>
        </w:tc>
        <w:tc>
          <w:tcPr>
            <w:tcW w:w="1101"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268.1</w:t>
            </w:r>
          </w:p>
        </w:tc>
      </w:tr>
      <w:tr w:rsidR="007605DF" w:rsidRPr="00AC6EC4" w:rsidTr="007605DF">
        <w:trPr>
          <w:trHeight w:val="437"/>
          <w:jc w:val="center"/>
        </w:trPr>
        <w:tc>
          <w:tcPr>
            <w:tcW w:w="3885" w:type="dxa"/>
            <w:tcBorders>
              <w:left w:val="nil"/>
              <w:right w:val="nil"/>
            </w:tcBorders>
            <w:vAlign w:val="center"/>
          </w:tcPr>
          <w:p w:rsidR="007605DF" w:rsidRPr="00AC6EC4" w:rsidRDefault="007605DF" w:rsidP="00062901">
            <w:pPr>
              <w:spacing w:line="240" w:lineRule="auto"/>
              <w:ind w:left="321" w:firstLine="0"/>
              <w:rPr>
                <w:rFonts w:asciiTheme="majorHAnsi" w:hAnsiTheme="majorHAnsi" w:cstheme="majorHAnsi"/>
              </w:rPr>
            </w:pPr>
            <w:r w:rsidRPr="00AC6EC4">
              <w:rPr>
                <w:rFonts w:asciiTheme="majorHAnsi" w:hAnsiTheme="majorHAnsi" w:cstheme="majorHAnsi"/>
              </w:rPr>
              <w:t>RA Government debt redemption</w:t>
            </w:r>
          </w:p>
        </w:tc>
        <w:tc>
          <w:tcPr>
            <w:tcW w:w="1268"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260.5</w:t>
            </w:r>
          </w:p>
        </w:tc>
        <w:tc>
          <w:tcPr>
            <w:tcW w:w="1084"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272.4</w:t>
            </w:r>
          </w:p>
        </w:tc>
        <w:tc>
          <w:tcPr>
            <w:tcW w:w="1166"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312.8</w:t>
            </w:r>
          </w:p>
        </w:tc>
        <w:tc>
          <w:tcPr>
            <w:tcW w:w="1125"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373.4</w:t>
            </w:r>
          </w:p>
        </w:tc>
        <w:tc>
          <w:tcPr>
            <w:tcW w:w="1101"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701.2</w:t>
            </w:r>
          </w:p>
        </w:tc>
      </w:tr>
      <w:tr w:rsidR="007605DF" w:rsidRPr="00AC6EC4" w:rsidTr="007605DF">
        <w:trPr>
          <w:trHeight w:val="415"/>
          <w:jc w:val="center"/>
        </w:trPr>
        <w:tc>
          <w:tcPr>
            <w:tcW w:w="3885" w:type="dxa"/>
            <w:tcBorders>
              <w:left w:val="nil"/>
              <w:right w:val="nil"/>
            </w:tcBorders>
            <w:vAlign w:val="center"/>
          </w:tcPr>
          <w:p w:rsidR="007605DF" w:rsidRPr="00AC6EC4" w:rsidRDefault="007605DF" w:rsidP="00062901">
            <w:pPr>
              <w:spacing w:line="240" w:lineRule="auto"/>
              <w:ind w:left="321" w:firstLine="0"/>
              <w:rPr>
                <w:rFonts w:asciiTheme="majorHAnsi" w:hAnsiTheme="majorHAnsi" w:cstheme="majorHAnsi"/>
                <w:b/>
              </w:rPr>
            </w:pPr>
            <w:r w:rsidRPr="00AC6EC4">
              <w:rPr>
                <w:rFonts w:asciiTheme="majorHAnsi" w:hAnsiTheme="majorHAnsi" w:cstheme="majorHAnsi"/>
                <w:b/>
              </w:rPr>
              <w:t>Gross financing need</w:t>
            </w:r>
          </w:p>
        </w:tc>
        <w:tc>
          <w:tcPr>
            <w:tcW w:w="1268"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594.5</w:t>
            </w:r>
          </w:p>
        </w:tc>
        <w:tc>
          <w:tcPr>
            <w:tcW w:w="1084"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591.2</w:t>
            </w:r>
          </w:p>
        </w:tc>
        <w:tc>
          <w:tcPr>
            <w:tcW w:w="1166"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494.5</w:t>
            </w:r>
          </w:p>
        </w:tc>
        <w:tc>
          <w:tcPr>
            <w:tcW w:w="1125"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542.2</w:t>
            </w:r>
          </w:p>
        </w:tc>
        <w:tc>
          <w:tcPr>
            <w:tcW w:w="1101" w:type="dxa"/>
            <w:tcBorders>
              <w:left w:val="nil"/>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865.0</w:t>
            </w:r>
          </w:p>
        </w:tc>
      </w:tr>
      <w:tr w:rsidR="007605DF" w:rsidRPr="00AC6EC4" w:rsidTr="007605DF">
        <w:trPr>
          <w:trHeight w:val="478"/>
          <w:jc w:val="center"/>
        </w:trPr>
        <w:tc>
          <w:tcPr>
            <w:tcW w:w="3885" w:type="dxa"/>
            <w:tcBorders>
              <w:left w:val="nil"/>
              <w:bottom w:val="thickThinSmallGap" w:sz="24" w:space="0" w:color="auto"/>
              <w:right w:val="nil"/>
            </w:tcBorders>
            <w:vAlign w:val="center"/>
          </w:tcPr>
          <w:p w:rsidR="007605DF" w:rsidRPr="00AC6EC4" w:rsidRDefault="007605DF" w:rsidP="00062901">
            <w:pPr>
              <w:spacing w:line="240" w:lineRule="auto"/>
              <w:ind w:left="321" w:firstLine="0"/>
              <w:rPr>
                <w:rFonts w:asciiTheme="majorHAnsi" w:hAnsiTheme="majorHAnsi" w:cstheme="majorHAnsi"/>
                <w:highlight w:val="yellow"/>
              </w:rPr>
            </w:pPr>
            <w:r w:rsidRPr="00AC6EC4">
              <w:rPr>
                <w:rFonts w:asciiTheme="majorHAnsi" w:hAnsiTheme="majorHAnsi" w:cstheme="majorHAnsi"/>
              </w:rPr>
              <w:t>Gross financing need / GDP, %</w:t>
            </w:r>
          </w:p>
        </w:tc>
        <w:tc>
          <w:tcPr>
            <w:tcW w:w="1268"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9</w:t>
            </w:r>
            <w:r w:rsidRPr="00AC6EC4">
              <w:rPr>
                <w:rFonts w:ascii="Cambria Math" w:eastAsia="MS Mincho" w:hAnsi="Cambria Math" w:cs="Cambria Math"/>
              </w:rPr>
              <w:t>․</w:t>
            </w:r>
            <w:r w:rsidRPr="00AC6EC4">
              <w:rPr>
                <w:rFonts w:asciiTheme="majorHAnsi" w:hAnsiTheme="majorHAnsi" w:cstheme="majorHAnsi"/>
              </w:rPr>
              <w:t>6</w:t>
            </w:r>
          </w:p>
        </w:tc>
        <w:tc>
          <w:tcPr>
            <w:tcW w:w="1084"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8.6</w:t>
            </w:r>
          </w:p>
        </w:tc>
        <w:tc>
          <w:tcPr>
            <w:tcW w:w="1166"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6.5</w:t>
            </w:r>
          </w:p>
        </w:tc>
        <w:tc>
          <w:tcPr>
            <w:tcW w:w="1125"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6.6</w:t>
            </w:r>
          </w:p>
        </w:tc>
        <w:tc>
          <w:tcPr>
            <w:tcW w:w="1101" w:type="dxa"/>
            <w:tcBorders>
              <w:left w:val="nil"/>
              <w:bottom w:val="thickThinSmallGap" w:sz="24" w:space="0" w:color="auto"/>
              <w:right w:val="nil"/>
            </w:tcBorders>
            <w:vAlign w:val="center"/>
          </w:tcPr>
          <w:p w:rsidR="007605DF" w:rsidRPr="00AC6EC4" w:rsidRDefault="007605DF" w:rsidP="00062901">
            <w:pPr>
              <w:spacing w:line="240" w:lineRule="auto"/>
              <w:ind w:firstLine="0"/>
              <w:jc w:val="center"/>
              <w:rPr>
                <w:rFonts w:asciiTheme="majorHAnsi" w:hAnsiTheme="majorHAnsi" w:cstheme="majorHAnsi"/>
              </w:rPr>
            </w:pPr>
            <w:r w:rsidRPr="00AC6EC4">
              <w:rPr>
                <w:rFonts w:asciiTheme="majorHAnsi" w:hAnsiTheme="majorHAnsi" w:cstheme="majorHAnsi"/>
              </w:rPr>
              <w:t>9.8</w:t>
            </w:r>
          </w:p>
        </w:tc>
      </w:tr>
    </w:tbl>
    <w:p w:rsidR="009B1BFB" w:rsidRPr="00AC6EC4" w:rsidRDefault="009B1BFB" w:rsidP="00A1274B">
      <w:pPr>
        <w:rPr>
          <w:rFonts w:asciiTheme="majorHAnsi" w:hAnsiTheme="majorHAnsi" w:cstheme="majorHAnsi"/>
          <w:highlight w:val="yellow"/>
        </w:rPr>
      </w:pPr>
    </w:p>
    <w:p w:rsidR="00AF4EB7" w:rsidRPr="00AC6EC4" w:rsidRDefault="00AF4EB7" w:rsidP="00AF4EB7">
      <w:pPr>
        <w:ind w:firstLine="0"/>
        <w:rPr>
          <w:rFonts w:asciiTheme="majorHAnsi" w:hAnsiTheme="majorHAnsi" w:cstheme="majorHAnsi"/>
        </w:rPr>
      </w:pPr>
      <w:r w:rsidRPr="00AC6EC4">
        <w:rPr>
          <w:rFonts w:asciiTheme="majorHAnsi" w:hAnsiTheme="majorHAnsi" w:cstheme="majorHAnsi"/>
        </w:rPr>
        <w:t xml:space="preserve">Along with the growth of the debt of the RA Government, the interest payments and redemptions also increase in the medium term. The primary surpluses of the state budget in 2022-2024 reduce the financing need. The financing need/GDP indicator decreases by 2.1 percentage points in 2022 compared to the previous year, and increases by 0.1 and 3.2 percentage points in 2023 and 2024 respectively. The forecasted sharp growth of financing need in 2024 is due to the </w:t>
      </w:r>
      <w:r w:rsidR="000D0F36" w:rsidRPr="00AC6EC4">
        <w:rPr>
          <w:rFonts w:asciiTheme="majorHAnsi" w:hAnsiTheme="majorHAnsi" w:cstheme="majorHAnsi"/>
        </w:rPr>
        <w:t xml:space="preserve">envisaged </w:t>
      </w:r>
      <w:r w:rsidRPr="00AC6EC4">
        <w:rPr>
          <w:rFonts w:asciiTheme="majorHAnsi" w:hAnsiTheme="majorHAnsi" w:cstheme="majorHAnsi"/>
        </w:rPr>
        <w:t xml:space="preserve">buyback of </w:t>
      </w:r>
      <w:r w:rsidR="00AC6EC4">
        <w:rPr>
          <w:rFonts w:asciiTheme="majorHAnsi" w:hAnsiTheme="majorHAnsi" w:cstheme="majorHAnsi"/>
        </w:rPr>
        <w:t>E</w:t>
      </w:r>
      <w:r w:rsidRPr="00AC6EC4">
        <w:rPr>
          <w:rFonts w:asciiTheme="majorHAnsi" w:hAnsiTheme="majorHAnsi" w:cstheme="majorHAnsi"/>
        </w:rPr>
        <w:t>urobond</w:t>
      </w:r>
      <w:r w:rsidR="000D0F36" w:rsidRPr="00AC6EC4">
        <w:rPr>
          <w:rFonts w:asciiTheme="majorHAnsi" w:hAnsiTheme="majorHAnsi" w:cstheme="majorHAnsi"/>
        </w:rPr>
        <w:t>s</w:t>
      </w:r>
      <w:r w:rsidRPr="00AC6EC4">
        <w:rPr>
          <w:rFonts w:asciiTheme="majorHAnsi" w:hAnsiTheme="majorHAnsi" w:cstheme="majorHAnsi"/>
        </w:rPr>
        <w:t xml:space="preserve"> with outstanding amount of USD 500 m</w:t>
      </w:r>
      <w:r w:rsidR="00AC6EC4">
        <w:rPr>
          <w:rFonts w:asciiTheme="majorHAnsi" w:hAnsiTheme="majorHAnsi" w:cstheme="majorHAnsi"/>
        </w:rPr>
        <w:t>il</w:t>
      </w:r>
      <w:r w:rsidRPr="00AC6EC4">
        <w:rPr>
          <w:rFonts w:asciiTheme="majorHAnsi" w:hAnsiTheme="majorHAnsi" w:cstheme="majorHAnsi"/>
        </w:rPr>
        <w:t>l</w:t>
      </w:r>
      <w:r w:rsidR="00AC6EC4">
        <w:rPr>
          <w:rFonts w:asciiTheme="majorHAnsi" w:hAnsiTheme="majorHAnsi" w:cstheme="majorHAnsi"/>
        </w:rPr>
        <w:t>io</w:t>
      </w:r>
      <w:r w:rsidRPr="00AC6EC4">
        <w:rPr>
          <w:rFonts w:asciiTheme="majorHAnsi" w:hAnsiTheme="majorHAnsi" w:cstheme="majorHAnsi"/>
        </w:rPr>
        <w:t>n matur</w:t>
      </w:r>
      <w:r w:rsidR="000D0F36" w:rsidRPr="00AC6EC4">
        <w:rPr>
          <w:rFonts w:asciiTheme="majorHAnsi" w:hAnsiTheme="majorHAnsi" w:cstheme="majorHAnsi"/>
        </w:rPr>
        <w:t>ing</w:t>
      </w:r>
      <w:r w:rsidRPr="00AC6EC4">
        <w:rPr>
          <w:rFonts w:asciiTheme="majorHAnsi" w:hAnsiTheme="majorHAnsi" w:cstheme="majorHAnsi"/>
        </w:rPr>
        <w:t xml:space="preserve"> in 2025.</w:t>
      </w:r>
    </w:p>
    <w:p w:rsidR="00AF4EB7" w:rsidRPr="00AC6EC4" w:rsidRDefault="00AF4EB7" w:rsidP="00AF4EB7">
      <w:pPr>
        <w:ind w:firstLine="0"/>
        <w:contextualSpacing/>
        <w:rPr>
          <w:rFonts w:asciiTheme="majorHAnsi" w:hAnsiTheme="majorHAnsi" w:cstheme="majorHAnsi"/>
        </w:rPr>
      </w:pPr>
      <w:r w:rsidRPr="00AC6EC4">
        <w:rPr>
          <w:rFonts w:asciiTheme="majorHAnsi" w:hAnsiTheme="majorHAnsi" w:cstheme="majorHAnsi"/>
        </w:rPr>
        <w:t>The 2022-2024 Government debt management strategy is based on the above mentioned macroeconomic assumptions. However, occurrence of the shocks emanating from the external economic environment can evoke certain risks in terms of ensuring the targets foreseen by the strategy.</w:t>
      </w:r>
    </w:p>
    <w:p w:rsidR="00025E2D" w:rsidRPr="00AC6EC4" w:rsidRDefault="00025E2D" w:rsidP="00A1274B">
      <w:pPr>
        <w:rPr>
          <w:rFonts w:asciiTheme="majorHAnsi" w:hAnsiTheme="majorHAnsi" w:cstheme="majorHAnsi"/>
        </w:rPr>
      </w:pPr>
    </w:p>
    <w:p w:rsidR="00717859" w:rsidRPr="00AC6EC4" w:rsidRDefault="00F222A6" w:rsidP="00A61C34">
      <w:pPr>
        <w:pStyle w:val="Heading2"/>
        <w:rPr>
          <w:rFonts w:asciiTheme="majorHAnsi" w:hAnsiTheme="majorHAnsi" w:cstheme="majorHAnsi"/>
        </w:rPr>
      </w:pPr>
      <w:r w:rsidRPr="00AC6EC4">
        <w:rPr>
          <w:rFonts w:asciiTheme="majorHAnsi" w:hAnsiTheme="majorHAnsi" w:cstheme="majorHAnsi"/>
        </w:rPr>
        <w:br w:type="page"/>
      </w:r>
      <w:bookmarkStart w:id="11" w:name="_Toc80868694"/>
      <w:r w:rsidR="001173A4" w:rsidRPr="00AC6EC4">
        <w:rPr>
          <w:rFonts w:asciiTheme="majorHAnsi" w:hAnsiTheme="majorHAnsi" w:cstheme="majorHAnsi"/>
        </w:rPr>
        <w:lastRenderedPageBreak/>
        <w:t>Targets and measures to be implemented</w:t>
      </w:r>
      <w:bookmarkEnd w:id="11"/>
      <w:r w:rsidR="001173A4" w:rsidRPr="00AC6EC4">
        <w:rPr>
          <w:rFonts w:asciiTheme="majorHAnsi" w:hAnsiTheme="majorHAnsi" w:cstheme="majorHAnsi"/>
        </w:rPr>
        <w:t xml:space="preserve"> </w:t>
      </w:r>
    </w:p>
    <w:p w:rsidR="0048612D" w:rsidRPr="00AC6EC4" w:rsidRDefault="0048612D" w:rsidP="0048612D">
      <w:pPr>
        <w:numPr>
          <w:ilvl w:val="0"/>
          <w:numId w:val="11"/>
        </w:numPr>
        <w:tabs>
          <w:tab w:val="clear" w:pos="480"/>
          <w:tab w:val="num" w:pos="360"/>
        </w:tabs>
        <w:spacing w:after="240"/>
        <w:ind w:left="360"/>
        <w:rPr>
          <w:rFonts w:asciiTheme="majorHAnsi" w:hAnsiTheme="majorHAnsi" w:cstheme="majorHAnsi"/>
        </w:rPr>
      </w:pPr>
      <w:r w:rsidRPr="00AC6EC4">
        <w:rPr>
          <w:rFonts w:asciiTheme="majorHAnsi" w:hAnsiTheme="majorHAnsi" w:cstheme="majorHAnsi"/>
        </w:rPr>
        <w:t>In the medium-term and long-term, the share of the domestic net borrowings in the State budget deficit financing will be increased along with the targeted change of the structure and composition, as well as the significant increase in the number of market participants. It will be aimed at reducing the foreign exchange rate risk, as well as will establish a background for the application of new instruments in the financial market (floating, index linked, targeted, etc.) and for the further development of the market. Driven by the progress of the pension and insurance reforms, it will be possible to speed-up the process of increasing the weight of the State budget deficit financing from the domestic sources.</w:t>
      </w:r>
    </w:p>
    <w:p w:rsidR="00630F14" w:rsidRPr="00AC6EC4" w:rsidRDefault="00630F14" w:rsidP="00630F14">
      <w:pPr>
        <w:numPr>
          <w:ilvl w:val="0"/>
          <w:numId w:val="11"/>
        </w:numPr>
        <w:tabs>
          <w:tab w:val="clear" w:pos="480"/>
          <w:tab w:val="num" w:pos="360"/>
          <w:tab w:val="num" w:pos="426"/>
        </w:tabs>
        <w:spacing w:after="240"/>
        <w:ind w:left="360"/>
        <w:rPr>
          <w:rFonts w:asciiTheme="majorHAnsi" w:hAnsiTheme="majorHAnsi" w:cstheme="majorHAnsi"/>
        </w:rPr>
      </w:pPr>
      <w:r w:rsidRPr="00AC6EC4">
        <w:rPr>
          <w:rFonts w:asciiTheme="majorHAnsi" w:hAnsiTheme="majorHAnsi" w:cstheme="majorHAnsi"/>
        </w:rPr>
        <w:t xml:space="preserve">The increase of the liquidity of the Government treasury securities through enhancing volumes of </w:t>
      </w:r>
      <w:r w:rsidR="00D72AB7" w:rsidRPr="00AC6EC4">
        <w:rPr>
          <w:rFonts w:asciiTheme="majorHAnsi" w:hAnsiTheme="majorHAnsi" w:cstheme="majorHAnsi"/>
        </w:rPr>
        <w:t xml:space="preserve">the </w:t>
      </w:r>
      <w:r w:rsidRPr="00AC6EC4">
        <w:rPr>
          <w:rFonts w:asciiTheme="majorHAnsi" w:hAnsiTheme="majorHAnsi" w:cstheme="majorHAnsi"/>
        </w:rPr>
        <w:t xml:space="preserve">outstanding Government treasury securities will continue to be considered as a domestic public debt management target. </w:t>
      </w:r>
    </w:p>
    <w:p w:rsidR="00630F14" w:rsidRPr="00AC6EC4" w:rsidRDefault="00630F14" w:rsidP="00630F14">
      <w:pPr>
        <w:numPr>
          <w:ilvl w:val="0"/>
          <w:numId w:val="11"/>
        </w:numPr>
        <w:tabs>
          <w:tab w:val="clear" w:pos="480"/>
          <w:tab w:val="num" w:pos="360"/>
        </w:tabs>
        <w:ind w:left="360"/>
        <w:rPr>
          <w:rFonts w:asciiTheme="majorHAnsi" w:hAnsiTheme="majorHAnsi" w:cstheme="majorHAnsi"/>
        </w:rPr>
      </w:pPr>
      <w:r w:rsidRPr="00AC6EC4">
        <w:rPr>
          <w:rFonts w:asciiTheme="majorHAnsi" w:hAnsiTheme="majorHAnsi" w:cstheme="majorHAnsi"/>
        </w:rPr>
        <w:t xml:space="preserve">By increasing the allocation volumes of Government short-term bonds, their issuances will be focused on 6-month maturity bonds. </w:t>
      </w:r>
      <w:r w:rsidR="00D72AB7" w:rsidRPr="00AC6EC4">
        <w:rPr>
          <w:rFonts w:asciiTheme="majorHAnsi" w:hAnsiTheme="majorHAnsi" w:cstheme="majorHAnsi"/>
        </w:rPr>
        <w:t>The c</w:t>
      </w:r>
      <w:r w:rsidRPr="00AC6EC4">
        <w:rPr>
          <w:rFonts w:asciiTheme="majorHAnsi" w:hAnsiTheme="majorHAnsi" w:cstheme="majorHAnsi"/>
        </w:rPr>
        <w:t>oncentrati</w:t>
      </w:r>
      <w:r w:rsidR="00D72AB7" w:rsidRPr="00AC6EC4">
        <w:rPr>
          <w:rFonts w:asciiTheme="majorHAnsi" w:hAnsiTheme="majorHAnsi" w:cstheme="majorHAnsi"/>
        </w:rPr>
        <w:t>on</w:t>
      </w:r>
      <w:r w:rsidRPr="00AC6EC4">
        <w:rPr>
          <w:rFonts w:asciiTheme="majorHAnsi" w:hAnsiTheme="majorHAnsi" w:cstheme="majorHAnsi"/>
        </w:rPr>
        <w:t xml:space="preserve"> of short-term </w:t>
      </w:r>
      <w:r w:rsidR="00D72AB7" w:rsidRPr="00AC6EC4">
        <w:rPr>
          <w:rFonts w:asciiTheme="majorHAnsi" w:hAnsiTheme="majorHAnsi" w:cstheme="majorHAnsi"/>
        </w:rPr>
        <w:t>bills</w:t>
      </w:r>
      <w:r w:rsidRPr="00AC6EC4">
        <w:rPr>
          <w:rFonts w:asciiTheme="majorHAnsi" w:hAnsiTheme="majorHAnsi" w:cstheme="majorHAnsi"/>
        </w:rPr>
        <w:t xml:space="preserve"> </w:t>
      </w:r>
      <w:r w:rsidR="00D72AB7" w:rsidRPr="00AC6EC4">
        <w:rPr>
          <w:rFonts w:asciiTheme="majorHAnsi" w:hAnsiTheme="majorHAnsi" w:cstheme="majorHAnsi"/>
        </w:rPr>
        <w:t xml:space="preserve">issuances </w:t>
      </w:r>
      <w:r w:rsidRPr="00AC6EC4">
        <w:rPr>
          <w:rFonts w:asciiTheme="majorHAnsi" w:hAnsiTheme="majorHAnsi" w:cstheme="majorHAnsi"/>
        </w:rPr>
        <w:t xml:space="preserve">around 6-month maturity </w:t>
      </w:r>
      <w:r w:rsidR="00D72AB7" w:rsidRPr="00AC6EC4">
        <w:rPr>
          <w:rFonts w:asciiTheme="majorHAnsi" w:hAnsiTheme="majorHAnsi" w:cstheme="majorHAnsi"/>
        </w:rPr>
        <w:t>T-bill</w:t>
      </w:r>
      <w:r w:rsidRPr="00AC6EC4">
        <w:rPr>
          <w:rFonts w:asciiTheme="majorHAnsi" w:hAnsiTheme="majorHAnsi" w:cstheme="majorHAnsi"/>
        </w:rPr>
        <w:t xml:space="preserve">s will contribute to the increase of the liquidity in the money market, as well as will give a possibility to formulate a benchmark which is important for further development of </w:t>
      </w:r>
      <w:r w:rsidR="00D72AB7" w:rsidRPr="00AC6EC4">
        <w:rPr>
          <w:rFonts w:asciiTheme="majorHAnsi" w:hAnsiTheme="majorHAnsi" w:cstheme="majorHAnsi"/>
        </w:rPr>
        <w:t xml:space="preserve">the </w:t>
      </w:r>
      <w:r w:rsidRPr="00AC6EC4">
        <w:rPr>
          <w:rFonts w:asciiTheme="majorHAnsi" w:hAnsiTheme="majorHAnsi" w:cstheme="majorHAnsi"/>
        </w:rPr>
        <w:t>other segments of the capital market.</w:t>
      </w:r>
    </w:p>
    <w:p w:rsidR="00630F14" w:rsidRPr="00AC6EC4" w:rsidRDefault="00630F14" w:rsidP="00630F14">
      <w:pPr>
        <w:numPr>
          <w:ilvl w:val="0"/>
          <w:numId w:val="11"/>
        </w:numPr>
        <w:tabs>
          <w:tab w:val="clear" w:pos="480"/>
          <w:tab w:val="num" w:pos="360"/>
        </w:tabs>
        <w:spacing w:after="240"/>
        <w:ind w:left="360"/>
        <w:rPr>
          <w:rFonts w:asciiTheme="majorHAnsi" w:hAnsiTheme="majorHAnsi" w:cstheme="majorHAnsi"/>
        </w:rPr>
      </w:pPr>
      <w:r w:rsidRPr="00AC6EC4">
        <w:rPr>
          <w:rFonts w:asciiTheme="majorHAnsi" w:hAnsiTheme="majorHAnsi" w:cstheme="majorHAnsi"/>
        </w:rPr>
        <w:t>In case of favourable developments in the financial markets, the possibility for certain accumulation of financial resources and building up a buffer will be considered. In case of undesirable developments in the domestic and external markets, this will allow executing the RA State budget without shocks, as well as adjusting the volume of deficit financing through Government treasury securities, if necessary.</w:t>
      </w:r>
    </w:p>
    <w:p w:rsidR="00630F14" w:rsidRPr="00AC6EC4" w:rsidRDefault="00630F14" w:rsidP="00630F14">
      <w:pPr>
        <w:numPr>
          <w:ilvl w:val="0"/>
          <w:numId w:val="11"/>
        </w:numPr>
        <w:tabs>
          <w:tab w:val="clear" w:pos="480"/>
          <w:tab w:val="num" w:pos="360"/>
        </w:tabs>
        <w:spacing w:after="240"/>
        <w:ind w:left="360"/>
        <w:rPr>
          <w:rFonts w:asciiTheme="majorHAnsi" w:hAnsiTheme="majorHAnsi" w:cstheme="majorHAnsi"/>
        </w:rPr>
      </w:pPr>
      <w:r w:rsidRPr="00AC6EC4">
        <w:rPr>
          <w:rFonts w:asciiTheme="majorHAnsi" w:hAnsiTheme="majorHAnsi" w:cstheme="majorHAnsi"/>
        </w:rPr>
        <w:t>The legislation regulating the debt operations will be reviewed in accordance with the international best practice, in particular, the RA Law “On Public Debt” will be reviewed and it will meet the new standards used by international financial institutions. The improvement of the RA Law “On Public Debt” is also included as an action in the "2019-2023 Strategy of the Public Financial Management System Reforms" approved by the RA Government Decree N 1716-L on 28 November 2019 and in the "2019-2023 Action Plan of the Public Financial Management System Reforms".</w:t>
      </w:r>
    </w:p>
    <w:p w:rsidR="00025E2D" w:rsidRPr="00AC6EC4" w:rsidRDefault="00630F14" w:rsidP="009A6204">
      <w:pPr>
        <w:numPr>
          <w:ilvl w:val="0"/>
          <w:numId w:val="11"/>
        </w:numPr>
        <w:tabs>
          <w:tab w:val="clear" w:pos="480"/>
          <w:tab w:val="num" w:pos="360"/>
        </w:tabs>
        <w:ind w:left="360"/>
        <w:rPr>
          <w:rFonts w:asciiTheme="majorHAnsi" w:hAnsiTheme="majorHAnsi" w:cstheme="majorHAnsi"/>
        </w:rPr>
      </w:pPr>
      <w:r w:rsidRPr="00AC6EC4">
        <w:rPr>
          <w:rFonts w:asciiTheme="majorHAnsi" w:hAnsiTheme="majorHAnsi" w:cstheme="majorHAnsi"/>
        </w:rPr>
        <w:t>One of the most important factors of efficient debt management is the insurance of the transparency and the permanent communication with the society. For this, the Government will continue the open and public activities with the investors and society, as well as the presentations on debt reports.</w:t>
      </w:r>
    </w:p>
    <w:p w:rsidR="00B11BB0" w:rsidRPr="00AC6EC4" w:rsidRDefault="00630F14" w:rsidP="00975824">
      <w:pPr>
        <w:numPr>
          <w:ilvl w:val="0"/>
          <w:numId w:val="11"/>
        </w:numPr>
        <w:tabs>
          <w:tab w:val="clear" w:pos="480"/>
          <w:tab w:val="num" w:pos="360"/>
        </w:tabs>
        <w:rPr>
          <w:rFonts w:asciiTheme="majorHAnsi" w:hAnsiTheme="majorHAnsi" w:cstheme="majorHAnsi"/>
        </w:rPr>
      </w:pPr>
      <w:r w:rsidRPr="00AC6EC4">
        <w:rPr>
          <w:rFonts w:asciiTheme="majorHAnsi" w:hAnsiTheme="majorHAnsi" w:cstheme="majorHAnsi"/>
        </w:rPr>
        <w:t>In order to refinance 2025 Eurobonds, it is planned to issue new Eurobonds</w:t>
      </w:r>
      <w:r w:rsidR="00B11BB0" w:rsidRPr="00AC6EC4">
        <w:rPr>
          <w:rFonts w:asciiTheme="majorHAnsi" w:hAnsiTheme="majorHAnsi" w:cstheme="majorHAnsi"/>
        </w:rPr>
        <w:t xml:space="preserve"> in 2024,</w:t>
      </w:r>
      <w:r w:rsidRPr="00AC6EC4">
        <w:rPr>
          <w:rFonts w:asciiTheme="majorHAnsi" w:hAnsiTheme="majorHAnsi" w:cstheme="majorHAnsi"/>
        </w:rPr>
        <w:t xml:space="preserve"> the proceeds of which will be used to </w:t>
      </w:r>
      <w:r w:rsidR="00B11BB0" w:rsidRPr="00AC6EC4">
        <w:rPr>
          <w:rFonts w:asciiTheme="majorHAnsi" w:hAnsiTheme="majorHAnsi" w:cstheme="majorHAnsi"/>
        </w:rPr>
        <w:t>buyback</w:t>
      </w:r>
      <w:r w:rsidRPr="00AC6EC4">
        <w:rPr>
          <w:rFonts w:asciiTheme="majorHAnsi" w:hAnsiTheme="majorHAnsi" w:cstheme="majorHAnsi"/>
        </w:rPr>
        <w:t xml:space="preserve"> </w:t>
      </w:r>
      <w:r w:rsidR="00B11BB0" w:rsidRPr="00AC6EC4">
        <w:rPr>
          <w:rFonts w:asciiTheme="majorHAnsi" w:hAnsiTheme="majorHAnsi" w:cstheme="majorHAnsi"/>
        </w:rPr>
        <w:t>2025 Eurobonds</w:t>
      </w:r>
      <w:r w:rsidRPr="00AC6EC4">
        <w:rPr>
          <w:rFonts w:asciiTheme="majorHAnsi" w:hAnsiTheme="majorHAnsi" w:cstheme="majorHAnsi"/>
        </w:rPr>
        <w:t xml:space="preserve">. </w:t>
      </w:r>
      <w:r w:rsidR="00B11BB0" w:rsidRPr="00AC6EC4">
        <w:rPr>
          <w:rFonts w:asciiTheme="majorHAnsi" w:hAnsiTheme="majorHAnsi" w:cstheme="majorHAnsi"/>
        </w:rPr>
        <w:t>These operations will not affect the financing of the 2024 state budget deficit.</w:t>
      </w:r>
    </w:p>
    <w:p w:rsidR="00B11BB0" w:rsidRPr="00AC6EC4" w:rsidRDefault="00B11BB0" w:rsidP="00B11BB0">
      <w:pPr>
        <w:numPr>
          <w:ilvl w:val="0"/>
          <w:numId w:val="11"/>
        </w:numPr>
        <w:tabs>
          <w:tab w:val="clear" w:pos="480"/>
          <w:tab w:val="num" w:pos="360"/>
        </w:tabs>
        <w:spacing w:after="240"/>
        <w:ind w:left="360"/>
        <w:rPr>
          <w:rFonts w:asciiTheme="majorHAnsi" w:hAnsiTheme="majorHAnsi" w:cstheme="majorHAnsi"/>
        </w:rPr>
      </w:pPr>
      <w:r w:rsidRPr="00AC6EC4">
        <w:rPr>
          <w:rFonts w:asciiTheme="majorHAnsi" w:hAnsiTheme="majorHAnsi" w:cstheme="majorHAnsi"/>
        </w:rPr>
        <w:lastRenderedPageBreak/>
        <w:t>The RA Ministry of Finance will continue the buybacks and exchanges of the off-the-run Government treasury securities, aimed at smoothening the debt redemption profile and decreasing the refinancing risk, as well as increasing the liquidity of the on-the-run securities and contributing to the development of the secondary market.</w:t>
      </w:r>
    </w:p>
    <w:p w:rsidR="00B11BB0" w:rsidRPr="00AC6EC4" w:rsidRDefault="00B11BB0" w:rsidP="00B11BB0">
      <w:pPr>
        <w:numPr>
          <w:ilvl w:val="0"/>
          <w:numId w:val="11"/>
        </w:numPr>
        <w:tabs>
          <w:tab w:val="clear" w:pos="480"/>
          <w:tab w:val="num" w:pos="360"/>
          <w:tab w:val="num" w:pos="426"/>
          <w:tab w:val="num" w:pos="567"/>
        </w:tabs>
        <w:spacing w:after="240"/>
        <w:ind w:left="360"/>
        <w:rPr>
          <w:rFonts w:asciiTheme="majorHAnsi" w:hAnsiTheme="majorHAnsi" w:cstheme="majorHAnsi"/>
        </w:rPr>
      </w:pPr>
      <w:r w:rsidRPr="00AC6EC4">
        <w:rPr>
          <w:rFonts w:asciiTheme="majorHAnsi" w:hAnsiTheme="majorHAnsi" w:cstheme="majorHAnsi"/>
        </w:rPr>
        <w:t xml:space="preserve">An electronic system for organizing of the Government treasury securities </w:t>
      </w:r>
      <w:r w:rsidR="009A6204" w:rsidRPr="00AC6EC4">
        <w:rPr>
          <w:rFonts w:asciiTheme="majorHAnsi" w:hAnsiTheme="majorHAnsi" w:cstheme="majorHAnsi"/>
        </w:rPr>
        <w:t>switch</w:t>
      </w:r>
      <w:r w:rsidRPr="00AC6EC4">
        <w:rPr>
          <w:rFonts w:asciiTheme="majorHAnsi" w:hAnsiTheme="majorHAnsi" w:cstheme="majorHAnsi"/>
        </w:rPr>
        <w:t xml:space="preserve"> auctions will be introduced.</w:t>
      </w:r>
    </w:p>
    <w:p w:rsidR="00B11BB0" w:rsidRPr="00AC6EC4" w:rsidRDefault="00B11BB0" w:rsidP="00B11BB0">
      <w:pPr>
        <w:numPr>
          <w:ilvl w:val="0"/>
          <w:numId w:val="11"/>
        </w:numPr>
        <w:tabs>
          <w:tab w:val="clear" w:pos="480"/>
          <w:tab w:val="num" w:pos="360"/>
          <w:tab w:val="num" w:pos="426"/>
        </w:tabs>
        <w:spacing w:after="240"/>
        <w:ind w:left="360"/>
        <w:rPr>
          <w:rFonts w:asciiTheme="majorHAnsi" w:hAnsiTheme="majorHAnsi" w:cstheme="majorHAnsi"/>
        </w:rPr>
      </w:pPr>
      <w:r w:rsidRPr="00AC6EC4">
        <w:rPr>
          <w:rFonts w:asciiTheme="majorHAnsi" w:hAnsiTheme="majorHAnsi" w:cstheme="majorHAnsi"/>
        </w:rPr>
        <w:t xml:space="preserve">Highlighting the </w:t>
      </w:r>
      <w:r w:rsidRPr="00AC6EC4">
        <w:rPr>
          <w:rFonts w:asciiTheme="majorHAnsi" w:hAnsiTheme="majorHAnsi" w:cstheme="majorHAnsi"/>
          <w:lang w:val="en-US"/>
        </w:rPr>
        <w:t xml:space="preserve">importance of </w:t>
      </w:r>
      <w:r w:rsidRPr="00AC6EC4">
        <w:rPr>
          <w:rFonts w:asciiTheme="majorHAnsi" w:hAnsiTheme="majorHAnsi" w:cstheme="majorHAnsi"/>
        </w:rPr>
        <w:t>development of the retail market for the Government treasury securities, actions will be undertaken to extend the scope of the investors and the maturity of saving bonds. In this regard, in parallel to the actions aimed at strengthening the confidence towards the Government, public awareness activities will be implemented among the potential investors.</w:t>
      </w:r>
    </w:p>
    <w:p w:rsidR="00B11BB0" w:rsidRPr="00AC6EC4" w:rsidRDefault="00B11BB0" w:rsidP="00B11BB0">
      <w:pPr>
        <w:numPr>
          <w:ilvl w:val="0"/>
          <w:numId w:val="11"/>
        </w:numPr>
        <w:tabs>
          <w:tab w:val="num" w:pos="360"/>
        </w:tabs>
        <w:spacing w:after="240"/>
        <w:ind w:left="360"/>
        <w:rPr>
          <w:rFonts w:asciiTheme="majorHAnsi" w:hAnsiTheme="majorHAnsi" w:cstheme="majorHAnsi"/>
        </w:rPr>
      </w:pPr>
      <w:r w:rsidRPr="00AC6EC4">
        <w:rPr>
          <w:rFonts w:asciiTheme="majorHAnsi" w:hAnsiTheme="majorHAnsi" w:cstheme="majorHAnsi"/>
        </w:rPr>
        <w:t>The cooperation with the external creditors will be continued and deepened, giving preference to the cooperation with the creditors providing loans with more favo</w:t>
      </w:r>
      <w:r w:rsidR="00AC6EC4">
        <w:rPr>
          <w:rFonts w:asciiTheme="majorHAnsi" w:hAnsiTheme="majorHAnsi" w:cstheme="majorHAnsi"/>
        </w:rPr>
        <w:t>u</w:t>
      </w:r>
      <w:r w:rsidRPr="00AC6EC4">
        <w:rPr>
          <w:rFonts w:asciiTheme="majorHAnsi" w:hAnsiTheme="majorHAnsi" w:cstheme="majorHAnsi"/>
        </w:rPr>
        <w:t>rable terms and hard currency, and there will be a gradual shift to deficit financing through market instruments.</w:t>
      </w:r>
    </w:p>
    <w:p w:rsidR="00025E2D" w:rsidRPr="00AC6EC4" w:rsidRDefault="00025E2D" w:rsidP="009A6204">
      <w:pPr>
        <w:rPr>
          <w:rFonts w:asciiTheme="majorHAnsi" w:hAnsiTheme="majorHAnsi" w:cstheme="majorHAnsi"/>
          <w:highlight w:val="yellow"/>
        </w:rPr>
      </w:pPr>
    </w:p>
    <w:p w:rsidR="00025E2D" w:rsidRPr="00AC6EC4" w:rsidRDefault="00EE6EFA" w:rsidP="001173A4">
      <w:pPr>
        <w:pStyle w:val="Heading2"/>
        <w:rPr>
          <w:rFonts w:asciiTheme="majorHAnsi" w:hAnsiTheme="majorHAnsi" w:cstheme="majorHAnsi"/>
        </w:rPr>
      </w:pPr>
      <w:r w:rsidRPr="00AC6EC4">
        <w:rPr>
          <w:rFonts w:asciiTheme="majorHAnsi" w:hAnsiTheme="majorHAnsi" w:cstheme="majorHAnsi"/>
        </w:rPr>
        <w:br w:type="page"/>
      </w:r>
      <w:bookmarkStart w:id="12" w:name="_Toc80868695"/>
      <w:r w:rsidR="00F62B8A" w:rsidRPr="00AC6EC4">
        <w:rPr>
          <w:rFonts w:asciiTheme="majorHAnsi" w:hAnsiTheme="majorHAnsi" w:cstheme="majorHAnsi"/>
        </w:rPr>
        <w:lastRenderedPageBreak/>
        <w:t>Benchmark indicators</w:t>
      </w:r>
      <w:bookmarkEnd w:id="12"/>
    </w:p>
    <w:p w:rsidR="00C33595" w:rsidRPr="00AC6EC4" w:rsidRDefault="00C33595" w:rsidP="00C33595">
      <w:pPr>
        <w:spacing w:after="120"/>
        <w:ind w:firstLine="0"/>
        <w:rPr>
          <w:rFonts w:asciiTheme="majorHAnsi" w:hAnsiTheme="majorHAnsi" w:cstheme="majorHAnsi"/>
        </w:rPr>
      </w:pPr>
      <w:r w:rsidRPr="00AC6EC4">
        <w:rPr>
          <w:rFonts w:asciiTheme="majorHAnsi" w:hAnsiTheme="majorHAnsi" w:cstheme="majorHAnsi"/>
        </w:rPr>
        <w:t>For the efficient management of the RA Government debt portfolio, it is necessary to identify and assess the risks inherent to the RA Government debt portfolio. For this regard, the RA Government debt management strategy defines benchmark indicators for the debt portfolio risks, which aim at keeping the exchange rate, interest rate and refinancing risks under control through certain restrictions. The benchmark indicators have been defined taking into account the features and constraints inherent to the RA Government debt management.</w:t>
      </w:r>
    </w:p>
    <w:p w:rsidR="00025E2D" w:rsidRPr="00AC6EC4" w:rsidRDefault="00190FB9"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Benchmark indicators of the 202</w:t>
      </w:r>
      <w:r w:rsidR="00802B6D">
        <w:rPr>
          <w:rStyle w:val="Emphasis"/>
          <w:rFonts w:asciiTheme="majorHAnsi" w:hAnsiTheme="majorHAnsi" w:cstheme="majorHAnsi"/>
          <w:b w:val="0"/>
          <w:sz w:val="24"/>
          <w:szCs w:val="24"/>
        </w:rPr>
        <w:t>1</w:t>
      </w:r>
      <w:r w:rsidRPr="00AC6EC4">
        <w:rPr>
          <w:rStyle w:val="Emphasis"/>
          <w:rFonts w:asciiTheme="majorHAnsi" w:hAnsiTheme="majorHAnsi" w:cstheme="majorHAnsi"/>
          <w:b w:val="0"/>
          <w:sz w:val="24"/>
          <w:szCs w:val="24"/>
        </w:rPr>
        <w:t>-2024 RA Government debt portfolio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1"/>
        <w:gridCol w:w="2780"/>
      </w:tblGrid>
      <w:tr w:rsidR="00025E2D" w:rsidRPr="00AC6EC4" w:rsidTr="00190FB9">
        <w:trPr>
          <w:tblHeader/>
          <w:jc w:val="center"/>
        </w:trPr>
        <w:tc>
          <w:tcPr>
            <w:tcW w:w="7241" w:type="dxa"/>
            <w:tcBorders>
              <w:top w:val="thinThickThinSmallGap" w:sz="24" w:space="0" w:color="auto"/>
              <w:left w:val="nil"/>
              <w:bottom w:val="thinThickSmallGap" w:sz="24" w:space="0" w:color="auto"/>
              <w:right w:val="nil"/>
            </w:tcBorders>
            <w:shd w:val="clear" w:color="auto" w:fill="365F91" w:themeFill="accent1" w:themeFillShade="BF"/>
          </w:tcPr>
          <w:p w:rsidR="00025E2D" w:rsidRPr="00AC6EC4" w:rsidRDefault="00025E2D" w:rsidP="00062901">
            <w:pPr>
              <w:spacing w:line="240" w:lineRule="auto"/>
              <w:rPr>
                <w:rFonts w:asciiTheme="majorHAnsi" w:hAnsiTheme="majorHAnsi" w:cstheme="majorHAnsi"/>
              </w:rPr>
            </w:pPr>
          </w:p>
        </w:tc>
        <w:tc>
          <w:tcPr>
            <w:tcW w:w="278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25E2D" w:rsidRPr="00AC6EC4" w:rsidRDefault="00190FB9" w:rsidP="00062901">
            <w:pPr>
              <w:spacing w:line="240" w:lineRule="auto"/>
              <w:ind w:hanging="69"/>
              <w:jc w:val="center"/>
              <w:rPr>
                <w:rFonts w:asciiTheme="majorHAnsi" w:hAnsiTheme="majorHAnsi" w:cstheme="majorHAnsi"/>
              </w:rPr>
            </w:pPr>
            <w:r w:rsidRPr="00AC6EC4">
              <w:rPr>
                <w:rFonts w:asciiTheme="majorHAnsi" w:hAnsiTheme="majorHAnsi" w:cstheme="majorHAnsi"/>
                <w:color w:val="FFFFFF"/>
              </w:rPr>
              <w:t>Benchmark</w:t>
            </w:r>
          </w:p>
        </w:tc>
      </w:tr>
      <w:tr w:rsidR="00190FB9" w:rsidRPr="00AC6EC4" w:rsidTr="00062354">
        <w:trPr>
          <w:trHeight w:val="405"/>
          <w:jc w:val="center"/>
        </w:trPr>
        <w:tc>
          <w:tcPr>
            <w:tcW w:w="7241" w:type="dxa"/>
            <w:tcBorders>
              <w:top w:val="thinThickSmallGap" w:sz="24" w:space="0" w:color="auto"/>
              <w:left w:val="nil"/>
              <w:right w:val="nil"/>
            </w:tcBorders>
          </w:tcPr>
          <w:p w:rsidR="00190FB9" w:rsidRPr="00AC6EC4" w:rsidRDefault="00190FB9" w:rsidP="00062901">
            <w:pPr>
              <w:spacing w:line="240" w:lineRule="auto"/>
              <w:rPr>
                <w:rFonts w:asciiTheme="majorHAnsi" w:hAnsiTheme="majorHAnsi" w:cstheme="majorHAnsi"/>
                <w:b/>
              </w:rPr>
            </w:pPr>
            <w:r w:rsidRPr="00AC6EC4">
              <w:rPr>
                <w:rFonts w:asciiTheme="majorHAnsi" w:hAnsiTheme="majorHAnsi" w:cstheme="majorHAnsi"/>
                <w:b/>
              </w:rPr>
              <w:t>Refinancing risk</w:t>
            </w:r>
          </w:p>
        </w:tc>
        <w:tc>
          <w:tcPr>
            <w:tcW w:w="2780" w:type="dxa"/>
            <w:tcBorders>
              <w:top w:val="thinThickSmallGap" w:sz="24" w:space="0" w:color="auto"/>
              <w:left w:val="nil"/>
              <w:right w:val="nil"/>
            </w:tcBorders>
            <w:vAlign w:val="center"/>
          </w:tcPr>
          <w:p w:rsidR="00190FB9" w:rsidRPr="00AC6EC4" w:rsidRDefault="00190FB9" w:rsidP="00062901">
            <w:pPr>
              <w:spacing w:line="240" w:lineRule="auto"/>
              <w:ind w:firstLine="0"/>
              <w:jc w:val="center"/>
              <w:rPr>
                <w:rFonts w:asciiTheme="majorHAnsi" w:hAnsiTheme="majorHAnsi" w:cstheme="majorHAnsi"/>
                <w:b/>
              </w:rPr>
            </w:pPr>
          </w:p>
        </w:tc>
      </w:tr>
      <w:tr w:rsidR="00190FB9" w:rsidRPr="00AC6EC4" w:rsidTr="00062354">
        <w:trPr>
          <w:jc w:val="center"/>
        </w:trPr>
        <w:tc>
          <w:tcPr>
            <w:tcW w:w="7241" w:type="dxa"/>
            <w:tcBorders>
              <w:left w:val="nil"/>
              <w:right w:val="nil"/>
            </w:tcBorders>
          </w:tcPr>
          <w:p w:rsidR="00190FB9" w:rsidRPr="00AC6EC4" w:rsidRDefault="00190FB9" w:rsidP="00062901">
            <w:pPr>
              <w:spacing w:line="240" w:lineRule="auto"/>
              <w:ind w:firstLine="37"/>
              <w:rPr>
                <w:rFonts w:asciiTheme="majorHAnsi" w:hAnsiTheme="majorHAnsi" w:cstheme="majorHAnsi"/>
              </w:rPr>
            </w:pPr>
            <w:r w:rsidRPr="00AC6EC4">
              <w:rPr>
                <w:rFonts w:asciiTheme="majorHAnsi" w:hAnsiTheme="majorHAnsi" w:cstheme="majorHAnsi"/>
              </w:rPr>
              <w:t xml:space="preserve">Average time to maturity </w:t>
            </w:r>
          </w:p>
        </w:tc>
        <w:tc>
          <w:tcPr>
            <w:tcW w:w="2780" w:type="dxa"/>
            <w:tcBorders>
              <w:left w:val="nil"/>
              <w:right w:val="nil"/>
            </w:tcBorders>
            <w:vAlign w:val="center"/>
          </w:tcPr>
          <w:p w:rsidR="00190FB9" w:rsidRPr="00AC6EC4" w:rsidRDefault="00190FB9" w:rsidP="00062901">
            <w:pPr>
              <w:spacing w:line="240" w:lineRule="auto"/>
              <w:ind w:firstLine="0"/>
              <w:jc w:val="center"/>
              <w:rPr>
                <w:rFonts w:asciiTheme="majorHAnsi" w:hAnsiTheme="majorHAnsi" w:cstheme="majorHAnsi"/>
                <w:lang w:val="en-US"/>
              </w:rPr>
            </w:pPr>
            <w:r w:rsidRPr="00AC6EC4">
              <w:rPr>
                <w:rFonts w:asciiTheme="majorHAnsi" w:hAnsiTheme="majorHAnsi" w:cstheme="majorHAnsi"/>
              </w:rPr>
              <w:t xml:space="preserve">8 – 11 </w:t>
            </w:r>
            <w:r w:rsidR="00D137B9" w:rsidRPr="00AC6EC4">
              <w:rPr>
                <w:rFonts w:asciiTheme="majorHAnsi" w:hAnsiTheme="majorHAnsi" w:cstheme="majorHAnsi"/>
                <w:lang w:val="en-US"/>
              </w:rPr>
              <w:t>years</w:t>
            </w:r>
          </w:p>
        </w:tc>
      </w:tr>
      <w:tr w:rsidR="00190FB9" w:rsidRPr="00AC6EC4" w:rsidTr="00062354">
        <w:trPr>
          <w:jc w:val="center"/>
        </w:trPr>
        <w:tc>
          <w:tcPr>
            <w:tcW w:w="7241" w:type="dxa"/>
            <w:tcBorders>
              <w:left w:val="nil"/>
              <w:right w:val="nil"/>
            </w:tcBorders>
          </w:tcPr>
          <w:p w:rsidR="00190FB9" w:rsidRPr="00AC6EC4" w:rsidRDefault="00190FB9" w:rsidP="00062901">
            <w:pPr>
              <w:spacing w:line="240" w:lineRule="auto"/>
              <w:ind w:firstLine="0"/>
              <w:rPr>
                <w:rFonts w:asciiTheme="majorHAnsi" w:hAnsiTheme="majorHAnsi" w:cstheme="majorHAnsi"/>
              </w:rPr>
            </w:pPr>
            <w:r w:rsidRPr="00AC6EC4">
              <w:rPr>
                <w:rFonts w:asciiTheme="majorHAnsi" w:hAnsiTheme="majorHAnsi" w:cstheme="majorHAnsi"/>
              </w:rPr>
              <w:t>Share of the Government treasury bonds maturing in 1 year in the outstanding Government treasury bonds (at the end of the year)</w:t>
            </w:r>
          </w:p>
        </w:tc>
        <w:tc>
          <w:tcPr>
            <w:tcW w:w="2780" w:type="dxa"/>
            <w:tcBorders>
              <w:left w:val="nil"/>
              <w:right w:val="nil"/>
            </w:tcBorders>
            <w:vAlign w:val="center"/>
          </w:tcPr>
          <w:p w:rsidR="00190FB9" w:rsidRPr="00AC6EC4" w:rsidRDefault="00D137B9" w:rsidP="00062901">
            <w:pPr>
              <w:spacing w:line="240" w:lineRule="auto"/>
              <w:ind w:firstLine="0"/>
              <w:jc w:val="center"/>
              <w:rPr>
                <w:rFonts w:asciiTheme="majorHAnsi" w:hAnsiTheme="majorHAnsi" w:cstheme="majorHAnsi"/>
              </w:rPr>
            </w:pPr>
            <w:r w:rsidRPr="00AC6EC4">
              <w:rPr>
                <w:rFonts w:asciiTheme="majorHAnsi" w:hAnsiTheme="majorHAnsi" w:cstheme="majorHAnsi"/>
                <w:lang w:val="en-US"/>
              </w:rPr>
              <w:t>max</w:t>
            </w:r>
            <w:r w:rsidR="00190FB9" w:rsidRPr="00AC6EC4">
              <w:rPr>
                <w:rFonts w:asciiTheme="majorHAnsi" w:hAnsiTheme="majorHAnsi" w:cstheme="majorHAnsi"/>
              </w:rPr>
              <w:t xml:space="preserve"> 20%</w:t>
            </w:r>
          </w:p>
        </w:tc>
      </w:tr>
      <w:tr w:rsidR="00190FB9" w:rsidRPr="00AC6EC4" w:rsidTr="00062354">
        <w:trPr>
          <w:trHeight w:val="417"/>
          <w:jc w:val="center"/>
        </w:trPr>
        <w:tc>
          <w:tcPr>
            <w:tcW w:w="7241" w:type="dxa"/>
            <w:tcBorders>
              <w:left w:val="nil"/>
              <w:right w:val="nil"/>
            </w:tcBorders>
          </w:tcPr>
          <w:p w:rsidR="00190FB9" w:rsidRPr="00AC6EC4" w:rsidRDefault="00190FB9" w:rsidP="00062901">
            <w:pPr>
              <w:spacing w:line="240" w:lineRule="auto"/>
              <w:rPr>
                <w:rFonts w:asciiTheme="majorHAnsi" w:hAnsiTheme="majorHAnsi" w:cstheme="majorHAnsi"/>
                <w:b/>
              </w:rPr>
            </w:pPr>
            <w:r w:rsidRPr="00AC6EC4">
              <w:rPr>
                <w:rFonts w:asciiTheme="majorHAnsi" w:hAnsiTheme="majorHAnsi" w:cstheme="majorHAnsi"/>
                <w:b/>
              </w:rPr>
              <w:t>Interest rate risk</w:t>
            </w:r>
          </w:p>
        </w:tc>
        <w:tc>
          <w:tcPr>
            <w:tcW w:w="2780" w:type="dxa"/>
            <w:tcBorders>
              <w:left w:val="nil"/>
              <w:right w:val="nil"/>
            </w:tcBorders>
            <w:vAlign w:val="center"/>
          </w:tcPr>
          <w:p w:rsidR="00190FB9" w:rsidRPr="00AC6EC4" w:rsidRDefault="00190FB9" w:rsidP="00062901">
            <w:pPr>
              <w:spacing w:line="240" w:lineRule="auto"/>
              <w:ind w:firstLine="0"/>
              <w:jc w:val="center"/>
              <w:rPr>
                <w:rFonts w:asciiTheme="majorHAnsi" w:hAnsiTheme="majorHAnsi" w:cstheme="majorHAnsi"/>
                <w:b/>
              </w:rPr>
            </w:pPr>
          </w:p>
        </w:tc>
      </w:tr>
      <w:tr w:rsidR="00190FB9" w:rsidRPr="00AC6EC4" w:rsidTr="00062354">
        <w:trPr>
          <w:jc w:val="center"/>
        </w:trPr>
        <w:tc>
          <w:tcPr>
            <w:tcW w:w="7241" w:type="dxa"/>
            <w:tcBorders>
              <w:left w:val="nil"/>
              <w:right w:val="nil"/>
            </w:tcBorders>
          </w:tcPr>
          <w:p w:rsidR="00190FB9" w:rsidRPr="00AC6EC4" w:rsidRDefault="00190FB9" w:rsidP="00062901">
            <w:pPr>
              <w:spacing w:line="240" w:lineRule="auto"/>
              <w:ind w:firstLine="0"/>
              <w:rPr>
                <w:rFonts w:asciiTheme="majorHAnsi" w:hAnsiTheme="majorHAnsi" w:cstheme="majorHAnsi"/>
              </w:rPr>
            </w:pPr>
            <w:r w:rsidRPr="00AC6EC4">
              <w:rPr>
                <w:rFonts w:asciiTheme="majorHAnsi" w:hAnsiTheme="majorHAnsi" w:cstheme="majorHAnsi"/>
              </w:rPr>
              <w:t>Share of fixed rate debt in total debt</w:t>
            </w:r>
          </w:p>
        </w:tc>
        <w:tc>
          <w:tcPr>
            <w:tcW w:w="2780" w:type="dxa"/>
            <w:tcBorders>
              <w:left w:val="nil"/>
              <w:right w:val="nil"/>
            </w:tcBorders>
            <w:vAlign w:val="center"/>
          </w:tcPr>
          <w:p w:rsidR="00190FB9" w:rsidRPr="00AC6EC4" w:rsidRDefault="00D137B9" w:rsidP="00062901">
            <w:pPr>
              <w:spacing w:line="240" w:lineRule="auto"/>
              <w:ind w:firstLine="0"/>
              <w:jc w:val="center"/>
              <w:rPr>
                <w:rFonts w:asciiTheme="majorHAnsi" w:hAnsiTheme="majorHAnsi" w:cstheme="majorHAnsi"/>
              </w:rPr>
            </w:pPr>
            <w:r w:rsidRPr="00AC6EC4">
              <w:rPr>
                <w:rFonts w:asciiTheme="majorHAnsi" w:hAnsiTheme="majorHAnsi" w:cstheme="majorHAnsi"/>
                <w:lang w:val="en-US"/>
              </w:rPr>
              <w:t>min</w:t>
            </w:r>
            <w:r w:rsidR="00190FB9" w:rsidRPr="00AC6EC4">
              <w:rPr>
                <w:rFonts w:asciiTheme="majorHAnsi" w:hAnsiTheme="majorHAnsi" w:cstheme="majorHAnsi"/>
              </w:rPr>
              <w:t xml:space="preserve"> 80%</w:t>
            </w:r>
          </w:p>
        </w:tc>
      </w:tr>
      <w:tr w:rsidR="00190FB9" w:rsidRPr="00AC6EC4" w:rsidTr="00062354">
        <w:trPr>
          <w:trHeight w:val="414"/>
          <w:jc w:val="center"/>
        </w:trPr>
        <w:tc>
          <w:tcPr>
            <w:tcW w:w="7241" w:type="dxa"/>
            <w:tcBorders>
              <w:left w:val="nil"/>
              <w:right w:val="nil"/>
            </w:tcBorders>
          </w:tcPr>
          <w:p w:rsidR="00190FB9" w:rsidRPr="00AC6EC4" w:rsidRDefault="00190FB9" w:rsidP="00062901">
            <w:pPr>
              <w:spacing w:line="240" w:lineRule="auto"/>
              <w:rPr>
                <w:rFonts w:asciiTheme="majorHAnsi" w:hAnsiTheme="majorHAnsi" w:cstheme="majorHAnsi"/>
                <w:b/>
              </w:rPr>
            </w:pPr>
            <w:r w:rsidRPr="00AC6EC4">
              <w:rPr>
                <w:rFonts w:asciiTheme="majorHAnsi" w:hAnsiTheme="majorHAnsi" w:cstheme="majorHAnsi"/>
                <w:b/>
              </w:rPr>
              <w:t>Exchange rate risk</w:t>
            </w:r>
          </w:p>
        </w:tc>
        <w:tc>
          <w:tcPr>
            <w:tcW w:w="2780" w:type="dxa"/>
            <w:tcBorders>
              <w:left w:val="nil"/>
              <w:right w:val="nil"/>
            </w:tcBorders>
            <w:vAlign w:val="center"/>
          </w:tcPr>
          <w:p w:rsidR="00190FB9" w:rsidRPr="00AC6EC4" w:rsidRDefault="00190FB9" w:rsidP="00062901">
            <w:pPr>
              <w:spacing w:line="240" w:lineRule="auto"/>
              <w:ind w:firstLine="0"/>
              <w:jc w:val="center"/>
              <w:rPr>
                <w:rFonts w:asciiTheme="majorHAnsi" w:hAnsiTheme="majorHAnsi" w:cstheme="majorHAnsi"/>
                <w:b/>
              </w:rPr>
            </w:pPr>
          </w:p>
        </w:tc>
      </w:tr>
      <w:tr w:rsidR="00190FB9" w:rsidRPr="00AC6EC4" w:rsidTr="00062354">
        <w:trPr>
          <w:jc w:val="center"/>
        </w:trPr>
        <w:tc>
          <w:tcPr>
            <w:tcW w:w="7241" w:type="dxa"/>
            <w:tcBorders>
              <w:left w:val="nil"/>
              <w:right w:val="nil"/>
            </w:tcBorders>
          </w:tcPr>
          <w:p w:rsidR="00190FB9" w:rsidRPr="00AC6EC4" w:rsidRDefault="00190FB9" w:rsidP="00062901">
            <w:pPr>
              <w:spacing w:line="240" w:lineRule="auto"/>
              <w:ind w:firstLine="0"/>
              <w:rPr>
                <w:rFonts w:asciiTheme="majorHAnsi" w:hAnsiTheme="majorHAnsi" w:cstheme="majorHAnsi"/>
              </w:rPr>
            </w:pPr>
            <w:r w:rsidRPr="00AC6EC4">
              <w:rPr>
                <w:rFonts w:asciiTheme="majorHAnsi" w:hAnsiTheme="majorHAnsi" w:cstheme="majorHAnsi"/>
              </w:rPr>
              <w:t>Share of domestic debt in total debt</w:t>
            </w:r>
          </w:p>
        </w:tc>
        <w:tc>
          <w:tcPr>
            <w:tcW w:w="2780" w:type="dxa"/>
            <w:tcBorders>
              <w:left w:val="nil"/>
              <w:right w:val="nil"/>
            </w:tcBorders>
            <w:vAlign w:val="center"/>
          </w:tcPr>
          <w:p w:rsidR="00190FB9" w:rsidRPr="00AC6EC4" w:rsidRDefault="00D137B9" w:rsidP="00062901">
            <w:pPr>
              <w:spacing w:line="240" w:lineRule="auto"/>
              <w:ind w:firstLine="0"/>
              <w:jc w:val="center"/>
              <w:rPr>
                <w:rFonts w:asciiTheme="majorHAnsi" w:hAnsiTheme="majorHAnsi" w:cstheme="majorHAnsi"/>
              </w:rPr>
            </w:pPr>
            <w:r w:rsidRPr="00AC6EC4">
              <w:rPr>
                <w:rFonts w:asciiTheme="majorHAnsi" w:hAnsiTheme="majorHAnsi" w:cstheme="majorHAnsi"/>
                <w:lang w:val="en-US"/>
              </w:rPr>
              <w:t>min</w:t>
            </w:r>
            <w:r w:rsidRPr="00AC6EC4">
              <w:rPr>
                <w:rFonts w:asciiTheme="majorHAnsi" w:hAnsiTheme="majorHAnsi" w:cstheme="majorHAnsi"/>
              </w:rPr>
              <w:t xml:space="preserve"> </w:t>
            </w:r>
            <w:r w:rsidR="00190FB9" w:rsidRPr="00AC6EC4">
              <w:rPr>
                <w:rFonts w:asciiTheme="majorHAnsi" w:hAnsiTheme="majorHAnsi" w:cstheme="majorHAnsi"/>
              </w:rPr>
              <w:t>25%</w:t>
            </w:r>
          </w:p>
        </w:tc>
      </w:tr>
      <w:tr w:rsidR="00190FB9" w:rsidRPr="00AC6EC4" w:rsidTr="00062354">
        <w:trPr>
          <w:jc w:val="center"/>
        </w:trPr>
        <w:tc>
          <w:tcPr>
            <w:tcW w:w="7241" w:type="dxa"/>
            <w:tcBorders>
              <w:left w:val="nil"/>
              <w:bottom w:val="thickThinSmallGap" w:sz="24" w:space="0" w:color="auto"/>
              <w:right w:val="nil"/>
            </w:tcBorders>
          </w:tcPr>
          <w:p w:rsidR="00190FB9" w:rsidRPr="00AC6EC4" w:rsidRDefault="00190FB9" w:rsidP="00062901">
            <w:pPr>
              <w:spacing w:line="240" w:lineRule="auto"/>
              <w:ind w:firstLine="0"/>
              <w:rPr>
                <w:rFonts w:asciiTheme="majorHAnsi" w:hAnsiTheme="majorHAnsi" w:cstheme="majorHAnsi"/>
              </w:rPr>
            </w:pPr>
            <w:r w:rsidRPr="00AC6EC4">
              <w:rPr>
                <w:rFonts w:asciiTheme="majorHAnsi" w:hAnsiTheme="majorHAnsi" w:cstheme="majorHAnsi"/>
              </w:rPr>
              <w:t>Share of AMD denominated debt in total debt (%)</w:t>
            </w:r>
          </w:p>
        </w:tc>
        <w:tc>
          <w:tcPr>
            <w:tcW w:w="2780" w:type="dxa"/>
            <w:tcBorders>
              <w:left w:val="nil"/>
              <w:bottom w:val="thickThinSmallGap" w:sz="24" w:space="0" w:color="auto"/>
              <w:right w:val="nil"/>
            </w:tcBorders>
            <w:vAlign w:val="center"/>
          </w:tcPr>
          <w:p w:rsidR="00190FB9" w:rsidRPr="00AC6EC4" w:rsidRDefault="00D137B9" w:rsidP="00062901">
            <w:pPr>
              <w:spacing w:line="240" w:lineRule="auto"/>
              <w:ind w:firstLine="0"/>
              <w:jc w:val="center"/>
              <w:rPr>
                <w:rFonts w:asciiTheme="majorHAnsi" w:hAnsiTheme="majorHAnsi" w:cstheme="majorHAnsi"/>
                <w:strike/>
              </w:rPr>
            </w:pPr>
            <w:r w:rsidRPr="00AC6EC4">
              <w:rPr>
                <w:rFonts w:asciiTheme="majorHAnsi" w:hAnsiTheme="majorHAnsi" w:cstheme="majorHAnsi"/>
                <w:lang w:val="en-US"/>
              </w:rPr>
              <w:t>min</w:t>
            </w:r>
            <w:r w:rsidRPr="00AC6EC4">
              <w:rPr>
                <w:rFonts w:asciiTheme="majorHAnsi" w:hAnsiTheme="majorHAnsi" w:cstheme="majorHAnsi"/>
              </w:rPr>
              <w:t xml:space="preserve"> </w:t>
            </w:r>
            <w:r w:rsidR="00190FB9" w:rsidRPr="00AC6EC4">
              <w:rPr>
                <w:rFonts w:asciiTheme="majorHAnsi" w:hAnsiTheme="majorHAnsi" w:cstheme="majorHAnsi"/>
              </w:rPr>
              <w:t>25%</w:t>
            </w:r>
          </w:p>
        </w:tc>
      </w:tr>
    </w:tbl>
    <w:p w:rsidR="00025E2D" w:rsidRPr="00AC6EC4" w:rsidRDefault="00025E2D" w:rsidP="00A1274B">
      <w:pPr>
        <w:rPr>
          <w:rFonts w:asciiTheme="majorHAnsi" w:hAnsiTheme="majorHAnsi" w:cstheme="majorHAnsi"/>
        </w:rPr>
      </w:pPr>
      <w:r w:rsidRPr="00AC6EC4">
        <w:rPr>
          <w:rFonts w:asciiTheme="majorHAnsi" w:hAnsiTheme="majorHAnsi" w:cstheme="majorHAnsi"/>
        </w:rPr>
        <w:t xml:space="preserve"> </w:t>
      </w:r>
    </w:p>
    <w:p w:rsidR="008E36CD" w:rsidRPr="00AC6EC4" w:rsidRDefault="008E36CD" w:rsidP="00A1274B">
      <w:pPr>
        <w:rPr>
          <w:rFonts w:asciiTheme="majorHAnsi" w:hAnsiTheme="majorHAnsi" w:cstheme="majorHAnsi"/>
        </w:rPr>
      </w:pPr>
    </w:p>
    <w:p w:rsidR="00EE6EFA" w:rsidRPr="00AC6EC4" w:rsidRDefault="00025E2D" w:rsidP="00A1274B">
      <w:pPr>
        <w:rPr>
          <w:rFonts w:asciiTheme="majorHAnsi" w:hAnsiTheme="majorHAnsi" w:cstheme="majorHAnsi"/>
        </w:rPr>
      </w:pPr>
      <w:r w:rsidRPr="00AC6EC4">
        <w:rPr>
          <w:rFonts w:asciiTheme="majorHAnsi" w:hAnsiTheme="majorHAnsi" w:cstheme="majorHAnsi"/>
        </w:rPr>
        <w:t xml:space="preserve"> </w:t>
      </w:r>
    </w:p>
    <w:p w:rsidR="00025E2D" w:rsidRPr="00AC6EC4" w:rsidRDefault="00EE6EFA" w:rsidP="001173A4">
      <w:pPr>
        <w:pStyle w:val="Heading2"/>
        <w:rPr>
          <w:rFonts w:asciiTheme="majorHAnsi" w:hAnsiTheme="majorHAnsi" w:cstheme="majorHAnsi"/>
        </w:rPr>
      </w:pPr>
      <w:r w:rsidRPr="00AC6EC4">
        <w:rPr>
          <w:rFonts w:asciiTheme="majorHAnsi" w:hAnsiTheme="majorHAnsi" w:cstheme="majorHAnsi"/>
        </w:rPr>
        <w:br w:type="page"/>
      </w:r>
      <w:bookmarkStart w:id="13" w:name="_Toc80868696"/>
      <w:r w:rsidR="00EA66E5" w:rsidRPr="00AC6EC4">
        <w:rPr>
          <w:rFonts w:asciiTheme="majorHAnsi" w:hAnsiTheme="majorHAnsi" w:cstheme="majorHAnsi"/>
        </w:rPr>
        <w:lastRenderedPageBreak/>
        <w:t>Selection of the RA Government debt management strategy</w:t>
      </w:r>
      <w:bookmarkEnd w:id="13"/>
      <w:r w:rsidR="00EA66E5" w:rsidRPr="00AC6EC4">
        <w:rPr>
          <w:rFonts w:asciiTheme="majorHAnsi" w:hAnsiTheme="majorHAnsi" w:cstheme="majorHAnsi"/>
        </w:rPr>
        <w:t xml:space="preserve"> </w:t>
      </w:r>
    </w:p>
    <w:p w:rsidR="007403FD" w:rsidRPr="00AC6EC4" w:rsidRDefault="007403FD" w:rsidP="007403FD">
      <w:pPr>
        <w:spacing w:after="240"/>
        <w:ind w:firstLine="0"/>
        <w:rPr>
          <w:rFonts w:asciiTheme="majorHAnsi" w:hAnsiTheme="majorHAnsi" w:cstheme="majorHAnsi"/>
        </w:rPr>
      </w:pPr>
      <w:r w:rsidRPr="00AC6EC4">
        <w:rPr>
          <w:rFonts w:asciiTheme="majorHAnsi" w:hAnsiTheme="majorHAnsi" w:cstheme="majorHAnsi"/>
        </w:rPr>
        <w:t>The development of the domestic debt market and the increase of the share of AMD denominated debt in the Government debt are considered as strategic targets in order to retain the main risks of the RA Government debt management within manageability and, particularly, to decrease the high foreign exchange rate risk of the debt portfolio.</w:t>
      </w:r>
    </w:p>
    <w:p w:rsidR="007403FD" w:rsidRPr="00AC6EC4" w:rsidRDefault="008F116B" w:rsidP="007403FD">
      <w:pPr>
        <w:spacing w:after="240"/>
        <w:ind w:firstLine="0"/>
        <w:rPr>
          <w:rFonts w:asciiTheme="majorHAnsi" w:hAnsiTheme="majorHAnsi" w:cstheme="majorHAnsi"/>
          <w:noProof/>
          <w:lang w:val="en-US"/>
        </w:rPr>
      </w:pPr>
      <w:r w:rsidRPr="00AC6EC4">
        <w:rPr>
          <w:rFonts w:asciiTheme="majorHAnsi" w:hAnsiTheme="majorHAnsi" w:cstheme="majorHAnsi"/>
          <w:noProof/>
        </w:rPr>
        <w:t>It is worth noting that</w:t>
      </w:r>
      <w:r w:rsidRPr="00AC6EC4">
        <w:rPr>
          <w:rFonts w:asciiTheme="majorHAnsi" w:hAnsiTheme="majorHAnsi" w:cstheme="majorHAnsi"/>
          <w:noProof/>
          <w:lang w:val="en-US"/>
        </w:rPr>
        <w:t xml:space="preserve"> </w:t>
      </w:r>
      <w:r w:rsidR="007403FD" w:rsidRPr="00AC6EC4">
        <w:rPr>
          <w:rFonts w:asciiTheme="majorHAnsi" w:hAnsiTheme="majorHAnsi" w:cstheme="majorHAnsi"/>
          <w:noProof/>
        </w:rPr>
        <w:t xml:space="preserve">among the benchmark indicators of the debt portfolio, the level of the </w:t>
      </w:r>
      <w:r w:rsidR="00B86B06" w:rsidRPr="00AC6EC4">
        <w:rPr>
          <w:rFonts w:asciiTheme="majorHAnsi" w:hAnsiTheme="majorHAnsi" w:cstheme="majorHAnsi"/>
          <w:noProof/>
          <w:lang w:val="en-US"/>
        </w:rPr>
        <w:t xml:space="preserve">share of the </w:t>
      </w:r>
      <w:r w:rsidR="007403FD" w:rsidRPr="00AC6EC4">
        <w:rPr>
          <w:rFonts w:asciiTheme="majorHAnsi" w:hAnsiTheme="majorHAnsi" w:cstheme="majorHAnsi"/>
          <w:noProof/>
        </w:rPr>
        <w:t xml:space="preserve">Government debt for non-residents to be considered as </w:t>
      </w:r>
      <w:r w:rsidRPr="00AC6EC4">
        <w:rPr>
          <w:rFonts w:asciiTheme="majorHAnsi" w:hAnsiTheme="majorHAnsi" w:cstheme="majorHAnsi"/>
          <w:noProof/>
          <w:lang w:val="en-US"/>
        </w:rPr>
        <w:t xml:space="preserve">highly </w:t>
      </w:r>
      <w:r w:rsidR="007403FD" w:rsidRPr="00AC6EC4">
        <w:rPr>
          <w:rFonts w:asciiTheme="majorHAnsi" w:hAnsiTheme="majorHAnsi" w:cstheme="majorHAnsi"/>
          <w:noProof/>
        </w:rPr>
        <w:t>risky is 60% for the developing countries</w:t>
      </w:r>
      <w:r w:rsidR="00334F31" w:rsidRPr="00AC6EC4">
        <w:rPr>
          <w:rFonts w:asciiTheme="majorHAnsi" w:hAnsiTheme="majorHAnsi" w:cstheme="majorHAnsi"/>
          <w:noProof/>
        </w:rPr>
        <w:t xml:space="preserve"> according to the Guid</w:t>
      </w:r>
      <w:r w:rsidR="00334F31" w:rsidRPr="00AC6EC4">
        <w:rPr>
          <w:rFonts w:asciiTheme="majorHAnsi" w:hAnsiTheme="majorHAnsi" w:cstheme="majorHAnsi"/>
          <w:noProof/>
          <w:lang w:val="en-US"/>
        </w:rPr>
        <w:t>e</w:t>
      </w:r>
      <w:r w:rsidR="00334F31" w:rsidRPr="00AC6EC4">
        <w:rPr>
          <w:rFonts w:asciiTheme="majorHAnsi" w:hAnsiTheme="majorHAnsi" w:cstheme="majorHAnsi"/>
          <w:noProof/>
        </w:rPr>
        <w:t xml:space="preserve">line of the Government debt sustainability for the countries having access to the capital market </w:t>
      </w:r>
      <w:r w:rsidR="00334F31" w:rsidRPr="00AC6EC4">
        <w:rPr>
          <w:rFonts w:asciiTheme="majorHAnsi" w:hAnsiTheme="majorHAnsi" w:cstheme="majorHAnsi"/>
          <w:noProof/>
          <w:lang w:val="en-US"/>
        </w:rPr>
        <w:t>(</w:t>
      </w:r>
      <w:r w:rsidR="00334F31" w:rsidRPr="00AC6EC4">
        <w:rPr>
          <w:rFonts w:asciiTheme="majorHAnsi" w:hAnsiTheme="majorHAnsi" w:cstheme="majorHAnsi"/>
          <w:noProof/>
        </w:rPr>
        <w:t>published by the IMF on May 9, 2013</w:t>
      </w:r>
      <w:r w:rsidR="00334F31" w:rsidRPr="00AC6EC4">
        <w:rPr>
          <w:rFonts w:asciiTheme="majorHAnsi" w:hAnsiTheme="majorHAnsi" w:cstheme="majorHAnsi"/>
          <w:noProof/>
          <w:lang w:val="en-US"/>
        </w:rPr>
        <w:t>)</w:t>
      </w:r>
      <w:r w:rsidRPr="00AC6EC4">
        <w:rPr>
          <w:rFonts w:asciiTheme="majorHAnsi" w:hAnsiTheme="majorHAnsi" w:cstheme="majorHAnsi"/>
          <w:noProof/>
          <w:lang w:val="en-US"/>
        </w:rPr>
        <w:t xml:space="preserve">, which in turn is divided into early warning lower (15%) </w:t>
      </w:r>
      <w:r w:rsidR="009979B4" w:rsidRPr="00AC6EC4">
        <w:rPr>
          <w:rFonts w:asciiTheme="majorHAnsi" w:hAnsiTheme="majorHAnsi" w:cstheme="majorHAnsi"/>
          <w:noProof/>
          <w:lang w:val="en-US"/>
        </w:rPr>
        <w:t>and</w:t>
      </w:r>
      <w:r w:rsidRPr="00AC6EC4">
        <w:rPr>
          <w:rFonts w:asciiTheme="majorHAnsi" w:hAnsiTheme="majorHAnsi" w:cstheme="majorHAnsi"/>
          <w:noProof/>
          <w:lang w:val="en-US"/>
        </w:rPr>
        <w:t xml:space="preserve"> upper (45%) thresholds.</w:t>
      </w:r>
      <w:r w:rsidRPr="00AC6EC4">
        <w:rPr>
          <w:rFonts w:asciiTheme="majorHAnsi" w:hAnsiTheme="majorHAnsi" w:cstheme="majorHAnsi"/>
          <w:noProof/>
        </w:rPr>
        <w:t xml:space="preserve"> </w:t>
      </w:r>
      <w:r w:rsidR="00E048BF" w:rsidRPr="00AC6EC4">
        <w:rPr>
          <w:rFonts w:asciiTheme="majorHAnsi" w:hAnsiTheme="majorHAnsi" w:cstheme="majorHAnsi"/>
          <w:noProof/>
          <w:lang w:val="en-US"/>
        </w:rPr>
        <w:t>A</w:t>
      </w:r>
      <w:r w:rsidRPr="00AC6EC4">
        <w:rPr>
          <w:rFonts w:asciiTheme="majorHAnsi" w:hAnsiTheme="majorHAnsi" w:cstheme="majorHAnsi"/>
          <w:noProof/>
        </w:rPr>
        <w:t>mong the benchmark indicators of the debt portfolio</w:t>
      </w:r>
      <w:r w:rsidR="00E048BF" w:rsidRPr="00AC6EC4">
        <w:rPr>
          <w:rFonts w:asciiTheme="majorHAnsi" w:hAnsiTheme="majorHAnsi" w:cstheme="majorHAnsi"/>
          <w:noProof/>
          <w:lang w:val="en-US"/>
        </w:rPr>
        <w:t xml:space="preserve"> a</w:t>
      </w:r>
      <w:r w:rsidR="00E048BF" w:rsidRPr="00AC6EC4">
        <w:rPr>
          <w:rFonts w:asciiTheme="majorHAnsi" w:hAnsiTheme="majorHAnsi" w:cstheme="majorHAnsi"/>
          <w:noProof/>
        </w:rPr>
        <w:t>ccording to the</w:t>
      </w:r>
      <w:r w:rsidR="00E048BF" w:rsidRPr="00AC6EC4">
        <w:rPr>
          <w:rFonts w:asciiTheme="majorHAnsi" w:hAnsiTheme="majorHAnsi" w:cstheme="majorHAnsi"/>
          <w:noProof/>
          <w:lang w:val="en-US"/>
        </w:rPr>
        <w:t xml:space="preserve"> same </w:t>
      </w:r>
      <w:r w:rsidR="00E048BF" w:rsidRPr="00AC6EC4">
        <w:rPr>
          <w:rFonts w:asciiTheme="majorHAnsi" w:hAnsiTheme="majorHAnsi" w:cstheme="majorHAnsi"/>
          <w:noProof/>
        </w:rPr>
        <w:t>Guid</w:t>
      </w:r>
      <w:r w:rsidR="00E048BF" w:rsidRPr="00AC6EC4">
        <w:rPr>
          <w:rFonts w:asciiTheme="majorHAnsi" w:hAnsiTheme="majorHAnsi" w:cstheme="majorHAnsi"/>
          <w:noProof/>
          <w:lang w:val="en-US"/>
        </w:rPr>
        <w:t>e</w:t>
      </w:r>
      <w:r w:rsidR="00E048BF" w:rsidRPr="00AC6EC4">
        <w:rPr>
          <w:rFonts w:asciiTheme="majorHAnsi" w:hAnsiTheme="majorHAnsi" w:cstheme="majorHAnsi"/>
          <w:noProof/>
        </w:rPr>
        <w:t xml:space="preserve">line </w:t>
      </w:r>
      <w:r w:rsidR="00E048BF" w:rsidRPr="00AC6EC4">
        <w:rPr>
          <w:rFonts w:asciiTheme="majorHAnsi" w:hAnsiTheme="majorHAnsi" w:cstheme="majorHAnsi"/>
          <w:noProof/>
          <w:lang w:val="en-US"/>
        </w:rPr>
        <w:t>for developing countries</w:t>
      </w:r>
      <w:r w:rsidRPr="00AC6EC4">
        <w:rPr>
          <w:rFonts w:asciiTheme="majorHAnsi" w:hAnsiTheme="majorHAnsi" w:cstheme="majorHAnsi"/>
          <w:noProof/>
        </w:rPr>
        <w:t xml:space="preserve">, the </w:t>
      </w:r>
      <w:r w:rsidR="00B86B06" w:rsidRPr="00AC6EC4">
        <w:rPr>
          <w:rFonts w:asciiTheme="majorHAnsi" w:hAnsiTheme="majorHAnsi" w:cstheme="majorHAnsi"/>
          <w:noProof/>
          <w:lang w:val="en-US"/>
        </w:rPr>
        <w:t xml:space="preserve">level of the share </w:t>
      </w:r>
      <w:r w:rsidRPr="00AC6EC4">
        <w:rPr>
          <w:rFonts w:asciiTheme="majorHAnsi" w:hAnsiTheme="majorHAnsi" w:cstheme="majorHAnsi"/>
          <w:noProof/>
        </w:rPr>
        <w:t xml:space="preserve">of the </w:t>
      </w:r>
      <w:r w:rsidR="00B86B06" w:rsidRPr="00AC6EC4">
        <w:rPr>
          <w:rFonts w:asciiTheme="majorHAnsi" w:hAnsiTheme="majorHAnsi" w:cstheme="majorHAnsi"/>
          <w:noProof/>
          <w:lang w:val="en-US"/>
        </w:rPr>
        <w:t>foreign</w:t>
      </w:r>
      <w:r w:rsidR="00B86B06" w:rsidRPr="00AC6EC4">
        <w:rPr>
          <w:rFonts w:asciiTheme="majorHAnsi" w:hAnsiTheme="majorHAnsi" w:cstheme="majorHAnsi"/>
          <w:noProof/>
        </w:rPr>
        <w:t xml:space="preserve"> </w:t>
      </w:r>
      <w:r w:rsidR="00B86B06" w:rsidRPr="00AC6EC4">
        <w:rPr>
          <w:rFonts w:asciiTheme="majorHAnsi" w:hAnsiTheme="majorHAnsi" w:cstheme="majorHAnsi"/>
          <w:noProof/>
          <w:lang w:val="en-US"/>
        </w:rPr>
        <w:t xml:space="preserve">currency </w:t>
      </w:r>
      <w:r w:rsidRPr="00AC6EC4">
        <w:rPr>
          <w:rFonts w:asciiTheme="majorHAnsi" w:hAnsiTheme="majorHAnsi" w:cstheme="majorHAnsi"/>
          <w:noProof/>
        </w:rPr>
        <w:t xml:space="preserve">Government debt </w:t>
      </w:r>
      <w:r w:rsidR="009979B4" w:rsidRPr="00AC6EC4">
        <w:rPr>
          <w:rFonts w:asciiTheme="majorHAnsi" w:hAnsiTheme="majorHAnsi" w:cstheme="majorHAnsi"/>
          <w:noProof/>
          <w:lang w:val="en-US"/>
        </w:rPr>
        <w:t xml:space="preserve">to be </w:t>
      </w:r>
      <w:r w:rsidRPr="00AC6EC4">
        <w:rPr>
          <w:rFonts w:asciiTheme="majorHAnsi" w:hAnsiTheme="majorHAnsi" w:cstheme="majorHAnsi"/>
          <w:noProof/>
        </w:rPr>
        <w:t xml:space="preserve">considered as </w:t>
      </w:r>
      <w:r w:rsidRPr="00AC6EC4">
        <w:rPr>
          <w:rFonts w:asciiTheme="majorHAnsi" w:hAnsiTheme="majorHAnsi" w:cstheme="majorHAnsi"/>
          <w:noProof/>
          <w:lang w:val="en-US"/>
        </w:rPr>
        <w:t xml:space="preserve">highly </w:t>
      </w:r>
      <w:r w:rsidRPr="00AC6EC4">
        <w:rPr>
          <w:rFonts w:asciiTheme="majorHAnsi" w:hAnsiTheme="majorHAnsi" w:cstheme="majorHAnsi"/>
          <w:noProof/>
        </w:rPr>
        <w:t xml:space="preserve">risky is </w:t>
      </w:r>
      <w:r w:rsidR="00334F31" w:rsidRPr="00AC6EC4">
        <w:rPr>
          <w:rFonts w:asciiTheme="majorHAnsi" w:hAnsiTheme="majorHAnsi" w:cstheme="majorHAnsi"/>
          <w:noProof/>
          <w:lang w:val="en-US"/>
        </w:rPr>
        <w:t>8</w:t>
      </w:r>
      <w:r w:rsidRPr="00AC6EC4">
        <w:rPr>
          <w:rFonts w:asciiTheme="majorHAnsi" w:hAnsiTheme="majorHAnsi" w:cstheme="majorHAnsi"/>
          <w:noProof/>
        </w:rPr>
        <w:t>0% for the developing countries</w:t>
      </w:r>
      <w:r w:rsidRPr="00AC6EC4">
        <w:rPr>
          <w:rFonts w:asciiTheme="majorHAnsi" w:hAnsiTheme="majorHAnsi" w:cstheme="majorHAnsi"/>
          <w:noProof/>
          <w:lang w:val="en-US"/>
        </w:rPr>
        <w:t>, which in turn is divided into early warning lower (</w:t>
      </w:r>
      <w:r w:rsidR="00B86B06" w:rsidRPr="00AC6EC4">
        <w:rPr>
          <w:rFonts w:asciiTheme="majorHAnsi" w:hAnsiTheme="majorHAnsi" w:cstheme="majorHAnsi"/>
          <w:noProof/>
          <w:lang w:val="en-US"/>
        </w:rPr>
        <w:t>20</w:t>
      </w:r>
      <w:r w:rsidRPr="00AC6EC4">
        <w:rPr>
          <w:rFonts w:asciiTheme="majorHAnsi" w:hAnsiTheme="majorHAnsi" w:cstheme="majorHAnsi"/>
          <w:noProof/>
          <w:lang w:val="en-US"/>
        </w:rPr>
        <w:t xml:space="preserve">%) </w:t>
      </w:r>
      <w:r w:rsidR="009979B4" w:rsidRPr="00AC6EC4">
        <w:rPr>
          <w:rFonts w:asciiTheme="majorHAnsi" w:hAnsiTheme="majorHAnsi" w:cstheme="majorHAnsi"/>
          <w:noProof/>
          <w:lang w:val="en-US"/>
        </w:rPr>
        <w:t>and</w:t>
      </w:r>
      <w:r w:rsidRPr="00AC6EC4">
        <w:rPr>
          <w:rFonts w:asciiTheme="majorHAnsi" w:hAnsiTheme="majorHAnsi" w:cstheme="majorHAnsi"/>
          <w:noProof/>
          <w:lang w:val="en-US"/>
        </w:rPr>
        <w:t xml:space="preserve"> upper (</w:t>
      </w:r>
      <w:r w:rsidR="00B86B06" w:rsidRPr="00AC6EC4">
        <w:rPr>
          <w:rFonts w:asciiTheme="majorHAnsi" w:hAnsiTheme="majorHAnsi" w:cstheme="majorHAnsi"/>
          <w:noProof/>
          <w:lang w:val="en-US"/>
        </w:rPr>
        <w:t>60</w:t>
      </w:r>
      <w:r w:rsidRPr="00AC6EC4">
        <w:rPr>
          <w:rFonts w:asciiTheme="majorHAnsi" w:hAnsiTheme="majorHAnsi" w:cstheme="majorHAnsi"/>
          <w:noProof/>
          <w:lang w:val="en-US"/>
        </w:rPr>
        <w:t>%) thresholds.</w:t>
      </w:r>
    </w:p>
    <w:p w:rsidR="00B86B06" w:rsidRPr="00AC6EC4" w:rsidRDefault="00B86B06" w:rsidP="00B86B06">
      <w:pPr>
        <w:spacing w:after="240"/>
        <w:ind w:firstLine="0"/>
        <w:rPr>
          <w:rFonts w:asciiTheme="majorHAnsi" w:hAnsiTheme="majorHAnsi" w:cstheme="majorHAnsi"/>
          <w:lang w:eastAsia="ru-RU"/>
        </w:rPr>
      </w:pPr>
      <w:r w:rsidRPr="00AC6EC4">
        <w:rPr>
          <w:rFonts w:asciiTheme="majorHAnsi" w:hAnsiTheme="majorHAnsi" w:cstheme="majorHAnsi"/>
          <w:lang w:eastAsia="ru-RU"/>
        </w:rPr>
        <w:t xml:space="preserve">The deficit financing through the domestic net borrowings will be fulfilled by allocating of the up to one-year maturity Government short-term securities, 3 and 5-year maturity medium-term coupon notes, 10 and 30-year maturity long-term coupon bonds, as well as 6-month, 1, 2 and 3-year saving coupon bonds. </w:t>
      </w:r>
    </w:p>
    <w:p w:rsidR="009522CD" w:rsidRPr="00AC6EC4" w:rsidRDefault="009522CD" w:rsidP="009522CD">
      <w:pPr>
        <w:spacing w:after="240"/>
        <w:ind w:firstLine="0"/>
        <w:rPr>
          <w:rFonts w:asciiTheme="majorHAnsi" w:hAnsiTheme="majorHAnsi" w:cstheme="majorHAnsi"/>
          <w:lang w:eastAsia="ru-RU"/>
        </w:rPr>
      </w:pPr>
      <w:r w:rsidRPr="00AC6EC4">
        <w:rPr>
          <w:rFonts w:asciiTheme="majorHAnsi" w:hAnsiTheme="majorHAnsi" w:cstheme="majorHAnsi"/>
          <w:lang w:eastAsia="ru-RU"/>
        </w:rPr>
        <w:t xml:space="preserve">The deficit financing through the external net borrowings will be fulfilled by attracting project loans from the bilateral and multilateral international creditors. </w:t>
      </w:r>
    </w:p>
    <w:p w:rsidR="009522CD" w:rsidRPr="00AC6EC4" w:rsidRDefault="009522CD" w:rsidP="009522CD">
      <w:pPr>
        <w:spacing w:after="240"/>
        <w:ind w:firstLine="0"/>
        <w:rPr>
          <w:rFonts w:asciiTheme="majorHAnsi" w:hAnsiTheme="majorHAnsi" w:cstheme="majorHAnsi"/>
          <w:lang w:eastAsia="ru-RU"/>
        </w:rPr>
      </w:pPr>
      <w:r w:rsidRPr="00AC6EC4">
        <w:rPr>
          <w:rFonts w:asciiTheme="majorHAnsi" w:hAnsiTheme="majorHAnsi" w:cstheme="majorHAnsi"/>
          <w:lang w:eastAsia="ru-RU"/>
        </w:rPr>
        <w:t xml:space="preserve">The results of the selected strategy (S1) and the other two alternative strategies in perspective of cost-at-risk are presented below. As an alternative second strategy (S2) it was reviewed the double volume of the deficit financing through the domestic net borrowings against the selected strategy, and as an alternative third strategy (S3) it was reviewed the double less volume of the deficit financing through the domestic net borrowings or, which is the same, the larger volume of the deficit financing through the external net borrowings. The result was the following: </w:t>
      </w:r>
    </w:p>
    <w:p w:rsidR="0064537B" w:rsidRPr="00AC6EC4" w:rsidRDefault="00F825C0" w:rsidP="00F825C0">
      <w:pPr>
        <w:pStyle w:val="af5"/>
        <w:numPr>
          <w:ilvl w:val="0"/>
          <w:numId w:val="28"/>
        </w:numPr>
        <w:tabs>
          <w:tab w:val="left" w:pos="993"/>
        </w:tabs>
        <w:ind w:left="0" w:firstLine="0"/>
        <w:jc w:val="both"/>
        <w:rPr>
          <w:rFonts w:asciiTheme="majorHAnsi" w:hAnsiTheme="majorHAnsi" w:cstheme="majorHAnsi"/>
          <w:b w:val="0"/>
          <w:bCs w:val="0"/>
        </w:rPr>
      </w:pPr>
      <w:r w:rsidRPr="00AC6EC4">
        <w:rPr>
          <w:rFonts w:asciiTheme="majorHAnsi" w:hAnsiTheme="majorHAnsi" w:cstheme="majorHAnsi"/>
          <w:b w:val="0"/>
          <w:bCs w:val="0"/>
        </w:rPr>
        <w:lastRenderedPageBreak/>
        <w:t xml:space="preserve">  </w:t>
      </w:r>
      <w:r w:rsidR="001810DD" w:rsidRPr="00AC6EC4">
        <w:rPr>
          <w:rFonts w:asciiTheme="majorHAnsi" w:hAnsiTheme="majorHAnsi" w:cstheme="majorHAnsi"/>
          <w:b w:val="0"/>
          <w:bCs w:val="0"/>
        </w:rPr>
        <w:t>RA Government debt / GDP indicator in 2024</w:t>
      </w:r>
    </w:p>
    <w:p w:rsidR="00CC3B79" w:rsidRPr="00AC6EC4" w:rsidRDefault="00C162C4" w:rsidP="00237367">
      <w:pPr>
        <w:ind w:firstLine="0"/>
        <w:rPr>
          <w:rFonts w:asciiTheme="majorHAnsi" w:hAnsiTheme="majorHAnsi" w:cstheme="majorHAnsi"/>
          <w:color w:val="FF0000"/>
          <w:sz w:val="20"/>
          <w:szCs w:val="20"/>
        </w:rPr>
      </w:pPr>
      <w:r w:rsidRPr="00AC6EC4">
        <w:rPr>
          <w:rFonts w:asciiTheme="majorHAnsi" w:hAnsiTheme="majorHAnsi" w:cstheme="majorHAnsi"/>
          <w:noProof/>
          <w:lang w:val="en-US"/>
        </w:rPr>
        <w:drawing>
          <wp:inline distT="0" distB="0" distL="0" distR="0" wp14:anchorId="4DA01BFA" wp14:editId="125E2475">
            <wp:extent cx="4937761" cy="3000374"/>
            <wp:effectExtent l="0" t="0" r="15240" b="10160"/>
            <wp:docPr id="17" name="Chart 17">
              <a:extLst xmlns:a="http://schemas.openxmlformats.org/drawingml/2006/main">
                <a:ext uri="{FF2B5EF4-FFF2-40B4-BE49-F238E27FC236}">
                  <a16:creationId xmlns:a16="http://schemas.microsoft.com/office/drawing/2014/main" id="{00000000-0008-0000-1000-00002400F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33C6" w:rsidRPr="00AC6EC4" w:rsidRDefault="007B35FA" w:rsidP="00E633C6">
      <w:pPr>
        <w:spacing w:after="240"/>
        <w:rPr>
          <w:rFonts w:asciiTheme="majorHAnsi" w:hAnsiTheme="majorHAnsi" w:cstheme="majorHAnsi"/>
          <w:color w:val="000000"/>
        </w:rPr>
      </w:pPr>
      <w:r w:rsidRPr="00AC6EC4">
        <w:rPr>
          <w:rFonts w:asciiTheme="majorHAnsi" w:hAnsiTheme="majorHAnsi" w:cstheme="majorHAnsi"/>
          <w:color w:val="000000"/>
        </w:rPr>
        <w:t xml:space="preserve">The chart shows that </w:t>
      </w:r>
      <w:r w:rsidR="00207DB1" w:rsidRPr="00AC6EC4">
        <w:rPr>
          <w:rFonts w:asciiTheme="majorHAnsi" w:hAnsiTheme="majorHAnsi" w:cstheme="majorHAnsi"/>
          <w:color w:val="000000"/>
        </w:rPr>
        <w:t>from the selected three strategies</w:t>
      </w:r>
      <w:r w:rsidRPr="00AC6EC4">
        <w:rPr>
          <w:rFonts w:asciiTheme="majorHAnsi" w:hAnsiTheme="majorHAnsi" w:cstheme="majorHAnsi"/>
          <w:color w:val="000000"/>
        </w:rPr>
        <w:t>, as a cost indicator,</w:t>
      </w:r>
      <w:r w:rsidRPr="00AC6EC4">
        <w:rPr>
          <w:rFonts w:asciiTheme="majorHAnsi" w:hAnsiTheme="majorHAnsi" w:cstheme="majorHAnsi"/>
          <w:color w:val="000000"/>
          <w:lang w:val="en-US"/>
        </w:rPr>
        <w:t xml:space="preserve"> </w:t>
      </w:r>
      <w:r w:rsidRPr="00AC6EC4">
        <w:rPr>
          <w:rFonts w:asciiTheme="majorHAnsi" w:hAnsiTheme="majorHAnsi" w:cstheme="majorHAnsi"/>
          <w:color w:val="000000"/>
        </w:rPr>
        <w:t xml:space="preserve">the RA Government debt / GDP indicator </w:t>
      </w:r>
      <w:r w:rsidRPr="00AC6EC4">
        <w:rPr>
          <w:rFonts w:asciiTheme="majorHAnsi" w:hAnsiTheme="majorHAnsi" w:cstheme="majorHAnsi"/>
          <w:color w:val="000000"/>
          <w:lang w:val="en-US"/>
        </w:rPr>
        <w:t xml:space="preserve">of </w:t>
      </w:r>
      <w:r w:rsidR="00207DB1" w:rsidRPr="00AC6EC4">
        <w:rPr>
          <w:rFonts w:asciiTheme="majorHAnsi" w:hAnsiTheme="majorHAnsi" w:cstheme="majorHAnsi"/>
          <w:color w:val="000000"/>
        </w:rPr>
        <w:t xml:space="preserve">S2 </w:t>
      </w:r>
      <w:r w:rsidR="00207DB1" w:rsidRPr="00AC6EC4">
        <w:rPr>
          <w:rFonts w:asciiTheme="majorHAnsi" w:hAnsiTheme="majorHAnsi" w:cstheme="majorHAnsi"/>
          <w:color w:val="000000"/>
          <w:lang w:val="en-US"/>
        </w:rPr>
        <w:t xml:space="preserve">amounted at </w:t>
      </w:r>
      <w:r w:rsidR="00207DB1" w:rsidRPr="00AC6EC4">
        <w:rPr>
          <w:rFonts w:asciiTheme="majorHAnsi" w:hAnsiTheme="majorHAnsi" w:cstheme="majorHAnsi"/>
        </w:rPr>
        <w:t>58</w:t>
      </w:r>
      <w:r w:rsidR="00B502B3" w:rsidRPr="00AC6EC4">
        <w:rPr>
          <w:rFonts w:asciiTheme="majorHAnsi" w:hAnsiTheme="majorHAnsi" w:cstheme="majorHAnsi"/>
          <w:lang w:val="en-US"/>
        </w:rPr>
        <w:t>.</w:t>
      </w:r>
      <w:r w:rsidR="00207DB1" w:rsidRPr="00AC6EC4">
        <w:rPr>
          <w:rFonts w:asciiTheme="majorHAnsi" w:hAnsiTheme="majorHAnsi" w:cstheme="majorHAnsi"/>
        </w:rPr>
        <w:t xml:space="preserve">0% </w:t>
      </w:r>
      <w:r w:rsidR="00207DB1" w:rsidRPr="00AC6EC4">
        <w:rPr>
          <w:rFonts w:asciiTheme="majorHAnsi" w:hAnsiTheme="majorHAnsi" w:cstheme="majorHAnsi"/>
          <w:lang w:val="en-US"/>
        </w:rPr>
        <w:t xml:space="preserve">and </w:t>
      </w:r>
      <w:r w:rsidRPr="00AC6EC4">
        <w:rPr>
          <w:rFonts w:asciiTheme="majorHAnsi" w:hAnsiTheme="majorHAnsi" w:cstheme="majorHAnsi"/>
          <w:lang w:val="en-US"/>
        </w:rPr>
        <w:t xml:space="preserve">it </w:t>
      </w:r>
      <w:r w:rsidR="00207DB1" w:rsidRPr="00AC6EC4">
        <w:rPr>
          <w:rFonts w:asciiTheme="majorHAnsi" w:hAnsiTheme="majorHAnsi" w:cstheme="majorHAnsi"/>
          <w:lang w:val="en-US"/>
        </w:rPr>
        <w:t xml:space="preserve">is </w:t>
      </w:r>
      <w:r w:rsidR="00207DB1" w:rsidRPr="00AC6EC4">
        <w:rPr>
          <w:rFonts w:asciiTheme="majorHAnsi" w:hAnsiTheme="majorHAnsi" w:cstheme="majorHAnsi"/>
          <w:color w:val="000000"/>
        </w:rPr>
        <w:t>the highest</w:t>
      </w:r>
      <w:r w:rsidR="00207DB1" w:rsidRPr="00AC6EC4">
        <w:rPr>
          <w:rFonts w:asciiTheme="majorHAnsi" w:hAnsiTheme="majorHAnsi" w:cstheme="majorHAnsi"/>
          <w:color w:val="000000"/>
          <w:lang w:val="en-US"/>
        </w:rPr>
        <w:t>. With respect to the cost, S2 strategy exceeds S1 strategy by 1.2</w:t>
      </w:r>
      <w:r w:rsidR="00207DB1" w:rsidRPr="00AC6EC4">
        <w:rPr>
          <w:rFonts w:asciiTheme="majorHAnsi" w:hAnsiTheme="majorHAnsi" w:cstheme="majorHAnsi"/>
          <w:color w:val="000000"/>
        </w:rPr>
        <w:t xml:space="preserve"> percentage points</w:t>
      </w:r>
      <w:r w:rsidR="00207DB1" w:rsidRPr="00AC6EC4">
        <w:rPr>
          <w:rFonts w:asciiTheme="majorHAnsi" w:hAnsiTheme="majorHAnsi" w:cstheme="majorHAnsi"/>
          <w:color w:val="000000"/>
          <w:lang w:val="en-US"/>
        </w:rPr>
        <w:t xml:space="preserve">, but </w:t>
      </w:r>
      <w:r w:rsidR="006801C8" w:rsidRPr="00AC6EC4">
        <w:rPr>
          <w:rFonts w:asciiTheme="majorHAnsi" w:hAnsiTheme="majorHAnsi" w:cstheme="majorHAnsi"/>
          <w:color w:val="000000"/>
          <w:lang w:val="en-US"/>
        </w:rPr>
        <w:t xml:space="preserve">S1 strategy </w:t>
      </w:r>
      <w:r w:rsidR="00207DB1" w:rsidRPr="00AC6EC4">
        <w:rPr>
          <w:rFonts w:asciiTheme="majorHAnsi" w:hAnsiTheme="majorHAnsi" w:cstheme="majorHAnsi"/>
          <w:color w:val="000000"/>
          <w:lang w:val="en-US"/>
        </w:rPr>
        <w:t xml:space="preserve">contains 0.7 </w:t>
      </w:r>
      <w:r w:rsidR="00207DB1" w:rsidRPr="00AC6EC4">
        <w:rPr>
          <w:rFonts w:asciiTheme="majorHAnsi" w:hAnsiTheme="majorHAnsi" w:cstheme="majorHAnsi"/>
        </w:rPr>
        <w:t>percentage point</w:t>
      </w:r>
      <w:r w:rsidR="00207DB1" w:rsidRPr="00AC6EC4">
        <w:rPr>
          <w:rFonts w:asciiTheme="majorHAnsi" w:hAnsiTheme="majorHAnsi" w:cstheme="majorHAnsi"/>
          <w:lang w:val="en-US"/>
        </w:rPr>
        <w:t>s more risk</w:t>
      </w:r>
      <w:r w:rsidR="00207DB1" w:rsidRPr="00AC6EC4">
        <w:rPr>
          <w:rFonts w:asciiTheme="majorHAnsi" w:hAnsiTheme="majorHAnsi" w:cstheme="majorHAnsi"/>
          <w:color w:val="000000"/>
          <w:lang w:val="en-US"/>
        </w:rPr>
        <w:t>. I</w:t>
      </w:r>
      <w:r w:rsidR="00207DB1" w:rsidRPr="00AC6EC4">
        <w:rPr>
          <w:rFonts w:asciiTheme="majorHAnsi" w:hAnsiTheme="majorHAnsi" w:cstheme="majorHAnsi"/>
          <w:color w:val="000000"/>
        </w:rPr>
        <w:t xml:space="preserve">f 30% exchange rate shock is applied </w:t>
      </w:r>
      <w:r w:rsidR="00207DB1" w:rsidRPr="00AC6EC4">
        <w:rPr>
          <w:rFonts w:asciiTheme="majorHAnsi" w:hAnsiTheme="majorHAnsi" w:cstheme="majorHAnsi"/>
          <w:color w:val="000000"/>
          <w:lang w:val="en-US"/>
        </w:rPr>
        <w:t>for 2022, R3 strategy contains the highest risk, which is higher by 0.08 percentage points from R1 strategy</w:t>
      </w:r>
      <w:r w:rsidR="00E633C6" w:rsidRPr="00AC6EC4">
        <w:rPr>
          <w:rFonts w:asciiTheme="majorHAnsi" w:hAnsiTheme="majorHAnsi" w:cstheme="majorHAnsi"/>
          <w:color w:val="000000"/>
          <w:lang w:val="en-US"/>
        </w:rPr>
        <w:t xml:space="preserve"> and by 0.15 percentage points</w:t>
      </w:r>
      <w:r w:rsidR="006801C8" w:rsidRPr="00AC6EC4">
        <w:rPr>
          <w:rFonts w:asciiTheme="majorHAnsi" w:hAnsiTheme="majorHAnsi" w:cstheme="majorHAnsi"/>
          <w:color w:val="000000"/>
          <w:lang w:val="en-US"/>
        </w:rPr>
        <w:t xml:space="preserve"> from R2 strategy</w:t>
      </w:r>
      <w:r w:rsidR="00E633C6" w:rsidRPr="00AC6EC4">
        <w:rPr>
          <w:rFonts w:asciiTheme="majorHAnsi" w:hAnsiTheme="majorHAnsi" w:cstheme="majorHAnsi"/>
          <w:color w:val="000000"/>
          <w:lang w:val="en-US"/>
        </w:rPr>
        <w:t>. R1 strate</w:t>
      </w:r>
      <w:r w:rsidR="002E4CCE">
        <w:rPr>
          <w:rFonts w:asciiTheme="majorHAnsi" w:hAnsiTheme="majorHAnsi" w:cstheme="majorHAnsi"/>
          <w:color w:val="000000"/>
          <w:lang w:val="en-US"/>
        </w:rPr>
        <w:t>g</w:t>
      </w:r>
      <w:r w:rsidR="00E633C6" w:rsidRPr="00AC6EC4">
        <w:rPr>
          <w:rFonts w:asciiTheme="majorHAnsi" w:hAnsiTheme="majorHAnsi" w:cstheme="majorHAnsi"/>
          <w:color w:val="000000"/>
          <w:lang w:val="en-US"/>
        </w:rPr>
        <w:t>y is definitely preferable than R3 strategy, because it contains less cost and risk. Moreover, R3 strategy assumes an increase in the share of foreign currency debt, and consequently a higher exchange rate risk, which is alr</w:t>
      </w:r>
      <w:r w:rsidR="001E0F92" w:rsidRPr="00AC6EC4">
        <w:rPr>
          <w:rFonts w:asciiTheme="majorHAnsi" w:hAnsiTheme="majorHAnsi" w:cstheme="majorHAnsi"/>
          <w:color w:val="000000"/>
          <w:lang w:val="en-US"/>
        </w:rPr>
        <w:t xml:space="preserve">eady the most significant risk </w:t>
      </w:r>
      <w:r w:rsidR="00E633C6" w:rsidRPr="00AC6EC4">
        <w:rPr>
          <w:rFonts w:asciiTheme="majorHAnsi" w:hAnsiTheme="majorHAnsi" w:cstheme="majorHAnsi"/>
          <w:color w:val="000000"/>
          <w:lang w:val="en-US"/>
        </w:rPr>
        <w:t>o</w:t>
      </w:r>
      <w:r w:rsidR="001E0F92" w:rsidRPr="00AC6EC4">
        <w:rPr>
          <w:rFonts w:asciiTheme="majorHAnsi" w:hAnsiTheme="majorHAnsi" w:cstheme="majorHAnsi"/>
          <w:color w:val="000000"/>
          <w:lang w:val="en-US"/>
        </w:rPr>
        <w:t>f</w:t>
      </w:r>
      <w:r w:rsidR="00E633C6" w:rsidRPr="00AC6EC4">
        <w:rPr>
          <w:rFonts w:asciiTheme="majorHAnsi" w:hAnsiTheme="majorHAnsi" w:cstheme="majorHAnsi"/>
          <w:color w:val="000000"/>
          <w:lang w:val="en-US"/>
        </w:rPr>
        <w:t xml:space="preserve"> the existing government debt. </w:t>
      </w:r>
      <w:r w:rsidR="001E0F92" w:rsidRPr="00AC6EC4">
        <w:rPr>
          <w:rFonts w:asciiTheme="majorHAnsi" w:hAnsiTheme="majorHAnsi" w:cstheme="majorHAnsi"/>
          <w:color w:val="000000"/>
          <w:lang w:val="en-US"/>
        </w:rPr>
        <w:t>Selection</w:t>
      </w:r>
      <w:r w:rsidR="00E633C6" w:rsidRPr="00AC6EC4">
        <w:rPr>
          <w:rFonts w:asciiTheme="majorHAnsi" w:hAnsiTheme="majorHAnsi" w:cstheme="majorHAnsi"/>
          <w:color w:val="000000"/>
        </w:rPr>
        <w:t xml:space="preserve"> of </w:t>
      </w:r>
      <w:r w:rsidR="001E0F92" w:rsidRPr="00AC6EC4">
        <w:rPr>
          <w:rFonts w:asciiTheme="majorHAnsi" w:hAnsiTheme="majorHAnsi" w:cstheme="majorHAnsi"/>
          <w:color w:val="000000"/>
          <w:lang w:val="en-US"/>
        </w:rPr>
        <w:t xml:space="preserve">the </w:t>
      </w:r>
      <w:r w:rsidR="00E633C6" w:rsidRPr="00AC6EC4">
        <w:rPr>
          <w:rFonts w:asciiTheme="majorHAnsi" w:hAnsiTheme="majorHAnsi" w:cstheme="majorHAnsi"/>
          <w:color w:val="000000"/>
        </w:rPr>
        <w:t xml:space="preserve">strategies is </w:t>
      </w:r>
      <w:r w:rsidR="001E0F92" w:rsidRPr="00AC6EC4">
        <w:rPr>
          <w:rFonts w:asciiTheme="majorHAnsi" w:hAnsiTheme="majorHAnsi" w:cstheme="majorHAnsi"/>
          <w:color w:val="000000"/>
          <w:lang w:val="en-US"/>
        </w:rPr>
        <w:t>happ</w:t>
      </w:r>
      <w:r w:rsidR="002E4CCE">
        <w:rPr>
          <w:rFonts w:asciiTheme="majorHAnsi" w:hAnsiTheme="majorHAnsi" w:cstheme="majorHAnsi"/>
          <w:color w:val="000000"/>
          <w:lang w:val="en-US"/>
        </w:rPr>
        <w:t>e</w:t>
      </w:r>
      <w:r w:rsidR="001E0F92" w:rsidRPr="00AC6EC4">
        <w:rPr>
          <w:rFonts w:asciiTheme="majorHAnsi" w:hAnsiTheme="majorHAnsi" w:cstheme="majorHAnsi"/>
          <w:color w:val="000000"/>
          <w:lang w:val="en-US"/>
        </w:rPr>
        <w:t>ning</w:t>
      </w:r>
      <w:r w:rsidR="00E633C6" w:rsidRPr="00AC6EC4">
        <w:rPr>
          <w:rFonts w:asciiTheme="majorHAnsi" w:hAnsiTheme="majorHAnsi" w:cstheme="majorHAnsi"/>
          <w:color w:val="000000"/>
        </w:rPr>
        <w:t xml:space="preserve"> as a result of the study and analysis of </w:t>
      </w:r>
      <w:r w:rsidR="001E0F92" w:rsidRPr="00AC6EC4">
        <w:rPr>
          <w:rFonts w:asciiTheme="majorHAnsi" w:hAnsiTheme="majorHAnsi" w:cstheme="majorHAnsi"/>
          <w:color w:val="000000"/>
          <w:lang w:val="en-US"/>
        </w:rPr>
        <w:t>the</w:t>
      </w:r>
      <w:r w:rsidR="00E633C6" w:rsidRPr="00AC6EC4">
        <w:rPr>
          <w:rFonts w:asciiTheme="majorHAnsi" w:hAnsiTheme="majorHAnsi" w:cstheme="majorHAnsi"/>
          <w:color w:val="000000"/>
        </w:rPr>
        <w:t xml:space="preserve"> whole system of cost</w:t>
      </w:r>
      <w:r w:rsidR="00A02584" w:rsidRPr="00AC6EC4">
        <w:rPr>
          <w:rFonts w:asciiTheme="majorHAnsi" w:hAnsiTheme="majorHAnsi" w:cstheme="majorHAnsi"/>
          <w:color w:val="000000"/>
          <w:lang w:val="en-US"/>
        </w:rPr>
        <w:t>-</w:t>
      </w:r>
      <w:r w:rsidR="001E0F92" w:rsidRPr="00AC6EC4">
        <w:rPr>
          <w:rFonts w:asciiTheme="majorHAnsi" w:hAnsiTheme="majorHAnsi" w:cstheme="majorHAnsi"/>
          <w:color w:val="000000"/>
          <w:lang w:val="en-US"/>
        </w:rPr>
        <w:t>at</w:t>
      </w:r>
      <w:r w:rsidR="00A02584" w:rsidRPr="00AC6EC4">
        <w:rPr>
          <w:rFonts w:asciiTheme="majorHAnsi" w:hAnsiTheme="majorHAnsi" w:cstheme="majorHAnsi"/>
          <w:color w:val="000000"/>
          <w:lang w:val="en-US"/>
        </w:rPr>
        <w:t>-</w:t>
      </w:r>
      <w:r w:rsidR="00E633C6" w:rsidRPr="00AC6EC4">
        <w:rPr>
          <w:rFonts w:asciiTheme="majorHAnsi" w:hAnsiTheme="majorHAnsi" w:cstheme="majorHAnsi"/>
          <w:color w:val="000000"/>
        </w:rPr>
        <w:t>risk indicators.</w:t>
      </w:r>
    </w:p>
    <w:p w:rsidR="00E633C6" w:rsidRPr="00AC6EC4" w:rsidRDefault="00E633C6" w:rsidP="00E633C6">
      <w:pPr>
        <w:spacing w:after="240"/>
        <w:ind w:firstLine="0"/>
        <w:rPr>
          <w:rFonts w:asciiTheme="majorHAnsi" w:hAnsiTheme="majorHAnsi" w:cstheme="majorHAnsi"/>
        </w:rPr>
      </w:pPr>
      <w:r w:rsidRPr="00AC6EC4">
        <w:rPr>
          <w:rFonts w:asciiTheme="majorHAnsi" w:hAnsiTheme="majorHAnsi" w:cstheme="majorHAnsi"/>
        </w:rPr>
        <w:t>In addition, the 30% exchange rate depreciation shock is the typical maximum shock used for depreciation of the local currency in the debt medium-term strategy analytical toolkit developed jointly by the WB and IMF. The historical maximum value of AMD depreciation comprised 23.6% in 2009 (AMD against USD exchange rates at the end of the years were considered as base data).</w:t>
      </w:r>
    </w:p>
    <w:p w:rsidR="0000576D" w:rsidRPr="00AC6EC4" w:rsidRDefault="0000576D" w:rsidP="0000576D">
      <w:pPr>
        <w:spacing w:after="240"/>
        <w:ind w:firstLine="0"/>
        <w:rPr>
          <w:rFonts w:asciiTheme="majorHAnsi" w:hAnsiTheme="majorHAnsi" w:cstheme="majorHAnsi"/>
        </w:rPr>
      </w:pPr>
      <w:r w:rsidRPr="00AC6EC4">
        <w:rPr>
          <w:rFonts w:asciiTheme="majorHAnsi" w:hAnsiTheme="majorHAnsi" w:cstheme="majorHAnsi"/>
        </w:rPr>
        <w:t xml:space="preserve">The above mentioned analysis confirms that it is necessary to develop the domestic public debt market and gradually increase the share of net deficit financing through the domestic sources in the net deficit financing taking into account potential risks. Therefore, combining all factors, the S1 strategy (baseline scenario) was preferred. </w:t>
      </w:r>
    </w:p>
    <w:p w:rsidR="001A353C" w:rsidRPr="00AC6EC4" w:rsidRDefault="001A353C" w:rsidP="001A353C">
      <w:pPr>
        <w:spacing w:after="240"/>
        <w:ind w:firstLine="0"/>
        <w:rPr>
          <w:rFonts w:asciiTheme="majorHAnsi" w:hAnsiTheme="majorHAnsi" w:cstheme="majorHAnsi"/>
        </w:rPr>
      </w:pPr>
      <w:r w:rsidRPr="00AC6EC4">
        <w:rPr>
          <w:rFonts w:asciiTheme="majorHAnsi" w:hAnsiTheme="majorHAnsi" w:cstheme="majorHAnsi"/>
        </w:rPr>
        <w:t>Trends in improving the macro-environment in the economy, the existing level of the liquidity and the formulated stable demand for the Government treasury securities were taken into account while planning the structure of the deficit financing through the domestic net borrowings.</w:t>
      </w:r>
    </w:p>
    <w:p w:rsidR="001A353C" w:rsidRPr="00AC6EC4" w:rsidRDefault="001A353C" w:rsidP="00B502B3">
      <w:pPr>
        <w:spacing w:after="240"/>
        <w:ind w:firstLine="0"/>
        <w:rPr>
          <w:rFonts w:asciiTheme="majorHAnsi" w:hAnsiTheme="majorHAnsi" w:cstheme="majorHAnsi"/>
        </w:rPr>
      </w:pPr>
      <w:r w:rsidRPr="00AC6EC4">
        <w:rPr>
          <w:rFonts w:asciiTheme="majorHAnsi" w:hAnsiTheme="majorHAnsi" w:cstheme="majorHAnsi"/>
        </w:rPr>
        <w:t>The State budget deficit financing through net borrowings for 2021-2024 is planned to be implemented as follows:</w:t>
      </w:r>
    </w:p>
    <w:p w:rsidR="00013D78" w:rsidRPr="00AC6EC4" w:rsidRDefault="00C06E1E" w:rsidP="00C06E1E">
      <w:pPr>
        <w:pStyle w:val="Heading5"/>
        <w:numPr>
          <w:ilvl w:val="0"/>
          <w:numId w:val="29"/>
        </w:numPr>
        <w:spacing w:line="240" w:lineRule="auto"/>
        <w:ind w:left="993" w:hanging="993"/>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lastRenderedPageBreak/>
        <w:t>State budget deficit financing through net borrowings for 202</w:t>
      </w:r>
      <w:r w:rsidRPr="00AC6EC4">
        <w:rPr>
          <w:rStyle w:val="Emphasis"/>
          <w:rFonts w:asciiTheme="majorHAnsi" w:hAnsiTheme="majorHAnsi" w:cstheme="majorHAnsi"/>
          <w:b w:val="0"/>
          <w:sz w:val="24"/>
          <w:szCs w:val="24"/>
          <w:lang w:val="en-US"/>
        </w:rPr>
        <w:t>1</w:t>
      </w:r>
      <w:r w:rsidRPr="00AC6EC4">
        <w:rPr>
          <w:rStyle w:val="Emphasis"/>
          <w:rFonts w:asciiTheme="majorHAnsi" w:hAnsiTheme="majorHAnsi" w:cstheme="majorHAnsi"/>
          <w:b w:val="0"/>
          <w:sz w:val="24"/>
          <w:szCs w:val="24"/>
        </w:rPr>
        <w:t>-202</w:t>
      </w:r>
      <w:r w:rsidRPr="00AC6EC4">
        <w:rPr>
          <w:rStyle w:val="Emphasis"/>
          <w:rFonts w:asciiTheme="majorHAnsi" w:hAnsiTheme="majorHAnsi" w:cstheme="majorHAnsi"/>
          <w:b w:val="0"/>
          <w:sz w:val="24"/>
          <w:szCs w:val="24"/>
          <w:lang w:val="en-US"/>
        </w:rPr>
        <w:t>4</w:t>
      </w:r>
      <w:r w:rsidRPr="00AC6EC4">
        <w:rPr>
          <w:rStyle w:val="Emphasis"/>
          <w:rFonts w:asciiTheme="majorHAnsi" w:hAnsiTheme="majorHAnsi" w:cstheme="majorHAnsi"/>
          <w:b w:val="0"/>
          <w:sz w:val="24"/>
          <w:szCs w:val="24"/>
        </w:rPr>
        <w:t xml:space="preserve"> (billion AMD)</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2"/>
        <w:gridCol w:w="1364"/>
        <w:gridCol w:w="1167"/>
        <w:gridCol w:w="1003"/>
        <w:gridCol w:w="1007"/>
        <w:gridCol w:w="1027"/>
      </w:tblGrid>
      <w:tr w:rsidR="00D840A9" w:rsidRPr="00AC6EC4" w:rsidTr="00D67F2F">
        <w:trPr>
          <w:trHeight w:val="797"/>
          <w:tblHeader/>
          <w:jc w:val="center"/>
        </w:trPr>
        <w:tc>
          <w:tcPr>
            <w:tcW w:w="4762" w:type="dxa"/>
            <w:tcBorders>
              <w:top w:val="thinThickThinSmallGap" w:sz="24" w:space="0" w:color="auto"/>
              <w:left w:val="nil"/>
              <w:bottom w:val="thinThickSmallGap" w:sz="24" w:space="0" w:color="auto"/>
              <w:right w:val="nil"/>
            </w:tcBorders>
            <w:shd w:val="clear" w:color="auto" w:fill="365F91" w:themeFill="accent1" w:themeFillShade="BF"/>
          </w:tcPr>
          <w:p w:rsidR="00D840A9" w:rsidRPr="00AC6EC4" w:rsidRDefault="00D840A9" w:rsidP="00062901">
            <w:pPr>
              <w:spacing w:line="240" w:lineRule="auto"/>
              <w:ind w:firstLine="94"/>
              <w:rPr>
                <w:rFonts w:asciiTheme="majorHAnsi" w:hAnsiTheme="majorHAnsi" w:cstheme="majorHAnsi"/>
                <w:color w:val="FFFFFF" w:themeColor="background1"/>
              </w:rPr>
            </w:pPr>
          </w:p>
        </w:tc>
        <w:tc>
          <w:tcPr>
            <w:tcW w:w="1364"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D67F2F" w:rsidRPr="00AC6EC4" w:rsidRDefault="00D840A9" w:rsidP="00062901">
            <w:pPr>
              <w:spacing w:line="240" w:lineRule="auto"/>
              <w:ind w:firstLine="94"/>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1</w:t>
            </w:r>
            <w:r w:rsidRPr="00AC6EC4">
              <w:rPr>
                <w:rFonts w:asciiTheme="majorHAnsi" w:hAnsiTheme="majorHAnsi" w:cstheme="majorHAnsi"/>
                <w:color w:val="FFFFFF" w:themeColor="background1"/>
              </w:rPr>
              <w:t xml:space="preserve"> </w:t>
            </w:r>
          </w:p>
          <w:p w:rsidR="00D840A9" w:rsidRPr="00AC6EC4" w:rsidRDefault="00D67F2F" w:rsidP="00062901">
            <w:pPr>
              <w:spacing w:line="240" w:lineRule="auto"/>
              <w:ind w:firstLine="94"/>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167"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D840A9" w:rsidRPr="00AC6EC4" w:rsidRDefault="00D840A9" w:rsidP="00062901">
            <w:pPr>
              <w:spacing w:line="240" w:lineRule="auto"/>
              <w:ind w:firstLine="94"/>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1</w:t>
            </w:r>
            <w:r w:rsidR="00D67F2F" w:rsidRPr="00AC6EC4">
              <w:rPr>
                <w:rFonts w:asciiTheme="majorHAnsi" w:hAnsiTheme="majorHAnsi" w:cstheme="majorHAnsi"/>
                <w:color w:val="FFFFFF" w:themeColor="background1"/>
              </w:rPr>
              <w:t xml:space="preserve"> forecast</w:t>
            </w:r>
          </w:p>
        </w:tc>
        <w:tc>
          <w:tcPr>
            <w:tcW w:w="1003"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D840A9" w:rsidRPr="00AC6EC4" w:rsidRDefault="00D840A9" w:rsidP="00062901">
            <w:pPr>
              <w:spacing w:line="240" w:lineRule="auto"/>
              <w:ind w:firstLine="94"/>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2</w:t>
            </w:r>
            <w:r w:rsidRPr="00AC6EC4">
              <w:rPr>
                <w:rFonts w:asciiTheme="majorHAnsi" w:hAnsiTheme="majorHAnsi" w:cstheme="majorHAnsi"/>
                <w:color w:val="FFFFFF" w:themeColor="background1"/>
              </w:rPr>
              <w:t xml:space="preserve"> </w:t>
            </w:r>
            <w:r w:rsidR="00D67F2F" w:rsidRPr="00AC6EC4">
              <w:rPr>
                <w:rFonts w:asciiTheme="majorHAnsi" w:hAnsiTheme="majorHAnsi" w:cstheme="majorHAnsi"/>
                <w:color w:val="FFFFFF" w:themeColor="background1"/>
              </w:rPr>
              <w:t>forecast</w:t>
            </w:r>
          </w:p>
        </w:tc>
        <w:tc>
          <w:tcPr>
            <w:tcW w:w="1007"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D840A9" w:rsidRPr="00AC6EC4" w:rsidRDefault="00D840A9" w:rsidP="00062901">
            <w:pPr>
              <w:spacing w:line="240" w:lineRule="auto"/>
              <w:ind w:firstLine="94"/>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3</w:t>
            </w:r>
            <w:r w:rsidRPr="00AC6EC4">
              <w:rPr>
                <w:rFonts w:asciiTheme="majorHAnsi" w:hAnsiTheme="majorHAnsi" w:cstheme="majorHAnsi"/>
                <w:color w:val="FFFFFF" w:themeColor="background1"/>
              </w:rPr>
              <w:t xml:space="preserve"> </w:t>
            </w:r>
            <w:r w:rsidR="00D67F2F" w:rsidRPr="00AC6EC4">
              <w:rPr>
                <w:rFonts w:asciiTheme="majorHAnsi" w:hAnsiTheme="majorHAnsi" w:cstheme="majorHAnsi"/>
                <w:color w:val="FFFFFF" w:themeColor="background1"/>
              </w:rPr>
              <w:t>forecast</w:t>
            </w:r>
          </w:p>
        </w:tc>
        <w:tc>
          <w:tcPr>
            <w:tcW w:w="1027"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D840A9" w:rsidRPr="00AC6EC4" w:rsidRDefault="00D840A9" w:rsidP="00062901">
            <w:pPr>
              <w:spacing w:line="240" w:lineRule="auto"/>
              <w:ind w:firstLine="94"/>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4</w:t>
            </w:r>
            <w:r w:rsidRPr="00AC6EC4">
              <w:rPr>
                <w:rFonts w:asciiTheme="majorHAnsi" w:hAnsiTheme="majorHAnsi" w:cstheme="majorHAnsi"/>
                <w:color w:val="FFFFFF" w:themeColor="background1"/>
              </w:rPr>
              <w:t xml:space="preserve"> </w:t>
            </w:r>
            <w:r w:rsidR="00D67F2F" w:rsidRPr="00AC6EC4">
              <w:rPr>
                <w:rFonts w:asciiTheme="majorHAnsi" w:hAnsiTheme="majorHAnsi" w:cstheme="majorHAnsi"/>
                <w:color w:val="FFFFFF" w:themeColor="background1"/>
              </w:rPr>
              <w:t>forecast</w:t>
            </w:r>
          </w:p>
        </w:tc>
      </w:tr>
      <w:tr w:rsidR="00D67F2F" w:rsidRPr="00AC6EC4" w:rsidTr="007E37AA">
        <w:trPr>
          <w:trHeight w:val="525"/>
          <w:jc w:val="center"/>
        </w:trPr>
        <w:tc>
          <w:tcPr>
            <w:tcW w:w="4762" w:type="dxa"/>
            <w:tcBorders>
              <w:top w:val="thinThickSmallGap" w:sz="24" w:space="0" w:color="auto"/>
              <w:left w:val="nil"/>
              <w:right w:val="nil"/>
            </w:tcBorders>
            <w:vAlign w:val="center"/>
          </w:tcPr>
          <w:p w:rsidR="00D67F2F" w:rsidRPr="00AC6EC4" w:rsidRDefault="00D67F2F" w:rsidP="00062901">
            <w:pPr>
              <w:spacing w:line="240" w:lineRule="auto"/>
              <w:ind w:left="85" w:hanging="48"/>
              <w:rPr>
                <w:rFonts w:asciiTheme="majorHAnsi" w:hAnsiTheme="majorHAnsi" w:cstheme="majorHAnsi"/>
              </w:rPr>
            </w:pPr>
            <w:r w:rsidRPr="00AC6EC4">
              <w:rPr>
                <w:rFonts w:asciiTheme="majorHAnsi" w:hAnsiTheme="majorHAnsi" w:cstheme="majorHAnsi"/>
              </w:rPr>
              <w:t>State budget deficit financing through net borrowings</w:t>
            </w:r>
          </w:p>
        </w:tc>
        <w:tc>
          <w:tcPr>
            <w:tcW w:w="1364" w:type="dxa"/>
            <w:tcBorders>
              <w:top w:val="thinThickSmallGap" w:sz="24" w:space="0" w:color="auto"/>
              <w:left w:val="nil"/>
              <w:right w:val="double" w:sz="4" w:space="0" w:color="auto"/>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478.0</w:t>
            </w:r>
          </w:p>
        </w:tc>
        <w:tc>
          <w:tcPr>
            <w:tcW w:w="1167" w:type="dxa"/>
            <w:tcBorders>
              <w:top w:val="thinThickSmallGap" w:sz="24" w:space="0" w:color="auto"/>
              <w:left w:val="double" w:sz="4" w:space="0" w:color="auto"/>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552.7</w:t>
            </w:r>
          </w:p>
        </w:tc>
        <w:tc>
          <w:tcPr>
            <w:tcW w:w="1003" w:type="dxa"/>
            <w:tcBorders>
              <w:top w:val="thinThickSmallGap" w:sz="24" w:space="0" w:color="auto"/>
              <w:left w:val="nil"/>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173.4</w:t>
            </w:r>
          </w:p>
        </w:tc>
        <w:tc>
          <w:tcPr>
            <w:tcW w:w="1007" w:type="dxa"/>
            <w:tcBorders>
              <w:top w:val="thinThickSmallGap" w:sz="24" w:space="0" w:color="auto"/>
              <w:left w:val="nil"/>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199.2</w:t>
            </w:r>
          </w:p>
        </w:tc>
        <w:tc>
          <w:tcPr>
            <w:tcW w:w="1027" w:type="dxa"/>
            <w:tcBorders>
              <w:top w:val="thinThickSmallGap" w:sz="24" w:space="0" w:color="auto"/>
              <w:left w:val="nil"/>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208.1</w:t>
            </w:r>
          </w:p>
        </w:tc>
      </w:tr>
      <w:tr w:rsidR="00D840A9" w:rsidRPr="00AC6EC4" w:rsidTr="007E37AA">
        <w:trPr>
          <w:trHeight w:val="322"/>
          <w:jc w:val="center"/>
        </w:trPr>
        <w:tc>
          <w:tcPr>
            <w:tcW w:w="4762" w:type="dxa"/>
            <w:tcBorders>
              <w:left w:val="nil"/>
              <w:right w:val="nil"/>
            </w:tcBorders>
            <w:vAlign w:val="center"/>
          </w:tcPr>
          <w:p w:rsidR="00D840A9" w:rsidRPr="00AC6EC4" w:rsidRDefault="00D67F2F" w:rsidP="00062901">
            <w:pPr>
              <w:spacing w:line="240" w:lineRule="auto"/>
              <w:ind w:firstLine="94"/>
              <w:jc w:val="left"/>
              <w:rPr>
                <w:rFonts w:asciiTheme="majorHAnsi" w:hAnsiTheme="majorHAnsi" w:cstheme="majorHAnsi"/>
              </w:rPr>
            </w:pPr>
            <w:r w:rsidRPr="00AC6EC4">
              <w:rPr>
                <w:rFonts w:asciiTheme="majorHAnsi" w:hAnsiTheme="majorHAnsi" w:cstheme="majorHAnsi"/>
              </w:rPr>
              <w:t>Of which:</w:t>
            </w:r>
          </w:p>
        </w:tc>
        <w:tc>
          <w:tcPr>
            <w:tcW w:w="1364" w:type="dxa"/>
            <w:tcBorders>
              <w:left w:val="nil"/>
              <w:right w:val="double" w:sz="4" w:space="0" w:color="auto"/>
            </w:tcBorders>
            <w:vAlign w:val="center"/>
          </w:tcPr>
          <w:p w:rsidR="00D840A9" w:rsidRPr="00AC6EC4" w:rsidRDefault="00D840A9" w:rsidP="00062901">
            <w:pPr>
              <w:spacing w:line="240" w:lineRule="auto"/>
              <w:ind w:firstLine="94"/>
              <w:jc w:val="center"/>
              <w:rPr>
                <w:rFonts w:asciiTheme="majorHAnsi" w:hAnsiTheme="majorHAnsi" w:cstheme="majorHAnsi"/>
              </w:rPr>
            </w:pPr>
          </w:p>
        </w:tc>
        <w:tc>
          <w:tcPr>
            <w:tcW w:w="1167" w:type="dxa"/>
            <w:tcBorders>
              <w:left w:val="double" w:sz="4" w:space="0" w:color="auto"/>
              <w:right w:val="nil"/>
            </w:tcBorders>
            <w:vAlign w:val="center"/>
          </w:tcPr>
          <w:p w:rsidR="00D840A9" w:rsidRPr="00AC6EC4" w:rsidRDefault="00D840A9" w:rsidP="00062901">
            <w:pPr>
              <w:spacing w:line="240" w:lineRule="auto"/>
              <w:ind w:firstLine="94"/>
              <w:jc w:val="center"/>
              <w:rPr>
                <w:rFonts w:asciiTheme="majorHAnsi" w:hAnsiTheme="majorHAnsi" w:cstheme="majorHAnsi"/>
              </w:rPr>
            </w:pPr>
          </w:p>
        </w:tc>
        <w:tc>
          <w:tcPr>
            <w:tcW w:w="1003" w:type="dxa"/>
            <w:tcBorders>
              <w:left w:val="nil"/>
              <w:right w:val="nil"/>
            </w:tcBorders>
            <w:vAlign w:val="center"/>
          </w:tcPr>
          <w:p w:rsidR="00D840A9" w:rsidRPr="00AC6EC4" w:rsidRDefault="00D840A9" w:rsidP="00062901">
            <w:pPr>
              <w:spacing w:line="240" w:lineRule="auto"/>
              <w:ind w:firstLine="94"/>
              <w:jc w:val="center"/>
              <w:rPr>
                <w:rFonts w:asciiTheme="majorHAnsi" w:hAnsiTheme="majorHAnsi" w:cstheme="majorHAnsi"/>
              </w:rPr>
            </w:pPr>
          </w:p>
        </w:tc>
        <w:tc>
          <w:tcPr>
            <w:tcW w:w="1007" w:type="dxa"/>
            <w:tcBorders>
              <w:left w:val="nil"/>
              <w:right w:val="nil"/>
            </w:tcBorders>
            <w:vAlign w:val="center"/>
          </w:tcPr>
          <w:p w:rsidR="00D840A9" w:rsidRPr="00AC6EC4" w:rsidRDefault="00D840A9" w:rsidP="00062901">
            <w:pPr>
              <w:spacing w:line="240" w:lineRule="auto"/>
              <w:ind w:firstLine="94"/>
              <w:jc w:val="center"/>
              <w:rPr>
                <w:rFonts w:asciiTheme="majorHAnsi" w:hAnsiTheme="majorHAnsi" w:cstheme="majorHAnsi"/>
              </w:rPr>
            </w:pPr>
          </w:p>
        </w:tc>
        <w:tc>
          <w:tcPr>
            <w:tcW w:w="1027" w:type="dxa"/>
            <w:tcBorders>
              <w:left w:val="nil"/>
              <w:right w:val="nil"/>
            </w:tcBorders>
            <w:vAlign w:val="center"/>
          </w:tcPr>
          <w:p w:rsidR="00D840A9" w:rsidRPr="00AC6EC4" w:rsidRDefault="00D840A9" w:rsidP="00062901">
            <w:pPr>
              <w:spacing w:line="240" w:lineRule="auto"/>
              <w:ind w:firstLine="94"/>
              <w:jc w:val="center"/>
              <w:rPr>
                <w:rFonts w:asciiTheme="majorHAnsi" w:hAnsiTheme="majorHAnsi" w:cstheme="majorHAnsi"/>
              </w:rPr>
            </w:pPr>
          </w:p>
        </w:tc>
      </w:tr>
      <w:tr w:rsidR="00D67F2F" w:rsidRPr="00AC6EC4" w:rsidTr="007E37AA">
        <w:trPr>
          <w:trHeight w:val="505"/>
          <w:jc w:val="center"/>
        </w:trPr>
        <w:tc>
          <w:tcPr>
            <w:tcW w:w="4762" w:type="dxa"/>
            <w:tcBorders>
              <w:left w:val="nil"/>
              <w:right w:val="nil"/>
            </w:tcBorders>
            <w:vAlign w:val="center"/>
          </w:tcPr>
          <w:p w:rsidR="00D67F2F" w:rsidRPr="00AC6EC4" w:rsidRDefault="00D67F2F" w:rsidP="00062901">
            <w:pPr>
              <w:spacing w:line="240" w:lineRule="auto"/>
              <w:ind w:left="888" w:firstLine="46"/>
              <w:rPr>
                <w:rFonts w:asciiTheme="majorHAnsi" w:hAnsiTheme="majorHAnsi" w:cstheme="majorHAnsi"/>
              </w:rPr>
            </w:pPr>
            <w:r w:rsidRPr="00AC6EC4">
              <w:rPr>
                <w:rFonts w:asciiTheme="majorHAnsi" w:hAnsiTheme="majorHAnsi" w:cstheme="majorHAnsi"/>
              </w:rPr>
              <w:t>Domestic net borrowings (without promissory notes)</w:t>
            </w:r>
          </w:p>
        </w:tc>
        <w:tc>
          <w:tcPr>
            <w:tcW w:w="1364" w:type="dxa"/>
            <w:tcBorders>
              <w:left w:val="nil"/>
              <w:right w:val="double" w:sz="4" w:space="0" w:color="auto"/>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209.9</w:t>
            </w:r>
          </w:p>
        </w:tc>
        <w:tc>
          <w:tcPr>
            <w:tcW w:w="1167" w:type="dxa"/>
            <w:tcBorders>
              <w:left w:val="double" w:sz="4" w:space="0" w:color="auto"/>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203.5</w:t>
            </w:r>
          </w:p>
        </w:tc>
        <w:tc>
          <w:tcPr>
            <w:tcW w:w="1003" w:type="dxa"/>
            <w:tcBorders>
              <w:left w:val="nil"/>
              <w:right w:val="nil"/>
            </w:tcBorders>
            <w:vAlign w:val="center"/>
          </w:tcPr>
          <w:p w:rsidR="00D67F2F" w:rsidRPr="00AC6EC4" w:rsidDel="00796972"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220.0</w:t>
            </w:r>
          </w:p>
        </w:tc>
        <w:tc>
          <w:tcPr>
            <w:tcW w:w="1007" w:type="dxa"/>
            <w:tcBorders>
              <w:left w:val="nil"/>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240.0</w:t>
            </w:r>
          </w:p>
        </w:tc>
        <w:tc>
          <w:tcPr>
            <w:tcW w:w="1027" w:type="dxa"/>
            <w:tcBorders>
              <w:left w:val="nil"/>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260.0</w:t>
            </w:r>
          </w:p>
        </w:tc>
      </w:tr>
      <w:tr w:rsidR="00D67F2F" w:rsidRPr="00AC6EC4" w:rsidTr="007E37AA">
        <w:trPr>
          <w:trHeight w:val="397"/>
          <w:jc w:val="center"/>
        </w:trPr>
        <w:tc>
          <w:tcPr>
            <w:tcW w:w="4762" w:type="dxa"/>
            <w:tcBorders>
              <w:left w:val="nil"/>
              <w:bottom w:val="thickThinSmallGap" w:sz="24" w:space="0" w:color="auto"/>
              <w:right w:val="nil"/>
            </w:tcBorders>
            <w:vAlign w:val="center"/>
          </w:tcPr>
          <w:p w:rsidR="00D67F2F" w:rsidRPr="00AC6EC4" w:rsidRDefault="00D67F2F" w:rsidP="00062901">
            <w:pPr>
              <w:spacing w:line="240" w:lineRule="auto"/>
              <w:ind w:left="888" w:firstLine="46"/>
              <w:rPr>
                <w:rFonts w:asciiTheme="majorHAnsi" w:hAnsiTheme="majorHAnsi" w:cstheme="majorHAnsi"/>
              </w:rPr>
            </w:pPr>
            <w:r w:rsidRPr="00AC6EC4">
              <w:rPr>
                <w:rFonts w:asciiTheme="majorHAnsi" w:hAnsiTheme="majorHAnsi" w:cstheme="majorHAnsi"/>
              </w:rPr>
              <w:t>External net borrowings</w:t>
            </w:r>
          </w:p>
        </w:tc>
        <w:tc>
          <w:tcPr>
            <w:tcW w:w="1364" w:type="dxa"/>
            <w:tcBorders>
              <w:left w:val="nil"/>
              <w:bottom w:val="thickThinSmallGap" w:sz="24" w:space="0" w:color="auto"/>
              <w:right w:val="double" w:sz="4" w:space="0" w:color="auto"/>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268.1</w:t>
            </w:r>
          </w:p>
        </w:tc>
        <w:tc>
          <w:tcPr>
            <w:tcW w:w="1167" w:type="dxa"/>
            <w:tcBorders>
              <w:left w:val="double" w:sz="4" w:space="0" w:color="auto"/>
              <w:bottom w:val="thickThinSmallGap" w:sz="24" w:space="0" w:color="auto"/>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349.2</w:t>
            </w:r>
          </w:p>
        </w:tc>
        <w:tc>
          <w:tcPr>
            <w:tcW w:w="1003" w:type="dxa"/>
            <w:tcBorders>
              <w:left w:val="nil"/>
              <w:bottom w:val="thickThinSmallGap" w:sz="24" w:space="0" w:color="auto"/>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(46.6)</w:t>
            </w:r>
          </w:p>
        </w:tc>
        <w:tc>
          <w:tcPr>
            <w:tcW w:w="1007" w:type="dxa"/>
            <w:tcBorders>
              <w:left w:val="nil"/>
              <w:bottom w:val="thickThinSmallGap" w:sz="24" w:space="0" w:color="auto"/>
              <w:right w:val="nil"/>
            </w:tcBorders>
            <w:vAlign w:val="center"/>
          </w:tcPr>
          <w:p w:rsidR="00D67F2F" w:rsidRPr="00AC6EC4" w:rsidRDefault="00D67F2F" w:rsidP="00062901">
            <w:pPr>
              <w:spacing w:line="240" w:lineRule="auto"/>
              <w:ind w:firstLine="94"/>
              <w:jc w:val="center"/>
              <w:rPr>
                <w:rFonts w:asciiTheme="majorHAnsi" w:hAnsiTheme="majorHAnsi" w:cstheme="majorHAnsi"/>
              </w:rPr>
            </w:pPr>
            <w:r w:rsidRPr="00AC6EC4">
              <w:rPr>
                <w:rFonts w:asciiTheme="majorHAnsi" w:hAnsiTheme="majorHAnsi" w:cstheme="majorHAnsi"/>
              </w:rPr>
              <w:t>(40.8)</w:t>
            </w:r>
          </w:p>
        </w:tc>
        <w:tc>
          <w:tcPr>
            <w:tcW w:w="1027" w:type="dxa"/>
            <w:tcBorders>
              <w:left w:val="nil"/>
              <w:bottom w:val="thickThinSmallGap" w:sz="24" w:space="0" w:color="auto"/>
              <w:right w:val="nil"/>
            </w:tcBorders>
            <w:vAlign w:val="center"/>
          </w:tcPr>
          <w:p w:rsidR="00D67F2F" w:rsidRPr="00AC6EC4" w:rsidRDefault="00D67F2F" w:rsidP="00062901">
            <w:pPr>
              <w:spacing w:line="240" w:lineRule="auto"/>
              <w:ind w:firstLine="94"/>
              <w:jc w:val="center"/>
              <w:rPr>
                <w:rFonts w:asciiTheme="majorHAnsi" w:hAnsiTheme="majorHAnsi" w:cstheme="majorHAnsi"/>
                <w:color w:val="FF0000"/>
              </w:rPr>
            </w:pPr>
            <w:r w:rsidRPr="00AC6EC4">
              <w:rPr>
                <w:rFonts w:asciiTheme="majorHAnsi" w:hAnsiTheme="majorHAnsi" w:cstheme="majorHAnsi"/>
              </w:rPr>
              <w:t>(51.9)</w:t>
            </w:r>
          </w:p>
        </w:tc>
      </w:tr>
    </w:tbl>
    <w:p w:rsidR="007B07A7" w:rsidRPr="00AC6EC4" w:rsidRDefault="007B07A7" w:rsidP="00A1274B">
      <w:pPr>
        <w:rPr>
          <w:rFonts w:asciiTheme="majorHAnsi" w:hAnsiTheme="majorHAnsi" w:cstheme="majorHAnsi"/>
        </w:rPr>
      </w:pPr>
    </w:p>
    <w:p w:rsidR="007B07A7" w:rsidRPr="00AC6EC4" w:rsidRDefault="007B07A7" w:rsidP="00A1274B">
      <w:pPr>
        <w:rPr>
          <w:rFonts w:asciiTheme="majorHAnsi" w:hAnsiTheme="majorHAnsi" w:cstheme="majorHAnsi"/>
        </w:rPr>
      </w:pPr>
    </w:p>
    <w:p w:rsidR="00013D78" w:rsidRPr="00AC6EC4" w:rsidRDefault="00AC3F71" w:rsidP="00AC3F71">
      <w:pPr>
        <w:pStyle w:val="af5"/>
        <w:numPr>
          <w:ilvl w:val="0"/>
          <w:numId w:val="28"/>
        </w:numPr>
        <w:tabs>
          <w:tab w:val="left" w:pos="993"/>
        </w:tabs>
        <w:ind w:left="0" w:firstLine="0"/>
        <w:jc w:val="both"/>
        <w:rPr>
          <w:rFonts w:asciiTheme="majorHAnsi" w:hAnsiTheme="majorHAnsi" w:cstheme="majorHAnsi"/>
          <w:b w:val="0"/>
          <w:bCs w:val="0"/>
          <w:lang w:val="en-US"/>
        </w:rPr>
      </w:pPr>
      <w:r w:rsidRPr="00AC6EC4">
        <w:rPr>
          <w:rFonts w:asciiTheme="majorHAnsi" w:hAnsiTheme="majorHAnsi" w:cstheme="majorHAnsi"/>
          <w:b w:val="0"/>
          <w:bCs w:val="0"/>
          <w:lang w:val="en-US"/>
        </w:rPr>
        <w:t>The structure of the deficit financing through domestic and external net borrowings in 2019-2024</w:t>
      </w:r>
      <w:r w:rsidR="00FC75FC" w:rsidRPr="00AC6EC4">
        <w:rPr>
          <w:rFonts w:asciiTheme="majorHAnsi" w:hAnsiTheme="majorHAnsi" w:cstheme="majorHAnsi"/>
          <w:b w:val="0"/>
          <w:bCs w:val="0"/>
          <w:vertAlign w:val="superscript"/>
          <w:lang w:val="en-US"/>
        </w:rPr>
        <w:footnoteReference w:id="2"/>
      </w:r>
    </w:p>
    <w:p w:rsidR="00AC3F71" w:rsidRPr="00AC6EC4" w:rsidRDefault="00AC3F71" w:rsidP="00AC3F71">
      <w:pPr>
        <w:ind w:firstLine="0"/>
        <w:rPr>
          <w:rFonts w:asciiTheme="majorHAnsi" w:hAnsiTheme="majorHAnsi" w:cstheme="majorHAnsi"/>
        </w:rPr>
      </w:pPr>
      <w:r w:rsidRPr="00AC6EC4">
        <w:rPr>
          <w:rFonts w:asciiTheme="majorHAnsi" w:hAnsiTheme="majorHAnsi" w:cstheme="majorHAnsi"/>
          <w:noProof/>
          <w:lang w:val="en-US"/>
        </w:rPr>
        <w:drawing>
          <wp:inline distT="0" distB="0" distL="0" distR="0" wp14:anchorId="40A95FCA" wp14:editId="3CCCA691">
            <wp:extent cx="6482080" cy="3343910"/>
            <wp:effectExtent l="0" t="0" r="13970" b="8890"/>
            <wp:docPr id="18" name="Chart 18">
              <a:extLst xmlns:a="http://schemas.openxmlformats.org/drawingml/2006/main">
                <a:ext uri="{FF2B5EF4-FFF2-40B4-BE49-F238E27FC236}">
                  <a16:creationId xmlns:a16="http://schemas.microsoft.com/office/drawing/2014/main" id="{00000000-0008-0000-0E00-00009408D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353C" w:rsidRPr="00AC6EC4" w:rsidRDefault="001A353C" w:rsidP="001A353C">
      <w:pPr>
        <w:ind w:firstLine="0"/>
        <w:rPr>
          <w:rFonts w:asciiTheme="majorHAnsi" w:hAnsiTheme="majorHAnsi" w:cstheme="majorHAnsi"/>
        </w:rPr>
      </w:pPr>
      <w:r w:rsidRPr="00AC6EC4">
        <w:rPr>
          <w:rFonts w:asciiTheme="majorHAnsi" w:hAnsiTheme="majorHAnsi" w:cstheme="majorHAnsi"/>
        </w:rPr>
        <w:t xml:space="preserve">It is not expected any significant increase in the debt </w:t>
      </w:r>
      <w:r w:rsidR="000E49C1" w:rsidRPr="00AC6EC4">
        <w:rPr>
          <w:rFonts w:asciiTheme="majorHAnsi" w:hAnsiTheme="majorHAnsi" w:cstheme="majorHAnsi"/>
          <w:lang w:val="en-US"/>
        </w:rPr>
        <w:t>interest payments</w:t>
      </w:r>
      <w:r w:rsidRPr="00AC6EC4">
        <w:rPr>
          <w:rFonts w:asciiTheme="majorHAnsi" w:hAnsiTheme="majorHAnsi" w:cstheme="majorHAnsi"/>
        </w:rPr>
        <w:t xml:space="preserve"> costs in case of gradual replacement of the external debt with the domestic debt. Moreover, taking into account the fact that the concessionality of the loans to be borrowed from the external sources are diminishing, as well as there are already 30 years bonds in the domestic debt portfolio, then the gradual increase of the share of the domestic debt will positively affect also on the refinancing risk indicator. </w:t>
      </w:r>
    </w:p>
    <w:p w:rsidR="001D7DEF" w:rsidRPr="00AC6EC4" w:rsidRDefault="001D7DEF" w:rsidP="00A1274B">
      <w:pPr>
        <w:rPr>
          <w:rFonts w:asciiTheme="majorHAnsi" w:hAnsiTheme="majorHAnsi" w:cstheme="majorHAnsi"/>
        </w:rPr>
      </w:pPr>
    </w:p>
    <w:p w:rsidR="00025E2D" w:rsidRPr="00AC6EC4" w:rsidRDefault="00166712" w:rsidP="001173A4">
      <w:pPr>
        <w:pStyle w:val="Heading2"/>
        <w:rPr>
          <w:rFonts w:asciiTheme="majorHAnsi" w:hAnsiTheme="majorHAnsi" w:cstheme="majorHAnsi"/>
        </w:rPr>
      </w:pPr>
      <w:r w:rsidRPr="00AC6EC4">
        <w:rPr>
          <w:rFonts w:asciiTheme="majorHAnsi" w:hAnsiTheme="majorHAnsi" w:cstheme="majorHAnsi"/>
        </w:rPr>
        <w:br w:type="page"/>
      </w:r>
      <w:bookmarkStart w:id="14" w:name="_Toc80868697"/>
      <w:r w:rsidR="00D40166" w:rsidRPr="00AC6EC4">
        <w:rPr>
          <w:rFonts w:asciiTheme="majorHAnsi" w:hAnsiTheme="majorHAnsi" w:cstheme="majorHAnsi"/>
        </w:rPr>
        <w:lastRenderedPageBreak/>
        <w:t>Cost-at-risk analysis of the selected strategy</w:t>
      </w:r>
      <w:bookmarkEnd w:id="14"/>
    </w:p>
    <w:p w:rsidR="007C1B14" w:rsidRPr="00AC6EC4" w:rsidRDefault="007C1B14" w:rsidP="007C1B14">
      <w:pPr>
        <w:ind w:firstLine="0"/>
        <w:rPr>
          <w:rFonts w:asciiTheme="majorHAnsi" w:hAnsiTheme="majorHAnsi" w:cstheme="majorHAnsi"/>
        </w:rPr>
      </w:pPr>
      <w:r w:rsidRPr="00AC6EC4">
        <w:rPr>
          <w:rFonts w:asciiTheme="majorHAnsi" w:hAnsiTheme="majorHAnsi" w:cstheme="majorHAnsi"/>
          <w:lang w:val="en-US"/>
        </w:rPr>
        <w:t>I</w:t>
      </w:r>
      <w:r w:rsidRPr="00AC6EC4">
        <w:rPr>
          <w:rFonts w:asciiTheme="majorHAnsi" w:hAnsiTheme="majorHAnsi" w:cstheme="majorHAnsi"/>
        </w:rPr>
        <w:t xml:space="preserve">n the </w:t>
      </w:r>
      <w:r w:rsidR="000F56CC" w:rsidRPr="00AC6EC4">
        <w:rPr>
          <w:rFonts w:asciiTheme="majorHAnsi" w:hAnsiTheme="majorHAnsi" w:cstheme="majorHAnsi"/>
          <w:lang w:val="en-US"/>
        </w:rPr>
        <w:t>circumstances</w:t>
      </w:r>
      <w:r w:rsidRPr="00AC6EC4">
        <w:rPr>
          <w:rFonts w:asciiTheme="majorHAnsi" w:hAnsiTheme="majorHAnsi" w:cstheme="majorHAnsi"/>
        </w:rPr>
        <w:t xml:space="preserve"> of the main macroeconomic scenario of the 2022-2024</w:t>
      </w:r>
      <w:r w:rsidRPr="00AC6EC4">
        <w:rPr>
          <w:rFonts w:asciiTheme="majorHAnsi" w:hAnsiTheme="majorHAnsi" w:cstheme="majorHAnsi"/>
          <w:lang w:val="en-US"/>
        </w:rPr>
        <w:t xml:space="preserve"> </w:t>
      </w:r>
      <w:r w:rsidRPr="00AC6EC4">
        <w:rPr>
          <w:rFonts w:asciiTheme="majorHAnsi" w:hAnsiTheme="majorHAnsi" w:cstheme="majorHAnsi"/>
        </w:rPr>
        <w:t xml:space="preserve">medium-term </w:t>
      </w:r>
      <w:r w:rsidRPr="00AC6EC4">
        <w:rPr>
          <w:rFonts w:asciiTheme="majorHAnsi" w:hAnsiTheme="majorHAnsi" w:cstheme="majorHAnsi"/>
          <w:lang w:val="en-US"/>
        </w:rPr>
        <w:t>public</w:t>
      </w:r>
      <w:r w:rsidRPr="00AC6EC4">
        <w:rPr>
          <w:rFonts w:asciiTheme="majorHAnsi" w:hAnsiTheme="majorHAnsi" w:cstheme="majorHAnsi"/>
        </w:rPr>
        <w:t xml:space="preserve"> expenditure program</w:t>
      </w:r>
      <w:r w:rsidRPr="00AC6EC4">
        <w:rPr>
          <w:rFonts w:asciiTheme="majorHAnsi" w:hAnsiTheme="majorHAnsi" w:cstheme="majorHAnsi"/>
          <w:lang w:val="en-US"/>
        </w:rPr>
        <w:t>,</w:t>
      </w:r>
      <w:r w:rsidRPr="00AC6EC4">
        <w:rPr>
          <w:rFonts w:asciiTheme="majorHAnsi" w:hAnsiTheme="majorHAnsi" w:cstheme="majorHAnsi"/>
        </w:rPr>
        <w:t xml:space="preserve"> </w:t>
      </w:r>
      <w:r w:rsidRPr="00AC6EC4">
        <w:rPr>
          <w:rFonts w:asciiTheme="majorHAnsi" w:hAnsiTheme="majorHAnsi" w:cstheme="majorHAnsi"/>
          <w:lang w:val="en-US"/>
        </w:rPr>
        <w:t>b</w:t>
      </w:r>
      <w:r w:rsidRPr="00AC6EC4">
        <w:rPr>
          <w:rFonts w:asciiTheme="majorHAnsi" w:hAnsiTheme="majorHAnsi" w:cstheme="majorHAnsi"/>
        </w:rPr>
        <w:t xml:space="preserve">ased on </w:t>
      </w:r>
      <w:r w:rsidRPr="00AC6EC4">
        <w:rPr>
          <w:rFonts w:asciiTheme="majorHAnsi" w:hAnsiTheme="majorHAnsi" w:cstheme="majorHAnsi"/>
          <w:lang w:val="en-US"/>
        </w:rPr>
        <w:t>the</w:t>
      </w:r>
      <w:r w:rsidRPr="00AC6EC4">
        <w:rPr>
          <w:rFonts w:asciiTheme="majorHAnsi" w:hAnsiTheme="majorHAnsi" w:cstheme="majorHAnsi"/>
        </w:rPr>
        <w:t xml:space="preserve"> </w:t>
      </w:r>
      <w:r w:rsidRPr="00AC6EC4">
        <w:rPr>
          <w:rFonts w:asciiTheme="majorHAnsi" w:hAnsiTheme="majorHAnsi" w:cstheme="majorHAnsi"/>
          <w:lang w:val="en-US"/>
        </w:rPr>
        <w:t>forecasted</w:t>
      </w:r>
      <w:r w:rsidRPr="00AC6EC4">
        <w:rPr>
          <w:rFonts w:asciiTheme="majorHAnsi" w:hAnsiTheme="majorHAnsi" w:cstheme="majorHAnsi"/>
        </w:rPr>
        <w:t xml:space="preserve"> macroeconomic environment, cost indicators of the RA Government debt will not be essentially changed at the end of the forecasted period.</w:t>
      </w:r>
    </w:p>
    <w:p w:rsidR="00025E2D" w:rsidRPr="00AC6EC4" w:rsidRDefault="00C57A0B"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 xml:space="preserve">Forecasts of the cost indicators of the RA Government debt portfolio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36"/>
        <w:gridCol w:w="1015"/>
        <w:gridCol w:w="1134"/>
        <w:gridCol w:w="1134"/>
        <w:gridCol w:w="1276"/>
      </w:tblGrid>
      <w:tr w:rsidR="0070165A" w:rsidRPr="00AC6EC4" w:rsidTr="005115EC">
        <w:trPr>
          <w:trHeight w:val="771"/>
          <w:tblHeader/>
          <w:jc w:val="center"/>
        </w:trPr>
        <w:tc>
          <w:tcPr>
            <w:tcW w:w="3544" w:type="dxa"/>
            <w:tcBorders>
              <w:top w:val="thinThickThinSmallGap" w:sz="24" w:space="0" w:color="auto"/>
              <w:left w:val="nil"/>
              <w:bottom w:val="thinThickSmallGap" w:sz="24" w:space="0" w:color="auto"/>
              <w:right w:val="nil"/>
            </w:tcBorders>
            <w:shd w:val="clear" w:color="auto" w:fill="365F91" w:themeFill="accent1" w:themeFillShade="BF"/>
          </w:tcPr>
          <w:p w:rsidR="00025E2D" w:rsidRPr="00AC6EC4" w:rsidRDefault="00025E2D" w:rsidP="00062901">
            <w:pPr>
              <w:spacing w:line="240" w:lineRule="auto"/>
              <w:ind w:firstLine="0"/>
              <w:rPr>
                <w:rFonts w:asciiTheme="majorHAnsi" w:hAnsiTheme="majorHAnsi" w:cstheme="majorHAnsi"/>
                <w:color w:val="FFFFFF" w:themeColor="background1"/>
              </w:rPr>
            </w:pPr>
          </w:p>
        </w:tc>
        <w:tc>
          <w:tcPr>
            <w:tcW w:w="1536"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BE2814" w:rsidRPr="00AC6EC4" w:rsidRDefault="00AD2BA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1</w:t>
            </w:r>
          </w:p>
          <w:p w:rsidR="00025E2D" w:rsidRPr="00AC6EC4" w:rsidRDefault="00C57A0B"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015"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025E2D" w:rsidRPr="00AC6EC4" w:rsidRDefault="00AD2BA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1</w:t>
            </w:r>
            <w:r w:rsidR="00025E2D" w:rsidRPr="00AC6EC4">
              <w:rPr>
                <w:rFonts w:asciiTheme="majorHAnsi" w:hAnsiTheme="majorHAnsi" w:cstheme="majorHAnsi"/>
                <w:color w:val="FFFFFF" w:themeColor="background1"/>
              </w:rPr>
              <w:t xml:space="preserve"> </w:t>
            </w:r>
            <w:r w:rsidR="005115EC" w:rsidRPr="00AC6EC4">
              <w:rPr>
                <w:rFonts w:asciiTheme="majorHAnsi" w:hAnsiTheme="majorHAnsi" w:cstheme="majorHAnsi"/>
                <w:color w:val="FFFFFF"/>
              </w:rPr>
              <w:t xml:space="preserve">forecast </w:t>
            </w:r>
          </w:p>
        </w:tc>
        <w:tc>
          <w:tcPr>
            <w:tcW w:w="113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25E2D" w:rsidRPr="00AC6EC4" w:rsidRDefault="0070165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2</w:t>
            </w:r>
            <w:r w:rsidR="00025E2D" w:rsidRPr="00AC6EC4">
              <w:rPr>
                <w:rFonts w:asciiTheme="majorHAnsi" w:hAnsiTheme="majorHAnsi" w:cstheme="majorHAnsi"/>
                <w:color w:val="FFFFFF" w:themeColor="background1"/>
              </w:rPr>
              <w:t xml:space="preserve"> </w:t>
            </w:r>
            <w:r w:rsidR="005115EC" w:rsidRPr="00AC6EC4">
              <w:rPr>
                <w:rFonts w:asciiTheme="majorHAnsi" w:hAnsiTheme="majorHAnsi" w:cstheme="majorHAnsi"/>
                <w:color w:val="FFFFFF"/>
              </w:rPr>
              <w:t>forecast</w:t>
            </w:r>
          </w:p>
        </w:tc>
        <w:tc>
          <w:tcPr>
            <w:tcW w:w="113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25E2D" w:rsidRPr="00AC6EC4" w:rsidRDefault="00025E2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3</w:t>
            </w:r>
            <w:r w:rsidR="005115EC" w:rsidRPr="00AC6EC4">
              <w:rPr>
                <w:rFonts w:asciiTheme="majorHAnsi" w:hAnsiTheme="majorHAnsi" w:cstheme="majorHAnsi"/>
                <w:color w:val="FFFFFF"/>
              </w:rPr>
              <w:t xml:space="preserve"> forecast</w:t>
            </w:r>
          </w:p>
        </w:tc>
        <w:tc>
          <w:tcPr>
            <w:tcW w:w="127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25E2D" w:rsidRPr="00AC6EC4" w:rsidRDefault="00AD2BA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w:t>
            </w:r>
            <w:r w:rsidR="00AC2A51" w:rsidRPr="00AC6EC4">
              <w:rPr>
                <w:rFonts w:asciiTheme="majorHAnsi" w:hAnsiTheme="majorHAnsi" w:cstheme="majorHAnsi"/>
                <w:color w:val="FFFFFF" w:themeColor="background1"/>
              </w:rPr>
              <w:t>4</w:t>
            </w:r>
            <w:r w:rsidR="00025E2D" w:rsidRPr="00AC6EC4">
              <w:rPr>
                <w:rFonts w:asciiTheme="majorHAnsi" w:hAnsiTheme="majorHAnsi" w:cstheme="majorHAnsi"/>
                <w:color w:val="FFFFFF" w:themeColor="background1"/>
              </w:rPr>
              <w:t xml:space="preserve"> </w:t>
            </w:r>
            <w:r w:rsidR="005115EC" w:rsidRPr="00AC6EC4">
              <w:rPr>
                <w:rFonts w:asciiTheme="majorHAnsi" w:hAnsiTheme="majorHAnsi" w:cstheme="majorHAnsi"/>
                <w:color w:val="FFFFFF"/>
              </w:rPr>
              <w:t>forecast</w:t>
            </w:r>
          </w:p>
        </w:tc>
      </w:tr>
      <w:tr w:rsidR="005115EC" w:rsidRPr="00AC6EC4" w:rsidTr="005115EC">
        <w:trPr>
          <w:trHeight w:val="702"/>
          <w:jc w:val="center"/>
        </w:trPr>
        <w:tc>
          <w:tcPr>
            <w:tcW w:w="3544" w:type="dxa"/>
            <w:tcBorders>
              <w:left w:val="nil"/>
              <w:right w:val="nil"/>
            </w:tcBorders>
            <w:vAlign w:val="center"/>
          </w:tcPr>
          <w:p w:rsidR="005115EC" w:rsidRPr="00AC6EC4" w:rsidRDefault="005115EC" w:rsidP="00062901">
            <w:pPr>
              <w:spacing w:line="240" w:lineRule="auto"/>
              <w:ind w:firstLine="0"/>
              <w:jc w:val="left"/>
              <w:rPr>
                <w:rFonts w:asciiTheme="majorHAnsi" w:hAnsiTheme="majorHAnsi" w:cstheme="majorHAnsi"/>
              </w:rPr>
            </w:pPr>
            <w:r w:rsidRPr="00AC6EC4">
              <w:rPr>
                <w:rFonts w:asciiTheme="majorHAnsi" w:hAnsiTheme="majorHAnsi" w:cstheme="majorHAnsi"/>
              </w:rPr>
              <w:t>Average Interest Rate for the RA Government Debt Portfolio (%)</w:t>
            </w:r>
          </w:p>
        </w:tc>
        <w:tc>
          <w:tcPr>
            <w:tcW w:w="1536" w:type="dxa"/>
            <w:tcBorders>
              <w:left w:val="nil"/>
              <w:right w:val="double" w:sz="4" w:space="0" w:color="auto"/>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015" w:type="dxa"/>
            <w:tcBorders>
              <w:left w:val="double" w:sz="4" w:space="0" w:color="auto"/>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5.3</w:t>
            </w:r>
          </w:p>
        </w:tc>
        <w:tc>
          <w:tcPr>
            <w:tcW w:w="1276"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5.6</w:t>
            </w:r>
          </w:p>
        </w:tc>
      </w:tr>
      <w:tr w:rsidR="005115EC" w:rsidRPr="00AC6EC4" w:rsidTr="005115EC">
        <w:trPr>
          <w:trHeight w:val="401"/>
          <w:jc w:val="center"/>
        </w:trPr>
        <w:tc>
          <w:tcPr>
            <w:tcW w:w="3544" w:type="dxa"/>
            <w:tcBorders>
              <w:left w:val="nil"/>
              <w:right w:val="nil"/>
            </w:tcBorders>
            <w:vAlign w:val="center"/>
          </w:tcPr>
          <w:p w:rsidR="005115EC" w:rsidRPr="00AC6EC4" w:rsidRDefault="005115EC" w:rsidP="00062901">
            <w:pPr>
              <w:spacing w:line="240" w:lineRule="auto"/>
              <w:ind w:firstLine="0"/>
              <w:jc w:val="left"/>
              <w:rPr>
                <w:rFonts w:asciiTheme="majorHAnsi" w:hAnsiTheme="majorHAnsi" w:cstheme="majorHAnsi"/>
              </w:rPr>
            </w:pPr>
            <w:r w:rsidRPr="00AC6EC4">
              <w:rPr>
                <w:rFonts w:asciiTheme="majorHAnsi" w:hAnsiTheme="majorHAnsi" w:cstheme="majorHAnsi"/>
              </w:rPr>
              <w:t>Interest Payment / State Budget Revenues (%)</w:t>
            </w:r>
          </w:p>
        </w:tc>
        <w:tc>
          <w:tcPr>
            <w:tcW w:w="1536" w:type="dxa"/>
            <w:tcBorders>
              <w:left w:val="nil"/>
              <w:right w:val="double" w:sz="4" w:space="0" w:color="auto"/>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12.9</w:t>
            </w:r>
          </w:p>
        </w:tc>
        <w:tc>
          <w:tcPr>
            <w:tcW w:w="1015" w:type="dxa"/>
            <w:tcBorders>
              <w:left w:val="double" w:sz="4" w:space="0" w:color="auto"/>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12.0</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11.9</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12.4</w:t>
            </w:r>
          </w:p>
        </w:tc>
        <w:tc>
          <w:tcPr>
            <w:tcW w:w="1276"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12.5</w:t>
            </w:r>
          </w:p>
        </w:tc>
      </w:tr>
      <w:tr w:rsidR="005115EC" w:rsidRPr="00AC6EC4" w:rsidTr="005115EC">
        <w:trPr>
          <w:trHeight w:val="408"/>
          <w:jc w:val="center"/>
        </w:trPr>
        <w:tc>
          <w:tcPr>
            <w:tcW w:w="3544" w:type="dxa"/>
            <w:tcBorders>
              <w:left w:val="nil"/>
              <w:right w:val="nil"/>
            </w:tcBorders>
            <w:vAlign w:val="center"/>
          </w:tcPr>
          <w:p w:rsidR="005115EC" w:rsidRPr="00AC6EC4" w:rsidRDefault="005115EC" w:rsidP="00062901">
            <w:pPr>
              <w:spacing w:line="240" w:lineRule="auto"/>
              <w:ind w:firstLine="0"/>
              <w:jc w:val="left"/>
              <w:rPr>
                <w:rFonts w:asciiTheme="majorHAnsi" w:hAnsiTheme="majorHAnsi" w:cstheme="majorHAnsi"/>
              </w:rPr>
            </w:pPr>
            <w:r w:rsidRPr="00AC6EC4">
              <w:rPr>
                <w:rFonts w:asciiTheme="majorHAnsi" w:hAnsiTheme="majorHAnsi" w:cstheme="majorHAnsi"/>
              </w:rPr>
              <w:t>Interest Payment / State Budget Expenditures (%)</w:t>
            </w:r>
          </w:p>
        </w:tc>
        <w:tc>
          <w:tcPr>
            <w:tcW w:w="1536" w:type="dxa"/>
            <w:tcBorders>
              <w:left w:val="nil"/>
              <w:right w:val="double" w:sz="4" w:space="0" w:color="auto"/>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10.5</w:t>
            </w:r>
          </w:p>
        </w:tc>
        <w:tc>
          <w:tcPr>
            <w:tcW w:w="1015" w:type="dxa"/>
            <w:tcBorders>
              <w:left w:val="double" w:sz="4" w:space="0" w:color="auto"/>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10.8</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11.4</w:t>
            </w:r>
          </w:p>
        </w:tc>
        <w:tc>
          <w:tcPr>
            <w:tcW w:w="1276"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11.6</w:t>
            </w:r>
          </w:p>
        </w:tc>
      </w:tr>
      <w:tr w:rsidR="005115EC" w:rsidRPr="00AC6EC4" w:rsidTr="005115EC">
        <w:trPr>
          <w:trHeight w:val="220"/>
          <w:jc w:val="center"/>
        </w:trPr>
        <w:tc>
          <w:tcPr>
            <w:tcW w:w="3544" w:type="dxa"/>
            <w:tcBorders>
              <w:left w:val="nil"/>
              <w:right w:val="nil"/>
            </w:tcBorders>
            <w:vAlign w:val="center"/>
          </w:tcPr>
          <w:p w:rsidR="005115EC" w:rsidRPr="00AC6EC4" w:rsidRDefault="005115EC" w:rsidP="00062901">
            <w:pPr>
              <w:spacing w:line="240" w:lineRule="auto"/>
              <w:ind w:firstLine="0"/>
              <w:jc w:val="left"/>
              <w:rPr>
                <w:rFonts w:asciiTheme="majorHAnsi" w:hAnsiTheme="majorHAnsi" w:cstheme="majorHAnsi"/>
              </w:rPr>
            </w:pPr>
            <w:r w:rsidRPr="00AC6EC4">
              <w:rPr>
                <w:rFonts w:asciiTheme="majorHAnsi" w:hAnsiTheme="majorHAnsi" w:cstheme="majorHAnsi"/>
              </w:rPr>
              <w:t>Interest Payment / GDP (%)</w:t>
            </w:r>
          </w:p>
        </w:tc>
        <w:tc>
          <w:tcPr>
            <w:tcW w:w="1536" w:type="dxa"/>
            <w:tcBorders>
              <w:left w:val="nil"/>
              <w:right w:val="double" w:sz="4" w:space="0" w:color="auto"/>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3.0</w:t>
            </w:r>
          </w:p>
        </w:tc>
        <w:tc>
          <w:tcPr>
            <w:tcW w:w="1015" w:type="dxa"/>
            <w:tcBorders>
              <w:left w:val="double" w:sz="4" w:space="0" w:color="auto"/>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2.8</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2.8</w:t>
            </w:r>
          </w:p>
        </w:tc>
        <w:tc>
          <w:tcPr>
            <w:tcW w:w="1134"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3.0</w:t>
            </w:r>
          </w:p>
        </w:tc>
        <w:tc>
          <w:tcPr>
            <w:tcW w:w="1276" w:type="dxa"/>
            <w:tcBorders>
              <w:left w:val="nil"/>
              <w:right w:val="nil"/>
            </w:tcBorders>
            <w:vAlign w:val="center"/>
          </w:tcPr>
          <w:p w:rsidR="005115EC" w:rsidRPr="00AC6EC4" w:rsidRDefault="005115EC" w:rsidP="00062901">
            <w:pPr>
              <w:spacing w:line="240" w:lineRule="auto"/>
              <w:ind w:firstLine="0"/>
              <w:jc w:val="center"/>
              <w:rPr>
                <w:rFonts w:asciiTheme="majorHAnsi" w:hAnsiTheme="majorHAnsi" w:cstheme="majorHAnsi"/>
              </w:rPr>
            </w:pPr>
            <w:r w:rsidRPr="00AC6EC4">
              <w:rPr>
                <w:rFonts w:asciiTheme="majorHAnsi" w:hAnsiTheme="majorHAnsi" w:cstheme="majorHAnsi"/>
              </w:rPr>
              <w:t>3.0</w:t>
            </w:r>
          </w:p>
        </w:tc>
      </w:tr>
    </w:tbl>
    <w:p w:rsidR="00025E2D" w:rsidRPr="00AC6EC4" w:rsidRDefault="00025E2D" w:rsidP="00A1274B">
      <w:pPr>
        <w:rPr>
          <w:rFonts w:asciiTheme="majorHAnsi" w:hAnsiTheme="majorHAnsi" w:cstheme="majorHAnsi"/>
        </w:rPr>
      </w:pPr>
    </w:p>
    <w:p w:rsidR="007C1B14" w:rsidRPr="00AC6EC4" w:rsidRDefault="007C1B14" w:rsidP="007C1B14">
      <w:pPr>
        <w:spacing w:after="240"/>
        <w:ind w:firstLine="0"/>
        <w:rPr>
          <w:rFonts w:asciiTheme="majorHAnsi" w:hAnsiTheme="majorHAnsi" w:cstheme="majorHAnsi"/>
        </w:rPr>
      </w:pPr>
      <w:r w:rsidRPr="00AC6EC4">
        <w:rPr>
          <w:rFonts w:asciiTheme="majorHAnsi" w:hAnsiTheme="majorHAnsi" w:cstheme="majorHAnsi"/>
        </w:rPr>
        <w:t xml:space="preserve">Generally, it is forecasted that during the medium term period in the </w:t>
      </w:r>
      <w:r w:rsidR="001C3F5A" w:rsidRPr="00AC6EC4">
        <w:rPr>
          <w:rFonts w:asciiTheme="majorHAnsi" w:hAnsiTheme="majorHAnsi" w:cstheme="majorHAnsi"/>
          <w:lang w:val="en-US"/>
        </w:rPr>
        <w:t>case</w:t>
      </w:r>
      <w:r w:rsidRPr="00AC6EC4">
        <w:rPr>
          <w:rFonts w:asciiTheme="majorHAnsi" w:hAnsiTheme="majorHAnsi" w:cstheme="majorHAnsi"/>
        </w:rPr>
        <w:t xml:space="preserve"> of the main macroeconomic scenario </w:t>
      </w:r>
      <w:r w:rsidR="002E4CCE">
        <w:rPr>
          <w:rFonts w:asciiTheme="majorHAnsi" w:hAnsiTheme="majorHAnsi" w:cstheme="majorHAnsi"/>
          <w:lang w:val="en-US"/>
        </w:rPr>
        <w:t>n</w:t>
      </w:r>
      <w:r w:rsidR="001C3F5A" w:rsidRPr="00AC6EC4">
        <w:rPr>
          <w:rFonts w:asciiTheme="majorHAnsi" w:hAnsiTheme="majorHAnsi" w:cstheme="majorHAnsi"/>
          <w:lang w:val="en-US"/>
        </w:rPr>
        <w:t xml:space="preserve">ominal </w:t>
      </w:r>
      <w:r w:rsidRPr="00AC6EC4">
        <w:rPr>
          <w:rFonts w:asciiTheme="majorHAnsi" w:hAnsiTheme="majorHAnsi" w:cstheme="majorHAnsi"/>
        </w:rPr>
        <w:t>GDP will grow faster than the debt volume, resulting in decrease of the RA Government debt/GDP ratio, which is forecasted to be 56.8% at the end of 2024. The average interest rate of the RA Government debt will be 5.</w:t>
      </w:r>
      <w:r w:rsidR="00BF6756" w:rsidRPr="00AC6EC4">
        <w:rPr>
          <w:rFonts w:asciiTheme="majorHAnsi" w:hAnsiTheme="majorHAnsi" w:cstheme="majorHAnsi"/>
        </w:rPr>
        <w:t>6</w:t>
      </w:r>
      <w:r w:rsidRPr="00AC6EC4">
        <w:rPr>
          <w:rFonts w:asciiTheme="majorHAnsi" w:hAnsiTheme="majorHAnsi" w:cstheme="majorHAnsi"/>
        </w:rPr>
        <w:t>% at the end of the forecasted period. The Government debt interest payments/State budget revenues</w:t>
      </w:r>
      <w:r w:rsidR="00050449" w:rsidRPr="00AC6EC4">
        <w:rPr>
          <w:rFonts w:asciiTheme="majorHAnsi" w:hAnsiTheme="majorHAnsi" w:cstheme="majorHAnsi"/>
        </w:rPr>
        <w:t>,</w:t>
      </w:r>
      <w:r w:rsidRPr="00AC6EC4">
        <w:rPr>
          <w:rFonts w:asciiTheme="majorHAnsi" w:hAnsiTheme="majorHAnsi" w:cstheme="majorHAnsi"/>
        </w:rPr>
        <w:t xml:space="preserve"> the Government debt interest payments/State budget expenditures </w:t>
      </w:r>
      <w:r w:rsidR="00050449" w:rsidRPr="00AC6EC4">
        <w:rPr>
          <w:rFonts w:asciiTheme="majorHAnsi" w:hAnsiTheme="majorHAnsi" w:cstheme="majorHAnsi"/>
        </w:rPr>
        <w:t xml:space="preserve">and the Government debt interest payments/GDP </w:t>
      </w:r>
      <w:r w:rsidRPr="00AC6EC4">
        <w:rPr>
          <w:rFonts w:asciiTheme="majorHAnsi" w:hAnsiTheme="majorHAnsi" w:cstheme="majorHAnsi"/>
        </w:rPr>
        <w:t xml:space="preserve">indicators are increasing during the medium term period comprising </w:t>
      </w:r>
      <w:r w:rsidR="00050449" w:rsidRPr="00AC6EC4">
        <w:rPr>
          <w:rFonts w:asciiTheme="majorHAnsi" w:hAnsiTheme="majorHAnsi" w:cstheme="majorHAnsi"/>
        </w:rPr>
        <w:t xml:space="preserve">12.5%, 11.6% </w:t>
      </w:r>
      <w:r w:rsidR="00050449" w:rsidRPr="00AC6EC4">
        <w:rPr>
          <w:rFonts w:asciiTheme="majorHAnsi" w:hAnsiTheme="majorHAnsi" w:cstheme="majorHAnsi"/>
          <w:lang w:val="en-US"/>
        </w:rPr>
        <w:t xml:space="preserve">and </w:t>
      </w:r>
      <w:r w:rsidR="00050449" w:rsidRPr="00AC6EC4">
        <w:rPr>
          <w:rFonts w:asciiTheme="majorHAnsi" w:hAnsiTheme="majorHAnsi" w:cstheme="majorHAnsi"/>
        </w:rPr>
        <w:t>3.0%</w:t>
      </w:r>
      <w:r w:rsidR="00050449" w:rsidRPr="00AC6EC4">
        <w:rPr>
          <w:rFonts w:asciiTheme="majorHAnsi" w:hAnsiTheme="majorHAnsi" w:cstheme="majorHAnsi"/>
          <w:lang w:val="en-US"/>
        </w:rPr>
        <w:t xml:space="preserve"> </w:t>
      </w:r>
      <w:r w:rsidRPr="00AC6EC4">
        <w:rPr>
          <w:rFonts w:asciiTheme="majorHAnsi" w:hAnsiTheme="majorHAnsi" w:cstheme="majorHAnsi"/>
        </w:rPr>
        <w:t>respectively</w:t>
      </w:r>
      <w:r w:rsidR="00050449" w:rsidRPr="00AC6EC4">
        <w:rPr>
          <w:rFonts w:asciiTheme="majorHAnsi" w:hAnsiTheme="majorHAnsi" w:cstheme="majorHAnsi"/>
        </w:rPr>
        <w:t xml:space="preserve"> </w:t>
      </w:r>
      <w:r w:rsidRPr="00AC6EC4">
        <w:rPr>
          <w:rFonts w:asciiTheme="majorHAnsi" w:hAnsiTheme="majorHAnsi" w:cstheme="majorHAnsi"/>
        </w:rPr>
        <w:t>at the end of the period.</w:t>
      </w:r>
    </w:p>
    <w:p w:rsidR="00B00DBF" w:rsidRPr="00AC6EC4" w:rsidRDefault="00B00DBF" w:rsidP="00B00DBF">
      <w:pPr>
        <w:rPr>
          <w:rFonts w:asciiTheme="majorHAnsi" w:hAnsiTheme="majorHAnsi" w:cstheme="majorHAnsi"/>
        </w:rPr>
      </w:pPr>
      <w:r w:rsidRPr="00AC6EC4">
        <w:rPr>
          <w:rFonts w:asciiTheme="majorHAnsi" w:hAnsiTheme="majorHAnsi" w:cstheme="majorHAnsi"/>
        </w:rPr>
        <w:t xml:space="preserve">In the medium term, the increase in the interest payments of the RA Government debt is accelerating against the average annual growths of the State budget revenues, State budget expenditures and nominal GDP. In the medium term, the average growth rate of interest payments of the RA Government debt is </w:t>
      </w:r>
      <w:r w:rsidR="006A7358" w:rsidRPr="00AC6EC4">
        <w:rPr>
          <w:rFonts w:asciiTheme="majorHAnsi" w:hAnsiTheme="majorHAnsi" w:cstheme="majorHAnsi"/>
        </w:rPr>
        <w:t xml:space="preserve">forecasted to be </w:t>
      </w:r>
      <w:r w:rsidRPr="00AC6EC4">
        <w:rPr>
          <w:rFonts w:asciiTheme="majorHAnsi" w:hAnsiTheme="majorHAnsi" w:cstheme="majorHAnsi"/>
        </w:rPr>
        <w:t xml:space="preserve">11.3%, which on average </w:t>
      </w:r>
      <w:r w:rsidR="006A7358" w:rsidRPr="00AC6EC4">
        <w:rPr>
          <w:rFonts w:asciiTheme="majorHAnsi" w:hAnsiTheme="majorHAnsi" w:cstheme="majorHAnsi"/>
        </w:rPr>
        <w:t xml:space="preserve">will </w:t>
      </w:r>
      <w:r w:rsidRPr="00AC6EC4">
        <w:rPr>
          <w:rFonts w:asciiTheme="majorHAnsi" w:hAnsiTheme="majorHAnsi" w:cstheme="majorHAnsi"/>
        </w:rPr>
        <w:t>exceed the growth rate of State budget revenues by 1.3 percentage points, the growth rate of State budget expenditures by 5.2 percentage points and the nominal GDP growth rate by 2.6 percentage points. It should be noted that the annual growth of interest payments of the RA Government debt accelerates and comprises 12.9% in 2023 against 10.9% of the previous year, but it slows down to some extent at the end of the medium-term period making up 10.1% in 2024.</w:t>
      </w:r>
    </w:p>
    <w:p w:rsidR="00B00DBF" w:rsidRPr="00AC6EC4" w:rsidRDefault="00B00DBF" w:rsidP="00B00DBF">
      <w:pPr>
        <w:spacing w:after="240"/>
        <w:ind w:firstLine="0"/>
        <w:rPr>
          <w:rFonts w:asciiTheme="majorHAnsi" w:hAnsiTheme="majorHAnsi" w:cstheme="majorHAnsi"/>
        </w:rPr>
      </w:pPr>
      <w:r w:rsidRPr="00AC6EC4">
        <w:rPr>
          <w:rFonts w:asciiTheme="majorHAnsi" w:hAnsiTheme="majorHAnsi" w:cstheme="majorHAnsi"/>
        </w:rPr>
        <w:t>The exchange rate risk, refinancing risk, interest rate risk and operational risks are deemed to be important from the risks management perspective.</w:t>
      </w:r>
    </w:p>
    <w:p w:rsidR="00025E2D" w:rsidRPr="00AC6EC4" w:rsidRDefault="005838BB" w:rsidP="007E37AA">
      <w:pPr>
        <w:pStyle w:val="af6"/>
        <w:rPr>
          <w:rFonts w:asciiTheme="majorHAnsi" w:hAnsiTheme="majorHAnsi" w:cstheme="majorHAnsi"/>
        </w:rPr>
      </w:pPr>
      <w:r w:rsidRPr="00AC6EC4">
        <w:rPr>
          <w:rFonts w:asciiTheme="majorHAnsi" w:hAnsiTheme="majorHAnsi" w:cstheme="majorHAnsi"/>
        </w:rPr>
        <w:t>Exchange rate risk</w:t>
      </w:r>
    </w:p>
    <w:p w:rsidR="00B00DBF" w:rsidRPr="00AC6EC4" w:rsidRDefault="00B00DBF" w:rsidP="00B00DBF">
      <w:pPr>
        <w:spacing w:after="240"/>
        <w:ind w:firstLine="0"/>
        <w:rPr>
          <w:rFonts w:asciiTheme="majorHAnsi" w:hAnsiTheme="majorHAnsi" w:cstheme="majorHAnsi"/>
        </w:rPr>
      </w:pPr>
      <w:r w:rsidRPr="00AC6EC4">
        <w:rPr>
          <w:rFonts w:asciiTheme="majorHAnsi" w:hAnsiTheme="majorHAnsi" w:cstheme="majorHAnsi"/>
        </w:rPr>
        <w:t>The level of the Share of domestic debt in total debt indicator will be within the defined benchmark range in the medium term, reaching 38.5% at the end of the period.</w:t>
      </w:r>
    </w:p>
    <w:p w:rsidR="00773729" w:rsidRPr="00AC6EC4" w:rsidRDefault="00D223F4" w:rsidP="00062354">
      <w:pPr>
        <w:pStyle w:val="Heading5"/>
        <w:numPr>
          <w:ilvl w:val="0"/>
          <w:numId w:val="29"/>
        </w:numPr>
        <w:spacing w:line="240" w:lineRule="auto"/>
        <w:ind w:left="426"/>
        <w:jc w:val="left"/>
        <w:rPr>
          <w:rFonts w:asciiTheme="majorHAnsi" w:hAnsiTheme="majorHAnsi" w:cstheme="majorHAnsi"/>
        </w:rPr>
      </w:pPr>
      <w:r w:rsidRPr="00AC6EC4">
        <w:rPr>
          <w:rStyle w:val="Emphasis"/>
          <w:rFonts w:asciiTheme="majorHAnsi" w:hAnsiTheme="majorHAnsi" w:cstheme="majorHAnsi"/>
          <w:b w:val="0"/>
          <w:sz w:val="24"/>
          <w:szCs w:val="24"/>
        </w:rPr>
        <w:lastRenderedPageBreak/>
        <w:t xml:space="preserve">The weights of the RA Government domestic debt and AMD denominated debt in the total debt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02"/>
        <w:gridCol w:w="1050"/>
        <w:gridCol w:w="1074"/>
        <w:gridCol w:w="1134"/>
        <w:gridCol w:w="1052"/>
      </w:tblGrid>
      <w:tr w:rsidR="006B636E" w:rsidRPr="00AC6EC4" w:rsidTr="006B636E">
        <w:trPr>
          <w:trHeight w:val="780"/>
          <w:tblHeader/>
          <w:jc w:val="center"/>
        </w:trPr>
        <w:tc>
          <w:tcPr>
            <w:tcW w:w="4111" w:type="dxa"/>
            <w:tcBorders>
              <w:top w:val="thinThickThinSmallGap" w:sz="24" w:space="0" w:color="auto"/>
              <w:left w:val="nil"/>
              <w:bottom w:val="thinThickSmallGap" w:sz="24" w:space="0" w:color="auto"/>
              <w:right w:val="nil"/>
            </w:tcBorders>
            <w:shd w:val="clear" w:color="auto" w:fill="365F91" w:themeFill="accent1" w:themeFillShade="BF"/>
          </w:tcPr>
          <w:p w:rsidR="006B636E" w:rsidRPr="00AC6EC4" w:rsidRDefault="006B636E" w:rsidP="00062901">
            <w:pPr>
              <w:spacing w:line="240" w:lineRule="auto"/>
              <w:ind w:firstLine="20"/>
              <w:rPr>
                <w:rFonts w:asciiTheme="majorHAnsi" w:hAnsiTheme="majorHAnsi" w:cstheme="majorHAnsi"/>
              </w:rPr>
            </w:pPr>
          </w:p>
        </w:tc>
        <w:tc>
          <w:tcPr>
            <w:tcW w:w="1502"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w:t>
            </w:r>
          </w:p>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050"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7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13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5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6B636E" w:rsidRPr="00AC6EC4" w:rsidTr="006B636E">
        <w:trPr>
          <w:trHeight w:val="393"/>
          <w:jc w:val="center"/>
        </w:trPr>
        <w:tc>
          <w:tcPr>
            <w:tcW w:w="4111" w:type="dxa"/>
            <w:tcBorders>
              <w:top w:val="thinThickSmallGap" w:sz="24" w:space="0" w:color="auto"/>
              <w:left w:val="nil"/>
              <w:bottom w:val="single" w:sz="4" w:space="0" w:color="auto"/>
              <w:right w:val="nil"/>
            </w:tcBorders>
            <w:vAlign w:val="center"/>
          </w:tcPr>
          <w:p w:rsidR="006B636E" w:rsidRPr="00AC6EC4" w:rsidRDefault="006B636E" w:rsidP="00062901">
            <w:pPr>
              <w:tabs>
                <w:tab w:val="left" w:pos="645"/>
              </w:tabs>
              <w:spacing w:line="240" w:lineRule="auto"/>
              <w:ind w:left="356" w:hanging="319"/>
              <w:rPr>
                <w:rFonts w:asciiTheme="majorHAnsi" w:hAnsiTheme="majorHAnsi" w:cstheme="majorHAnsi"/>
              </w:rPr>
            </w:pPr>
            <w:r w:rsidRPr="00AC6EC4">
              <w:rPr>
                <w:rFonts w:asciiTheme="majorHAnsi" w:hAnsiTheme="majorHAnsi" w:cstheme="majorHAnsi"/>
              </w:rPr>
              <w:t>Domestic debt / Total debt (%)</w:t>
            </w:r>
          </w:p>
        </w:tc>
        <w:tc>
          <w:tcPr>
            <w:tcW w:w="1502" w:type="dxa"/>
            <w:tcBorders>
              <w:top w:val="thinThickSmallGap" w:sz="24" w:space="0" w:color="auto"/>
              <w:left w:val="nil"/>
              <w:bottom w:val="single" w:sz="4" w:space="0" w:color="auto"/>
              <w:right w:val="double" w:sz="4" w:space="0" w:color="auto"/>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28.1</w:t>
            </w:r>
          </w:p>
        </w:tc>
        <w:tc>
          <w:tcPr>
            <w:tcW w:w="1050" w:type="dxa"/>
            <w:tcBorders>
              <w:top w:val="thinThickSmallGap" w:sz="24" w:space="0" w:color="auto"/>
              <w:left w:val="double" w:sz="4" w:space="0" w:color="auto"/>
              <w:bottom w:val="single" w:sz="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28.3</w:t>
            </w:r>
          </w:p>
        </w:tc>
        <w:tc>
          <w:tcPr>
            <w:tcW w:w="1074" w:type="dxa"/>
            <w:tcBorders>
              <w:top w:val="thinThickSmallGap" w:sz="24" w:space="0" w:color="auto"/>
              <w:left w:val="nil"/>
              <w:bottom w:val="single" w:sz="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31.3</w:t>
            </w:r>
          </w:p>
        </w:tc>
        <w:tc>
          <w:tcPr>
            <w:tcW w:w="1134" w:type="dxa"/>
            <w:tcBorders>
              <w:top w:val="thinThickSmallGap" w:sz="24" w:space="0" w:color="auto"/>
              <w:left w:val="nil"/>
              <w:bottom w:val="single" w:sz="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34.9</w:t>
            </w:r>
          </w:p>
        </w:tc>
        <w:tc>
          <w:tcPr>
            <w:tcW w:w="1052" w:type="dxa"/>
            <w:tcBorders>
              <w:top w:val="thinThickSmallGap" w:sz="24" w:space="0" w:color="auto"/>
              <w:left w:val="nil"/>
              <w:bottom w:val="single" w:sz="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38.5</w:t>
            </w:r>
          </w:p>
        </w:tc>
      </w:tr>
      <w:tr w:rsidR="006B636E" w:rsidRPr="00AC6EC4" w:rsidTr="006B636E">
        <w:trPr>
          <w:trHeight w:val="439"/>
          <w:jc w:val="center"/>
        </w:trPr>
        <w:tc>
          <w:tcPr>
            <w:tcW w:w="4111" w:type="dxa"/>
            <w:tcBorders>
              <w:top w:val="single" w:sz="4" w:space="0" w:color="auto"/>
              <w:left w:val="nil"/>
              <w:bottom w:val="thickThinSmallGap" w:sz="24" w:space="0" w:color="auto"/>
              <w:right w:val="nil"/>
            </w:tcBorders>
            <w:vAlign w:val="center"/>
          </w:tcPr>
          <w:p w:rsidR="006B636E" w:rsidRPr="00AC6EC4" w:rsidRDefault="006B636E" w:rsidP="00062901">
            <w:pPr>
              <w:tabs>
                <w:tab w:val="left" w:pos="645"/>
              </w:tabs>
              <w:spacing w:line="240" w:lineRule="auto"/>
              <w:ind w:left="356" w:hanging="319"/>
              <w:rPr>
                <w:rFonts w:asciiTheme="majorHAnsi" w:hAnsiTheme="majorHAnsi" w:cstheme="majorHAnsi"/>
              </w:rPr>
            </w:pPr>
            <w:r w:rsidRPr="00AC6EC4">
              <w:rPr>
                <w:rFonts w:asciiTheme="majorHAnsi" w:hAnsiTheme="majorHAnsi" w:cstheme="majorHAnsi"/>
              </w:rPr>
              <w:t>AMD denominated debt / Total debt (%)</w:t>
            </w:r>
          </w:p>
        </w:tc>
        <w:tc>
          <w:tcPr>
            <w:tcW w:w="1502" w:type="dxa"/>
            <w:tcBorders>
              <w:top w:val="single" w:sz="4" w:space="0" w:color="auto"/>
              <w:left w:val="nil"/>
              <w:bottom w:val="thickThinSmallGap" w:sz="24" w:space="0" w:color="auto"/>
              <w:right w:val="double" w:sz="4" w:space="0" w:color="auto"/>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27.1</w:t>
            </w:r>
          </w:p>
        </w:tc>
        <w:tc>
          <w:tcPr>
            <w:tcW w:w="1050" w:type="dxa"/>
            <w:tcBorders>
              <w:top w:val="single" w:sz="4" w:space="0" w:color="auto"/>
              <w:left w:val="double" w:sz="4" w:space="0" w:color="auto"/>
              <w:bottom w:val="thickThinSmallGap" w:sz="2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27.1</w:t>
            </w:r>
          </w:p>
        </w:tc>
        <w:tc>
          <w:tcPr>
            <w:tcW w:w="1074" w:type="dxa"/>
            <w:tcBorders>
              <w:top w:val="single" w:sz="4" w:space="0" w:color="auto"/>
              <w:left w:val="nil"/>
              <w:bottom w:val="thickThinSmallGap" w:sz="2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30.2</w:t>
            </w:r>
          </w:p>
        </w:tc>
        <w:tc>
          <w:tcPr>
            <w:tcW w:w="1134" w:type="dxa"/>
            <w:tcBorders>
              <w:top w:val="single" w:sz="4" w:space="0" w:color="auto"/>
              <w:left w:val="nil"/>
              <w:bottom w:val="thickThinSmallGap" w:sz="2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33.8</w:t>
            </w:r>
          </w:p>
        </w:tc>
        <w:tc>
          <w:tcPr>
            <w:tcW w:w="1052" w:type="dxa"/>
            <w:tcBorders>
              <w:top w:val="single" w:sz="4" w:space="0" w:color="auto"/>
              <w:left w:val="nil"/>
              <w:bottom w:val="thickThinSmallGap" w:sz="24" w:space="0" w:color="auto"/>
              <w:right w:val="nil"/>
            </w:tcBorders>
            <w:vAlign w:val="center"/>
          </w:tcPr>
          <w:p w:rsidR="006B636E" w:rsidRPr="00AC6EC4" w:rsidRDefault="006B636E" w:rsidP="00062901">
            <w:pPr>
              <w:spacing w:line="240" w:lineRule="auto"/>
              <w:ind w:firstLine="20"/>
              <w:jc w:val="center"/>
              <w:rPr>
                <w:rFonts w:asciiTheme="majorHAnsi" w:hAnsiTheme="majorHAnsi" w:cstheme="majorHAnsi"/>
              </w:rPr>
            </w:pPr>
            <w:r w:rsidRPr="00AC6EC4">
              <w:rPr>
                <w:rFonts w:asciiTheme="majorHAnsi" w:hAnsiTheme="majorHAnsi" w:cstheme="majorHAnsi"/>
              </w:rPr>
              <w:t>37.5</w:t>
            </w:r>
          </w:p>
        </w:tc>
      </w:tr>
    </w:tbl>
    <w:p w:rsidR="002712CE" w:rsidRPr="00AC6EC4" w:rsidRDefault="002712CE" w:rsidP="00A1274B">
      <w:pPr>
        <w:rPr>
          <w:rFonts w:asciiTheme="majorHAnsi" w:hAnsiTheme="majorHAnsi" w:cstheme="majorHAnsi"/>
        </w:rPr>
      </w:pPr>
    </w:p>
    <w:p w:rsidR="00B00DBF" w:rsidRPr="00AC6EC4" w:rsidRDefault="00B00DBF" w:rsidP="00B00DBF">
      <w:pPr>
        <w:ind w:firstLine="0"/>
        <w:rPr>
          <w:rFonts w:asciiTheme="majorHAnsi" w:hAnsiTheme="majorHAnsi" w:cstheme="majorHAnsi"/>
        </w:rPr>
      </w:pPr>
      <w:r w:rsidRPr="00AC6EC4">
        <w:rPr>
          <w:rFonts w:asciiTheme="majorHAnsi" w:hAnsiTheme="majorHAnsi" w:cstheme="majorHAnsi"/>
        </w:rPr>
        <w:t>At the end of 2024, the weight of the foreign currency denominated debt decreases over the medium-term, constituting 62.5%, however the exchange rate risk of the RA Government debt portfolio will still remain the main risk factor in the upcoming years.</w:t>
      </w:r>
    </w:p>
    <w:p w:rsidR="00025E2D" w:rsidRPr="00AC6EC4" w:rsidRDefault="00025E2D"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 xml:space="preserve"> </w:t>
      </w:r>
      <w:r w:rsidR="00D223F4" w:rsidRPr="00AC6EC4">
        <w:rPr>
          <w:rStyle w:val="Emphasis"/>
          <w:rFonts w:asciiTheme="majorHAnsi" w:hAnsiTheme="majorHAnsi" w:cstheme="majorHAnsi"/>
          <w:b w:val="0"/>
          <w:sz w:val="24"/>
          <w:szCs w:val="24"/>
        </w:rPr>
        <w:t>The structure of the RA Government foreign currency denominated debt in 202</w:t>
      </w:r>
      <w:r w:rsidR="00D223F4" w:rsidRPr="00AC6EC4">
        <w:rPr>
          <w:rStyle w:val="Emphasis"/>
          <w:rFonts w:asciiTheme="majorHAnsi" w:hAnsiTheme="majorHAnsi" w:cstheme="majorHAnsi"/>
          <w:b w:val="0"/>
          <w:sz w:val="24"/>
          <w:szCs w:val="24"/>
          <w:lang w:val="en-US"/>
        </w:rPr>
        <w:t>1</w:t>
      </w:r>
      <w:r w:rsidR="00D223F4" w:rsidRPr="00AC6EC4">
        <w:rPr>
          <w:rStyle w:val="Emphasis"/>
          <w:rFonts w:asciiTheme="majorHAnsi" w:hAnsiTheme="majorHAnsi" w:cstheme="majorHAnsi"/>
          <w:b w:val="0"/>
          <w:sz w:val="24"/>
          <w:szCs w:val="24"/>
        </w:rPr>
        <w:t>-202</w:t>
      </w:r>
      <w:r w:rsidR="00D223F4" w:rsidRPr="00AC6EC4">
        <w:rPr>
          <w:rStyle w:val="Emphasis"/>
          <w:rFonts w:asciiTheme="majorHAnsi" w:hAnsiTheme="majorHAnsi" w:cstheme="majorHAnsi"/>
          <w:b w:val="0"/>
          <w:sz w:val="24"/>
          <w:szCs w:val="24"/>
          <w:lang w:val="en-US"/>
        </w:rPr>
        <w:t>4</w:t>
      </w:r>
      <w:r w:rsidR="00D223F4" w:rsidRPr="00AC6EC4">
        <w:rPr>
          <w:rStyle w:val="Emphasis"/>
          <w:rFonts w:asciiTheme="majorHAnsi" w:hAnsiTheme="majorHAnsi" w:cstheme="majorHAnsi"/>
          <w:b w:val="0"/>
          <w:sz w:val="24"/>
          <w:szCs w:val="24"/>
        </w:rPr>
        <w:t>, as of the end of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26"/>
        <w:gridCol w:w="1286"/>
        <w:gridCol w:w="1080"/>
        <w:gridCol w:w="1080"/>
        <w:gridCol w:w="1089"/>
      </w:tblGrid>
      <w:tr w:rsidR="006B636E" w:rsidRPr="00AC6EC4" w:rsidTr="006B636E">
        <w:trPr>
          <w:trHeight w:val="720"/>
          <w:tblHeader/>
          <w:jc w:val="center"/>
        </w:trPr>
        <w:tc>
          <w:tcPr>
            <w:tcW w:w="1260" w:type="dxa"/>
            <w:tcBorders>
              <w:top w:val="thinThickThinSmallGap" w:sz="24" w:space="0" w:color="auto"/>
              <w:left w:val="nil"/>
              <w:bottom w:val="thinThickSmallGap" w:sz="24" w:space="0" w:color="auto"/>
              <w:right w:val="nil"/>
            </w:tcBorders>
            <w:shd w:val="clear" w:color="auto" w:fill="365F91" w:themeFill="accent1" w:themeFillShade="BF"/>
          </w:tcPr>
          <w:p w:rsidR="006B636E" w:rsidRPr="00AC6EC4" w:rsidRDefault="006B636E" w:rsidP="00062901">
            <w:pPr>
              <w:spacing w:line="240" w:lineRule="auto"/>
              <w:ind w:firstLine="6"/>
              <w:rPr>
                <w:rFonts w:asciiTheme="majorHAnsi" w:hAnsiTheme="majorHAnsi" w:cstheme="majorHAnsi"/>
              </w:rPr>
            </w:pPr>
          </w:p>
        </w:tc>
        <w:tc>
          <w:tcPr>
            <w:tcW w:w="1526"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w:t>
            </w:r>
          </w:p>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286"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8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08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89"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B636E" w:rsidRPr="00AC6EC4" w:rsidRDefault="006B636E"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9A465C" w:rsidRPr="00AC6EC4" w:rsidTr="007E37AA">
        <w:trPr>
          <w:jc w:val="center"/>
        </w:trPr>
        <w:tc>
          <w:tcPr>
            <w:tcW w:w="1260" w:type="dxa"/>
            <w:tcBorders>
              <w:top w:val="thinThickSmallGap" w:sz="24" w:space="0" w:color="auto"/>
              <w:left w:val="nil"/>
              <w:right w:val="nil"/>
            </w:tcBorders>
          </w:tcPr>
          <w:p w:rsidR="009A465C" w:rsidRPr="00AC6EC4" w:rsidRDefault="009A465C" w:rsidP="00062901">
            <w:pPr>
              <w:spacing w:line="240" w:lineRule="auto"/>
              <w:ind w:firstLine="6"/>
              <w:jc w:val="left"/>
              <w:rPr>
                <w:rFonts w:asciiTheme="majorHAnsi" w:hAnsiTheme="majorHAnsi" w:cstheme="majorHAnsi"/>
              </w:rPr>
            </w:pPr>
            <w:r w:rsidRPr="00AC6EC4">
              <w:rPr>
                <w:rFonts w:asciiTheme="majorHAnsi" w:hAnsiTheme="majorHAnsi" w:cstheme="majorHAnsi"/>
              </w:rPr>
              <w:t xml:space="preserve"> USD </w:t>
            </w:r>
          </w:p>
        </w:tc>
        <w:tc>
          <w:tcPr>
            <w:tcW w:w="1526" w:type="dxa"/>
            <w:tcBorders>
              <w:top w:val="thinThickSmallGap" w:sz="24" w:space="0" w:color="auto"/>
              <w:left w:val="nil"/>
              <w:right w:val="double" w:sz="4" w:space="0" w:color="auto"/>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42.9</w:t>
            </w:r>
          </w:p>
        </w:tc>
        <w:tc>
          <w:tcPr>
            <w:tcW w:w="1286" w:type="dxa"/>
            <w:tcBorders>
              <w:top w:val="thinThickSmallGap" w:sz="24" w:space="0" w:color="auto"/>
              <w:left w:val="double" w:sz="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57.7</w:t>
            </w:r>
          </w:p>
        </w:tc>
        <w:tc>
          <w:tcPr>
            <w:tcW w:w="1080" w:type="dxa"/>
            <w:tcBorders>
              <w:top w:val="thinThickSmallGap" w:sz="24" w:space="0" w:color="auto"/>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58.0</w:t>
            </w:r>
          </w:p>
        </w:tc>
        <w:tc>
          <w:tcPr>
            <w:tcW w:w="1080" w:type="dxa"/>
            <w:tcBorders>
              <w:top w:val="thinThickSmallGap" w:sz="24" w:space="0" w:color="auto"/>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59.2</w:t>
            </w:r>
          </w:p>
        </w:tc>
        <w:tc>
          <w:tcPr>
            <w:tcW w:w="1089" w:type="dxa"/>
            <w:tcBorders>
              <w:top w:val="thinThickSmallGap" w:sz="24" w:space="0" w:color="auto"/>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61.7</w:t>
            </w:r>
          </w:p>
        </w:tc>
      </w:tr>
      <w:tr w:rsidR="009A465C" w:rsidRPr="00AC6EC4" w:rsidTr="007E37AA">
        <w:trPr>
          <w:jc w:val="center"/>
        </w:trPr>
        <w:tc>
          <w:tcPr>
            <w:tcW w:w="1260" w:type="dxa"/>
            <w:tcBorders>
              <w:left w:val="nil"/>
              <w:right w:val="nil"/>
            </w:tcBorders>
          </w:tcPr>
          <w:p w:rsidR="009A465C" w:rsidRPr="00AC6EC4" w:rsidRDefault="009A465C" w:rsidP="00062901">
            <w:pPr>
              <w:spacing w:line="240" w:lineRule="auto"/>
              <w:ind w:firstLine="6"/>
              <w:jc w:val="left"/>
              <w:rPr>
                <w:rFonts w:asciiTheme="majorHAnsi" w:hAnsiTheme="majorHAnsi" w:cstheme="majorHAnsi"/>
              </w:rPr>
            </w:pPr>
            <w:r w:rsidRPr="00AC6EC4">
              <w:rPr>
                <w:rFonts w:asciiTheme="majorHAnsi" w:hAnsiTheme="majorHAnsi" w:cstheme="majorHAnsi"/>
              </w:rPr>
              <w:t xml:space="preserve"> SDR </w:t>
            </w:r>
          </w:p>
        </w:tc>
        <w:tc>
          <w:tcPr>
            <w:tcW w:w="1526" w:type="dxa"/>
            <w:tcBorders>
              <w:left w:val="nil"/>
              <w:right w:val="double" w:sz="4" w:space="0" w:color="auto"/>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34.4</w:t>
            </w:r>
          </w:p>
        </w:tc>
        <w:tc>
          <w:tcPr>
            <w:tcW w:w="1286" w:type="dxa"/>
            <w:tcBorders>
              <w:left w:val="double" w:sz="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13.0</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14.0</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15.0</w:t>
            </w:r>
          </w:p>
        </w:tc>
        <w:tc>
          <w:tcPr>
            <w:tcW w:w="1089"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16.5</w:t>
            </w:r>
          </w:p>
        </w:tc>
      </w:tr>
      <w:tr w:rsidR="009A465C" w:rsidRPr="00AC6EC4" w:rsidTr="007E37AA">
        <w:trPr>
          <w:jc w:val="center"/>
        </w:trPr>
        <w:tc>
          <w:tcPr>
            <w:tcW w:w="1260" w:type="dxa"/>
            <w:tcBorders>
              <w:left w:val="nil"/>
              <w:right w:val="nil"/>
            </w:tcBorders>
          </w:tcPr>
          <w:p w:rsidR="009A465C" w:rsidRPr="00AC6EC4" w:rsidRDefault="009A465C" w:rsidP="00062901">
            <w:pPr>
              <w:spacing w:line="240" w:lineRule="auto"/>
              <w:ind w:firstLine="6"/>
              <w:jc w:val="left"/>
              <w:rPr>
                <w:rFonts w:asciiTheme="majorHAnsi" w:hAnsiTheme="majorHAnsi" w:cstheme="majorHAnsi"/>
              </w:rPr>
            </w:pPr>
            <w:r w:rsidRPr="00AC6EC4">
              <w:rPr>
                <w:rFonts w:asciiTheme="majorHAnsi" w:hAnsiTheme="majorHAnsi" w:cstheme="majorHAnsi"/>
              </w:rPr>
              <w:t xml:space="preserve"> EUR </w:t>
            </w:r>
          </w:p>
        </w:tc>
        <w:tc>
          <w:tcPr>
            <w:tcW w:w="1526" w:type="dxa"/>
            <w:tcBorders>
              <w:left w:val="nil"/>
              <w:right w:val="double" w:sz="4" w:space="0" w:color="auto"/>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18.0</w:t>
            </w:r>
          </w:p>
        </w:tc>
        <w:tc>
          <w:tcPr>
            <w:tcW w:w="1286" w:type="dxa"/>
            <w:tcBorders>
              <w:left w:val="double" w:sz="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25.6</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24.5</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22.5</w:t>
            </w:r>
          </w:p>
        </w:tc>
        <w:tc>
          <w:tcPr>
            <w:tcW w:w="1089"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18.7</w:t>
            </w:r>
          </w:p>
        </w:tc>
      </w:tr>
      <w:tr w:rsidR="009A465C" w:rsidRPr="00AC6EC4" w:rsidTr="007E37AA">
        <w:trPr>
          <w:jc w:val="center"/>
        </w:trPr>
        <w:tc>
          <w:tcPr>
            <w:tcW w:w="1260" w:type="dxa"/>
            <w:tcBorders>
              <w:left w:val="nil"/>
              <w:right w:val="nil"/>
            </w:tcBorders>
          </w:tcPr>
          <w:p w:rsidR="009A465C" w:rsidRPr="00AC6EC4" w:rsidRDefault="009A465C" w:rsidP="00062901">
            <w:pPr>
              <w:spacing w:line="240" w:lineRule="auto"/>
              <w:ind w:firstLine="6"/>
              <w:jc w:val="left"/>
              <w:rPr>
                <w:rFonts w:asciiTheme="majorHAnsi" w:hAnsiTheme="majorHAnsi" w:cstheme="majorHAnsi"/>
              </w:rPr>
            </w:pPr>
            <w:r w:rsidRPr="00AC6EC4">
              <w:rPr>
                <w:rFonts w:asciiTheme="majorHAnsi" w:hAnsiTheme="majorHAnsi" w:cstheme="majorHAnsi"/>
              </w:rPr>
              <w:t xml:space="preserve"> JPY </w:t>
            </w:r>
          </w:p>
        </w:tc>
        <w:tc>
          <w:tcPr>
            <w:tcW w:w="1526" w:type="dxa"/>
            <w:tcBorders>
              <w:left w:val="nil"/>
              <w:right w:val="double" w:sz="4" w:space="0" w:color="auto"/>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4.2</w:t>
            </w:r>
          </w:p>
        </w:tc>
        <w:tc>
          <w:tcPr>
            <w:tcW w:w="1286" w:type="dxa"/>
            <w:tcBorders>
              <w:left w:val="double" w:sz="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3.2</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3.1</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3.0</w:t>
            </w:r>
          </w:p>
        </w:tc>
        <w:tc>
          <w:tcPr>
            <w:tcW w:w="1089"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2.8</w:t>
            </w:r>
          </w:p>
        </w:tc>
      </w:tr>
      <w:tr w:rsidR="009A465C" w:rsidRPr="00AC6EC4" w:rsidTr="007E37AA">
        <w:trPr>
          <w:jc w:val="center"/>
        </w:trPr>
        <w:tc>
          <w:tcPr>
            <w:tcW w:w="1260" w:type="dxa"/>
            <w:tcBorders>
              <w:left w:val="nil"/>
              <w:right w:val="nil"/>
            </w:tcBorders>
          </w:tcPr>
          <w:p w:rsidR="009A465C" w:rsidRPr="00AC6EC4" w:rsidRDefault="009A465C" w:rsidP="00062901">
            <w:pPr>
              <w:spacing w:line="240" w:lineRule="auto"/>
              <w:ind w:firstLine="6"/>
              <w:jc w:val="left"/>
              <w:rPr>
                <w:rFonts w:asciiTheme="majorHAnsi" w:hAnsiTheme="majorHAnsi" w:cstheme="majorHAnsi"/>
              </w:rPr>
            </w:pPr>
            <w:r w:rsidRPr="00AC6EC4">
              <w:rPr>
                <w:rFonts w:asciiTheme="majorHAnsi" w:hAnsiTheme="majorHAnsi" w:cstheme="majorHAnsi"/>
              </w:rPr>
              <w:t>AED</w:t>
            </w:r>
          </w:p>
        </w:tc>
        <w:tc>
          <w:tcPr>
            <w:tcW w:w="1526" w:type="dxa"/>
            <w:tcBorders>
              <w:left w:val="nil"/>
              <w:right w:val="double" w:sz="4" w:space="0" w:color="auto"/>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0.1</w:t>
            </w:r>
          </w:p>
        </w:tc>
        <w:tc>
          <w:tcPr>
            <w:tcW w:w="1286" w:type="dxa"/>
            <w:tcBorders>
              <w:left w:val="double" w:sz="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0.1</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0.0</w:t>
            </w:r>
          </w:p>
        </w:tc>
        <w:tc>
          <w:tcPr>
            <w:tcW w:w="1080"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0.0</w:t>
            </w:r>
          </w:p>
        </w:tc>
        <w:tc>
          <w:tcPr>
            <w:tcW w:w="1089" w:type="dxa"/>
            <w:tcBorders>
              <w:left w:val="nil"/>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0.0</w:t>
            </w:r>
          </w:p>
        </w:tc>
      </w:tr>
      <w:tr w:rsidR="009A465C" w:rsidRPr="00AC6EC4" w:rsidTr="007E37AA">
        <w:trPr>
          <w:jc w:val="center"/>
        </w:trPr>
        <w:tc>
          <w:tcPr>
            <w:tcW w:w="1260" w:type="dxa"/>
            <w:tcBorders>
              <w:left w:val="nil"/>
              <w:bottom w:val="thickThinSmallGap" w:sz="24" w:space="0" w:color="auto"/>
              <w:right w:val="nil"/>
            </w:tcBorders>
          </w:tcPr>
          <w:p w:rsidR="009A465C" w:rsidRPr="00AC6EC4" w:rsidRDefault="009A465C" w:rsidP="00062901">
            <w:pPr>
              <w:spacing w:line="240" w:lineRule="auto"/>
              <w:ind w:firstLine="6"/>
              <w:jc w:val="left"/>
              <w:rPr>
                <w:rFonts w:asciiTheme="majorHAnsi" w:hAnsiTheme="majorHAnsi" w:cstheme="majorHAnsi"/>
              </w:rPr>
            </w:pPr>
            <w:r w:rsidRPr="00AC6EC4">
              <w:rPr>
                <w:rFonts w:asciiTheme="majorHAnsi" w:hAnsiTheme="majorHAnsi" w:cstheme="majorHAnsi"/>
              </w:rPr>
              <w:t>CNY</w:t>
            </w:r>
          </w:p>
        </w:tc>
        <w:tc>
          <w:tcPr>
            <w:tcW w:w="1526" w:type="dxa"/>
            <w:tcBorders>
              <w:left w:val="nil"/>
              <w:bottom w:val="thickThinSmallGap" w:sz="24" w:space="0" w:color="auto"/>
              <w:right w:val="double" w:sz="4" w:space="0" w:color="auto"/>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0.4</w:t>
            </w:r>
          </w:p>
        </w:tc>
        <w:tc>
          <w:tcPr>
            <w:tcW w:w="1286" w:type="dxa"/>
            <w:tcBorders>
              <w:left w:val="double" w:sz="4" w:space="0" w:color="auto"/>
              <w:bottom w:val="thickThinSmallGap" w:sz="2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0.3</w:t>
            </w:r>
          </w:p>
        </w:tc>
        <w:tc>
          <w:tcPr>
            <w:tcW w:w="1080" w:type="dxa"/>
            <w:tcBorders>
              <w:left w:val="nil"/>
              <w:bottom w:val="thickThinSmallGap" w:sz="2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0.3</w:t>
            </w:r>
          </w:p>
        </w:tc>
        <w:tc>
          <w:tcPr>
            <w:tcW w:w="1080" w:type="dxa"/>
            <w:tcBorders>
              <w:left w:val="nil"/>
              <w:bottom w:val="thickThinSmallGap" w:sz="2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0.3</w:t>
            </w:r>
          </w:p>
        </w:tc>
        <w:tc>
          <w:tcPr>
            <w:tcW w:w="1089" w:type="dxa"/>
            <w:tcBorders>
              <w:left w:val="nil"/>
              <w:bottom w:val="thickThinSmallGap" w:sz="24" w:space="0" w:color="auto"/>
              <w:right w:val="nil"/>
            </w:tcBorders>
            <w:vAlign w:val="center"/>
          </w:tcPr>
          <w:p w:rsidR="009A465C" w:rsidRPr="00AC6EC4" w:rsidRDefault="009A465C" w:rsidP="00062901">
            <w:pPr>
              <w:spacing w:line="240" w:lineRule="auto"/>
              <w:ind w:firstLine="6"/>
              <w:jc w:val="center"/>
              <w:rPr>
                <w:rFonts w:asciiTheme="majorHAnsi" w:hAnsiTheme="majorHAnsi" w:cstheme="majorHAnsi"/>
              </w:rPr>
            </w:pPr>
            <w:r w:rsidRPr="00AC6EC4">
              <w:rPr>
                <w:rFonts w:asciiTheme="majorHAnsi" w:hAnsiTheme="majorHAnsi" w:cstheme="majorHAnsi"/>
              </w:rPr>
              <w:t>0.3</w:t>
            </w:r>
          </w:p>
        </w:tc>
      </w:tr>
    </w:tbl>
    <w:p w:rsidR="00ED4FBB" w:rsidRPr="00AC6EC4" w:rsidRDefault="00ED4FBB" w:rsidP="00ED4FBB">
      <w:pPr>
        <w:spacing w:after="240"/>
        <w:ind w:firstLine="0"/>
        <w:rPr>
          <w:rFonts w:asciiTheme="majorHAnsi" w:hAnsiTheme="majorHAnsi" w:cstheme="majorHAnsi"/>
        </w:rPr>
      </w:pPr>
    </w:p>
    <w:p w:rsidR="00ED4FBB" w:rsidRPr="00AC6EC4" w:rsidRDefault="00ED4FBB" w:rsidP="00ED4FBB">
      <w:pPr>
        <w:spacing w:after="240"/>
        <w:ind w:firstLine="0"/>
        <w:rPr>
          <w:rFonts w:asciiTheme="majorHAnsi" w:hAnsiTheme="majorHAnsi" w:cstheme="majorHAnsi"/>
        </w:rPr>
      </w:pPr>
      <w:r w:rsidRPr="00AC6EC4">
        <w:rPr>
          <w:rFonts w:asciiTheme="majorHAnsi" w:hAnsiTheme="majorHAnsi" w:cstheme="majorHAnsi"/>
        </w:rPr>
        <w:t>The SDR debt has the second largest volume in the structure of the Government foreign currency debt. If SDR, which is composed of five currencies, is broken down in accordance with the shares of each currency in the basket - USD – 41.73%, EUR – 30.93%, GBP – 8.09%, JPY – 8.33% and CNY – 10.92%, then the structure of the RA Government foreign currency denominated debt will be as follows:</w:t>
      </w:r>
    </w:p>
    <w:p w:rsidR="00025E2D" w:rsidRPr="00AC6EC4" w:rsidRDefault="00D24917"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The structure of the RA Government foreign currency denominated debt in 202</w:t>
      </w:r>
      <w:r w:rsidRPr="00AC6EC4">
        <w:rPr>
          <w:rStyle w:val="Emphasis"/>
          <w:rFonts w:asciiTheme="majorHAnsi" w:hAnsiTheme="majorHAnsi" w:cstheme="majorHAnsi"/>
          <w:b w:val="0"/>
          <w:sz w:val="24"/>
          <w:szCs w:val="24"/>
          <w:lang w:val="en-US"/>
        </w:rPr>
        <w:t>1</w:t>
      </w:r>
      <w:r w:rsidRPr="00AC6EC4">
        <w:rPr>
          <w:rStyle w:val="Emphasis"/>
          <w:rFonts w:asciiTheme="majorHAnsi" w:hAnsiTheme="majorHAnsi" w:cstheme="majorHAnsi"/>
          <w:b w:val="0"/>
          <w:sz w:val="24"/>
          <w:szCs w:val="24"/>
        </w:rPr>
        <w:t>-202</w:t>
      </w:r>
      <w:r w:rsidRPr="00AC6EC4">
        <w:rPr>
          <w:rStyle w:val="Emphasis"/>
          <w:rFonts w:asciiTheme="majorHAnsi" w:hAnsiTheme="majorHAnsi" w:cstheme="majorHAnsi"/>
          <w:b w:val="0"/>
          <w:sz w:val="24"/>
          <w:szCs w:val="24"/>
          <w:lang w:val="en-US"/>
        </w:rPr>
        <w:t>4</w:t>
      </w:r>
      <w:r w:rsidRPr="00AC6EC4">
        <w:rPr>
          <w:rStyle w:val="Emphasis"/>
          <w:rFonts w:asciiTheme="majorHAnsi" w:hAnsiTheme="majorHAnsi" w:cstheme="majorHAnsi"/>
          <w:b w:val="0"/>
          <w:sz w:val="24"/>
          <w:szCs w:val="24"/>
        </w:rPr>
        <w:t>, as of the end of each year, with breakdown of SDR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611"/>
        <w:gridCol w:w="1280"/>
        <w:gridCol w:w="1280"/>
        <w:gridCol w:w="1280"/>
        <w:gridCol w:w="1280"/>
      </w:tblGrid>
      <w:tr w:rsidR="00D24917" w:rsidRPr="00AC6EC4" w:rsidTr="001F72A6">
        <w:trPr>
          <w:trHeight w:val="731"/>
          <w:tblHeader/>
          <w:jc w:val="center"/>
        </w:trPr>
        <w:tc>
          <w:tcPr>
            <w:tcW w:w="1691" w:type="dxa"/>
            <w:tcBorders>
              <w:top w:val="thinThickThinSmallGap" w:sz="24" w:space="0" w:color="auto"/>
              <w:left w:val="nil"/>
              <w:bottom w:val="thinThickSmallGap" w:sz="24" w:space="0" w:color="auto"/>
              <w:right w:val="nil"/>
            </w:tcBorders>
            <w:shd w:val="clear" w:color="auto" w:fill="365F91" w:themeFill="accent1" w:themeFillShade="BF"/>
          </w:tcPr>
          <w:p w:rsidR="00D24917" w:rsidRPr="00AC6EC4" w:rsidRDefault="00D24917" w:rsidP="00A34752">
            <w:pPr>
              <w:spacing w:line="240" w:lineRule="auto"/>
              <w:ind w:firstLine="6"/>
              <w:rPr>
                <w:rFonts w:asciiTheme="majorHAnsi" w:hAnsiTheme="majorHAnsi" w:cstheme="majorHAnsi"/>
              </w:rPr>
            </w:pPr>
          </w:p>
        </w:tc>
        <w:tc>
          <w:tcPr>
            <w:tcW w:w="1611"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D24917" w:rsidRPr="00AC6EC4" w:rsidRDefault="00D24917" w:rsidP="00A34752">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w:t>
            </w:r>
          </w:p>
          <w:p w:rsidR="00D24917" w:rsidRPr="00AC6EC4" w:rsidRDefault="00D24917" w:rsidP="00A34752">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280"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D24917" w:rsidRPr="00AC6EC4" w:rsidRDefault="00D24917" w:rsidP="00A34752">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28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D24917" w:rsidRPr="00AC6EC4" w:rsidRDefault="00D24917" w:rsidP="00A34752">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28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D24917" w:rsidRPr="00AC6EC4" w:rsidRDefault="00D24917" w:rsidP="00A34752">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28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D24917" w:rsidRPr="00AC6EC4" w:rsidRDefault="00D24917" w:rsidP="00A34752">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DD19CB" w:rsidRPr="00AC6EC4" w:rsidTr="00A34752">
        <w:trPr>
          <w:trHeight w:val="327"/>
          <w:jc w:val="center"/>
        </w:trPr>
        <w:tc>
          <w:tcPr>
            <w:tcW w:w="1691" w:type="dxa"/>
            <w:tcBorders>
              <w:top w:val="thinThickSmallGap" w:sz="24" w:space="0" w:color="auto"/>
              <w:left w:val="nil"/>
              <w:right w:val="nil"/>
            </w:tcBorders>
            <w:vAlign w:val="center"/>
          </w:tcPr>
          <w:p w:rsidR="00DD19CB" w:rsidRPr="00AC6EC4" w:rsidRDefault="00DD19CB" w:rsidP="00A34752">
            <w:pPr>
              <w:spacing w:line="240" w:lineRule="auto"/>
              <w:ind w:firstLine="39"/>
              <w:rPr>
                <w:rFonts w:asciiTheme="majorHAnsi" w:hAnsiTheme="majorHAnsi" w:cstheme="majorHAnsi"/>
              </w:rPr>
            </w:pPr>
            <w:r w:rsidRPr="00AC6EC4">
              <w:rPr>
                <w:rFonts w:asciiTheme="majorHAnsi" w:hAnsiTheme="majorHAnsi" w:cstheme="majorHAnsi"/>
              </w:rPr>
              <w:t>USD</w:t>
            </w:r>
          </w:p>
        </w:tc>
        <w:tc>
          <w:tcPr>
            <w:tcW w:w="1611" w:type="dxa"/>
            <w:tcBorders>
              <w:top w:val="thinThickSmallGap" w:sz="24" w:space="0" w:color="auto"/>
              <w:left w:val="nil"/>
              <w:right w:val="double" w:sz="4" w:space="0" w:color="auto"/>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57.3</w:t>
            </w:r>
          </w:p>
        </w:tc>
        <w:tc>
          <w:tcPr>
            <w:tcW w:w="1280" w:type="dxa"/>
            <w:tcBorders>
              <w:top w:val="thinThickSmallGap" w:sz="24" w:space="0" w:color="auto"/>
              <w:left w:val="double" w:sz="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63.2</w:t>
            </w:r>
          </w:p>
        </w:tc>
        <w:tc>
          <w:tcPr>
            <w:tcW w:w="1280" w:type="dxa"/>
            <w:tcBorders>
              <w:top w:val="thinThickSmallGap" w:sz="24" w:space="0" w:color="auto"/>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63.8</w:t>
            </w:r>
          </w:p>
        </w:tc>
        <w:tc>
          <w:tcPr>
            <w:tcW w:w="1280" w:type="dxa"/>
            <w:tcBorders>
              <w:top w:val="thinThickSmallGap" w:sz="24" w:space="0" w:color="auto"/>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65.4</w:t>
            </w:r>
          </w:p>
        </w:tc>
        <w:tc>
          <w:tcPr>
            <w:tcW w:w="1280" w:type="dxa"/>
            <w:tcBorders>
              <w:top w:val="thinThickSmallGap" w:sz="24" w:space="0" w:color="auto"/>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68.6</w:t>
            </w:r>
          </w:p>
        </w:tc>
      </w:tr>
      <w:tr w:rsidR="00DD19CB" w:rsidRPr="00AC6EC4" w:rsidTr="00A34752">
        <w:trPr>
          <w:trHeight w:val="427"/>
          <w:jc w:val="center"/>
        </w:trPr>
        <w:tc>
          <w:tcPr>
            <w:tcW w:w="1691" w:type="dxa"/>
            <w:tcBorders>
              <w:left w:val="nil"/>
              <w:right w:val="nil"/>
            </w:tcBorders>
            <w:vAlign w:val="center"/>
          </w:tcPr>
          <w:p w:rsidR="00DD19CB" w:rsidRPr="00AC6EC4" w:rsidRDefault="00DD19CB" w:rsidP="00A34752">
            <w:pPr>
              <w:spacing w:line="240" w:lineRule="auto"/>
              <w:ind w:firstLine="39"/>
              <w:rPr>
                <w:rFonts w:asciiTheme="majorHAnsi" w:hAnsiTheme="majorHAnsi" w:cstheme="majorHAnsi"/>
              </w:rPr>
            </w:pPr>
            <w:r w:rsidRPr="00AC6EC4">
              <w:rPr>
                <w:rFonts w:asciiTheme="majorHAnsi" w:hAnsiTheme="majorHAnsi" w:cstheme="majorHAnsi"/>
              </w:rPr>
              <w:t>EUR</w:t>
            </w:r>
          </w:p>
        </w:tc>
        <w:tc>
          <w:tcPr>
            <w:tcW w:w="1611" w:type="dxa"/>
            <w:tcBorders>
              <w:left w:val="nil"/>
              <w:right w:val="double" w:sz="4" w:space="0" w:color="auto"/>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28.6</w:t>
            </w:r>
          </w:p>
        </w:tc>
        <w:tc>
          <w:tcPr>
            <w:tcW w:w="1280" w:type="dxa"/>
            <w:tcBorders>
              <w:left w:val="double" w:sz="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29.7</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28.9</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27.2</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23.8</w:t>
            </w:r>
          </w:p>
        </w:tc>
      </w:tr>
      <w:tr w:rsidR="00DD19CB" w:rsidRPr="00AC6EC4" w:rsidTr="00A34752">
        <w:trPr>
          <w:trHeight w:val="389"/>
          <w:jc w:val="center"/>
        </w:trPr>
        <w:tc>
          <w:tcPr>
            <w:tcW w:w="1691" w:type="dxa"/>
            <w:tcBorders>
              <w:left w:val="nil"/>
              <w:right w:val="nil"/>
            </w:tcBorders>
            <w:vAlign w:val="center"/>
          </w:tcPr>
          <w:p w:rsidR="00DD19CB" w:rsidRPr="00AC6EC4" w:rsidRDefault="00DD19CB" w:rsidP="00A34752">
            <w:pPr>
              <w:spacing w:line="240" w:lineRule="auto"/>
              <w:ind w:firstLine="39"/>
              <w:rPr>
                <w:rFonts w:asciiTheme="majorHAnsi" w:hAnsiTheme="majorHAnsi" w:cstheme="majorHAnsi"/>
              </w:rPr>
            </w:pPr>
            <w:r w:rsidRPr="00AC6EC4">
              <w:rPr>
                <w:rFonts w:asciiTheme="majorHAnsi" w:hAnsiTheme="majorHAnsi" w:cstheme="majorHAnsi"/>
              </w:rPr>
              <w:t>GBP</w:t>
            </w:r>
          </w:p>
        </w:tc>
        <w:tc>
          <w:tcPr>
            <w:tcW w:w="1611" w:type="dxa"/>
            <w:tcBorders>
              <w:left w:val="nil"/>
              <w:right w:val="double" w:sz="4" w:space="0" w:color="auto"/>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2.8</w:t>
            </w:r>
          </w:p>
        </w:tc>
        <w:tc>
          <w:tcPr>
            <w:tcW w:w="1280" w:type="dxa"/>
            <w:tcBorders>
              <w:left w:val="double" w:sz="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1.1</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1.1</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1.2</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1.3</w:t>
            </w:r>
          </w:p>
        </w:tc>
      </w:tr>
      <w:tr w:rsidR="00DD19CB" w:rsidRPr="00AC6EC4" w:rsidTr="00A34752">
        <w:trPr>
          <w:trHeight w:val="371"/>
          <w:jc w:val="center"/>
        </w:trPr>
        <w:tc>
          <w:tcPr>
            <w:tcW w:w="1691" w:type="dxa"/>
            <w:tcBorders>
              <w:left w:val="nil"/>
              <w:right w:val="nil"/>
            </w:tcBorders>
            <w:vAlign w:val="center"/>
          </w:tcPr>
          <w:p w:rsidR="00DD19CB" w:rsidRPr="00AC6EC4" w:rsidRDefault="00DD19CB" w:rsidP="00A34752">
            <w:pPr>
              <w:spacing w:line="240" w:lineRule="auto"/>
              <w:ind w:firstLine="39"/>
              <w:rPr>
                <w:rFonts w:asciiTheme="majorHAnsi" w:hAnsiTheme="majorHAnsi" w:cstheme="majorHAnsi"/>
              </w:rPr>
            </w:pPr>
            <w:r w:rsidRPr="00AC6EC4">
              <w:rPr>
                <w:rFonts w:asciiTheme="majorHAnsi" w:hAnsiTheme="majorHAnsi" w:cstheme="majorHAnsi"/>
              </w:rPr>
              <w:t>JPY</w:t>
            </w:r>
          </w:p>
        </w:tc>
        <w:tc>
          <w:tcPr>
            <w:tcW w:w="1611" w:type="dxa"/>
            <w:tcBorders>
              <w:left w:val="nil"/>
              <w:right w:val="double" w:sz="4" w:space="0" w:color="auto"/>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7.0</w:t>
            </w:r>
          </w:p>
        </w:tc>
        <w:tc>
          <w:tcPr>
            <w:tcW w:w="1280" w:type="dxa"/>
            <w:tcBorders>
              <w:left w:val="double" w:sz="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4.3</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4.3</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4.2</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4.2</w:t>
            </w:r>
          </w:p>
        </w:tc>
      </w:tr>
      <w:tr w:rsidR="00DD19CB" w:rsidRPr="00AC6EC4" w:rsidTr="00A34752">
        <w:trPr>
          <w:trHeight w:val="349"/>
          <w:jc w:val="center"/>
        </w:trPr>
        <w:tc>
          <w:tcPr>
            <w:tcW w:w="1691" w:type="dxa"/>
            <w:tcBorders>
              <w:left w:val="nil"/>
              <w:right w:val="nil"/>
            </w:tcBorders>
            <w:vAlign w:val="center"/>
          </w:tcPr>
          <w:p w:rsidR="00DD19CB" w:rsidRPr="00AC6EC4" w:rsidRDefault="00DD19CB" w:rsidP="00A34752">
            <w:pPr>
              <w:spacing w:line="240" w:lineRule="auto"/>
              <w:ind w:firstLine="39"/>
              <w:rPr>
                <w:rFonts w:asciiTheme="majorHAnsi" w:hAnsiTheme="majorHAnsi" w:cstheme="majorHAnsi"/>
              </w:rPr>
            </w:pPr>
            <w:r w:rsidRPr="00AC6EC4">
              <w:rPr>
                <w:rFonts w:asciiTheme="majorHAnsi" w:hAnsiTheme="majorHAnsi" w:cstheme="majorHAnsi"/>
              </w:rPr>
              <w:t>AED</w:t>
            </w:r>
          </w:p>
        </w:tc>
        <w:tc>
          <w:tcPr>
            <w:tcW w:w="1611" w:type="dxa"/>
            <w:tcBorders>
              <w:left w:val="nil"/>
              <w:right w:val="double" w:sz="4" w:space="0" w:color="auto"/>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0.1</w:t>
            </w:r>
          </w:p>
        </w:tc>
        <w:tc>
          <w:tcPr>
            <w:tcW w:w="1280" w:type="dxa"/>
            <w:tcBorders>
              <w:left w:val="double" w:sz="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0.1</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0.0</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0.0</w:t>
            </w:r>
          </w:p>
        </w:tc>
        <w:tc>
          <w:tcPr>
            <w:tcW w:w="1280" w:type="dxa"/>
            <w:tcBorders>
              <w:left w:val="nil"/>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0.0</w:t>
            </w:r>
          </w:p>
        </w:tc>
      </w:tr>
      <w:tr w:rsidR="00DD19CB" w:rsidRPr="00AC6EC4" w:rsidTr="00A34752">
        <w:trPr>
          <w:trHeight w:val="314"/>
          <w:jc w:val="center"/>
        </w:trPr>
        <w:tc>
          <w:tcPr>
            <w:tcW w:w="1691" w:type="dxa"/>
            <w:tcBorders>
              <w:left w:val="nil"/>
              <w:bottom w:val="thickThinSmallGap" w:sz="24" w:space="0" w:color="auto"/>
              <w:right w:val="nil"/>
            </w:tcBorders>
            <w:vAlign w:val="center"/>
          </w:tcPr>
          <w:p w:rsidR="00DD19CB" w:rsidRPr="00AC6EC4" w:rsidRDefault="00DD19CB" w:rsidP="00A34752">
            <w:pPr>
              <w:spacing w:line="240" w:lineRule="auto"/>
              <w:ind w:firstLine="39"/>
              <w:rPr>
                <w:rFonts w:asciiTheme="majorHAnsi" w:hAnsiTheme="majorHAnsi" w:cstheme="majorHAnsi"/>
              </w:rPr>
            </w:pPr>
            <w:r w:rsidRPr="00AC6EC4">
              <w:rPr>
                <w:rFonts w:asciiTheme="majorHAnsi" w:hAnsiTheme="majorHAnsi" w:cstheme="majorHAnsi"/>
              </w:rPr>
              <w:t>CNY</w:t>
            </w:r>
          </w:p>
        </w:tc>
        <w:tc>
          <w:tcPr>
            <w:tcW w:w="1611" w:type="dxa"/>
            <w:tcBorders>
              <w:left w:val="nil"/>
              <w:bottom w:val="thickThinSmallGap" w:sz="24" w:space="0" w:color="auto"/>
              <w:right w:val="double" w:sz="4" w:space="0" w:color="auto"/>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4.2</w:t>
            </w:r>
          </w:p>
        </w:tc>
        <w:tc>
          <w:tcPr>
            <w:tcW w:w="1280" w:type="dxa"/>
            <w:tcBorders>
              <w:left w:val="double" w:sz="4" w:space="0" w:color="auto"/>
              <w:bottom w:val="thickThinSmallGap" w:sz="2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1.8</w:t>
            </w:r>
          </w:p>
        </w:tc>
        <w:tc>
          <w:tcPr>
            <w:tcW w:w="1280" w:type="dxa"/>
            <w:tcBorders>
              <w:left w:val="nil"/>
              <w:bottom w:val="thickThinSmallGap" w:sz="2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1.9</w:t>
            </w:r>
          </w:p>
        </w:tc>
        <w:tc>
          <w:tcPr>
            <w:tcW w:w="1280" w:type="dxa"/>
            <w:tcBorders>
              <w:left w:val="nil"/>
              <w:bottom w:val="thickThinSmallGap" w:sz="2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1.9</w:t>
            </w:r>
          </w:p>
        </w:tc>
        <w:tc>
          <w:tcPr>
            <w:tcW w:w="1280" w:type="dxa"/>
            <w:tcBorders>
              <w:left w:val="nil"/>
              <w:bottom w:val="thickThinSmallGap" w:sz="24" w:space="0" w:color="auto"/>
              <w:right w:val="nil"/>
            </w:tcBorders>
            <w:vAlign w:val="center"/>
          </w:tcPr>
          <w:p w:rsidR="00DD19CB" w:rsidRPr="00AC6EC4" w:rsidRDefault="00DD19CB" w:rsidP="00A34752">
            <w:pPr>
              <w:spacing w:line="240" w:lineRule="auto"/>
              <w:ind w:firstLine="39"/>
              <w:jc w:val="center"/>
              <w:rPr>
                <w:rFonts w:asciiTheme="majorHAnsi" w:hAnsiTheme="majorHAnsi" w:cstheme="majorHAnsi"/>
              </w:rPr>
            </w:pPr>
            <w:r w:rsidRPr="00AC6EC4">
              <w:rPr>
                <w:rFonts w:asciiTheme="majorHAnsi" w:hAnsiTheme="majorHAnsi" w:cstheme="majorHAnsi"/>
              </w:rPr>
              <w:t>2.1</w:t>
            </w:r>
          </w:p>
        </w:tc>
      </w:tr>
    </w:tbl>
    <w:p w:rsidR="003F67BA" w:rsidRPr="00AC6EC4" w:rsidRDefault="003F67BA" w:rsidP="00A1274B">
      <w:pPr>
        <w:rPr>
          <w:rFonts w:asciiTheme="majorHAnsi" w:hAnsiTheme="majorHAnsi" w:cstheme="majorHAnsi"/>
        </w:rPr>
      </w:pPr>
    </w:p>
    <w:p w:rsidR="00ED4FBB" w:rsidRPr="00AC6EC4" w:rsidRDefault="00ED4FBB" w:rsidP="00ED4FBB">
      <w:pPr>
        <w:ind w:firstLine="0"/>
        <w:rPr>
          <w:rFonts w:asciiTheme="majorHAnsi" w:hAnsiTheme="majorHAnsi" w:cstheme="majorHAnsi"/>
        </w:rPr>
      </w:pPr>
      <w:r w:rsidRPr="00AC6EC4">
        <w:rPr>
          <w:rFonts w:asciiTheme="majorHAnsi" w:hAnsiTheme="majorHAnsi" w:cstheme="majorHAnsi"/>
        </w:rPr>
        <w:lastRenderedPageBreak/>
        <w:t xml:space="preserve">From the perspective of the decrease and efficient management of the exchange rate risk, the dependence from one or more currencies will be reduced, if there will be such kind of possibility during the negotiation of the loan terms. At the same time, </w:t>
      </w:r>
      <w:r w:rsidR="007B7C51" w:rsidRPr="00AC6EC4">
        <w:rPr>
          <w:rFonts w:asciiTheme="majorHAnsi" w:hAnsiTheme="majorHAnsi" w:cstheme="majorHAnsi"/>
        </w:rPr>
        <w:t>the different hedging approaches will be used (for example, FX swaps)</w:t>
      </w:r>
      <w:r w:rsidR="007B7C51" w:rsidRPr="00AC6EC4">
        <w:rPr>
          <w:rFonts w:asciiTheme="majorHAnsi" w:hAnsiTheme="majorHAnsi" w:cstheme="majorHAnsi"/>
          <w:lang w:val="en-US"/>
        </w:rPr>
        <w:t xml:space="preserve"> </w:t>
      </w:r>
      <w:r w:rsidR="007B7C51" w:rsidRPr="00AC6EC4">
        <w:rPr>
          <w:rFonts w:asciiTheme="majorHAnsi" w:hAnsiTheme="majorHAnsi" w:cstheme="majorHAnsi"/>
        </w:rPr>
        <w:t>along with the development of the foreign exchange market</w:t>
      </w:r>
      <w:r w:rsidRPr="00AC6EC4">
        <w:rPr>
          <w:rFonts w:asciiTheme="majorHAnsi" w:hAnsiTheme="majorHAnsi" w:cstheme="majorHAnsi"/>
        </w:rPr>
        <w:t>.</w:t>
      </w:r>
    </w:p>
    <w:p w:rsidR="00ED4FBB" w:rsidRPr="00AC6EC4" w:rsidRDefault="00ED4FBB" w:rsidP="00ED4FBB">
      <w:pPr>
        <w:ind w:firstLine="0"/>
        <w:rPr>
          <w:rFonts w:asciiTheme="majorHAnsi" w:hAnsiTheme="majorHAnsi" w:cstheme="majorHAnsi"/>
        </w:rPr>
      </w:pPr>
      <w:r w:rsidRPr="00AC6EC4">
        <w:rPr>
          <w:rFonts w:asciiTheme="majorHAnsi" w:hAnsiTheme="majorHAnsi" w:cstheme="majorHAnsi"/>
          <w:lang w:val="en-US"/>
        </w:rPr>
        <w:t>I</w:t>
      </w:r>
      <w:r w:rsidRPr="00AC6EC4">
        <w:rPr>
          <w:rFonts w:asciiTheme="majorHAnsi" w:hAnsiTheme="majorHAnsi" w:cstheme="majorHAnsi"/>
        </w:rPr>
        <w:t>n the structure of the Government foreign currency debt the shares of SDR and JPY will decrease at the end of the forecasted period against actual indictor of 2020 by 14.1 and 1.2 percentage points</w:t>
      </w:r>
      <w:r w:rsidR="00B9540C" w:rsidRPr="00AC6EC4">
        <w:rPr>
          <w:rFonts w:asciiTheme="majorHAnsi" w:hAnsiTheme="majorHAnsi" w:cstheme="majorHAnsi"/>
        </w:rPr>
        <w:t xml:space="preserve"> respectively</w:t>
      </w:r>
      <w:r w:rsidRPr="00AC6EC4">
        <w:rPr>
          <w:rFonts w:asciiTheme="majorHAnsi" w:hAnsiTheme="majorHAnsi" w:cstheme="majorHAnsi"/>
        </w:rPr>
        <w:t xml:space="preserve">, but the shares of USD and EUR will increase 11.0 and 4.4 percentage points respectively. </w:t>
      </w:r>
    </w:p>
    <w:p w:rsidR="002D58FE" w:rsidRPr="00AC6EC4" w:rsidRDefault="008826A6" w:rsidP="00B9540C">
      <w:pPr>
        <w:pStyle w:val="af5"/>
        <w:numPr>
          <w:ilvl w:val="0"/>
          <w:numId w:val="28"/>
        </w:numPr>
        <w:tabs>
          <w:tab w:val="left" w:pos="993"/>
        </w:tabs>
        <w:ind w:left="0" w:firstLine="0"/>
        <w:jc w:val="both"/>
        <w:rPr>
          <w:rFonts w:asciiTheme="majorHAnsi" w:hAnsiTheme="majorHAnsi" w:cstheme="majorHAnsi"/>
          <w:b w:val="0"/>
          <w:bCs w:val="0"/>
        </w:rPr>
      </w:pPr>
      <w:r w:rsidRPr="00AC6EC4">
        <w:rPr>
          <w:rFonts w:asciiTheme="majorHAnsi" w:hAnsiTheme="majorHAnsi" w:cstheme="majorHAnsi"/>
          <w:b w:val="0"/>
          <w:bCs w:val="0"/>
        </w:rPr>
        <w:t xml:space="preserve">The share of the RA Government foreign currency denominated debt </w:t>
      </w:r>
      <w:r w:rsidR="00B9540C" w:rsidRPr="00AC6EC4">
        <w:rPr>
          <w:rFonts w:asciiTheme="majorHAnsi" w:hAnsiTheme="majorHAnsi" w:cstheme="majorHAnsi"/>
          <w:b w:val="0"/>
          <w:bCs w:val="0"/>
          <w:lang w:val="en-US"/>
        </w:rPr>
        <w:t>redemp</w:t>
      </w:r>
      <w:r w:rsidR="002E4CCE">
        <w:rPr>
          <w:rFonts w:asciiTheme="majorHAnsi" w:hAnsiTheme="majorHAnsi" w:cstheme="majorHAnsi"/>
          <w:b w:val="0"/>
          <w:bCs w:val="0"/>
          <w:lang w:val="en-US"/>
        </w:rPr>
        <w:t>t</w:t>
      </w:r>
      <w:r w:rsidR="00B9540C" w:rsidRPr="00AC6EC4">
        <w:rPr>
          <w:rFonts w:asciiTheme="majorHAnsi" w:hAnsiTheme="majorHAnsi" w:cstheme="majorHAnsi"/>
          <w:b w:val="0"/>
          <w:bCs w:val="0"/>
          <w:lang w:val="en-US"/>
        </w:rPr>
        <w:t xml:space="preserve">ions and interest </w:t>
      </w:r>
      <w:r w:rsidRPr="00AC6EC4">
        <w:rPr>
          <w:rFonts w:asciiTheme="majorHAnsi" w:hAnsiTheme="majorHAnsi" w:cstheme="majorHAnsi"/>
          <w:b w:val="0"/>
          <w:bCs w:val="0"/>
        </w:rPr>
        <w:t xml:space="preserve">payments </w:t>
      </w:r>
      <w:r w:rsidR="00B9540C" w:rsidRPr="00AC6EC4">
        <w:rPr>
          <w:rFonts w:asciiTheme="majorHAnsi" w:hAnsiTheme="majorHAnsi" w:cstheme="majorHAnsi"/>
          <w:b w:val="0"/>
          <w:bCs w:val="0"/>
          <w:lang w:val="en-US"/>
        </w:rPr>
        <w:t xml:space="preserve">in the coming year </w:t>
      </w:r>
      <w:r w:rsidRPr="00AC6EC4">
        <w:rPr>
          <w:rFonts w:asciiTheme="majorHAnsi" w:hAnsiTheme="majorHAnsi" w:cstheme="majorHAnsi"/>
          <w:b w:val="0"/>
          <w:bCs w:val="0"/>
        </w:rPr>
        <w:t>in the foreign currency assets</w:t>
      </w:r>
      <w:r w:rsidR="00B9540C" w:rsidRPr="00AC6EC4">
        <w:rPr>
          <w:rFonts w:asciiTheme="majorHAnsi" w:hAnsiTheme="majorHAnsi" w:cstheme="majorHAnsi"/>
          <w:b w:val="0"/>
          <w:bCs w:val="0"/>
          <w:lang w:val="en-US"/>
        </w:rPr>
        <w:t xml:space="preserve"> at the end of the same year</w:t>
      </w:r>
      <w:r w:rsidRPr="00AC6EC4">
        <w:rPr>
          <w:rFonts w:asciiTheme="majorHAnsi" w:hAnsiTheme="majorHAnsi" w:cstheme="majorHAnsi"/>
          <w:b w:val="0"/>
          <w:bCs w:val="0"/>
        </w:rPr>
        <w:t xml:space="preserve"> </w:t>
      </w:r>
      <w:r w:rsidR="00B9540C" w:rsidRPr="00AC6EC4">
        <w:rPr>
          <w:rFonts w:asciiTheme="majorHAnsi" w:hAnsiTheme="majorHAnsi" w:cstheme="majorHAnsi"/>
          <w:b w:val="0"/>
          <w:bCs w:val="0"/>
          <w:lang w:val="en-US"/>
        </w:rPr>
        <w:t>during</w:t>
      </w:r>
      <w:r w:rsidRPr="00AC6EC4">
        <w:rPr>
          <w:rFonts w:asciiTheme="majorHAnsi" w:hAnsiTheme="majorHAnsi" w:cstheme="majorHAnsi"/>
          <w:b w:val="0"/>
          <w:bCs w:val="0"/>
        </w:rPr>
        <w:t xml:space="preserve"> 2021-2024</w:t>
      </w:r>
      <w:r w:rsidR="00025E2D" w:rsidRPr="00AC6EC4">
        <w:rPr>
          <w:rFonts w:asciiTheme="majorHAnsi" w:hAnsiTheme="majorHAnsi" w:cstheme="majorHAnsi"/>
          <w:b w:val="0"/>
          <w:bCs w:val="0"/>
        </w:rPr>
        <w:t xml:space="preserve"> </w:t>
      </w:r>
    </w:p>
    <w:p w:rsidR="00B9540C" w:rsidRPr="00AC6EC4" w:rsidRDefault="00B9540C" w:rsidP="00432508">
      <w:pPr>
        <w:ind w:firstLine="0"/>
        <w:rPr>
          <w:rFonts w:asciiTheme="majorHAnsi" w:hAnsiTheme="majorHAnsi" w:cstheme="majorHAnsi"/>
          <w:color w:val="FF0000"/>
        </w:rPr>
      </w:pPr>
      <w:r w:rsidRPr="00AC6EC4">
        <w:rPr>
          <w:rFonts w:asciiTheme="majorHAnsi" w:hAnsiTheme="majorHAnsi" w:cstheme="majorHAnsi"/>
          <w:noProof/>
          <w:lang w:val="en-US"/>
        </w:rPr>
        <w:drawing>
          <wp:inline distT="0" distB="0" distL="0" distR="0" wp14:anchorId="2D7CEB5C" wp14:editId="22005F6C">
            <wp:extent cx="5539740" cy="3444240"/>
            <wp:effectExtent l="0" t="0" r="3810" b="3810"/>
            <wp:docPr id="3" name="Chart 3">
              <a:extLst xmlns:a="http://schemas.openxmlformats.org/drawingml/2006/main">
                <a:ext uri="{FF2B5EF4-FFF2-40B4-BE49-F238E27FC236}">
                  <a16:creationId xmlns:a16="http://schemas.microsoft.com/office/drawing/2014/main" id="{00000000-0008-0000-0C00-00001F1CF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796D" w:rsidRPr="00AC6EC4" w:rsidRDefault="008C796D" w:rsidP="00A1274B">
      <w:pPr>
        <w:rPr>
          <w:rFonts w:asciiTheme="majorHAnsi" w:hAnsiTheme="majorHAnsi" w:cstheme="majorHAnsi"/>
        </w:rPr>
      </w:pPr>
    </w:p>
    <w:p w:rsidR="00ED4FBB" w:rsidRPr="00AC6EC4" w:rsidRDefault="00496AD6" w:rsidP="00ED4FBB">
      <w:pPr>
        <w:ind w:firstLine="0"/>
        <w:rPr>
          <w:rFonts w:asciiTheme="majorHAnsi" w:hAnsiTheme="majorHAnsi" w:cstheme="majorHAnsi"/>
        </w:rPr>
      </w:pPr>
      <w:r w:rsidRPr="00AC6EC4">
        <w:rPr>
          <w:rFonts w:asciiTheme="majorHAnsi" w:hAnsiTheme="majorHAnsi" w:cstheme="majorHAnsi"/>
        </w:rPr>
        <w:t>The share of the RA Government foreign currency denominated debt redemp</w:t>
      </w:r>
      <w:r w:rsidR="002E4CCE">
        <w:rPr>
          <w:rFonts w:asciiTheme="majorHAnsi" w:hAnsiTheme="majorHAnsi" w:cstheme="majorHAnsi"/>
        </w:rPr>
        <w:t>t</w:t>
      </w:r>
      <w:r w:rsidRPr="00AC6EC4">
        <w:rPr>
          <w:rFonts w:asciiTheme="majorHAnsi" w:hAnsiTheme="majorHAnsi" w:cstheme="majorHAnsi"/>
        </w:rPr>
        <w:t>ions and interest payments in the coming year in the foreign currency assets at the end of the same year</w:t>
      </w:r>
      <w:r w:rsidR="00ED4FBB" w:rsidRPr="00AC6EC4">
        <w:rPr>
          <w:rFonts w:asciiTheme="majorHAnsi" w:hAnsiTheme="majorHAnsi" w:cstheme="majorHAnsi"/>
        </w:rPr>
        <w:t xml:space="preserve"> </w:t>
      </w:r>
      <w:r w:rsidRPr="00AC6EC4">
        <w:rPr>
          <w:rFonts w:asciiTheme="majorHAnsi" w:hAnsiTheme="majorHAnsi" w:cstheme="majorHAnsi"/>
        </w:rPr>
        <w:t xml:space="preserve">indicator </w:t>
      </w:r>
      <w:r w:rsidR="00ED4FBB" w:rsidRPr="00AC6EC4">
        <w:rPr>
          <w:rFonts w:asciiTheme="majorHAnsi" w:hAnsiTheme="majorHAnsi" w:cstheme="majorHAnsi"/>
        </w:rPr>
        <w:t xml:space="preserve">will </w:t>
      </w:r>
      <w:r w:rsidRPr="00AC6EC4">
        <w:rPr>
          <w:rFonts w:asciiTheme="majorHAnsi" w:hAnsiTheme="majorHAnsi" w:cstheme="majorHAnsi"/>
        </w:rPr>
        <w:t xml:space="preserve">significantly </w:t>
      </w:r>
      <w:r w:rsidR="00ED4FBB" w:rsidRPr="00AC6EC4">
        <w:rPr>
          <w:rFonts w:asciiTheme="majorHAnsi" w:hAnsiTheme="majorHAnsi" w:cstheme="majorHAnsi"/>
        </w:rPr>
        <w:t xml:space="preserve">increase </w:t>
      </w:r>
      <w:r w:rsidRPr="00AC6EC4">
        <w:rPr>
          <w:rFonts w:asciiTheme="majorHAnsi" w:hAnsiTheme="majorHAnsi" w:cstheme="majorHAnsi"/>
        </w:rPr>
        <w:t xml:space="preserve">in 2023 </w:t>
      </w:r>
      <w:r w:rsidR="00BB078F" w:rsidRPr="00AC6EC4">
        <w:rPr>
          <w:rFonts w:asciiTheme="majorHAnsi" w:hAnsiTheme="majorHAnsi" w:cstheme="majorHAnsi"/>
        </w:rPr>
        <w:t>a</w:t>
      </w:r>
      <w:r w:rsidR="00ED4FBB" w:rsidRPr="00AC6EC4">
        <w:rPr>
          <w:rFonts w:asciiTheme="majorHAnsi" w:hAnsiTheme="majorHAnsi" w:cstheme="majorHAnsi"/>
        </w:rPr>
        <w:t xml:space="preserve">nd will comprise at </w:t>
      </w:r>
      <w:r w:rsidR="00BB078F" w:rsidRPr="00AC6EC4">
        <w:rPr>
          <w:rFonts w:asciiTheme="majorHAnsi" w:hAnsiTheme="majorHAnsi" w:cstheme="majorHAnsi"/>
        </w:rPr>
        <w:t>40.7</w:t>
      </w:r>
      <w:r w:rsidR="00ED4FBB" w:rsidRPr="00AC6EC4">
        <w:rPr>
          <w:rFonts w:asciiTheme="majorHAnsi" w:hAnsiTheme="majorHAnsi" w:cstheme="majorHAnsi"/>
        </w:rPr>
        <w:t xml:space="preserve">% </w:t>
      </w:r>
      <w:r w:rsidR="00BB078F" w:rsidRPr="00AC6EC4">
        <w:rPr>
          <w:rFonts w:asciiTheme="majorHAnsi" w:hAnsiTheme="majorHAnsi" w:cstheme="majorHAnsi"/>
        </w:rPr>
        <w:t xml:space="preserve">due to the buyback of 2025 Eurobonds </w:t>
      </w:r>
      <w:r w:rsidRPr="00AC6EC4">
        <w:rPr>
          <w:rFonts w:asciiTheme="majorHAnsi" w:hAnsiTheme="majorHAnsi" w:cstheme="majorHAnsi"/>
        </w:rPr>
        <w:t>during 2024 in order to refinance Eurobonds to be matured in 2025 with</w:t>
      </w:r>
      <w:r w:rsidR="00BB078F" w:rsidRPr="00AC6EC4">
        <w:rPr>
          <w:rFonts w:asciiTheme="majorHAnsi" w:hAnsiTheme="majorHAnsi" w:cstheme="majorHAnsi"/>
        </w:rPr>
        <w:t xml:space="preserve"> the proceeds of new 2024 Eurobond issuance. </w:t>
      </w:r>
      <w:r w:rsidR="000872B5" w:rsidRPr="00AC6EC4">
        <w:rPr>
          <w:rFonts w:asciiTheme="majorHAnsi" w:hAnsiTheme="majorHAnsi" w:cstheme="majorHAnsi"/>
        </w:rPr>
        <w:t xml:space="preserve">This indicator will sharply decrease in 2024 and will comprise at 14.5%. </w:t>
      </w:r>
      <w:r w:rsidR="00ED4FBB" w:rsidRPr="00AC6EC4">
        <w:rPr>
          <w:rFonts w:asciiTheme="majorHAnsi" w:hAnsiTheme="majorHAnsi" w:cstheme="majorHAnsi"/>
        </w:rPr>
        <w:t>This indicator assesses the capacity of the RA Government to service the redemptions and interest payments of the foreign currency denominated debt from the perspective of the availability of sufficient foreign currency assets.</w:t>
      </w:r>
    </w:p>
    <w:p w:rsidR="00025E2D" w:rsidRPr="00AC6EC4" w:rsidRDefault="00025E2D" w:rsidP="00A1274B">
      <w:pPr>
        <w:rPr>
          <w:rFonts w:asciiTheme="majorHAnsi" w:hAnsiTheme="majorHAnsi" w:cstheme="majorHAnsi"/>
        </w:rPr>
      </w:pPr>
    </w:p>
    <w:p w:rsidR="00025E2D" w:rsidRPr="00AC6EC4" w:rsidRDefault="005838BB" w:rsidP="007E37AA">
      <w:pPr>
        <w:pStyle w:val="af6"/>
        <w:rPr>
          <w:rFonts w:asciiTheme="majorHAnsi" w:hAnsiTheme="majorHAnsi" w:cstheme="majorHAnsi"/>
        </w:rPr>
      </w:pPr>
      <w:r w:rsidRPr="00AC6EC4">
        <w:rPr>
          <w:rFonts w:asciiTheme="majorHAnsi" w:hAnsiTheme="majorHAnsi" w:cstheme="majorHAnsi"/>
        </w:rPr>
        <w:t>Refinancing risk</w:t>
      </w:r>
    </w:p>
    <w:p w:rsidR="00CB64EA" w:rsidRPr="00AC6EC4" w:rsidRDefault="00CB64EA" w:rsidP="00CB64EA">
      <w:pPr>
        <w:ind w:firstLine="0"/>
        <w:rPr>
          <w:rFonts w:asciiTheme="majorHAnsi" w:hAnsiTheme="majorHAnsi" w:cstheme="majorHAnsi"/>
        </w:rPr>
      </w:pPr>
      <w:r w:rsidRPr="00AC6EC4">
        <w:rPr>
          <w:rFonts w:asciiTheme="majorHAnsi" w:hAnsiTheme="majorHAnsi" w:cstheme="majorHAnsi"/>
        </w:rPr>
        <w:t xml:space="preserve">The refinancing risk is deemed to be important due to the redemption volumes of the RA Government debt and possible negative developments in the international and domestic financial markets in the </w:t>
      </w:r>
      <w:r w:rsidRPr="00AC6EC4">
        <w:rPr>
          <w:rFonts w:asciiTheme="majorHAnsi" w:hAnsiTheme="majorHAnsi" w:cstheme="majorHAnsi"/>
        </w:rPr>
        <w:lastRenderedPageBreak/>
        <w:t>upcoming years. The RA Government puts efforts towards smoothening the redemption profile and mitigating the refinancing risk in the process of new debt borrowings. Buybacks are also used for mitigating the refinancing risk.</w:t>
      </w:r>
    </w:p>
    <w:p w:rsidR="00025E2D" w:rsidRPr="00AC6EC4" w:rsidRDefault="00025E2D" w:rsidP="00A1274B">
      <w:pPr>
        <w:rPr>
          <w:rFonts w:asciiTheme="majorHAnsi" w:hAnsiTheme="majorHAnsi" w:cstheme="majorHAnsi"/>
        </w:rPr>
      </w:pPr>
    </w:p>
    <w:p w:rsidR="00025E2D" w:rsidRPr="00AC6EC4" w:rsidRDefault="00354F84"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Refinancing risk indicators for the RA Government debt in 202</w:t>
      </w:r>
      <w:r w:rsidRPr="00AC6EC4">
        <w:rPr>
          <w:rStyle w:val="Emphasis"/>
          <w:rFonts w:asciiTheme="majorHAnsi" w:hAnsiTheme="majorHAnsi" w:cstheme="majorHAnsi"/>
          <w:b w:val="0"/>
          <w:sz w:val="24"/>
          <w:szCs w:val="24"/>
          <w:lang w:val="en-US"/>
        </w:rPr>
        <w:t>1</w:t>
      </w:r>
      <w:r w:rsidRPr="00AC6EC4">
        <w:rPr>
          <w:rStyle w:val="Emphasis"/>
          <w:rFonts w:asciiTheme="majorHAnsi" w:hAnsiTheme="majorHAnsi" w:cstheme="majorHAnsi"/>
          <w:b w:val="0"/>
          <w:sz w:val="24"/>
          <w:szCs w:val="24"/>
        </w:rPr>
        <w:t>-2024</w:t>
      </w:r>
      <w:r w:rsidR="00025E2D" w:rsidRPr="00AC6EC4">
        <w:rPr>
          <w:rStyle w:val="Emphasis"/>
          <w:rFonts w:asciiTheme="majorHAnsi" w:hAnsiTheme="majorHAnsi" w:cstheme="majorHAnsi"/>
          <w:b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079"/>
        <w:gridCol w:w="1100"/>
        <w:gridCol w:w="1081"/>
        <w:gridCol w:w="1120"/>
      </w:tblGrid>
      <w:tr w:rsidR="00A44031" w:rsidRPr="00AC6EC4" w:rsidTr="00A44031">
        <w:trPr>
          <w:trHeight w:val="530"/>
          <w:tblHeader/>
          <w:jc w:val="center"/>
        </w:trPr>
        <w:tc>
          <w:tcPr>
            <w:tcW w:w="5529"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44031" w:rsidRPr="00AC6EC4" w:rsidRDefault="00A44031" w:rsidP="00062901">
            <w:pPr>
              <w:spacing w:line="240" w:lineRule="auto"/>
              <w:ind w:firstLine="44"/>
              <w:rPr>
                <w:rFonts w:asciiTheme="majorHAnsi" w:hAnsiTheme="majorHAnsi" w:cstheme="majorHAnsi"/>
              </w:rPr>
            </w:pPr>
          </w:p>
        </w:tc>
        <w:tc>
          <w:tcPr>
            <w:tcW w:w="1079"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44031" w:rsidRPr="00AC6EC4" w:rsidRDefault="00A44031"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10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44031" w:rsidRPr="00AC6EC4" w:rsidRDefault="00A44031"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08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44031" w:rsidRPr="00AC6EC4" w:rsidRDefault="00A44031"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12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A44031" w:rsidRPr="00AC6EC4" w:rsidRDefault="00A44031"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A44031" w:rsidRPr="00AC6EC4" w:rsidTr="00585767">
        <w:trPr>
          <w:trHeight w:val="571"/>
          <w:jc w:val="center"/>
        </w:trPr>
        <w:tc>
          <w:tcPr>
            <w:tcW w:w="5529" w:type="dxa"/>
            <w:tcBorders>
              <w:top w:val="thinThickSmallGap" w:sz="24" w:space="0" w:color="auto"/>
              <w:left w:val="nil"/>
              <w:right w:val="nil"/>
            </w:tcBorders>
          </w:tcPr>
          <w:p w:rsidR="00A44031" w:rsidRPr="00AC6EC4" w:rsidRDefault="00A44031" w:rsidP="00062901">
            <w:pPr>
              <w:spacing w:line="240" w:lineRule="auto"/>
              <w:ind w:firstLine="37"/>
              <w:rPr>
                <w:rFonts w:asciiTheme="majorHAnsi" w:hAnsiTheme="majorHAnsi" w:cstheme="majorHAnsi"/>
                <w:b/>
              </w:rPr>
            </w:pPr>
            <w:r w:rsidRPr="00AC6EC4">
              <w:rPr>
                <w:rFonts w:asciiTheme="majorHAnsi" w:hAnsiTheme="majorHAnsi" w:cstheme="majorHAnsi"/>
                <w:b/>
              </w:rPr>
              <w:t>Average Time to Maturity for the RA Government Debt, (years)</w:t>
            </w:r>
          </w:p>
        </w:tc>
        <w:tc>
          <w:tcPr>
            <w:tcW w:w="1079" w:type="dxa"/>
            <w:tcBorders>
              <w:top w:val="thinThickSmallGap" w:sz="24"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8.4</w:t>
            </w:r>
          </w:p>
        </w:tc>
        <w:tc>
          <w:tcPr>
            <w:tcW w:w="1100" w:type="dxa"/>
            <w:tcBorders>
              <w:top w:val="thinThickSmallGap" w:sz="24"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7.8</w:t>
            </w:r>
          </w:p>
        </w:tc>
        <w:tc>
          <w:tcPr>
            <w:tcW w:w="1081" w:type="dxa"/>
            <w:tcBorders>
              <w:top w:val="thinThickSmallGap" w:sz="24"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7.5</w:t>
            </w:r>
          </w:p>
        </w:tc>
        <w:tc>
          <w:tcPr>
            <w:tcW w:w="1120" w:type="dxa"/>
            <w:tcBorders>
              <w:top w:val="thinThickSmallGap" w:sz="24"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7.7</w:t>
            </w:r>
          </w:p>
        </w:tc>
      </w:tr>
      <w:tr w:rsidR="00A44031" w:rsidRPr="00AC6EC4" w:rsidTr="00585767">
        <w:trPr>
          <w:trHeight w:val="548"/>
          <w:jc w:val="center"/>
        </w:trPr>
        <w:tc>
          <w:tcPr>
            <w:tcW w:w="5529" w:type="dxa"/>
            <w:tcBorders>
              <w:left w:val="nil"/>
              <w:bottom w:val="single" w:sz="4" w:space="0" w:color="auto"/>
              <w:right w:val="nil"/>
            </w:tcBorders>
          </w:tcPr>
          <w:p w:rsidR="00A44031" w:rsidRPr="00AC6EC4" w:rsidRDefault="00A44031" w:rsidP="00062901">
            <w:pPr>
              <w:spacing w:line="240" w:lineRule="auto"/>
              <w:ind w:left="387" w:firstLine="37"/>
              <w:rPr>
                <w:rFonts w:asciiTheme="majorHAnsi" w:hAnsiTheme="majorHAnsi" w:cstheme="majorHAnsi"/>
              </w:rPr>
            </w:pPr>
            <w:r w:rsidRPr="00AC6EC4">
              <w:rPr>
                <w:rFonts w:asciiTheme="majorHAnsi" w:hAnsiTheme="majorHAnsi" w:cstheme="majorHAnsi"/>
              </w:rPr>
              <w:t>Average Time to Maturity for the RA Government External Debt, (years)</w:t>
            </w:r>
          </w:p>
        </w:tc>
        <w:tc>
          <w:tcPr>
            <w:tcW w:w="1079" w:type="dxa"/>
            <w:tcBorders>
              <w:left w:val="nil"/>
              <w:bottom w:val="single" w:sz="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7.7</w:t>
            </w:r>
          </w:p>
        </w:tc>
        <w:tc>
          <w:tcPr>
            <w:tcW w:w="1100" w:type="dxa"/>
            <w:tcBorders>
              <w:left w:val="nil"/>
              <w:bottom w:val="single" w:sz="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7.0</w:t>
            </w:r>
          </w:p>
        </w:tc>
        <w:tc>
          <w:tcPr>
            <w:tcW w:w="1081" w:type="dxa"/>
            <w:tcBorders>
              <w:left w:val="nil"/>
              <w:bottom w:val="single" w:sz="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6.4</w:t>
            </w:r>
          </w:p>
        </w:tc>
        <w:tc>
          <w:tcPr>
            <w:tcW w:w="1120" w:type="dxa"/>
            <w:tcBorders>
              <w:left w:val="nil"/>
              <w:bottom w:val="single" w:sz="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6.8</w:t>
            </w:r>
          </w:p>
        </w:tc>
      </w:tr>
      <w:tr w:rsidR="00A44031" w:rsidRPr="00AC6EC4" w:rsidTr="00585767">
        <w:trPr>
          <w:trHeight w:val="568"/>
          <w:jc w:val="center"/>
        </w:trPr>
        <w:tc>
          <w:tcPr>
            <w:tcW w:w="5529" w:type="dxa"/>
            <w:tcBorders>
              <w:left w:val="nil"/>
              <w:bottom w:val="single" w:sz="12" w:space="0" w:color="auto"/>
              <w:right w:val="nil"/>
            </w:tcBorders>
          </w:tcPr>
          <w:p w:rsidR="00A44031" w:rsidRPr="00AC6EC4" w:rsidRDefault="00A44031" w:rsidP="00062901">
            <w:pPr>
              <w:spacing w:line="240" w:lineRule="auto"/>
              <w:ind w:left="387" w:firstLine="37"/>
              <w:rPr>
                <w:rFonts w:asciiTheme="majorHAnsi" w:hAnsiTheme="majorHAnsi" w:cstheme="majorHAnsi"/>
              </w:rPr>
            </w:pPr>
            <w:r w:rsidRPr="00AC6EC4">
              <w:rPr>
                <w:rFonts w:asciiTheme="majorHAnsi" w:hAnsiTheme="majorHAnsi" w:cstheme="majorHAnsi"/>
              </w:rPr>
              <w:t>Average Time to Maturity for the RA Government Domestic Debt, (years)</w:t>
            </w:r>
          </w:p>
        </w:tc>
        <w:tc>
          <w:tcPr>
            <w:tcW w:w="1079" w:type="dxa"/>
            <w:tcBorders>
              <w:left w:val="nil"/>
              <w:bottom w:val="single" w:sz="12"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10.3</w:t>
            </w:r>
          </w:p>
        </w:tc>
        <w:tc>
          <w:tcPr>
            <w:tcW w:w="1100" w:type="dxa"/>
            <w:tcBorders>
              <w:left w:val="nil"/>
              <w:bottom w:val="single" w:sz="12"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9.7</w:t>
            </w:r>
          </w:p>
        </w:tc>
        <w:tc>
          <w:tcPr>
            <w:tcW w:w="1081" w:type="dxa"/>
            <w:tcBorders>
              <w:left w:val="nil"/>
              <w:bottom w:val="single" w:sz="12"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9.4</w:t>
            </w:r>
          </w:p>
        </w:tc>
        <w:tc>
          <w:tcPr>
            <w:tcW w:w="1120" w:type="dxa"/>
            <w:tcBorders>
              <w:left w:val="nil"/>
              <w:bottom w:val="single" w:sz="12"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9.0</w:t>
            </w:r>
          </w:p>
        </w:tc>
      </w:tr>
      <w:tr w:rsidR="00A44031" w:rsidRPr="00AC6EC4" w:rsidTr="00A44031">
        <w:trPr>
          <w:trHeight w:val="593"/>
          <w:jc w:val="center"/>
        </w:trPr>
        <w:tc>
          <w:tcPr>
            <w:tcW w:w="5529" w:type="dxa"/>
            <w:tcBorders>
              <w:top w:val="single" w:sz="12" w:space="0" w:color="auto"/>
              <w:left w:val="nil"/>
              <w:right w:val="nil"/>
            </w:tcBorders>
          </w:tcPr>
          <w:p w:rsidR="00A44031" w:rsidRPr="00AC6EC4" w:rsidRDefault="00A44031" w:rsidP="00062901">
            <w:pPr>
              <w:spacing w:line="240" w:lineRule="auto"/>
              <w:ind w:firstLine="37"/>
              <w:rPr>
                <w:rFonts w:asciiTheme="majorHAnsi" w:hAnsiTheme="majorHAnsi" w:cstheme="majorHAnsi"/>
                <w:b/>
              </w:rPr>
            </w:pPr>
            <w:r w:rsidRPr="00AC6EC4">
              <w:rPr>
                <w:rFonts w:asciiTheme="majorHAnsi" w:hAnsiTheme="majorHAnsi" w:cstheme="majorHAnsi"/>
                <w:b/>
              </w:rPr>
              <w:t>Share of the RA Government Debt Maturing in One Year (%)</w:t>
            </w:r>
          </w:p>
        </w:tc>
        <w:tc>
          <w:tcPr>
            <w:tcW w:w="1079" w:type="dxa"/>
            <w:tcBorders>
              <w:top w:val="single" w:sz="12"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6.1</w:t>
            </w:r>
          </w:p>
        </w:tc>
        <w:tc>
          <w:tcPr>
            <w:tcW w:w="1100" w:type="dxa"/>
            <w:tcBorders>
              <w:top w:val="single" w:sz="12"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7.1</w:t>
            </w:r>
          </w:p>
        </w:tc>
        <w:tc>
          <w:tcPr>
            <w:tcW w:w="1081" w:type="dxa"/>
            <w:tcBorders>
              <w:top w:val="single" w:sz="12"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13.6</w:t>
            </w:r>
          </w:p>
        </w:tc>
        <w:tc>
          <w:tcPr>
            <w:tcW w:w="1120" w:type="dxa"/>
            <w:tcBorders>
              <w:top w:val="single" w:sz="12" w:space="0" w:color="auto"/>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9.7</w:t>
            </w:r>
          </w:p>
        </w:tc>
      </w:tr>
      <w:tr w:rsidR="00A44031" w:rsidRPr="00AC6EC4" w:rsidTr="00A44031">
        <w:trPr>
          <w:trHeight w:val="622"/>
          <w:jc w:val="center"/>
        </w:trPr>
        <w:tc>
          <w:tcPr>
            <w:tcW w:w="5529" w:type="dxa"/>
            <w:tcBorders>
              <w:left w:val="nil"/>
              <w:right w:val="nil"/>
            </w:tcBorders>
          </w:tcPr>
          <w:p w:rsidR="00A44031" w:rsidRPr="00AC6EC4" w:rsidRDefault="00A44031" w:rsidP="00062901">
            <w:pPr>
              <w:spacing w:line="240" w:lineRule="auto"/>
              <w:ind w:left="387" w:firstLine="37"/>
              <w:rPr>
                <w:rFonts w:asciiTheme="majorHAnsi" w:hAnsiTheme="majorHAnsi" w:cstheme="majorHAnsi"/>
              </w:rPr>
            </w:pPr>
            <w:r w:rsidRPr="00AC6EC4">
              <w:rPr>
                <w:rFonts w:asciiTheme="majorHAnsi" w:hAnsiTheme="majorHAnsi" w:cstheme="majorHAnsi"/>
              </w:rPr>
              <w:t>Share of the RA Government External Debt Maturing in One Year (%)</w:t>
            </w:r>
          </w:p>
        </w:tc>
        <w:tc>
          <w:tcPr>
            <w:tcW w:w="1079" w:type="dxa"/>
            <w:tcBorders>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3.9</w:t>
            </w:r>
          </w:p>
        </w:tc>
        <w:tc>
          <w:tcPr>
            <w:tcW w:w="1100" w:type="dxa"/>
            <w:tcBorders>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5.5</w:t>
            </w:r>
          </w:p>
        </w:tc>
        <w:tc>
          <w:tcPr>
            <w:tcW w:w="1081" w:type="dxa"/>
            <w:tcBorders>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15.2</w:t>
            </w:r>
          </w:p>
        </w:tc>
        <w:tc>
          <w:tcPr>
            <w:tcW w:w="1120" w:type="dxa"/>
            <w:tcBorders>
              <w:left w:val="nil"/>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7.2</w:t>
            </w:r>
          </w:p>
        </w:tc>
      </w:tr>
      <w:tr w:rsidR="00A44031" w:rsidRPr="00AC6EC4" w:rsidTr="00A44031">
        <w:trPr>
          <w:trHeight w:val="649"/>
          <w:jc w:val="center"/>
        </w:trPr>
        <w:tc>
          <w:tcPr>
            <w:tcW w:w="5529" w:type="dxa"/>
            <w:tcBorders>
              <w:left w:val="nil"/>
              <w:bottom w:val="thickThinSmallGap" w:sz="24" w:space="0" w:color="auto"/>
              <w:right w:val="nil"/>
            </w:tcBorders>
          </w:tcPr>
          <w:p w:rsidR="00A44031" w:rsidRPr="00AC6EC4" w:rsidRDefault="00A44031" w:rsidP="00062901">
            <w:pPr>
              <w:spacing w:line="240" w:lineRule="auto"/>
              <w:ind w:left="387" w:firstLine="37"/>
              <w:rPr>
                <w:rFonts w:asciiTheme="majorHAnsi" w:hAnsiTheme="majorHAnsi" w:cstheme="majorHAnsi"/>
              </w:rPr>
            </w:pPr>
            <w:r w:rsidRPr="00AC6EC4">
              <w:rPr>
                <w:rFonts w:asciiTheme="majorHAnsi" w:hAnsiTheme="majorHAnsi" w:cstheme="majorHAnsi"/>
              </w:rPr>
              <w:t>Share of the RA Government Domestic Debt Maturing in One Year (%)</w:t>
            </w:r>
          </w:p>
        </w:tc>
        <w:tc>
          <w:tcPr>
            <w:tcW w:w="1079" w:type="dxa"/>
            <w:tcBorders>
              <w:left w:val="nil"/>
              <w:bottom w:val="thickThinSmallGap" w:sz="2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11.6</w:t>
            </w:r>
          </w:p>
        </w:tc>
        <w:tc>
          <w:tcPr>
            <w:tcW w:w="1100" w:type="dxa"/>
            <w:tcBorders>
              <w:left w:val="nil"/>
              <w:bottom w:val="thickThinSmallGap" w:sz="2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10.7</w:t>
            </w:r>
          </w:p>
        </w:tc>
        <w:tc>
          <w:tcPr>
            <w:tcW w:w="1081" w:type="dxa"/>
            <w:tcBorders>
              <w:left w:val="nil"/>
              <w:bottom w:val="thickThinSmallGap" w:sz="2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10.7</w:t>
            </w:r>
          </w:p>
        </w:tc>
        <w:tc>
          <w:tcPr>
            <w:tcW w:w="1120" w:type="dxa"/>
            <w:tcBorders>
              <w:left w:val="nil"/>
              <w:bottom w:val="thickThinSmallGap" w:sz="24" w:space="0" w:color="auto"/>
              <w:right w:val="nil"/>
            </w:tcBorders>
            <w:vAlign w:val="center"/>
          </w:tcPr>
          <w:p w:rsidR="00A44031" w:rsidRPr="00AC6EC4" w:rsidRDefault="00A44031" w:rsidP="00062901">
            <w:pPr>
              <w:spacing w:line="240" w:lineRule="auto"/>
              <w:ind w:firstLine="44"/>
              <w:jc w:val="center"/>
              <w:rPr>
                <w:rFonts w:asciiTheme="majorHAnsi" w:hAnsiTheme="majorHAnsi" w:cstheme="majorHAnsi"/>
              </w:rPr>
            </w:pPr>
            <w:r w:rsidRPr="00AC6EC4">
              <w:rPr>
                <w:rFonts w:asciiTheme="majorHAnsi" w:hAnsiTheme="majorHAnsi" w:cstheme="majorHAnsi"/>
              </w:rPr>
              <w:t>13.7</w:t>
            </w:r>
          </w:p>
        </w:tc>
      </w:tr>
    </w:tbl>
    <w:p w:rsidR="00025E2D" w:rsidRPr="00AC6EC4" w:rsidRDefault="00025E2D" w:rsidP="00A1274B">
      <w:pPr>
        <w:rPr>
          <w:rFonts w:asciiTheme="majorHAnsi" w:hAnsiTheme="majorHAnsi" w:cstheme="majorHAnsi"/>
        </w:rPr>
      </w:pPr>
    </w:p>
    <w:p w:rsidR="00CB64EA" w:rsidRPr="00AC6EC4" w:rsidRDefault="00CB64EA" w:rsidP="00CB64EA">
      <w:pPr>
        <w:spacing w:after="240"/>
        <w:ind w:firstLine="0"/>
        <w:rPr>
          <w:rFonts w:asciiTheme="majorHAnsi" w:hAnsiTheme="majorHAnsi" w:cstheme="majorHAnsi"/>
        </w:rPr>
      </w:pPr>
      <w:r w:rsidRPr="00AC6EC4">
        <w:rPr>
          <w:rFonts w:asciiTheme="majorHAnsi" w:hAnsiTheme="majorHAnsi" w:cstheme="majorHAnsi"/>
        </w:rPr>
        <w:t xml:space="preserve">The Average time to maturity indicator for the RA Government debt portfolio will reduce </w:t>
      </w:r>
      <w:r w:rsidR="00FB15E4" w:rsidRPr="00AC6EC4">
        <w:rPr>
          <w:rFonts w:asciiTheme="majorHAnsi" w:hAnsiTheme="majorHAnsi" w:cstheme="majorHAnsi"/>
        </w:rPr>
        <w:t xml:space="preserve">reaching 7.7 years </w:t>
      </w:r>
      <w:r w:rsidRPr="00AC6EC4">
        <w:rPr>
          <w:rFonts w:asciiTheme="majorHAnsi" w:hAnsiTheme="majorHAnsi" w:cstheme="majorHAnsi"/>
        </w:rPr>
        <w:t>at the end of 2024, however</w:t>
      </w:r>
      <w:r w:rsidR="00FB15E4" w:rsidRPr="00AC6EC4">
        <w:rPr>
          <w:rFonts w:asciiTheme="majorHAnsi" w:hAnsiTheme="majorHAnsi" w:cstheme="majorHAnsi"/>
        </w:rPr>
        <w:t>,</w:t>
      </w:r>
      <w:r w:rsidRPr="00AC6EC4">
        <w:rPr>
          <w:rFonts w:asciiTheme="majorHAnsi" w:hAnsiTheme="majorHAnsi" w:cstheme="majorHAnsi"/>
        </w:rPr>
        <w:t xml:space="preserve"> the refinancing risk will remain moderate.</w:t>
      </w:r>
    </w:p>
    <w:p w:rsidR="005D6101" w:rsidRPr="00AC6EC4" w:rsidRDefault="005D6101" w:rsidP="005D6101">
      <w:pPr>
        <w:spacing w:after="240"/>
        <w:ind w:firstLine="0"/>
        <w:rPr>
          <w:rFonts w:asciiTheme="majorHAnsi" w:hAnsiTheme="majorHAnsi" w:cstheme="majorHAnsi"/>
          <w:highlight w:val="yellow"/>
        </w:rPr>
      </w:pPr>
      <w:r w:rsidRPr="00AC6EC4">
        <w:rPr>
          <w:rFonts w:asciiTheme="majorHAnsi" w:hAnsiTheme="majorHAnsi" w:cstheme="majorHAnsi"/>
        </w:rPr>
        <w:t xml:space="preserve">The Share of the RA Government debt maturing in one year in the total debt indicator will comprise 9.7% at the end of 2024, moreover, the share of the RA Government external debt maturing in one year in the external debt will make up 7.2% and the share of the RA Government domestic debt maturing in one year in the domestic debt will be 13.7%. </w:t>
      </w:r>
    </w:p>
    <w:p w:rsidR="005D6101" w:rsidRPr="00AC6EC4" w:rsidRDefault="005D6101" w:rsidP="005D6101">
      <w:pPr>
        <w:spacing w:after="240"/>
        <w:ind w:firstLine="0"/>
        <w:rPr>
          <w:rFonts w:asciiTheme="majorHAnsi" w:hAnsiTheme="majorHAnsi" w:cstheme="majorHAnsi"/>
        </w:rPr>
      </w:pPr>
      <w:r w:rsidRPr="00AC6EC4">
        <w:rPr>
          <w:rFonts w:asciiTheme="majorHAnsi" w:hAnsiTheme="majorHAnsi" w:cstheme="majorHAnsi"/>
        </w:rPr>
        <w:t>The RA Government debt payments indicator is presented below as well, which represents the sum of the principal repayments and interest payments during the year.</w:t>
      </w:r>
    </w:p>
    <w:p w:rsidR="00025E2D" w:rsidRPr="00AC6EC4" w:rsidRDefault="00A400F3" w:rsidP="00A400F3">
      <w:pPr>
        <w:pStyle w:val="Heading5"/>
        <w:keepNext/>
        <w:numPr>
          <w:ilvl w:val="0"/>
          <w:numId w:val="28"/>
        </w:numPr>
        <w:spacing w:before="0" w:after="0" w:line="240" w:lineRule="auto"/>
        <w:ind w:left="1080" w:hanging="1080"/>
        <w:jc w:val="left"/>
        <w:rPr>
          <w:rFonts w:asciiTheme="majorHAnsi" w:hAnsiTheme="majorHAnsi" w:cstheme="majorHAnsi"/>
          <w:b w:val="0"/>
          <w:bCs w:val="0"/>
          <w:i w:val="0"/>
          <w:sz w:val="24"/>
          <w:szCs w:val="24"/>
        </w:rPr>
      </w:pPr>
      <w:r w:rsidRPr="00AC6EC4">
        <w:rPr>
          <w:rFonts w:asciiTheme="majorHAnsi" w:hAnsiTheme="majorHAnsi" w:cstheme="majorHAnsi"/>
          <w:b w:val="0"/>
          <w:bCs w:val="0"/>
          <w:i w:val="0"/>
          <w:sz w:val="24"/>
          <w:szCs w:val="24"/>
        </w:rPr>
        <w:lastRenderedPageBreak/>
        <w:t>RA Government debt payments during 201</w:t>
      </w:r>
      <w:r w:rsidRPr="00AC6EC4">
        <w:rPr>
          <w:rFonts w:asciiTheme="majorHAnsi" w:hAnsiTheme="majorHAnsi" w:cstheme="majorHAnsi"/>
          <w:b w:val="0"/>
          <w:bCs w:val="0"/>
          <w:i w:val="0"/>
          <w:sz w:val="24"/>
          <w:szCs w:val="24"/>
          <w:lang w:val="en-US"/>
        </w:rPr>
        <w:t>9</w:t>
      </w:r>
      <w:r w:rsidRPr="00AC6EC4">
        <w:rPr>
          <w:rFonts w:asciiTheme="majorHAnsi" w:hAnsiTheme="majorHAnsi" w:cstheme="majorHAnsi"/>
          <w:b w:val="0"/>
          <w:bCs w:val="0"/>
          <w:i w:val="0"/>
          <w:sz w:val="24"/>
          <w:szCs w:val="24"/>
        </w:rPr>
        <w:t>-202</w:t>
      </w:r>
      <w:r w:rsidRPr="00AC6EC4">
        <w:rPr>
          <w:rFonts w:asciiTheme="majorHAnsi" w:hAnsiTheme="majorHAnsi" w:cstheme="majorHAnsi"/>
          <w:b w:val="0"/>
          <w:bCs w:val="0"/>
          <w:i w:val="0"/>
          <w:sz w:val="24"/>
          <w:szCs w:val="24"/>
          <w:lang w:val="en-US"/>
        </w:rPr>
        <w:t>4</w:t>
      </w:r>
      <w:r w:rsidRPr="00AC6EC4">
        <w:rPr>
          <w:rFonts w:asciiTheme="majorHAnsi" w:hAnsiTheme="majorHAnsi" w:cstheme="majorHAnsi"/>
          <w:b w:val="0"/>
          <w:bCs w:val="0"/>
          <w:i w:val="0"/>
          <w:sz w:val="24"/>
          <w:szCs w:val="24"/>
        </w:rPr>
        <w:t xml:space="preserve"> (billion AMD)</w:t>
      </w:r>
    </w:p>
    <w:p w:rsidR="00A400F3" w:rsidRPr="00AC6EC4" w:rsidRDefault="00A400F3" w:rsidP="002A6F78">
      <w:pPr>
        <w:pStyle w:val="1c"/>
        <w:rPr>
          <w:rFonts w:asciiTheme="majorHAnsi" w:hAnsiTheme="majorHAnsi" w:cstheme="majorHAnsi"/>
        </w:rPr>
      </w:pPr>
      <w:r w:rsidRPr="00AC6EC4">
        <w:rPr>
          <w:rFonts w:asciiTheme="majorHAnsi" w:hAnsiTheme="majorHAnsi" w:cstheme="majorHAnsi"/>
          <w:noProof/>
        </w:rPr>
        <w:drawing>
          <wp:inline distT="0" distB="0" distL="0" distR="0" wp14:anchorId="052E1A7A" wp14:editId="54BA79A2">
            <wp:extent cx="6320790" cy="3912870"/>
            <wp:effectExtent l="38100" t="38100" r="41910" b="49530"/>
            <wp:docPr id="20" name="Chart 20">
              <a:extLst xmlns:a="http://schemas.openxmlformats.org/drawingml/2006/main">
                <a:ext uri="{FF2B5EF4-FFF2-40B4-BE49-F238E27FC236}">
                  <a16:creationId xmlns:a16="http://schemas.microsoft.com/office/drawing/2014/main" id="{00000000-0008-0000-0A00-000061175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38E2" w:rsidRPr="00AC6EC4" w:rsidRDefault="002B38E2" w:rsidP="00A1274B">
      <w:pPr>
        <w:rPr>
          <w:rFonts w:asciiTheme="majorHAnsi" w:hAnsiTheme="majorHAnsi" w:cstheme="majorHAnsi"/>
          <w:sz w:val="16"/>
          <w:szCs w:val="16"/>
        </w:rPr>
      </w:pPr>
    </w:p>
    <w:p w:rsidR="005D6101" w:rsidRPr="00AC6EC4" w:rsidRDefault="005D6101" w:rsidP="005D6101">
      <w:pPr>
        <w:spacing w:after="240"/>
        <w:ind w:firstLine="0"/>
        <w:rPr>
          <w:rFonts w:asciiTheme="majorHAnsi" w:hAnsiTheme="majorHAnsi" w:cstheme="majorHAnsi"/>
        </w:rPr>
      </w:pPr>
      <w:r w:rsidRPr="00AC6EC4">
        <w:rPr>
          <w:rFonts w:asciiTheme="majorHAnsi" w:hAnsiTheme="majorHAnsi" w:cstheme="majorHAnsi"/>
        </w:rPr>
        <w:t>The RA Government debt payments indicator increases in the medium-term, reaching AMD 969.3 billion in 2024.</w:t>
      </w:r>
    </w:p>
    <w:p w:rsidR="00025E2D" w:rsidRPr="00AC6EC4" w:rsidRDefault="00AC0565"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The RA Government debt payments by instruments (billion AMD)</w:t>
      </w:r>
      <w:r w:rsidR="00025E2D" w:rsidRPr="00AC6EC4">
        <w:rPr>
          <w:rStyle w:val="Emphasis"/>
          <w:rFonts w:asciiTheme="majorHAnsi" w:hAnsiTheme="majorHAnsi" w:cstheme="majorHAnsi"/>
          <w:b w:val="0"/>
          <w:sz w:val="24"/>
          <w:szCs w:val="24"/>
        </w:rPr>
        <w:t xml:space="preserve"> </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1"/>
        <w:gridCol w:w="1429"/>
        <w:gridCol w:w="1005"/>
        <w:gridCol w:w="1005"/>
        <w:gridCol w:w="1005"/>
        <w:gridCol w:w="1007"/>
      </w:tblGrid>
      <w:tr w:rsidR="00FF30DC" w:rsidRPr="00AC6EC4" w:rsidTr="0021332C">
        <w:trPr>
          <w:trHeight w:val="486"/>
          <w:tblHeader/>
          <w:jc w:val="center"/>
        </w:trPr>
        <w:tc>
          <w:tcPr>
            <w:tcW w:w="444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FF30DC" w:rsidRPr="00AC6EC4" w:rsidRDefault="00FF30DC" w:rsidP="00062901">
            <w:pPr>
              <w:spacing w:line="240" w:lineRule="auto"/>
              <w:ind w:firstLine="20"/>
              <w:jc w:val="center"/>
              <w:rPr>
                <w:rFonts w:asciiTheme="majorHAnsi" w:hAnsiTheme="majorHAnsi" w:cstheme="majorHAnsi"/>
              </w:rPr>
            </w:pPr>
          </w:p>
        </w:tc>
        <w:tc>
          <w:tcPr>
            <w:tcW w:w="1429"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FF30DC" w:rsidRPr="00AC6EC4" w:rsidRDefault="00FF30DC"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w:t>
            </w:r>
          </w:p>
          <w:p w:rsidR="00FF30DC" w:rsidRPr="00AC6EC4" w:rsidRDefault="00FF30DC"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005"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FF30DC" w:rsidRPr="00AC6EC4" w:rsidRDefault="00FF30DC"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05"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FF30DC" w:rsidRPr="00AC6EC4" w:rsidRDefault="00FF30DC"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005"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FF30DC" w:rsidRPr="00AC6EC4" w:rsidRDefault="00FF30DC"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07"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FF30DC" w:rsidRPr="00AC6EC4" w:rsidRDefault="00FF30DC"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AC0565" w:rsidRPr="00AC6EC4" w:rsidTr="007E37AA">
        <w:trPr>
          <w:trHeight w:val="238"/>
          <w:jc w:val="center"/>
        </w:trPr>
        <w:tc>
          <w:tcPr>
            <w:tcW w:w="4441" w:type="dxa"/>
            <w:tcBorders>
              <w:left w:val="nil"/>
              <w:right w:val="nil"/>
            </w:tcBorders>
            <w:vAlign w:val="center"/>
          </w:tcPr>
          <w:p w:rsidR="00AC0565" w:rsidRPr="00AC6EC4" w:rsidRDefault="00AC0565" w:rsidP="00062901">
            <w:pPr>
              <w:spacing w:line="240" w:lineRule="auto"/>
              <w:ind w:left="113" w:firstLine="68"/>
              <w:rPr>
                <w:rFonts w:asciiTheme="majorHAnsi" w:hAnsiTheme="majorHAnsi" w:cstheme="majorHAnsi"/>
              </w:rPr>
            </w:pPr>
            <w:r w:rsidRPr="00AC6EC4">
              <w:rPr>
                <w:rFonts w:asciiTheme="majorHAnsi" w:hAnsiTheme="majorHAnsi" w:cstheme="majorHAnsi"/>
                <w:b/>
              </w:rPr>
              <w:t>RA Government Current Debt by Instruments, of which:</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480.4</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466.9</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528.6</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616.9</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969.3</w:t>
            </w:r>
          </w:p>
        </w:tc>
      </w:tr>
      <w:tr w:rsidR="00AC0565" w:rsidRPr="00AC6EC4" w:rsidTr="007E37AA">
        <w:trPr>
          <w:trHeight w:val="238"/>
          <w:jc w:val="center"/>
        </w:trPr>
        <w:tc>
          <w:tcPr>
            <w:tcW w:w="4441" w:type="dxa"/>
            <w:tcBorders>
              <w:left w:val="nil"/>
              <w:right w:val="nil"/>
            </w:tcBorders>
            <w:vAlign w:val="center"/>
          </w:tcPr>
          <w:p w:rsidR="00AC0565" w:rsidRPr="00AC6EC4" w:rsidRDefault="00AC0565" w:rsidP="00062901">
            <w:pPr>
              <w:spacing w:line="240" w:lineRule="auto"/>
              <w:ind w:left="113" w:firstLine="66"/>
              <w:rPr>
                <w:rFonts w:asciiTheme="majorHAnsi" w:hAnsiTheme="majorHAnsi" w:cstheme="majorHAnsi"/>
              </w:rPr>
            </w:pPr>
            <w:r w:rsidRPr="00AC6EC4">
              <w:rPr>
                <w:rFonts w:asciiTheme="majorHAnsi" w:hAnsiTheme="majorHAnsi" w:cstheme="majorHAnsi"/>
              </w:rPr>
              <w:t xml:space="preserve"> External Loans and Borrowings</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172.2</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163.7</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171.9</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226.3</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281.5</w:t>
            </w:r>
          </w:p>
        </w:tc>
      </w:tr>
      <w:tr w:rsidR="00AC0565" w:rsidRPr="00AC6EC4" w:rsidTr="00062354">
        <w:trPr>
          <w:trHeight w:val="224"/>
          <w:jc w:val="center"/>
        </w:trPr>
        <w:tc>
          <w:tcPr>
            <w:tcW w:w="4441" w:type="dxa"/>
            <w:tcBorders>
              <w:left w:val="nil"/>
              <w:right w:val="nil"/>
            </w:tcBorders>
          </w:tcPr>
          <w:p w:rsidR="00AC0565" w:rsidRPr="00AC6EC4" w:rsidRDefault="00AC0565" w:rsidP="00062901">
            <w:pPr>
              <w:spacing w:line="240" w:lineRule="auto"/>
              <w:ind w:left="972" w:firstLine="66"/>
              <w:rPr>
                <w:rFonts w:asciiTheme="majorHAnsi" w:hAnsiTheme="majorHAnsi" w:cstheme="majorHAnsi"/>
              </w:rPr>
            </w:pPr>
            <w:r w:rsidRPr="00AC6EC4">
              <w:rPr>
                <w:rFonts w:asciiTheme="majorHAnsi" w:hAnsiTheme="majorHAnsi" w:cstheme="majorHAnsi"/>
              </w:rPr>
              <w:t>Interest Payment</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46.2</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46.0</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45.2</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49.6</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48.8</w:t>
            </w:r>
          </w:p>
        </w:tc>
      </w:tr>
      <w:tr w:rsidR="00AC0565" w:rsidRPr="00AC6EC4" w:rsidTr="00062354">
        <w:trPr>
          <w:trHeight w:val="224"/>
          <w:jc w:val="center"/>
        </w:trPr>
        <w:tc>
          <w:tcPr>
            <w:tcW w:w="4441" w:type="dxa"/>
            <w:tcBorders>
              <w:left w:val="nil"/>
              <w:right w:val="nil"/>
            </w:tcBorders>
          </w:tcPr>
          <w:p w:rsidR="00AC0565" w:rsidRPr="00AC6EC4" w:rsidRDefault="00AC0565" w:rsidP="00062901">
            <w:pPr>
              <w:spacing w:line="240" w:lineRule="auto"/>
              <w:ind w:left="972" w:firstLine="66"/>
              <w:rPr>
                <w:rFonts w:asciiTheme="majorHAnsi" w:hAnsiTheme="majorHAnsi" w:cstheme="majorHAnsi"/>
              </w:rPr>
            </w:pPr>
            <w:r w:rsidRPr="00AC6EC4">
              <w:rPr>
                <w:rFonts w:asciiTheme="majorHAnsi" w:hAnsiTheme="majorHAnsi" w:cstheme="majorHAnsi"/>
              </w:rPr>
              <w:t>Redemption</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126.1</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117.8</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126.7</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176.6</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232.7</w:t>
            </w:r>
          </w:p>
        </w:tc>
      </w:tr>
      <w:tr w:rsidR="00AC0565" w:rsidRPr="00AC6EC4" w:rsidTr="007E37AA">
        <w:trPr>
          <w:trHeight w:val="486"/>
          <w:jc w:val="center"/>
        </w:trPr>
        <w:tc>
          <w:tcPr>
            <w:tcW w:w="4441" w:type="dxa"/>
            <w:tcBorders>
              <w:left w:val="nil"/>
              <w:right w:val="nil"/>
            </w:tcBorders>
            <w:vAlign w:val="center"/>
          </w:tcPr>
          <w:p w:rsidR="00AC0565" w:rsidRPr="00AC6EC4" w:rsidRDefault="00AC0565" w:rsidP="00062901">
            <w:pPr>
              <w:spacing w:line="240" w:lineRule="auto"/>
              <w:ind w:left="233" w:firstLine="66"/>
              <w:rPr>
                <w:rFonts w:asciiTheme="majorHAnsi" w:hAnsiTheme="majorHAnsi" w:cstheme="majorHAnsi"/>
              </w:rPr>
            </w:pPr>
            <w:r w:rsidRPr="00AC6EC4">
              <w:rPr>
                <w:rFonts w:asciiTheme="majorHAnsi" w:hAnsiTheme="majorHAnsi" w:cstheme="majorHAnsi"/>
              </w:rPr>
              <w:t>Government Treasury Bonds</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271.9</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266.9</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314.2</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348.0</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385.0</w:t>
            </w:r>
          </w:p>
        </w:tc>
      </w:tr>
      <w:tr w:rsidR="00AC0565" w:rsidRPr="00AC6EC4" w:rsidTr="00062354">
        <w:trPr>
          <w:trHeight w:val="211"/>
          <w:jc w:val="center"/>
        </w:trPr>
        <w:tc>
          <w:tcPr>
            <w:tcW w:w="4441" w:type="dxa"/>
            <w:tcBorders>
              <w:left w:val="nil"/>
              <w:right w:val="nil"/>
            </w:tcBorders>
          </w:tcPr>
          <w:p w:rsidR="00AC0565" w:rsidRPr="00AC6EC4" w:rsidRDefault="00AC0565" w:rsidP="00062901">
            <w:pPr>
              <w:spacing w:line="240" w:lineRule="auto"/>
              <w:ind w:left="972" w:firstLine="66"/>
              <w:rPr>
                <w:rFonts w:asciiTheme="majorHAnsi" w:hAnsiTheme="majorHAnsi" w:cstheme="majorHAnsi"/>
              </w:rPr>
            </w:pPr>
            <w:r w:rsidRPr="00AC6EC4">
              <w:rPr>
                <w:rFonts w:asciiTheme="majorHAnsi" w:hAnsiTheme="majorHAnsi" w:cstheme="majorHAnsi"/>
              </w:rPr>
              <w:t>Interest Payment</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112.3</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112.3</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128.0</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151.2</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176.3</w:t>
            </w:r>
          </w:p>
        </w:tc>
      </w:tr>
      <w:tr w:rsidR="00AC0565" w:rsidRPr="00AC6EC4" w:rsidTr="00062354">
        <w:trPr>
          <w:trHeight w:val="224"/>
          <w:jc w:val="center"/>
        </w:trPr>
        <w:tc>
          <w:tcPr>
            <w:tcW w:w="4441" w:type="dxa"/>
            <w:tcBorders>
              <w:left w:val="nil"/>
              <w:right w:val="nil"/>
            </w:tcBorders>
          </w:tcPr>
          <w:p w:rsidR="00AC0565" w:rsidRPr="00AC6EC4" w:rsidRDefault="00AC0565" w:rsidP="00062901">
            <w:pPr>
              <w:spacing w:line="240" w:lineRule="auto"/>
              <w:ind w:left="972" w:firstLine="66"/>
              <w:rPr>
                <w:rFonts w:asciiTheme="majorHAnsi" w:hAnsiTheme="majorHAnsi" w:cstheme="majorHAnsi"/>
              </w:rPr>
            </w:pPr>
            <w:r w:rsidRPr="00AC6EC4">
              <w:rPr>
                <w:rFonts w:asciiTheme="majorHAnsi" w:hAnsiTheme="majorHAnsi" w:cstheme="majorHAnsi"/>
              </w:rPr>
              <w:t>Redemption</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159.6</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154.6</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186.2</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196.8</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208.6</w:t>
            </w:r>
          </w:p>
        </w:tc>
      </w:tr>
      <w:tr w:rsidR="00AC0565" w:rsidRPr="00AC6EC4" w:rsidTr="007E37AA">
        <w:trPr>
          <w:trHeight w:val="486"/>
          <w:jc w:val="center"/>
        </w:trPr>
        <w:tc>
          <w:tcPr>
            <w:tcW w:w="4441" w:type="dxa"/>
            <w:tcBorders>
              <w:left w:val="nil"/>
              <w:right w:val="nil"/>
            </w:tcBorders>
            <w:vAlign w:val="center"/>
          </w:tcPr>
          <w:p w:rsidR="00AC0565" w:rsidRPr="00AC6EC4" w:rsidRDefault="00AC0565" w:rsidP="00062901">
            <w:pPr>
              <w:spacing w:line="240" w:lineRule="auto"/>
              <w:ind w:left="113" w:firstLine="68"/>
              <w:rPr>
                <w:rFonts w:asciiTheme="majorHAnsi" w:hAnsiTheme="majorHAnsi" w:cstheme="majorHAnsi"/>
              </w:rPr>
            </w:pPr>
            <w:r w:rsidRPr="00AC6EC4">
              <w:rPr>
                <w:rFonts w:asciiTheme="majorHAnsi" w:hAnsiTheme="majorHAnsi" w:cstheme="majorHAnsi"/>
              </w:rPr>
              <w:t>Foreign currency Denominated Government Bonds</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36.3</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36.3</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42.5</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42.7</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302.8</w:t>
            </w:r>
          </w:p>
        </w:tc>
      </w:tr>
      <w:tr w:rsidR="00AC0565" w:rsidRPr="00AC6EC4" w:rsidTr="00062354">
        <w:trPr>
          <w:trHeight w:val="224"/>
          <w:jc w:val="center"/>
        </w:trPr>
        <w:tc>
          <w:tcPr>
            <w:tcW w:w="4441" w:type="dxa"/>
            <w:tcBorders>
              <w:left w:val="nil"/>
              <w:right w:val="nil"/>
            </w:tcBorders>
          </w:tcPr>
          <w:p w:rsidR="00AC0565" w:rsidRPr="00AC6EC4" w:rsidRDefault="00AC0565" w:rsidP="00062901">
            <w:pPr>
              <w:spacing w:line="240" w:lineRule="auto"/>
              <w:ind w:left="972" w:firstLine="66"/>
              <w:rPr>
                <w:rFonts w:asciiTheme="majorHAnsi" w:hAnsiTheme="majorHAnsi" w:cstheme="majorHAnsi"/>
              </w:rPr>
            </w:pPr>
            <w:r w:rsidRPr="00AC6EC4">
              <w:rPr>
                <w:rFonts w:asciiTheme="majorHAnsi" w:hAnsiTheme="majorHAnsi" w:cstheme="majorHAnsi"/>
              </w:rPr>
              <w:t>Interest Payment</w:t>
            </w:r>
          </w:p>
        </w:tc>
        <w:tc>
          <w:tcPr>
            <w:tcW w:w="1429" w:type="dxa"/>
            <w:tcBorders>
              <w:left w:val="nil"/>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36.3</w:t>
            </w:r>
          </w:p>
        </w:tc>
        <w:tc>
          <w:tcPr>
            <w:tcW w:w="1005" w:type="dxa"/>
            <w:tcBorders>
              <w:left w:val="double" w:sz="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36.3</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42.5</w:t>
            </w:r>
          </w:p>
        </w:tc>
        <w:tc>
          <w:tcPr>
            <w:tcW w:w="1005"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42.7</w:t>
            </w:r>
          </w:p>
        </w:tc>
        <w:tc>
          <w:tcPr>
            <w:tcW w:w="1007" w:type="dxa"/>
            <w:tcBorders>
              <w:left w:val="nil"/>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42.9</w:t>
            </w:r>
          </w:p>
        </w:tc>
      </w:tr>
      <w:tr w:rsidR="00AC0565" w:rsidRPr="00AC6EC4" w:rsidTr="00062354">
        <w:trPr>
          <w:trHeight w:val="211"/>
          <w:jc w:val="center"/>
        </w:trPr>
        <w:tc>
          <w:tcPr>
            <w:tcW w:w="4441" w:type="dxa"/>
            <w:tcBorders>
              <w:left w:val="nil"/>
              <w:bottom w:val="thickThinSmallGap" w:sz="24" w:space="0" w:color="auto"/>
              <w:right w:val="nil"/>
            </w:tcBorders>
          </w:tcPr>
          <w:p w:rsidR="00AC0565" w:rsidRPr="00AC6EC4" w:rsidRDefault="00AC0565" w:rsidP="00062901">
            <w:pPr>
              <w:spacing w:line="240" w:lineRule="auto"/>
              <w:ind w:left="972" w:firstLine="66"/>
              <w:rPr>
                <w:rFonts w:asciiTheme="majorHAnsi" w:hAnsiTheme="majorHAnsi" w:cstheme="majorHAnsi"/>
              </w:rPr>
            </w:pPr>
            <w:r w:rsidRPr="00AC6EC4">
              <w:rPr>
                <w:rFonts w:asciiTheme="majorHAnsi" w:hAnsiTheme="majorHAnsi" w:cstheme="majorHAnsi"/>
              </w:rPr>
              <w:t>Redemption</w:t>
            </w:r>
          </w:p>
        </w:tc>
        <w:tc>
          <w:tcPr>
            <w:tcW w:w="1429" w:type="dxa"/>
            <w:tcBorders>
              <w:left w:val="nil"/>
              <w:bottom w:val="thickThinSmallGap" w:sz="24" w:space="0" w:color="auto"/>
              <w:right w:val="double" w:sz="4" w:space="0" w:color="auto"/>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w:t>
            </w:r>
          </w:p>
        </w:tc>
        <w:tc>
          <w:tcPr>
            <w:tcW w:w="1005" w:type="dxa"/>
            <w:tcBorders>
              <w:left w:val="double" w:sz="4" w:space="0" w:color="auto"/>
              <w:bottom w:val="thickThinSmallGap" w:sz="2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w:t>
            </w:r>
          </w:p>
        </w:tc>
        <w:tc>
          <w:tcPr>
            <w:tcW w:w="1005" w:type="dxa"/>
            <w:tcBorders>
              <w:left w:val="nil"/>
              <w:bottom w:val="thickThinSmallGap" w:sz="2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w:t>
            </w:r>
          </w:p>
        </w:tc>
        <w:tc>
          <w:tcPr>
            <w:tcW w:w="1005" w:type="dxa"/>
            <w:tcBorders>
              <w:left w:val="nil"/>
              <w:bottom w:val="thickThinSmallGap" w:sz="2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w:t>
            </w:r>
          </w:p>
        </w:tc>
        <w:tc>
          <w:tcPr>
            <w:tcW w:w="1007" w:type="dxa"/>
            <w:tcBorders>
              <w:left w:val="nil"/>
              <w:bottom w:val="thickThinSmallGap" w:sz="24" w:space="0" w:color="auto"/>
              <w:right w:val="nil"/>
            </w:tcBorders>
            <w:vAlign w:val="center"/>
          </w:tcPr>
          <w:p w:rsidR="00AC0565" w:rsidRPr="00AC6EC4" w:rsidRDefault="00AC0565" w:rsidP="00062901">
            <w:pPr>
              <w:spacing w:line="240" w:lineRule="auto"/>
              <w:ind w:firstLine="20"/>
              <w:jc w:val="center"/>
              <w:rPr>
                <w:rFonts w:asciiTheme="majorHAnsi" w:hAnsiTheme="majorHAnsi" w:cstheme="majorHAnsi"/>
              </w:rPr>
            </w:pPr>
            <w:r w:rsidRPr="00AC6EC4">
              <w:rPr>
                <w:rFonts w:asciiTheme="majorHAnsi" w:hAnsiTheme="majorHAnsi" w:cstheme="majorHAnsi"/>
              </w:rPr>
              <w:t>259.9</w:t>
            </w:r>
          </w:p>
        </w:tc>
      </w:tr>
    </w:tbl>
    <w:p w:rsidR="0000473B" w:rsidRPr="00AC6EC4" w:rsidRDefault="0000473B" w:rsidP="00A1274B">
      <w:pPr>
        <w:rPr>
          <w:rFonts w:asciiTheme="majorHAnsi" w:hAnsiTheme="majorHAnsi" w:cstheme="majorHAnsi"/>
        </w:rPr>
      </w:pPr>
    </w:p>
    <w:p w:rsidR="005D6101" w:rsidRPr="00AC6EC4" w:rsidRDefault="005D6101" w:rsidP="005D6101">
      <w:pPr>
        <w:ind w:firstLine="0"/>
        <w:rPr>
          <w:rFonts w:asciiTheme="majorHAnsi" w:hAnsiTheme="majorHAnsi" w:cstheme="majorHAnsi"/>
        </w:rPr>
      </w:pPr>
      <w:r w:rsidRPr="00AC6EC4">
        <w:rPr>
          <w:rFonts w:asciiTheme="majorHAnsi" w:hAnsiTheme="majorHAnsi" w:cstheme="majorHAnsi"/>
        </w:rPr>
        <w:t>The RA Government controls the refinancing risks through the application of the debt and cash flow management instruments (buybacks, depositing the available funds in the Central Bank of RA and etcetera).</w:t>
      </w:r>
    </w:p>
    <w:p w:rsidR="00025E2D" w:rsidRPr="00AC6EC4" w:rsidRDefault="00BC14B0" w:rsidP="007E37AA">
      <w:pPr>
        <w:pStyle w:val="af6"/>
        <w:rPr>
          <w:rFonts w:asciiTheme="majorHAnsi" w:hAnsiTheme="majorHAnsi" w:cstheme="majorHAnsi"/>
        </w:rPr>
      </w:pPr>
      <w:r w:rsidRPr="00AC6EC4">
        <w:rPr>
          <w:rFonts w:asciiTheme="majorHAnsi" w:hAnsiTheme="majorHAnsi" w:cstheme="majorHAnsi"/>
        </w:rPr>
        <w:lastRenderedPageBreak/>
        <w:t>Interest rate risk</w:t>
      </w:r>
    </w:p>
    <w:p w:rsidR="006B5849" w:rsidRPr="00AC6EC4" w:rsidRDefault="006B5849" w:rsidP="006B5849">
      <w:pPr>
        <w:spacing w:after="100" w:afterAutospacing="1"/>
        <w:ind w:firstLine="0"/>
        <w:rPr>
          <w:rFonts w:asciiTheme="majorHAnsi" w:hAnsiTheme="majorHAnsi" w:cstheme="majorHAnsi"/>
          <w:i/>
        </w:rPr>
      </w:pPr>
      <w:r w:rsidRPr="00AC6EC4">
        <w:rPr>
          <w:rFonts w:asciiTheme="majorHAnsi" w:hAnsiTheme="majorHAnsi" w:cstheme="majorHAnsi"/>
        </w:rPr>
        <w:t>Interest rate risks require a greater attention, as the share of the borrowings on market terms is continuously increasing. The objective of the interest rate risk management is to ensure such a Government debt structure so that the impact of the interest rate fluctuations in the financial markets on the interest payments would be as low as possible. The interest rate risk indicators for the RA Government debt remain manageable in the forecasted period.</w:t>
      </w:r>
    </w:p>
    <w:p w:rsidR="006B5849" w:rsidRPr="00AC6EC4" w:rsidRDefault="006B5849" w:rsidP="006B5849">
      <w:pPr>
        <w:ind w:firstLine="0"/>
        <w:rPr>
          <w:rFonts w:asciiTheme="majorHAnsi" w:hAnsiTheme="majorHAnsi" w:cstheme="majorHAnsi"/>
        </w:rPr>
      </w:pPr>
      <w:r w:rsidRPr="00AC6EC4">
        <w:rPr>
          <w:rFonts w:asciiTheme="majorHAnsi" w:hAnsiTheme="majorHAnsi" w:cstheme="majorHAnsi"/>
        </w:rPr>
        <w:t xml:space="preserve">The share of the fixed rate debt </w:t>
      </w:r>
      <w:r w:rsidR="00F86472" w:rsidRPr="00AC6EC4">
        <w:rPr>
          <w:rFonts w:asciiTheme="majorHAnsi" w:hAnsiTheme="majorHAnsi" w:cstheme="majorHAnsi"/>
        </w:rPr>
        <w:t>will</w:t>
      </w:r>
      <w:r w:rsidRPr="00AC6EC4">
        <w:rPr>
          <w:rFonts w:asciiTheme="majorHAnsi" w:hAnsiTheme="majorHAnsi" w:cstheme="majorHAnsi"/>
        </w:rPr>
        <w:t xml:space="preserve"> </w:t>
      </w:r>
      <w:r w:rsidR="00F86472" w:rsidRPr="00AC6EC4">
        <w:rPr>
          <w:rFonts w:asciiTheme="majorHAnsi" w:hAnsiTheme="majorHAnsi" w:cstheme="majorHAnsi"/>
        </w:rPr>
        <w:t xml:space="preserve">gradually </w:t>
      </w:r>
      <w:r w:rsidRPr="00AC6EC4">
        <w:rPr>
          <w:rFonts w:asciiTheme="majorHAnsi" w:hAnsiTheme="majorHAnsi" w:cstheme="majorHAnsi"/>
        </w:rPr>
        <w:t>increase in the medium-term period and will reach to 85.4% at the end of 2024</w:t>
      </w:r>
      <w:r w:rsidR="00F86472" w:rsidRPr="00AC6EC4">
        <w:rPr>
          <w:rFonts w:asciiTheme="majorHAnsi" w:hAnsiTheme="majorHAnsi" w:cstheme="majorHAnsi"/>
        </w:rPr>
        <w:t xml:space="preserve"> according to the forecast</w:t>
      </w:r>
      <w:r w:rsidRPr="00AC6EC4">
        <w:rPr>
          <w:rFonts w:asciiTheme="majorHAnsi" w:hAnsiTheme="majorHAnsi" w:cstheme="majorHAnsi"/>
        </w:rPr>
        <w:t>. The increase in the share of fixed interest rate debt will be significantly facilitated by the fact that in the forecast</w:t>
      </w:r>
      <w:r w:rsidR="00F86472" w:rsidRPr="00AC6EC4">
        <w:rPr>
          <w:rFonts w:asciiTheme="majorHAnsi" w:hAnsiTheme="majorHAnsi" w:cstheme="majorHAnsi"/>
        </w:rPr>
        <w:t>ed</w:t>
      </w:r>
      <w:r w:rsidRPr="00AC6EC4">
        <w:rPr>
          <w:rFonts w:asciiTheme="majorHAnsi" w:hAnsiTheme="majorHAnsi" w:cstheme="majorHAnsi"/>
        </w:rPr>
        <w:t xml:space="preserve"> period the Government of the RA will increase the volume of domestic fixed interest rate debt compared to previous years. </w:t>
      </w:r>
      <w:r w:rsidR="007F0F9B" w:rsidRPr="00AC6EC4">
        <w:rPr>
          <w:rFonts w:asciiTheme="majorHAnsi" w:hAnsiTheme="majorHAnsi" w:cstheme="majorHAnsi"/>
        </w:rPr>
        <w:t>It is forecasted that t</w:t>
      </w:r>
      <w:r w:rsidRPr="00AC6EC4">
        <w:rPr>
          <w:rFonts w:asciiTheme="majorHAnsi" w:hAnsiTheme="majorHAnsi" w:cstheme="majorHAnsi"/>
        </w:rPr>
        <w:t>he share of the outstanding volume of the Government treasury securities</w:t>
      </w:r>
      <w:r w:rsidR="007F0F9B" w:rsidRPr="00AC6EC4">
        <w:rPr>
          <w:rFonts w:asciiTheme="majorHAnsi" w:hAnsiTheme="majorHAnsi" w:cstheme="majorHAnsi"/>
        </w:rPr>
        <w:t xml:space="preserve"> will rise in the medium-term period and will constitute 37.5% of the RA Government debt in 2024 against 24.4% actual indicator in 2020. </w:t>
      </w:r>
      <w:r w:rsidRPr="00AC6EC4">
        <w:rPr>
          <w:rFonts w:asciiTheme="majorHAnsi" w:hAnsiTheme="majorHAnsi" w:cstheme="majorHAnsi"/>
        </w:rPr>
        <w:t xml:space="preserve">On the other hand, the international creditors will provide new loans with more floating interest rate, which </w:t>
      </w:r>
      <w:r w:rsidR="007F0F9B" w:rsidRPr="00AC6EC4">
        <w:rPr>
          <w:rFonts w:asciiTheme="majorHAnsi" w:hAnsiTheme="majorHAnsi" w:cstheme="majorHAnsi"/>
        </w:rPr>
        <w:t xml:space="preserve">in its turn, will </w:t>
      </w:r>
      <w:r w:rsidR="00F86472" w:rsidRPr="00AC6EC4">
        <w:rPr>
          <w:rFonts w:asciiTheme="majorHAnsi" w:hAnsiTheme="majorHAnsi" w:cstheme="majorHAnsi"/>
        </w:rPr>
        <w:t>alleviate</w:t>
      </w:r>
      <w:r w:rsidR="007F0F9B" w:rsidRPr="00AC6EC4">
        <w:rPr>
          <w:rFonts w:asciiTheme="majorHAnsi" w:hAnsiTheme="majorHAnsi" w:cstheme="majorHAnsi"/>
        </w:rPr>
        <w:t xml:space="preserve"> the growth rate of the share of RA Government debt with fixed interest rate. </w:t>
      </w:r>
      <w:r w:rsidRPr="00AC6EC4">
        <w:rPr>
          <w:rFonts w:asciiTheme="majorHAnsi" w:hAnsiTheme="majorHAnsi" w:cstheme="majorHAnsi"/>
        </w:rPr>
        <w:t>If there would be a necessity to manage the interest rate risk, the fixing of the interest rates for the loans with floating interest rates will be implemented in accordance with the procedures set by the external creditors.</w:t>
      </w:r>
    </w:p>
    <w:p w:rsidR="0028297B" w:rsidRPr="00AC6EC4" w:rsidRDefault="0028297B" w:rsidP="00A1274B">
      <w:pPr>
        <w:rPr>
          <w:rFonts w:asciiTheme="majorHAnsi" w:hAnsiTheme="majorHAnsi" w:cstheme="majorHAnsi"/>
        </w:rPr>
      </w:pPr>
    </w:p>
    <w:p w:rsidR="00025E2D" w:rsidRPr="00AC6EC4" w:rsidRDefault="0028297B" w:rsidP="00062354">
      <w:pPr>
        <w:pStyle w:val="Heading5"/>
        <w:numPr>
          <w:ilvl w:val="0"/>
          <w:numId w:val="29"/>
        </w:numPr>
        <w:spacing w:line="240" w:lineRule="auto"/>
        <w:ind w:left="426"/>
        <w:jc w:val="left"/>
        <w:rPr>
          <w:rFonts w:asciiTheme="majorHAnsi" w:hAnsiTheme="majorHAnsi" w:cstheme="majorHAnsi"/>
        </w:rPr>
      </w:pPr>
      <w:r w:rsidRPr="00AC6EC4">
        <w:rPr>
          <w:rStyle w:val="Emphasis"/>
          <w:rFonts w:asciiTheme="majorHAnsi" w:hAnsiTheme="majorHAnsi" w:cstheme="majorHAnsi"/>
          <w:b w:val="0"/>
          <w:sz w:val="24"/>
          <w:szCs w:val="24"/>
        </w:rPr>
        <w:t>The weights of the fixed and floating interest rate loans in the structure of the RA Government debt in 202</w:t>
      </w:r>
      <w:r w:rsidRPr="00AC6EC4">
        <w:rPr>
          <w:rStyle w:val="Emphasis"/>
          <w:rFonts w:asciiTheme="majorHAnsi" w:hAnsiTheme="majorHAnsi" w:cstheme="majorHAnsi"/>
          <w:b w:val="0"/>
          <w:sz w:val="24"/>
          <w:szCs w:val="24"/>
          <w:lang w:val="en-US"/>
        </w:rPr>
        <w:t>1</w:t>
      </w:r>
      <w:r w:rsidRPr="00AC6EC4">
        <w:rPr>
          <w:rStyle w:val="Emphasis"/>
          <w:rFonts w:asciiTheme="majorHAnsi" w:hAnsiTheme="majorHAnsi" w:cstheme="majorHAnsi"/>
          <w:b w:val="0"/>
          <w:sz w:val="24"/>
          <w:szCs w:val="24"/>
        </w:rPr>
        <w:t>-202</w:t>
      </w:r>
      <w:r w:rsidRPr="00AC6EC4">
        <w:rPr>
          <w:rStyle w:val="Emphasis"/>
          <w:rFonts w:asciiTheme="majorHAnsi" w:hAnsiTheme="majorHAnsi" w:cstheme="majorHAnsi"/>
          <w:b w:val="0"/>
          <w:sz w:val="24"/>
          <w:szCs w:val="24"/>
          <w:lang w:val="en-US"/>
        </w:rPr>
        <w:t>4</w:t>
      </w:r>
      <w:r w:rsidRPr="00AC6EC4">
        <w:rPr>
          <w:rStyle w:val="Emphasis"/>
          <w:rFonts w:asciiTheme="majorHAnsi" w:hAnsiTheme="majorHAnsi" w:cstheme="majorHAnsi"/>
          <w:b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376"/>
        <w:gridCol w:w="1009"/>
        <w:gridCol w:w="1051"/>
        <w:gridCol w:w="986"/>
        <w:gridCol w:w="1009"/>
      </w:tblGrid>
      <w:tr w:rsidR="0006543A" w:rsidRPr="00AC6EC4" w:rsidTr="0006543A">
        <w:trPr>
          <w:trHeight w:val="664"/>
          <w:tblHeader/>
          <w:jc w:val="center"/>
        </w:trPr>
        <w:tc>
          <w:tcPr>
            <w:tcW w:w="4110"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rPr>
            </w:pPr>
          </w:p>
        </w:tc>
        <w:tc>
          <w:tcPr>
            <w:tcW w:w="1376"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w:t>
            </w:r>
          </w:p>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State budget program</w:t>
            </w:r>
          </w:p>
        </w:tc>
        <w:tc>
          <w:tcPr>
            <w:tcW w:w="1009"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5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98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09"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06543A" w:rsidRPr="00AC6EC4" w:rsidTr="00062354">
        <w:trPr>
          <w:trHeight w:val="399"/>
          <w:jc w:val="center"/>
        </w:trPr>
        <w:tc>
          <w:tcPr>
            <w:tcW w:w="4110" w:type="dxa"/>
            <w:tcBorders>
              <w:top w:val="thinThickSmallGap" w:sz="24" w:space="0" w:color="auto"/>
              <w:left w:val="nil"/>
              <w:right w:val="nil"/>
            </w:tcBorders>
          </w:tcPr>
          <w:p w:rsidR="0006543A" w:rsidRPr="00AC6EC4" w:rsidRDefault="0006543A" w:rsidP="00062901">
            <w:pPr>
              <w:spacing w:line="240" w:lineRule="auto"/>
              <w:rPr>
                <w:rFonts w:asciiTheme="majorHAnsi" w:hAnsiTheme="majorHAnsi" w:cstheme="majorHAnsi"/>
              </w:rPr>
            </w:pPr>
            <w:r w:rsidRPr="00AC6EC4">
              <w:rPr>
                <w:rFonts w:asciiTheme="majorHAnsi" w:hAnsiTheme="majorHAnsi" w:cstheme="majorHAnsi"/>
              </w:rPr>
              <w:t xml:space="preserve">RA Government Debt, </w:t>
            </w:r>
          </w:p>
        </w:tc>
        <w:tc>
          <w:tcPr>
            <w:tcW w:w="1376" w:type="dxa"/>
            <w:tcBorders>
              <w:top w:val="thinThickSmallGap" w:sz="24" w:space="0" w:color="auto"/>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top w:val="thinThickSmallGap" w:sz="24" w:space="0" w:color="auto"/>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51"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986"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r>
      <w:tr w:rsidR="0006543A" w:rsidRPr="00AC6EC4" w:rsidTr="00062354">
        <w:trPr>
          <w:trHeight w:val="306"/>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 xml:space="preserve">       including:</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r>
      <w:tr w:rsidR="0006543A" w:rsidRPr="00AC6EC4" w:rsidTr="00062354">
        <w:trPr>
          <w:trHeight w:val="306"/>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Fixed Rate</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81.3</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82.4</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82.4</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83.6</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85.4</w:t>
            </w:r>
          </w:p>
        </w:tc>
      </w:tr>
      <w:tr w:rsidR="0006543A" w:rsidRPr="00AC6EC4" w:rsidTr="00062354">
        <w:trPr>
          <w:trHeight w:val="320"/>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Floating Rate</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18.7</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17.6</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17.6</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16.4</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14.6</w:t>
            </w:r>
          </w:p>
        </w:tc>
      </w:tr>
      <w:tr w:rsidR="0006543A" w:rsidRPr="00AC6EC4" w:rsidTr="00062354">
        <w:trPr>
          <w:trHeight w:val="375"/>
          <w:jc w:val="center"/>
        </w:trPr>
        <w:tc>
          <w:tcPr>
            <w:tcW w:w="4110" w:type="dxa"/>
            <w:tcBorders>
              <w:left w:val="nil"/>
              <w:right w:val="nil"/>
            </w:tcBorders>
          </w:tcPr>
          <w:p w:rsidR="0006543A" w:rsidRPr="00AC6EC4" w:rsidRDefault="0006543A" w:rsidP="00062901">
            <w:pPr>
              <w:spacing w:line="240" w:lineRule="auto"/>
              <w:ind w:firstLine="0"/>
              <w:rPr>
                <w:rFonts w:asciiTheme="majorHAnsi" w:hAnsiTheme="majorHAnsi" w:cstheme="majorHAnsi"/>
              </w:rPr>
            </w:pPr>
            <w:r w:rsidRPr="00AC6EC4">
              <w:rPr>
                <w:rFonts w:asciiTheme="majorHAnsi" w:hAnsiTheme="majorHAnsi" w:cstheme="majorHAnsi"/>
              </w:rPr>
              <w:t>RA Government External Debt</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r>
      <w:tr w:rsidR="0006543A" w:rsidRPr="00AC6EC4" w:rsidTr="00062354">
        <w:trPr>
          <w:trHeight w:val="306"/>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 xml:space="preserve">       including:</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r>
      <w:tr w:rsidR="0006543A" w:rsidRPr="00AC6EC4" w:rsidTr="00062354">
        <w:trPr>
          <w:trHeight w:val="306"/>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Fixed Rate</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74.0</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75.4</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74.5</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74.8</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76.2</w:t>
            </w:r>
          </w:p>
        </w:tc>
      </w:tr>
      <w:tr w:rsidR="0006543A" w:rsidRPr="00AC6EC4" w:rsidTr="00062354">
        <w:trPr>
          <w:trHeight w:val="308"/>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Floating Rate</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26.0</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24.6</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25.5</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25.2</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23.8</w:t>
            </w:r>
          </w:p>
        </w:tc>
      </w:tr>
      <w:tr w:rsidR="0006543A" w:rsidRPr="00AC6EC4" w:rsidTr="00062354">
        <w:trPr>
          <w:trHeight w:val="394"/>
          <w:jc w:val="center"/>
        </w:trPr>
        <w:tc>
          <w:tcPr>
            <w:tcW w:w="4110" w:type="dxa"/>
            <w:tcBorders>
              <w:left w:val="nil"/>
              <w:right w:val="nil"/>
            </w:tcBorders>
          </w:tcPr>
          <w:p w:rsidR="0006543A" w:rsidRPr="00AC6EC4" w:rsidRDefault="0006543A" w:rsidP="00062901">
            <w:pPr>
              <w:spacing w:line="240" w:lineRule="auto"/>
              <w:rPr>
                <w:rFonts w:asciiTheme="majorHAnsi" w:hAnsiTheme="majorHAnsi" w:cstheme="majorHAnsi"/>
              </w:rPr>
            </w:pPr>
            <w:r w:rsidRPr="00AC6EC4">
              <w:rPr>
                <w:rFonts w:asciiTheme="majorHAnsi" w:hAnsiTheme="majorHAnsi" w:cstheme="majorHAnsi"/>
              </w:rPr>
              <w:t>RA Government Domestic Debt</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r>
      <w:tr w:rsidR="0006543A" w:rsidRPr="00AC6EC4" w:rsidTr="00062354">
        <w:trPr>
          <w:trHeight w:val="306"/>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 xml:space="preserve">       including:</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p>
        </w:tc>
      </w:tr>
      <w:tr w:rsidR="0006543A" w:rsidRPr="00AC6EC4" w:rsidTr="00062354">
        <w:trPr>
          <w:trHeight w:val="187"/>
          <w:jc w:val="center"/>
        </w:trPr>
        <w:tc>
          <w:tcPr>
            <w:tcW w:w="4110" w:type="dxa"/>
            <w:tcBorders>
              <w:left w:val="nil"/>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Fixed Rate</w:t>
            </w:r>
          </w:p>
        </w:tc>
        <w:tc>
          <w:tcPr>
            <w:tcW w:w="1376" w:type="dxa"/>
            <w:tcBorders>
              <w:left w:val="nil"/>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left w:val="doub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51"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98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c>
          <w:tcPr>
            <w:tcW w:w="1009"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100.0</w:t>
            </w:r>
          </w:p>
        </w:tc>
      </w:tr>
      <w:tr w:rsidR="0006543A" w:rsidRPr="00AC6EC4" w:rsidTr="00062354">
        <w:trPr>
          <w:trHeight w:val="320"/>
          <w:jc w:val="center"/>
        </w:trPr>
        <w:tc>
          <w:tcPr>
            <w:tcW w:w="4110" w:type="dxa"/>
            <w:tcBorders>
              <w:left w:val="nil"/>
              <w:bottom w:val="thickThinSmallGap" w:sz="24" w:space="0" w:color="auto"/>
              <w:right w:val="nil"/>
            </w:tcBorders>
          </w:tcPr>
          <w:p w:rsidR="0006543A" w:rsidRPr="00AC6EC4" w:rsidRDefault="0006543A" w:rsidP="00062901">
            <w:pPr>
              <w:spacing w:line="240" w:lineRule="auto"/>
              <w:ind w:left="252"/>
              <w:rPr>
                <w:rFonts w:asciiTheme="majorHAnsi" w:hAnsiTheme="majorHAnsi" w:cstheme="majorHAnsi"/>
              </w:rPr>
            </w:pPr>
            <w:r w:rsidRPr="00AC6EC4">
              <w:rPr>
                <w:rFonts w:asciiTheme="majorHAnsi" w:hAnsiTheme="majorHAnsi" w:cstheme="majorHAnsi"/>
              </w:rPr>
              <w:t>Floating Rate</w:t>
            </w:r>
          </w:p>
        </w:tc>
        <w:tc>
          <w:tcPr>
            <w:tcW w:w="1376" w:type="dxa"/>
            <w:tcBorders>
              <w:left w:val="nil"/>
              <w:bottom w:val="thickThinSmallGap" w:sz="24" w:space="0" w:color="auto"/>
              <w:right w:val="double" w:sz="4" w:space="0" w:color="auto"/>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0.0</w:t>
            </w:r>
          </w:p>
        </w:tc>
        <w:tc>
          <w:tcPr>
            <w:tcW w:w="1009" w:type="dxa"/>
            <w:tcBorders>
              <w:left w:val="double" w:sz="4" w:space="0" w:color="auto"/>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0.0</w:t>
            </w:r>
          </w:p>
        </w:tc>
        <w:tc>
          <w:tcPr>
            <w:tcW w:w="1051"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0.0</w:t>
            </w:r>
          </w:p>
        </w:tc>
        <w:tc>
          <w:tcPr>
            <w:tcW w:w="986"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0.0</w:t>
            </w:r>
          </w:p>
        </w:tc>
        <w:tc>
          <w:tcPr>
            <w:tcW w:w="1009"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0.0</w:t>
            </w:r>
          </w:p>
        </w:tc>
      </w:tr>
    </w:tbl>
    <w:p w:rsidR="007F0F9B" w:rsidRPr="00AC6EC4" w:rsidRDefault="007F0F9B" w:rsidP="007F0F9B">
      <w:pPr>
        <w:rPr>
          <w:rFonts w:asciiTheme="majorHAnsi" w:hAnsiTheme="majorHAnsi" w:cstheme="majorHAnsi"/>
        </w:rPr>
      </w:pPr>
    </w:p>
    <w:p w:rsidR="007F0F9B" w:rsidRPr="00AC6EC4" w:rsidRDefault="007F0F9B" w:rsidP="007F0F9B">
      <w:pPr>
        <w:ind w:firstLine="0"/>
        <w:rPr>
          <w:rFonts w:asciiTheme="majorHAnsi" w:hAnsiTheme="majorHAnsi" w:cstheme="majorHAnsi"/>
        </w:rPr>
      </w:pPr>
      <w:r w:rsidRPr="00AC6EC4">
        <w:rPr>
          <w:rFonts w:asciiTheme="majorHAnsi" w:hAnsiTheme="majorHAnsi" w:cstheme="majorHAnsi"/>
        </w:rPr>
        <w:t>The Average time to refixing indicator for the RA Government debt will amount at 6.</w:t>
      </w:r>
      <w:r w:rsidR="00DA1F32" w:rsidRPr="00AC6EC4">
        <w:rPr>
          <w:rFonts w:asciiTheme="majorHAnsi" w:hAnsiTheme="majorHAnsi" w:cstheme="majorHAnsi"/>
        </w:rPr>
        <w:t>7</w:t>
      </w:r>
      <w:r w:rsidRPr="00AC6EC4">
        <w:rPr>
          <w:rFonts w:asciiTheme="majorHAnsi" w:hAnsiTheme="majorHAnsi" w:cstheme="majorHAnsi"/>
        </w:rPr>
        <w:t xml:space="preserve"> years and the share of the RA Government debt refixing in one-year indicator will be 22.5% at the end of the period. </w:t>
      </w:r>
    </w:p>
    <w:p w:rsidR="00025E2D" w:rsidRPr="00AC6EC4" w:rsidRDefault="0006543A"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lastRenderedPageBreak/>
        <w:t xml:space="preserve">The Interest rate risk indicators of the Government debt in </w:t>
      </w:r>
      <w:r w:rsidRPr="00AC6EC4">
        <w:rPr>
          <w:rStyle w:val="Emphasis"/>
          <w:rFonts w:asciiTheme="majorHAnsi" w:hAnsiTheme="majorHAnsi" w:cstheme="majorHAnsi"/>
          <w:b w:val="0"/>
          <w:sz w:val="24"/>
          <w:szCs w:val="24"/>
          <w:lang w:val="en-US"/>
        </w:rPr>
        <w:t>2021-2024</w:t>
      </w:r>
      <w:r w:rsidR="00025E2D" w:rsidRPr="00AC6EC4">
        <w:rPr>
          <w:rStyle w:val="Emphasis"/>
          <w:rFonts w:asciiTheme="majorHAnsi" w:hAnsiTheme="majorHAnsi" w:cstheme="majorHAnsi"/>
          <w:b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276"/>
        <w:gridCol w:w="992"/>
        <w:gridCol w:w="992"/>
        <w:gridCol w:w="1134"/>
      </w:tblGrid>
      <w:tr w:rsidR="0006543A" w:rsidRPr="00AC6EC4" w:rsidTr="0006543A">
        <w:trPr>
          <w:trHeight w:val="590"/>
          <w:tblHeader/>
          <w:jc w:val="center"/>
        </w:trPr>
        <w:tc>
          <w:tcPr>
            <w:tcW w:w="496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rPr>
            </w:pPr>
          </w:p>
        </w:tc>
        <w:tc>
          <w:tcPr>
            <w:tcW w:w="127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99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99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13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06543A" w:rsidRPr="00AC6EC4" w:rsidRDefault="0006543A"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06543A" w:rsidRPr="00AC6EC4" w:rsidTr="0006543A">
        <w:trPr>
          <w:trHeight w:val="629"/>
          <w:jc w:val="center"/>
        </w:trPr>
        <w:tc>
          <w:tcPr>
            <w:tcW w:w="4962" w:type="dxa"/>
            <w:tcBorders>
              <w:top w:val="thinThickSmallGap" w:sz="24" w:space="0" w:color="auto"/>
              <w:left w:val="nil"/>
              <w:right w:val="nil"/>
            </w:tcBorders>
            <w:vAlign w:val="center"/>
          </w:tcPr>
          <w:p w:rsidR="0006543A" w:rsidRPr="00AC6EC4" w:rsidRDefault="0006543A" w:rsidP="00062901">
            <w:pPr>
              <w:spacing w:line="240" w:lineRule="auto"/>
              <w:ind w:left="604" w:hanging="37"/>
              <w:rPr>
                <w:rFonts w:asciiTheme="majorHAnsi" w:hAnsiTheme="majorHAnsi" w:cstheme="majorHAnsi"/>
                <w:b/>
              </w:rPr>
            </w:pPr>
            <w:r w:rsidRPr="00AC6EC4">
              <w:rPr>
                <w:rFonts w:asciiTheme="majorHAnsi" w:hAnsiTheme="majorHAnsi" w:cstheme="majorHAnsi"/>
                <w:b/>
              </w:rPr>
              <w:t>Average Time to Refixing for the RA Government Debt, (years)</w:t>
            </w:r>
          </w:p>
        </w:tc>
        <w:tc>
          <w:tcPr>
            <w:tcW w:w="1276"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7.2</w:t>
            </w:r>
          </w:p>
        </w:tc>
        <w:tc>
          <w:tcPr>
            <w:tcW w:w="992"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6.7</w:t>
            </w:r>
          </w:p>
        </w:tc>
        <w:tc>
          <w:tcPr>
            <w:tcW w:w="992"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6.4</w:t>
            </w:r>
          </w:p>
        </w:tc>
        <w:tc>
          <w:tcPr>
            <w:tcW w:w="1134" w:type="dxa"/>
            <w:tcBorders>
              <w:top w:val="thinThickSmallGap" w:sz="24"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6.7</w:t>
            </w:r>
          </w:p>
        </w:tc>
      </w:tr>
      <w:tr w:rsidR="0006543A" w:rsidRPr="00AC6EC4" w:rsidTr="0006543A">
        <w:trPr>
          <w:trHeight w:val="665"/>
          <w:jc w:val="center"/>
        </w:trPr>
        <w:tc>
          <w:tcPr>
            <w:tcW w:w="4962" w:type="dxa"/>
            <w:tcBorders>
              <w:left w:val="nil"/>
              <w:bottom w:val="single" w:sz="4" w:space="0" w:color="auto"/>
              <w:right w:val="nil"/>
            </w:tcBorders>
            <w:vAlign w:val="center"/>
          </w:tcPr>
          <w:p w:rsidR="0006543A" w:rsidRPr="00AC6EC4" w:rsidRDefault="0006543A" w:rsidP="00062901">
            <w:pPr>
              <w:spacing w:line="240" w:lineRule="auto"/>
              <w:ind w:left="604" w:hanging="37"/>
              <w:rPr>
                <w:rFonts w:asciiTheme="majorHAnsi" w:hAnsiTheme="majorHAnsi" w:cstheme="majorHAnsi"/>
              </w:rPr>
            </w:pPr>
            <w:r w:rsidRPr="00AC6EC4">
              <w:rPr>
                <w:rFonts w:asciiTheme="majorHAnsi" w:hAnsiTheme="majorHAnsi" w:cstheme="majorHAnsi"/>
              </w:rPr>
              <w:t>Average Time to Refixing for the RA Government External Debt, (years)</w:t>
            </w:r>
          </w:p>
        </w:tc>
        <w:tc>
          <w:tcPr>
            <w:tcW w:w="1276" w:type="dxa"/>
            <w:tcBorders>
              <w:left w:val="nil"/>
              <w:bottom w:val="sing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5.9</w:t>
            </w:r>
          </w:p>
        </w:tc>
        <w:tc>
          <w:tcPr>
            <w:tcW w:w="992" w:type="dxa"/>
            <w:tcBorders>
              <w:left w:val="nil"/>
              <w:bottom w:val="sing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5.3</w:t>
            </w:r>
          </w:p>
        </w:tc>
        <w:tc>
          <w:tcPr>
            <w:tcW w:w="992" w:type="dxa"/>
            <w:tcBorders>
              <w:left w:val="nil"/>
              <w:bottom w:val="sing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4.8</w:t>
            </w:r>
          </w:p>
        </w:tc>
        <w:tc>
          <w:tcPr>
            <w:tcW w:w="1134" w:type="dxa"/>
            <w:tcBorders>
              <w:left w:val="nil"/>
              <w:bottom w:val="single" w:sz="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5.3</w:t>
            </w:r>
          </w:p>
        </w:tc>
      </w:tr>
      <w:tr w:rsidR="0006543A" w:rsidRPr="00AC6EC4" w:rsidTr="0006543A">
        <w:trPr>
          <w:trHeight w:val="733"/>
          <w:jc w:val="center"/>
        </w:trPr>
        <w:tc>
          <w:tcPr>
            <w:tcW w:w="4962" w:type="dxa"/>
            <w:tcBorders>
              <w:left w:val="nil"/>
              <w:bottom w:val="single" w:sz="12" w:space="0" w:color="auto"/>
              <w:right w:val="nil"/>
            </w:tcBorders>
            <w:vAlign w:val="center"/>
          </w:tcPr>
          <w:p w:rsidR="0006543A" w:rsidRPr="00AC6EC4" w:rsidRDefault="0006543A" w:rsidP="00062901">
            <w:pPr>
              <w:spacing w:line="240" w:lineRule="auto"/>
              <w:ind w:left="604" w:hanging="37"/>
              <w:rPr>
                <w:rFonts w:asciiTheme="majorHAnsi" w:hAnsiTheme="majorHAnsi" w:cstheme="majorHAnsi"/>
              </w:rPr>
            </w:pPr>
            <w:r w:rsidRPr="00AC6EC4">
              <w:rPr>
                <w:rFonts w:asciiTheme="majorHAnsi" w:hAnsiTheme="majorHAnsi" w:cstheme="majorHAnsi"/>
              </w:rPr>
              <w:t>Average Time to Refixing for the RA Government Domestic Debt, (years)</w:t>
            </w:r>
          </w:p>
        </w:tc>
        <w:tc>
          <w:tcPr>
            <w:tcW w:w="1276" w:type="dxa"/>
            <w:tcBorders>
              <w:left w:val="nil"/>
              <w:bottom w:val="single" w:sz="12"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10.3</w:t>
            </w:r>
          </w:p>
        </w:tc>
        <w:tc>
          <w:tcPr>
            <w:tcW w:w="992" w:type="dxa"/>
            <w:tcBorders>
              <w:left w:val="nil"/>
              <w:bottom w:val="single" w:sz="12"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9.7</w:t>
            </w:r>
          </w:p>
        </w:tc>
        <w:tc>
          <w:tcPr>
            <w:tcW w:w="992" w:type="dxa"/>
            <w:tcBorders>
              <w:left w:val="nil"/>
              <w:bottom w:val="single" w:sz="12"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9.4</w:t>
            </w:r>
          </w:p>
        </w:tc>
        <w:tc>
          <w:tcPr>
            <w:tcW w:w="1134" w:type="dxa"/>
            <w:tcBorders>
              <w:left w:val="nil"/>
              <w:bottom w:val="single" w:sz="12"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9.0</w:t>
            </w:r>
          </w:p>
        </w:tc>
      </w:tr>
      <w:tr w:rsidR="0006543A" w:rsidRPr="00AC6EC4" w:rsidTr="0006543A">
        <w:trPr>
          <w:trHeight w:val="577"/>
          <w:jc w:val="center"/>
        </w:trPr>
        <w:tc>
          <w:tcPr>
            <w:tcW w:w="4962" w:type="dxa"/>
            <w:tcBorders>
              <w:top w:val="single" w:sz="12" w:space="0" w:color="auto"/>
              <w:left w:val="nil"/>
              <w:right w:val="nil"/>
            </w:tcBorders>
            <w:vAlign w:val="center"/>
          </w:tcPr>
          <w:p w:rsidR="0006543A" w:rsidRPr="00AC6EC4" w:rsidRDefault="0006543A" w:rsidP="00062901">
            <w:pPr>
              <w:spacing w:line="240" w:lineRule="auto"/>
              <w:ind w:left="604" w:hanging="37"/>
              <w:rPr>
                <w:rFonts w:asciiTheme="majorHAnsi" w:hAnsiTheme="majorHAnsi" w:cstheme="majorHAnsi"/>
                <w:b/>
              </w:rPr>
            </w:pPr>
            <w:r w:rsidRPr="00AC6EC4">
              <w:rPr>
                <w:rFonts w:asciiTheme="majorHAnsi" w:hAnsiTheme="majorHAnsi" w:cstheme="majorHAnsi"/>
                <w:b/>
              </w:rPr>
              <w:t>Share of the RA Government Debt Refixing in One Year (%)</w:t>
            </w:r>
          </w:p>
        </w:tc>
        <w:tc>
          <w:tcPr>
            <w:tcW w:w="1276" w:type="dxa"/>
            <w:tcBorders>
              <w:top w:val="single" w:sz="12"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23.2</w:t>
            </w:r>
          </w:p>
        </w:tc>
        <w:tc>
          <w:tcPr>
            <w:tcW w:w="992" w:type="dxa"/>
            <w:tcBorders>
              <w:top w:val="single" w:sz="12"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23.2</w:t>
            </w:r>
          </w:p>
        </w:tc>
        <w:tc>
          <w:tcPr>
            <w:tcW w:w="992" w:type="dxa"/>
            <w:tcBorders>
              <w:top w:val="single" w:sz="12"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27.5</w:t>
            </w:r>
          </w:p>
        </w:tc>
        <w:tc>
          <w:tcPr>
            <w:tcW w:w="1134" w:type="dxa"/>
            <w:tcBorders>
              <w:top w:val="single" w:sz="12" w:space="0" w:color="auto"/>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22.5</w:t>
            </w:r>
          </w:p>
        </w:tc>
      </w:tr>
      <w:tr w:rsidR="0006543A" w:rsidRPr="00AC6EC4" w:rsidTr="0006543A">
        <w:trPr>
          <w:trHeight w:val="649"/>
          <w:jc w:val="center"/>
        </w:trPr>
        <w:tc>
          <w:tcPr>
            <w:tcW w:w="4962" w:type="dxa"/>
            <w:tcBorders>
              <w:left w:val="nil"/>
              <w:right w:val="nil"/>
            </w:tcBorders>
            <w:vAlign w:val="center"/>
          </w:tcPr>
          <w:p w:rsidR="0006543A" w:rsidRPr="00AC6EC4" w:rsidRDefault="0006543A" w:rsidP="00062901">
            <w:pPr>
              <w:spacing w:line="240" w:lineRule="auto"/>
              <w:ind w:left="604" w:hanging="37"/>
              <w:rPr>
                <w:rFonts w:asciiTheme="majorHAnsi" w:hAnsiTheme="majorHAnsi" w:cstheme="majorHAnsi"/>
              </w:rPr>
            </w:pPr>
            <w:r w:rsidRPr="00AC6EC4">
              <w:rPr>
                <w:rFonts w:asciiTheme="majorHAnsi" w:hAnsiTheme="majorHAnsi" w:cstheme="majorHAnsi"/>
              </w:rPr>
              <w:t>Share of the RA Government External Debt Refixing in One Year (%)</w:t>
            </w:r>
          </w:p>
        </w:tc>
        <w:tc>
          <w:tcPr>
            <w:tcW w:w="1276"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27.7</w:t>
            </w:r>
          </w:p>
        </w:tc>
        <w:tc>
          <w:tcPr>
            <w:tcW w:w="992"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28.9</w:t>
            </w:r>
          </w:p>
        </w:tc>
        <w:tc>
          <w:tcPr>
            <w:tcW w:w="992"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36.5</w:t>
            </w:r>
          </w:p>
        </w:tc>
        <w:tc>
          <w:tcPr>
            <w:tcW w:w="1134" w:type="dxa"/>
            <w:tcBorders>
              <w:left w:val="nil"/>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28.1</w:t>
            </w:r>
          </w:p>
        </w:tc>
      </w:tr>
      <w:tr w:rsidR="0006543A" w:rsidRPr="00AC6EC4" w:rsidTr="0006543A">
        <w:trPr>
          <w:trHeight w:val="701"/>
          <w:jc w:val="center"/>
        </w:trPr>
        <w:tc>
          <w:tcPr>
            <w:tcW w:w="4962" w:type="dxa"/>
            <w:tcBorders>
              <w:left w:val="nil"/>
              <w:bottom w:val="thickThinSmallGap" w:sz="24" w:space="0" w:color="auto"/>
              <w:right w:val="nil"/>
            </w:tcBorders>
            <w:vAlign w:val="center"/>
          </w:tcPr>
          <w:p w:rsidR="0006543A" w:rsidRPr="00AC6EC4" w:rsidRDefault="0006543A" w:rsidP="00062901">
            <w:pPr>
              <w:spacing w:line="240" w:lineRule="auto"/>
              <w:ind w:left="604" w:hanging="37"/>
              <w:rPr>
                <w:rFonts w:asciiTheme="majorHAnsi" w:hAnsiTheme="majorHAnsi" w:cstheme="majorHAnsi"/>
              </w:rPr>
            </w:pPr>
            <w:r w:rsidRPr="00AC6EC4">
              <w:rPr>
                <w:rFonts w:asciiTheme="majorHAnsi" w:hAnsiTheme="majorHAnsi" w:cstheme="majorHAnsi"/>
              </w:rPr>
              <w:t>Share of the RA Government Domestic Debt Refixing in One Year (%)</w:t>
            </w:r>
          </w:p>
        </w:tc>
        <w:tc>
          <w:tcPr>
            <w:tcW w:w="1276"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11.6</w:t>
            </w:r>
          </w:p>
        </w:tc>
        <w:tc>
          <w:tcPr>
            <w:tcW w:w="992"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10.7</w:t>
            </w:r>
          </w:p>
        </w:tc>
        <w:tc>
          <w:tcPr>
            <w:tcW w:w="992"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10.7</w:t>
            </w:r>
          </w:p>
        </w:tc>
        <w:tc>
          <w:tcPr>
            <w:tcW w:w="1134" w:type="dxa"/>
            <w:tcBorders>
              <w:left w:val="nil"/>
              <w:bottom w:val="thickThinSmallGap" w:sz="24" w:space="0" w:color="auto"/>
              <w:right w:val="nil"/>
            </w:tcBorders>
            <w:vAlign w:val="center"/>
          </w:tcPr>
          <w:p w:rsidR="0006543A" w:rsidRPr="00AC6EC4" w:rsidRDefault="0006543A" w:rsidP="00062901">
            <w:pPr>
              <w:spacing w:line="240" w:lineRule="auto"/>
              <w:ind w:firstLine="0"/>
              <w:jc w:val="center"/>
              <w:rPr>
                <w:rFonts w:asciiTheme="majorHAnsi" w:hAnsiTheme="majorHAnsi" w:cstheme="majorHAnsi"/>
              </w:rPr>
            </w:pPr>
            <w:r w:rsidRPr="00AC6EC4">
              <w:rPr>
                <w:rFonts w:asciiTheme="majorHAnsi" w:hAnsiTheme="majorHAnsi" w:cstheme="majorHAnsi"/>
              </w:rPr>
              <w:t>13.7</w:t>
            </w:r>
          </w:p>
        </w:tc>
      </w:tr>
    </w:tbl>
    <w:p w:rsidR="00025E2D" w:rsidRPr="00AC6EC4" w:rsidRDefault="003212A8" w:rsidP="007E37AA">
      <w:pPr>
        <w:pStyle w:val="af6"/>
        <w:rPr>
          <w:rFonts w:asciiTheme="majorHAnsi" w:hAnsiTheme="majorHAnsi" w:cstheme="majorHAnsi"/>
        </w:rPr>
      </w:pPr>
      <w:r w:rsidRPr="00AC6EC4">
        <w:rPr>
          <w:rFonts w:asciiTheme="majorHAnsi" w:hAnsiTheme="majorHAnsi" w:cstheme="majorHAnsi"/>
          <w:lang w:val="en-US"/>
        </w:rPr>
        <w:t>Operational risk</w:t>
      </w:r>
      <w:r w:rsidR="00025E2D" w:rsidRPr="00AC6EC4">
        <w:rPr>
          <w:rFonts w:asciiTheme="majorHAnsi" w:hAnsiTheme="majorHAnsi" w:cstheme="majorHAnsi"/>
        </w:rPr>
        <w:t xml:space="preserve">   </w:t>
      </w:r>
    </w:p>
    <w:p w:rsidR="005C491E" w:rsidRPr="00AC6EC4" w:rsidRDefault="005C491E" w:rsidP="005C491E">
      <w:pPr>
        <w:spacing w:after="100" w:afterAutospacing="1"/>
        <w:ind w:firstLine="0"/>
        <w:rPr>
          <w:rFonts w:asciiTheme="majorHAnsi" w:hAnsiTheme="majorHAnsi" w:cstheme="majorHAnsi"/>
          <w:i/>
        </w:rPr>
      </w:pPr>
      <w:r w:rsidRPr="00AC6EC4">
        <w:rPr>
          <w:rFonts w:asciiTheme="majorHAnsi" w:hAnsiTheme="majorHAnsi" w:cstheme="majorHAnsi"/>
        </w:rPr>
        <w:t>The operational risk is defined as the result of the external factors and technologies, as well as the consequence of the insufficient operation of the staff, organization and processes. It is important from the perspective of the operational risk management to ensure the security of the information, including the documents and the technological systems. It is necessary to ensure a backup of the debt recording and accounting database in order to avoid the disruption of the work process and the process for the storage of the complete information, to fulfil the debt obligations timely and accurately in the cases of force majeure. Public debt management department of the Ministry of Finance of RA will implement the activities envisaged by the Business</w:t>
      </w:r>
      <w:r w:rsidRPr="00AC6EC4">
        <w:rPr>
          <w:rFonts w:asciiTheme="majorHAnsi" w:hAnsiTheme="majorHAnsi" w:cstheme="majorHAnsi"/>
          <w:color w:val="000000"/>
        </w:rPr>
        <w:t xml:space="preserve"> </w:t>
      </w:r>
      <w:r w:rsidRPr="00AC6EC4">
        <w:rPr>
          <w:rFonts w:asciiTheme="majorHAnsi" w:hAnsiTheme="majorHAnsi" w:cstheme="majorHAnsi"/>
        </w:rPr>
        <w:t>Continuity</w:t>
      </w:r>
      <w:r w:rsidRPr="00AC6EC4">
        <w:rPr>
          <w:rFonts w:asciiTheme="majorHAnsi" w:hAnsiTheme="majorHAnsi" w:cstheme="majorHAnsi"/>
          <w:color w:val="000000"/>
        </w:rPr>
        <w:t xml:space="preserve"> and </w:t>
      </w:r>
      <w:r w:rsidRPr="00AC6EC4">
        <w:rPr>
          <w:rFonts w:asciiTheme="majorHAnsi" w:hAnsiTheme="majorHAnsi" w:cstheme="majorHAnsi"/>
        </w:rPr>
        <w:t>Disaster</w:t>
      </w:r>
      <w:r w:rsidRPr="00AC6EC4">
        <w:rPr>
          <w:rFonts w:asciiTheme="majorHAnsi" w:hAnsiTheme="majorHAnsi" w:cstheme="majorHAnsi"/>
          <w:color w:val="000000"/>
        </w:rPr>
        <w:t xml:space="preserve"> </w:t>
      </w:r>
      <w:r w:rsidRPr="00AC6EC4">
        <w:rPr>
          <w:rFonts w:asciiTheme="majorHAnsi" w:hAnsiTheme="majorHAnsi" w:cstheme="majorHAnsi"/>
        </w:rPr>
        <w:t>Recovery</w:t>
      </w:r>
      <w:r w:rsidRPr="00AC6EC4">
        <w:rPr>
          <w:rFonts w:asciiTheme="majorHAnsi" w:hAnsiTheme="majorHAnsi" w:cstheme="majorHAnsi"/>
          <w:color w:val="000000"/>
        </w:rPr>
        <w:t xml:space="preserve"> </w:t>
      </w:r>
      <w:r w:rsidRPr="00AC6EC4">
        <w:rPr>
          <w:rFonts w:asciiTheme="majorHAnsi" w:hAnsiTheme="majorHAnsi" w:cstheme="majorHAnsi"/>
        </w:rPr>
        <w:t>Plan in order to identify, assess, manage and mitigate the operational risks related to the RA Government debt management.</w:t>
      </w:r>
    </w:p>
    <w:p w:rsidR="0090601B" w:rsidRPr="00AC6EC4" w:rsidRDefault="0090601B" w:rsidP="00A1274B">
      <w:pPr>
        <w:rPr>
          <w:rFonts w:asciiTheme="majorHAnsi" w:hAnsiTheme="majorHAnsi" w:cstheme="majorHAnsi"/>
        </w:rPr>
      </w:pPr>
    </w:p>
    <w:p w:rsidR="00025E2D" w:rsidRPr="00AC6EC4" w:rsidRDefault="00166712" w:rsidP="001173A4">
      <w:pPr>
        <w:pStyle w:val="Heading2"/>
        <w:rPr>
          <w:rFonts w:asciiTheme="majorHAnsi" w:hAnsiTheme="majorHAnsi" w:cstheme="majorHAnsi"/>
        </w:rPr>
      </w:pPr>
      <w:r w:rsidRPr="00AC6EC4">
        <w:rPr>
          <w:rFonts w:asciiTheme="majorHAnsi" w:hAnsiTheme="majorHAnsi" w:cstheme="majorHAnsi"/>
        </w:rPr>
        <w:br w:type="page"/>
      </w:r>
      <w:bookmarkStart w:id="15" w:name="_Toc80868698"/>
      <w:r w:rsidR="00C343F5" w:rsidRPr="00AC6EC4">
        <w:rPr>
          <w:rFonts w:asciiTheme="majorHAnsi" w:hAnsiTheme="majorHAnsi" w:cstheme="majorHAnsi"/>
        </w:rPr>
        <w:lastRenderedPageBreak/>
        <w:t>Sensitivity analysis</w:t>
      </w:r>
      <w:bookmarkEnd w:id="15"/>
    </w:p>
    <w:p w:rsidR="00E151EE" w:rsidRPr="00AC6EC4" w:rsidRDefault="00E151EE" w:rsidP="00E151EE">
      <w:pPr>
        <w:spacing w:after="100" w:afterAutospacing="1"/>
        <w:ind w:firstLine="0"/>
        <w:rPr>
          <w:rFonts w:asciiTheme="majorHAnsi" w:hAnsiTheme="majorHAnsi" w:cstheme="majorHAnsi"/>
        </w:rPr>
      </w:pPr>
      <w:r w:rsidRPr="00AC6EC4">
        <w:rPr>
          <w:rFonts w:asciiTheme="majorHAnsi" w:hAnsiTheme="majorHAnsi" w:cstheme="majorHAnsi"/>
        </w:rPr>
        <w:t xml:space="preserve">The cost-at-risk analysis implemented so far was based on the forecasted macroeconomic and fiscal indicators and represents the baseline scenario for the RA Government debt management strategy. The deviations of the cost-at-risk indicators from the baseline scenario after simulating different shocks to the market variables are presented below. </w:t>
      </w:r>
    </w:p>
    <w:p w:rsidR="00D56AA8" w:rsidRPr="00AC6EC4" w:rsidRDefault="002A6F78" w:rsidP="00062C65">
      <w:pPr>
        <w:pStyle w:val="Heading5"/>
        <w:keepNext/>
        <w:numPr>
          <w:ilvl w:val="0"/>
          <w:numId w:val="28"/>
        </w:numPr>
        <w:spacing w:before="0" w:after="240" w:line="240" w:lineRule="auto"/>
        <w:ind w:left="1077" w:hanging="1077"/>
        <w:jc w:val="left"/>
        <w:rPr>
          <w:rFonts w:asciiTheme="majorHAnsi" w:hAnsiTheme="majorHAnsi" w:cstheme="majorHAnsi"/>
          <w:b w:val="0"/>
          <w:bCs w:val="0"/>
          <w:i w:val="0"/>
          <w:sz w:val="24"/>
          <w:szCs w:val="24"/>
        </w:rPr>
      </w:pPr>
      <w:r w:rsidRPr="00AC6EC4">
        <w:rPr>
          <w:rFonts w:asciiTheme="majorHAnsi" w:hAnsiTheme="majorHAnsi" w:cstheme="majorHAnsi"/>
          <w:b w:val="0"/>
          <w:bCs w:val="0"/>
          <w:i w:val="0"/>
          <w:sz w:val="24"/>
          <w:szCs w:val="24"/>
        </w:rPr>
        <w:t>RA Government debt / GDP ratio in 2021-2024</w:t>
      </w:r>
    </w:p>
    <w:p w:rsidR="00C1660A" w:rsidRDefault="00B15B3F" w:rsidP="008F49C6">
      <w:pPr>
        <w:ind w:firstLine="0"/>
        <w:rPr>
          <w:rFonts w:asciiTheme="majorHAnsi" w:hAnsiTheme="majorHAnsi" w:cstheme="majorHAnsi"/>
          <w:color w:val="FF0000"/>
          <w:sz w:val="20"/>
          <w:szCs w:val="20"/>
        </w:rPr>
      </w:pPr>
      <w:r w:rsidRPr="00AC6EC4">
        <w:rPr>
          <w:rFonts w:asciiTheme="majorHAnsi" w:hAnsiTheme="majorHAnsi" w:cstheme="majorHAnsi"/>
          <w:noProof/>
          <w:lang w:val="en-US"/>
        </w:rPr>
        <w:drawing>
          <wp:inline distT="0" distB="0" distL="0" distR="0" wp14:anchorId="10D9285A" wp14:editId="75EDB8C4">
            <wp:extent cx="4536000" cy="3240000"/>
            <wp:effectExtent l="0" t="0" r="17145" b="17780"/>
            <wp:docPr id="21" name="Chart 21">
              <a:extLst xmlns:a="http://schemas.openxmlformats.org/drawingml/2006/main">
                <a:ext uri="{FF2B5EF4-FFF2-40B4-BE49-F238E27FC236}">
                  <a16:creationId xmlns:a16="http://schemas.microsoft.com/office/drawing/2014/main" id="{00000000-0008-0000-0F00-00004640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2C65" w:rsidRPr="00AC6EC4" w:rsidRDefault="00062C65" w:rsidP="008F49C6">
      <w:pPr>
        <w:ind w:firstLine="0"/>
        <w:rPr>
          <w:rFonts w:asciiTheme="majorHAnsi" w:hAnsiTheme="majorHAnsi" w:cstheme="majorHAnsi"/>
          <w:color w:val="FF0000"/>
          <w:sz w:val="20"/>
          <w:szCs w:val="20"/>
        </w:rPr>
      </w:pPr>
    </w:p>
    <w:p w:rsidR="00D56AA8" w:rsidRPr="00AC6EC4" w:rsidRDefault="00B15B3F" w:rsidP="00062C65">
      <w:pPr>
        <w:pStyle w:val="Heading5"/>
        <w:keepNext/>
        <w:numPr>
          <w:ilvl w:val="0"/>
          <w:numId w:val="28"/>
        </w:numPr>
        <w:spacing w:before="0" w:after="240" w:line="240" w:lineRule="auto"/>
        <w:ind w:left="1077" w:hanging="1077"/>
        <w:jc w:val="left"/>
        <w:rPr>
          <w:rFonts w:asciiTheme="majorHAnsi" w:hAnsiTheme="majorHAnsi" w:cstheme="majorHAnsi"/>
          <w:b w:val="0"/>
          <w:bCs w:val="0"/>
          <w:i w:val="0"/>
          <w:sz w:val="24"/>
          <w:szCs w:val="24"/>
        </w:rPr>
      </w:pPr>
      <w:r w:rsidRPr="00AC6EC4">
        <w:rPr>
          <w:rFonts w:asciiTheme="majorHAnsi" w:hAnsiTheme="majorHAnsi" w:cstheme="majorHAnsi"/>
          <w:b w:val="0"/>
          <w:bCs w:val="0"/>
          <w:i w:val="0"/>
          <w:sz w:val="24"/>
          <w:szCs w:val="24"/>
        </w:rPr>
        <w:t>Interest payments / GDP ratio in 2021-2024</w:t>
      </w:r>
    </w:p>
    <w:p w:rsidR="00C1660A" w:rsidRPr="00AC6EC4" w:rsidRDefault="00B15B3F" w:rsidP="005318B7">
      <w:pPr>
        <w:pStyle w:val="NoSpacing1"/>
        <w:rPr>
          <w:rFonts w:asciiTheme="majorHAnsi" w:hAnsiTheme="majorHAnsi" w:cstheme="majorHAnsi"/>
          <w:sz w:val="20"/>
          <w:szCs w:val="20"/>
        </w:rPr>
      </w:pPr>
      <w:r w:rsidRPr="00AC6EC4">
        <w:rPr>
          <w:rFonts w:asciiTheme="majorHAnsi" w:hAnsiTheme="majorHAnsi" w:cstheme="majorHAnsi"/>
          <w:noProof/>
        </w:rPr>
        <w:drawing>
          <wp:inline distT="0" distB="0" distL="0" distR="0" wp14:anchorId="3BD6409F" wp14:editId="2579F2B3">
            <wp:extent cx="4536000" cy="3240000"/>
            <wp:effectExtent l="0" t="0" r="17145" b="17780"/>
            <wp:docPr id="22" name="Chart 22">
              <a:extLst xmlns:a="http://schemas.openxmlformats.org/drawingml/2006/main">
                <a:ext uri="{FF2B5EF4-FFF2-40B4-BE49-F238E27FC236}">
                  <a16:creationId xmlns:a16="http://schemas.microsoft.com/office/drawing/2014/main" id="{00000000-0008-0000-0F00-00004740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5E2D" w:rsidRPr="00AC6EC4" w:rsidRDefault="00D947C5" w:rsidP="007E37AA">
      <w:pPr>
        <w:pStyle w:val="af6"/>
        <w:rPr>
          <w:rFonts w:asciiTheme="majorHAnsi" w:hAnsiTheme="majorHAnsi" w:cstheme="majorHAnsi"/>
        </w:rPr>
      </w:pPr>
      <w:r w:rsidRPr="00AC6EC4">
        <w:rPr>
          <w:rFonts w:asciiTheme="majorHAnsi" w:hAnsiTheme="majorHAnsi" w:cstheme="majorHAnsi"/>
        </w:rPr>
        <w:lastRenderedPageBreak/>
        <w:t>Exchange rate shock</w:t>
      </w:r>
    </w:p>
    <w:p w:rsidR="00975824" w:rsidRPr="00AC6EC4" w:rsidRDefault="00975824" w:rsidP="00975824">
      <w:pPr>
        <w:spacing w:after="240"/>
        <w:ind w:firstLine="0"/>
        <w:rPr>
          <w:rFonts w:asciiTheme="majorHAnsi" w:hAnsiTheme="majorHAnsi" w:cstheme="majorHAnsi"/>
        </w:rPr>
      </w:pPr>
      <w:r w:rsidRPr="00AC6EC4">
        <w:rPr>
          <w:rFonts w:asciiTheme="majorHAnsi" w:hAnsiTheme="majorHAnsi" w:cstheme="majorHAnsi"/>
        </w:rPr>
        <w:t xml:space="preserve">The RA Government debt portfolio is exposed to substantial exchange rate risks. When applying 30% shock and devaluating the AMD against the USD, EUR and SDR in 2022, the RA Government debt / GDP ratio reaches 68.0% at the end of 2024, which exceeds the same indicator against the baseline scenario by 11.2 percentage points. </w:t>
      </w:r>
    </w:p>
    <w:p w:rsidR="00975824" w:rsidRPr="00AC6EC4" w:rsidRDefault="00975824" w:rsidP="00975824">
      <w:pPr>
        <w:spacing w:after="240"/>
        <w:ind w:firstLine="0"/>
        <w:rPr>
          <w:rFonts w:asciiTheme="majorHAnsi" w:hAnsiTheme="majorHAnsi" w:cstheme="majorHAnsi"/>
        </w:rPr>
      </w:pPr>
      <w:r w:rsidRPr="00AC6EC4">
        <w:rPr>
          <w:rFonts w:asciiTheme="majorHAnsi" w:hAnsiTheme="majorHAnsi" w:cstheme="majorHAnsi"/>
        </w:rPr>
        <w:t>1% change in the exchange rates formed as of 01.04.2021 (based on which the foreign currency denominated RA Government debt has been converted into USD) will result in an average annual change of the foreign currency denominated RA Government debt by AMD 32.5 billion or 0.4% of GDP during 2022-2024.</w:t>
      </w:r>
    </w:p>
    <w:p w:rsidR="00025E2D" w:rsidRPr="00AC6EC4" w:rsidRDefault="00A02C55" w:rsidP="007E37AA">
      <w:pPr>
        <w:pStyle w:val="af6"/>
        <w:rPr>
          <w:rFonts w:asciiTheme="majorHAnsi" w:hAnsiTheme="majorHAnsi" w:cstheme="majorHAnsi"/>
        </w:rPr>
      </w:pPr>
      <w:r w:rsidRPr="00AC6EC4">
        <w:rPr>
          <w:rFonts w:asciiTheme="majorHAnsi" w:hAnsiTheme="majorHAnsi" w:cstheme="majorHAnsi"/>
        </w:rPr>
        <w:t>Interest rate shock</w:t>
      </w:r>
    </w:p>
    <w:p w:rsidR="00975824" w:rsidRPr="00AC6EC4" w:rsidRDefault="00975824" w:rsidP="00975824">
      <w:pPr>
        <w:spacing w:after="240"/>
        <w:ind w:firstLine="0"/>
        <w:rPr>
          <w:rFonts w:asciiTheme="majorHAnsi" w:hAnsiTheme="majorHAnsi" w:cstheme="majorHAnsi"/>
        </w:rPr>
      </w:pPr>
      <w:r w:rsidRPr="00AC6EC4">
        <w:rPr>
          <w:rFonts w:asciiTheme="majorHAnsi" w:hAnsiTheme="majorHAnsi" w:cstheme="majorHAnsi"/>
        </w:rPr>
        <w:t xml:space="preserve">Analysing the shock scenario, which is the increase of the interest rates for the external borrowings by 250 basis points and for the domestic borrowings by 500 basis points, it becomes clear that the impact of the interest rate shock on the RA Government debt portfolio remains moderate. The RA Government debt / GDP ratio reaches to </w:t>
      </w:r>
      <w:r w:rsidR="001C6915" w:rsidRPr="00AC6EC4">
        <w:rPr>
          <w:rFonts w:asciiTheme="majorHAnsi" w:hAnsiTheme="majorHAnsi" w:cstheme="majorHAnsi"/>
        </w:rPr>
        <w:t>58.9</w:t>
      </w:r>
      <w:r w:rsidRPr="00AC6EC4">
        <w:rPr>
          <w:rFonts w:asciiTheme="majorHAnsi" w:hAnsiTheme="majorHAnsi" w:cstheme="majorHAnsi"/>
        </w:rPr>
        <w:t>% at the end of 202</w:t>
      </w:r>
      <w:r w:rsidR="001C6915" w:rsidRPr="00AC6EC4">
        <w:rPr>
          <w:rFonts w:asciiTheme="majorHAnsi" w:hAnsiTheme="majorHAnsi" w:cstheme="majorHAnsi"/>
        </w:rPr>
        <w:t>4</w:t>
      </w:r>
      <w:r w:rsidRPr="00AC6EC4">
        <w:rPr>
          <w:rFonts w:asciiTheme="majorHAnsi" w:hAnsiTheme="majorHAnsi" w:cstheme="majorHAnsi"/>
        </w:rPr>
        <w:t xml:space="preserve">, increasing by 2.1 percentage points against the same indicator of the baseline scenario. In this case, the Interest payment / GDP ratio can increase by </w:t>
      </w:r>
      <w:r w:rsidR="001C6915" w:rsidRPr="00AC6EC4">
        <w:rPr>
          <w:rFonts w:asciiTheme="majorHAnsi" w:hAnsiTheme="majorHAnsi" w:cstheme="majorHAnsi"/>
        </w:rPr>
        <w:t>0.9</w:t>
      </w:r>
      <w:r w:rsidRPr="00AC6EC4">
        <w:rPr>
          <w:rFonts w:asciiTheme="majorHAnsi" w:hAnsiTheme="majorHAnsi" w:cstheme="majorHAnsi"/>
        </w:rPr>
        <w:t xml:space="preserve"> percentage points.</w:t>
      </w:r>
    </w:p>
    <w:p w:rsidR="001C6915" w:rsidRPr="00AC6EC4" w:rsidRDefault="001C6915" w:rsidP="001C6915">
      <w:pPr>
        <w:spacing w:after="240"/>
        <w:ind w:firstLine="0"/>
        <w:rPr>
          <w:rFonts w:asciiTheme="majorHAnsi" w:hAnsiTheme="majorHAnsi" w:cstheme="majorHAnsi"/>
        </w:rPr>
      </w:pPr>
      <w:r w:rsidRPr="00AC6EC4">
        <w:rPr>
          <w:rFonts w:asciiTheme="majorHAnsi" w:hAnsiTheme="majorHAnsi" w:cstheme="majorHAnsi"/>
        </w:rPr>
        <w:t>At the same time another shock scenario was analysed, which assumed the substantial 500 basis points increase of the interest rates for the external borrowings and 1000 basis points increase for the domestic borrowings, which has a quite low probability of materializing. Such an interest rate shock will increase the RA Government debt / GDP ratio up to 61.1% or by 4.3 percentage points against the baseline scenario at the end of 2024. From the perspective of the RA Government debt service, this substantial shock can increase the Interest payment / GDP ratio indicator by 2.0 percentage points at the end of 202</w:t>
      </w:r>
      <w:r w:rsidR="00763D22" w:rsidRPr="00AC6EC4">
        <w:rPr>
          <w:rFonts w:asciiTheme="majorHAnsi" w:hAnsiTheme="majorHAnsi" w:cstheme="majorHAnsi"/>
        </w:rPr>
        <w:t>4</w:t>
      </w:r>
      <w:r w:rsidRPr="00AC6EC4">
        <w:rPr>
          <w:rFonts w:asciiTheme="majorHAnsi" w:hAnsiTheme="majorHAnsi" w:cstheme="majorHAnsi"/>
        </w:rPr>
        <w:t>.</w:t>
      </w:r>
    </w:p>
    <w:p w:rsidR="00AB6CB1" w:rsidRPr="00AC6EC4" w:rsidRDefault="00A02C55" w:rsidP="007E37AA">
      <w:pPr>
        <w:pStyle w:val="af6"/>
        <w:rPr>
          <w:rFonts w:asciiTheme="majorHAnsi" w:hAnsiTheme="majorHAnsi" w:cstheme="majorHAnsi"/>
        </w:rPr>
      </w:pPr>
      <w:r w:rsidRPr="00AC6EC4">
        <w:rPr>
          <w:rFonts w:asciiTheme="majorHAnsi" w:hAnsiTheme="majorHAnsi" w:cstheme="majorHAnsi"/>
        </w:rPr>
        <w:t>Exchange rate and interest rate combined shock</w:t>
      </w:r>
    </w:p>
    <w:p w:rsidR="00763D22" w:rsidRPr="00AC6EC4" w:rsidRDefault="00763D22" w:rsidP="00763D22">
      <w:pPr>
        <w:spacing w:after="240"/>
        <w:ind w:firstLine="0"/>
        <w:rPr>
          <w:rFonts w:asciiTheme="majorHAnsi" w:hAnsiTheme="majorHAnsi" w:cstheme="majorHAnsi"/>
        </w:rPr>
      </w:pPr>
      <w:r w:rsidRPr="00AC6EC4">
        <w:rPr>
          <w:rFonts w:asciiTheme="majorHAnsi" w:hAnsiTheme="majorHAnsi" w:cstheme="majorHAnsi"/>
        </w:rPr>
        <w:t>Applying combined 15% exchange rate shock (devaluating the AMD against the USD, EUR and SDR in 2022) and interest rate shock described in the first scenario, RA Government debt / GDP ratio reaches 64.7% at the end of 202</w:t>
      </w:r>
      <w:r w:rsidRPr="00AC6EC4">
        <w:rPr>
          <w:rFonts w:asciiTheme="majorHAnsi" w:hAnsiTheme="majorHAnsi" w:cstheme="majorHAnsi"/>
          <w:lang w:val="en-US"/>
        </w:rPr>
        <w:t>4</w:t>
      </w:r>
      <w:r w:rsidRPr="00AC6EC4">
        <w:rPr>
          <w:rFonts w:asciiTheme="majorHAnsi" w:hAnsiTheme="majorHAnsi" w:cstheme="majorHAnsi"/>
        </w:rPr>
        <w:t>, which is more by 7.</w:t>
      </w:r>
      <w:r w:rsidRPr="00AC6EC4">
        <w:rPr>
          <w:rFonts w:asciiTheme="majorHAnsi" w:hAnsiTheme="majorHAnsi" w:cstheme="majorHAnsi"/>
          <w:lang w:val="en-US"/>
        </w:rPr>
        <w:t>9</w:t>
      </w:r>
      <w:r w:rsidRPr="00AC6EC4">
        <w:rPr>
          <w:rFonts w:asciiTheme="majorHAnsi" w:hAnsiTheme="majorHAnsi" w:cstheme="majorHAnsi"/>
        </w:rPr>
        <w:t xml:space="preserve"> percentage points against the same indicator of the baseline scenario. In this case, the Interest payment / GDP ratio can increase by 1.2 percentage points.</w:t>
      </w:r>
    </w:p>
    <w:p w:rsidR="00763D22" w:rsidRPr="00AC6EC4" w:rsidRDefault="00763D22" w:rsidP="00763D22">
      <w:pPr>
        <w:spacing w:after="240"/>
        <w:ind w:firstLine="0"/>
        <w:rPr>
          <w:rFonts w:asciiTheme="majorHAnsi" w:hAnsiTheme="majorHAnsi" w:cstheme="majorHAnsi"/>
        </w:rPr>
      </w:pPr>
      <w:r w:rsidRPr="00AC6EC4">
        <w:rPr>
          <w:rFonts w:asciiTheme="majorHAnsi" w:hAnsiTheme="majorHAnsi" w:cstheme="majorHAnsi"/>
        </w:rPr>
        <w:t>The impacts of a one percentage point increase of the floating interest rate debt and a one percentage point increase of the domestic interest rates are presented below.</w:t>
      </w:r>
    </w:p>
    <w:p w:rsidR="00763D22" w:rsidRPr="00AC6EC4" w:rsidRDefault="00763D22" w:rsidP="00763D22">
      <w:pPr>
        <w:spacing w:after="240"/>
        <w:ind w:firstLine="0"/>
        <w:rPr>
          <w:rFonts w:asciiTheme="majorHAnsi" w:hAnsiTheme="majorHAnsi" w:cstheme="majorHAnsi"/>
        </w:rPr>
      </w:pPr>
      <w:r w:rsidRPr="00AC6EC4">
        <w:rPr>
          <w:rFonts w:asciiTheme="majorHAnsi" w:hAnsiTheme="majorHAnsi" w:cstheme="majorHAnsi"/>
        </w:rPr>
        <w:t xml:space="preserve">In case of a one percentage point change of the floating interest rates – 6-month USD Libor and 6-month Euribor, the interest costs of the RA Government external debt will be annually changed by AMD </w:t>
      </w:r>
      <w:r w:rsidR="00E56C1B" w:rsidRPr="00AC6EC4">
        <w:rPr>
          <w:rFonts w:asciiTheme="majorHAnsi" w:hAnsiTheme="majorHAnsi" w:cstheme="majorHAnsi"/>
        </w:rPr>
        <w:t xml:space="preserve">6.4 </w:t>
      </w:r>
      <w:r w:rsidRPr="00AC6EC4">
        <w:rPr>
          <w:rFonts w:asciiTheme="majorHAnsi" w:hAnsiTheme="majorHAnsi" w:cstheme="majorHAnsi"/>
        </w:rPr>
        <w:lastRenderedPageBreak/>
        <w:t xml:space="preserve">billion in average during </w:t>
      </w:r>
      <w:r w:rsidR="00E56C1B" w:rsidRPr="00AC6EC4">
        <w:rPr>
          <w:rFonts w:asciiTheme="majorHAnsi" w:hAnsiTheme="majorHAnsi" w:cstheme="majorHAnsi"/>
        </w:rPr>
        <w:t>2022-2024</w:t>
      </w:r>
      <w:r w:rsidRPr="00AC6EC4">
        <w:rPr>
          <w:rFonts w:asciiTheme="majorHAnsi" w:hAnsiTheme="majorHAnsi" w:cstheme="majorHAnsi"/>
        </w:rPr>
        <w:t>. In particular, the impact of each floating interest rate on the RA Government external debt interest payments during the forecasted period would be as follows:</w:t>
      </w:r>
    </w:p>
    <w:p w:rsidR="00025E2D" w:rsidRPr="00AC6EC4" w:rsidRDefault="001F16C7"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 xml:space="preserve">The impact of a one percentage point change of the floating interest rates on the interest payments of the RA Government external debt </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7"/>
        <w:gridCol w:w="1421"/>
        <w:gridCol w:w="1358"/>
        <w:gridCol w:w="1212"/>
      </w:tblGrid>
      <w:tr w:rsidR="007152BC" w:rsidRPr="00AC6EC4" w:rsidTr="007E010D">
        <w:trPr>
          <w:trHeight w:val="294"/>
          <w:tblHeader/>
          <w:jc w:val="center"/>
        </w:trPr>
        <w:tc>
          <w:tcPr>
            <w:tcW w:w="5227" w:type="dxa"/>
            <w:tcBorders>
              <w:top w:val="thinThickSmallGap" w:sz="24" w:space="0" w:color="auto"/>
              <w:left w:val="nil"/>
              <w:bottom w:val="thinThickSmallGap" w:sz="24" w:space="0" w:color="auto"/>
              <w:right w:val="nil"/>
            </w:tcBorders>
            <w:shd w:val="clear" w:color="auto" w:fill="5B9BD5"/>
            <w:noWrap/>
            <w:vAlign w:val="center"/>
          </w:tcPr>
          <w:p w:rsidR="00025E2D" w:rsidRPr="00AC6EC4" w:rsidRDefault="00025E2D" w:rsidP="00062901">
            <w:pPr>
              <w:spacing w:line="240" w:lineRule="auto"/>
              <w:ind w:firstLine="0"/>
              <w:jc w:val="center"/>
              <w:rPr>
                <w:rFonts w:asciiTheme="majorHAnsi" w:hAnsiTheme="majorHAnsi" w:cstheme="majorHAnsi"/>
              </w:rPr>
            </w:pPr>
          </w:p>
        </w:tc>
        <w:tc>
          <w:tcPr>
            <w:tcW w:w="1421" w:type="dxa"/>
            <w:tcBorders>
              <w:top w:val="thinThickSmallGap" w:sz="24" w:space="0" w:color="auto"/>
              <w:left w:val="nil"/>
              <w:bottom w:val="thinThickSmallGap" w:sz="24" w:space="0" w:color="auto"/>
              <w:right w:val="nil"/>
            </w:tcBorders>
            <w:shd w:val="clear" w:color="auto" w:fill="5B9BD5"/>
            <w:noWrap/>
            <w:vAlign w:val="center"/>
          </w:tcPr>
          <w:p w:rsidR="00025E2D" w:rsidRPr="00AC6EC4" w:rsidRDefault="00025E2D" w:rsidP="00062901">
            <w:pPr>
              <w:spacing w:line="240" w:lineRule="auto"/>
              <w:ind w:firstLine="0"/>
              <w:jc w:val="center"/>
              <w:rPr>
                <w:rFonts w:asciiTheme="majorHAnsi" w:hAnsiTheme="majorHAnsi" w:cstheme="majorHAnsi"/>
              </w:rPr>
            </w:pPr>
            <w:r w:rsidRPr="00AC6EC4">
              <w:rPr>
                <w:rFonts w:asciiTheme="majorHAnsi" w:hAnsiTheme="majorHAnsi" w:cstheme="majorHAnsi"/>
              </w:rPr>
              <w:t>20</w:t>
            </w:r>
            <w:r w:rsidR="000F7F12" w:rsidRPr="00AC6EC4">
              <w:rPr>
                <w:rFonts w:asciiTheme="majorHAnsi" w:hAnsiTheme="majorHAnsi" w:cstheme="majorHAnsi"/>
              </w:rPr>
              <w:t>2</w:t>
            </w:r>
            <w:r w:rsidR="00700112" w:rsidRPr="00AC6EC4">
              <w:rPr>
                <w:rFonts w:asciiTheme="majorHAnsi" w:hAnsiTheme="majorHAnsi" w:cstheme="majorHAnsi"/>
              </w:rPr>
              <w:t>2</w:t>
            </w:r>
          </w:p>
        </w:tc>
        <w:tc>
          <w:tcPr>
            <w:tcW w:w="1358" w:type="dxa"/>
            <w:tcBorders>
              <w:top w:val="thinThickSmallGap" w:sz="24" w:space="0" w:color="auto"/>
              <w:left w:val="nil"/>
              <w:bottom w:val="thinThickSmallGap" w:sz="24" w:space="0" w:color="auto"/>
              <w:right w:val="nil"/>
            </w:tcBorders>
            <w:shd w:val="clear" w:color="auto" w:fill="5B9BD5"/>
            <w:noWrap/>
            <w:vAlign w:val="center"/>
          </w:tcPr>
          <w:p w:rsidR="00025E2D" w:rsidRPr="00AC6EC4" w:rsidRDefault="00025E2D" w:rsidP="00062901">
            <w:pPr>
              <w:spacing w:line="240" w:lineRule="auto"/>
              <w:ind w:firstLine="0"/>
              <w:jc w:val="center"/>
              <w:rPr>
                <w:rFonts w:asciiTheme="majorHAnsi" w:hAnsiTheme="majorHAnsi" w:cstheme="majorHAnsi"/>
              </w:rPr>
            </w:pPr>
            <w:r w:rsidRPr="00AC6EC4">
              <w:rPr>
                <w:rFonts w:asciiTheme="majorHAnsi" w:hAnsiTheme="majorHAnsi" w:cstheme="majorHAnsi"/>
              </w:rPr>
              <w:t>202</w:t>
            </w:r>
            <w:r w:rsidR="00700112" w:rsidRPr="00AC6EC4">
              <w:rPr>
                <w:rFonts w:asciiTheme="majorHAnsi" w:hAnsiTheme="majorHAnsi" w:cstheme="majorHAnsi"/>
              </w:rPr>
              <w:t>3</w:t>
            </w:r>
          </w:p>
        </w:tc>
        <w:tc>
          <w:tcPr>
            <w:tcW w:w="1212" w:type="dxa"/>
            <w:tcBorders>
              <w:top w:val="thinThickSmallGap" w:sz="24" w:space="0" w:color="auto"/>
              <w:left w:val="nil"/>
              <w:bottom w:val="thinThickSmallGap" w:sz="24" w:space="0" w:color="auto"/>
              <w:right w:val="nil"/>
            </w:tcBorders>
            <w:shd w:val="clear" w:color="auto" w:fill="5B9BD5"/>
            <w:noWrap/>
            <w:vAlign w:val="center"/>
          </w:tcPr>
          <w:p w:rsidR="00025E2D" w:rsidRPr="00AC6EC4" w:rsidRDefault="00025E2D" w:rsidP="00062901">
            <w:pPr>
              <w:spacing w:line="240" w:lineRule="auto"/>
              <w:ind w:firstLine="0"/>
              <w:jc w:val="center"/>
              <w:rPr>
                <w:rFonts w:asciiTheme="majorHAnsi" w:hAnsiTheme="majorHAnsi" w:cstheme="majorHAnsi"/>
              </w:rPr>
            </w:pPr>
            <w:r w:rsidRPr="00AC6EC4">
              <w:rPr>
                <w:rFonts w:asciiTheme="majorHAnsi" w:hAnsiTheme="majorHAnsi" w:cstheme="majorHAnsi"/>
              </w:rPr>
              <w:t>202</w:t>
            </w:r>
            <w:r w:rsidR="00700112" w:rsidRPr="00AC6EC4">
              <w:rPr>
                <w:rFonts w:asciiTheme="majorHAnsi" w:hAnsiTheme="majorHAnsi" w:cstheme="majorHAnsi"/>
              </w:rPr>
              <w:t>4</w:t>
            </w:r>
          </w:p>
        </w:tc>
      </w:tr>
      <w:tr w:rsidR="001F16C7" w:rsidRPr="00AC6EC4" w:rsidTr="007E37AA">
        <w:trPr>
          <w:trHeight w:val="653"/>
          <w:jc w:val="center"/>
        </w:trPr>
        <w:tc>
          <w:tcPr>
            <w:tcW w:w="5227"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37"/>
              <w:rPr>
                <w:rFonts w:asciiTheme="majorHAnsi" w:hAnsiTheme="majorHAnsi" w:cstheme="majorHAnsi"/>
              </w:rPr>
            </w:pPr>
            <w:r w:rsidRPr="00AC6EC4">
              <w:rPr>
                <w:rFonts w:asciiTheme="majorHAnsi" w:hAnsiTheme="majorHAnsi" w:cstheme="majorHAnsi"/>
              </w:rPr>
              <w:t>Change in the Interest Payment for the RA Government External Debt (billion AMD)</w:t>
            </w:r>
          </w:p>
        </w:tc>
        <w:tc>
          <w:tcPr>
            <w:tcW w:w="1421"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6.2</w:t>
            </w:r>
          </w:p>
        </w:tc>
        <w:tc>
          <w:tcPr>
            <w:tcW w:w="1358"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6.4</w:t>
            </w:r>
          </w:p>
        </w:tc>
        <w:tc>
          <w:tcPr>
            <w:tcW w:w="1212"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6.6</w:t>
            </w:r>
          </w:p>
        </w:tc>
      </w:tr>
      <w:tr w:rsidR="001F16C7" w:rsidRPr="00AC6EC4" w:rsidTr="007E37AA">
        <w:trPr>
          <w:trHeight w:val="294"/>
          <w:jc w:val="center"/>
        </w:trPr>
        <w:tc>
          <w:tcPr>
            <w:tcW w:w="5227"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37"/>
              <w:jc w:val="center"/>
              <w:rPr>
                <w:rFonts w:asciiTheme="majorHAnsi" w:hAnsiTheme="majorHAnsi" w:cstheme="majorHAnsi"/>
              </w:rPr>
            </w:pPr>
            <w:r w:rsidRPr="00AC6EC4">
              <w:rPr>
                <w:rFonts w:asciiTheme="majorHAnsi" w:hAnsiTheme="majorHAnsi" w:cstheme="majorHAnsi"/>
              </w:rPr>
              <w:t>including:</w:t>
            </w:r>
          </w:p>
        </w:tc>
        <w:tc>
          <w:tcPr>
            <w:tcW w:w="1421"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p>
        </w:tc>
        <w:tc>
          <w:tcPr>
            <w:tcW w:w="1358"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p>
        </w:tc>
        <w:tc>
          <w:tcPr>
            <w:tcW w:w="1212" w:type="dxa"/>
            <w:tcBorders>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p>
        </w:tc>
      </w:tr>
      <w:tr w:rsidR="001F16C7" w:rsidRPr="00AC6EC4" w:rsidTr="007E37AA">
        <w:trPr>
          <w:trHeight w:val="294"/>
          <w:jc w:val="center"/>
        </w:trPr>
        <w:tc>
          <w:tcPr>
            <w:tcW w:w="5227" w:type="dxa"/>
            <w:tcBorders>
              <w:left w:val="nil"/>
              <w:right w:val="nil"/>
            </w:tcBorders>
            <w:shd w:val="clear" w:color="auto" w:fill="auto"/>
            <w:noWrap/>
            <w:vAlign w:val="center"/>
          </w:tcPr>
          <w:p w:rsidR="001F16C7" w:rsidRPr="00AC6EC4" w:rsidRDefault="001F16C7" w:rsidP="00062901">
            <w:pPr>
              <w:spacing w:line="240" w:lineRule="auto"/>
              <w:ind w:left="524" w:firstLine="37"/>
              <w:rPr>
                <w:rFonts w:asciiTheme="majorHAnsi" w:hAnsiTheme="majorHAnsi" w:cstheme="majorHAnsi"/>
              </w:rPr>
            </w:pPr>
            <w:r w:rsidRPr="00AC6EC4">
              <w:rPr>
                <w:rFonts w:asciiTheme="majorHAnsi" w:hAnsiTheme="majorHAnsi" w:cstheme="majorHAnsi"/>
              </w:rPr>
              <w:t>6-month USD Libor (billion AMD)</w:t>
            </w:r>
          </w:p>
        </w:tc>
        <w:tc>
          <w:tcPr>
            <w:tcW w:w="1421" w:type="dxa"/>
            <w:tcBorders>
              <w:left w:val="nil"/>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5.4</w:t>
            </w:r>
          </w:p>
        </w:tc>
        <w:tc>
          <w:tcPr>
            <w:tcW w:w="1358" w:type="dxa"/>
            <w:tcBorders>
              <w:left w:val="nil"/>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5.4</w:t>
            </w:r>
          </w:p>
        </w:tc>
        <w:tc>
          <w:tcPr>
            <w:tcW w:w="1212" w:type="dxa"/>
            <w:tcBorders>
              <w:left w:val="nil"/>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5.5</w:t>
            </w:r>
          </w:p>
        </w:tc>
      </w:tr>
      <w:tr w:rsidR="001F16C7" w:rsidRPr="00AC6EC4" w:rsidTr="007E37AA">
        <w:trPr>
          <w:trHeight w:val="294"/>
          <w:jc w:val="center"/>
        </w:trPr>
        <w:tc>
          <w:tcPr>
            <w:tcW w:w="5227"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left="524" w:firstLine="37"/>
              <w:rPr>
                <w:rFonts w:asciiTheme="majorHAnsi" w:hAnsiTheme="majorHAnsi" w:cstheme="majorHAnsi"/>
              </w:rPr>
            </w:pPr>
            <w:r w:rsidRPr="00AC6EC4">
              <w:rPr>
                <w:rFonts w:asciiTheme="majorHAnsi" w:hAnsiTheme="majorHAnsi" w:cstheme="majorHAnsi"/>
              </w:rPr>
              <w:t>6-month Euribor (billion AMD)</w:t>
            </w:r>
          </w:p>
        </w:tc>
        <w:tc>
          <w:tcPr>
            <w:tcW w:w="1421"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0.9</w:t>
            </w:r>
          </w:p>
        </w:tc>
        <w:tc>
          <w:tcPr>
            <w:tcW w:w="1358"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1.0</w:t>
            </w:r>
          </w:p>
        </w:tc>
        <w:tc>
          <w:tcPr>
            <w:tcW w:w="1212"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1.2</w:t>
            </w:r>
          </w:p>
        </w:tc>
      </w:tr>
      <w:tr w:rsidR="001F16C7" w:rsidRPr="00AC6EC4" w:rsidTr="007E37AA">
        <w:trPr>
          <w:trHeight w:val="612"/>
          <w:jc w:val="center"/>
        </w:trPr>
        <w:tc>
          <w:tcPr>
            <w:tcW w:w="5227"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37"/>
              <w:rPr>
                <w:rFonts w:asciiTheme="majorHAnsi" w:hAnsiTheme="majorHAnsi" w:cstheme="majorHAnsi"/>
              </w:rPr>
            </w:pPr>
            <w:r w:rsidRPr="00AC6EC4">
              <w:rPr>
                <w:rFonts w:asciiTheme="majorHAnsi" w:hAnsiTheme="majorHAnsi" w:cstheme="majorHAnsi"/>
              </w:rPr>
              <w:t>Change in the Interest Payment for the RA Government External Debt (%)</w:t>
            </w:r>
          </w:p>
        </w:tc>
        <w:tc>
          <w:tcPr>
            <w:tcW w:w="1421"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13.8</w:t>
            </w:r>
          </w:p>
        </w:tc>
        <w:tc>
          <w:tcPr>
            <w:tcW w:w="1358"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12.8</w:t>
            </w:r>
          </w:p>
        </w:tc>
        <w:tc>
          <w:tcPr>
            <w:tcW w:w="1212" w:type="dxa"/>
            <w:tcBorders>
              <w:top w:val="single" w:sz="4" w:space="0" w:color="auto"/>
              <w:left w:val="nil"/>
              <w:bottom w:val="single" w:sz="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13.6</w:t>
            </w:r>
          </w:p>
        </w:tc>
      </w:tr>
      <w:tr w:rsidR="001F16C7" w:rsidRPr="00AC6EC4" w:rsidTr="007E37AA">
        <w:trPr>
          <w:trHeight w:val="1028"/>
          <w:jc w:val="center"/>
        </w:trPr>
        <w:tc>
          <w:tcPr>
            <w:tcW w:w="5227" w:type="dxa"/>
            <w:tcBorders>
              <w:top w:val="single" w:sz="4" w:space="0" w:color="auto"/>
              <w:left w:val="nil"/>
              <w:bottom w:val="thinThickSmallGap" w:sz="24" w:space="0" w:color="auto"/>
              <w:right w:val="nil"/>
            </w:tcBorders>
            <w:shd w:val="clear" w:color="auto" w:fill="auto"/>
            <w:noWrap/>
            <w:vAlign w:val="center"/>
          </w:tcPr>
          <w:p w:rsidR="001F16C7" w:rsidRPr="00AC6EC4" w:rsidRDefault="001F16C7" w:rsidP="00062901">
            <w:pPr>
              <w:spacing w:line="240" w:lineRule="auto"/>
              <w:ind w:firstLine="37"/>
              <w:rPr>
                <w:rFonts w:asciiTheme="majorHAnsi" w:hAnsiTheme="majorHAnsi" w:cstheme="majorHAnsi"/>
              </w:rPr>
            </w:pPr>
            <w:r w:rsidRPr="00AC6EC4">
              <w:rPr>
                <w:rFonts w:asciiTheme="majorHAnsi" w:hAnsiTheme="majorHAnsi" w:cstheme="majorHAnsi"/>
              </w:rPr>
              <w:t>The Share of the Change in the Interest Payment for the RA Government External Debt in the Own Revenues of the State Budget (without grants) (%)</w:t>
            </w:r>
          </w:p>
        </w:tc>
        <w:tc>
          <w:tcPr>
            <w:tcW w:w="1421" w:type="dxa"/>
            <w:tcBorders>
              <w:top w:val="single" w:sz="4" w:space="0" w:color="auto"/>
              <w:left w:val="nil"/>
              <w:bottom w:val="thinThickSmallGap" w:sz="2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0.3</w:t>
            </w:r>
          </w:p>
        </w:tc>
        <w:tc>
          <w:tcPr>
            <w:tcW w:w="1358" w:type="dxa"/>
            <w:tcBorders>
              <w:top w:val="single" w:sz="4" w:space="0" w:color="auto"/>
              <w:left w:val="nil"/>
              <w:bottom w:val="thinThickSmallGap" w:sz="2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0.3</w:t>
            </w:r>
          </w:p>
        </w:tc>
        <w:tc>
          <w:tcPr>
            <w:tcW w:w="1212" w:type="dxa"/>
            <w:tcBorders>
              <w:top w:val="single" w:sz="4" w:space="0" w:color="auto"/>
              <w:left w:val="nil"/>
              <w:bottom w:val="thinThickSmallGap" w:sz="24" w:space="0" w:color="auto"/>
              <w:right w:val="nil"/>
            </w:tcBorders>
            <w:shd w:val="clear" w:color="auto" w:fill="auto"/>
            <w:noWrap/>
            <w:vAlign w:val="center"/>
          </w:tcPr>
          <w:p w:rsidR="001F16C7" w:rsidRPr="00AC6EC4" w:rsidRDefault="001F16C7" w:rsidP="00062901">
            <w:pPr>
              <w:spacing w:line="240" w:lineRule="auto"/>
              <w:ind w:firstLine="0"/>
              <w:jc w:val="center"/>
              <w:rPr>
                <w:rFonts w:asciiTheme="majorHAnsi" w:hAnsiTheme="majorHAnsi" w:cstheme="majorHAnsi"/>
              </w:rPr>
            </w:pPr>
            <w:r w:rsidRPr="00AC6EC4">
              <w:rPr>
                <w:rFonts w:asciiTheme="majorHAnsi" w:hAnsiTheme="majorHAnsi" w:cstheme="majorHAnsi"/>
              </w:rPr>
              <w:t>0.3</w:t>
            </w:r>
          </w:p>
        </w:tc>
      </w:tr>
    </w:tbl>
    <w:p w:rsidR="00025E2D" w:rsidRPr="00AC6EC4" w:rsidRDefault="00025E2D" w:rsidP="00A1274B">
      <w:pPr>
        <w:rPr>
          <w:rFonts w:asciiTheme="majorHAnsi" w:hAnsiTheme="majorHAnsi" w:cstheme="majorHAnsi"/>
        </w:rPr>
      </w:pPr>
    </w:p>
    <w:p w:rsidR="00E56C1B" w:rsidRPr="00AC6EC4" w:rsidRDefault="00E56C1B" w:rsidP="00E56C1B">
      <w:pPr>
        <w:ind w:firstLine="0"/>
        <w:rPr>
          <w:rFonts w:asciiTheme="majorHAnsi" w:hAnsiTheme="majorHAnsi" w:cstheme="majorHAnsi"/>
        </w:rPr>
      </w:pPr>
      <w:r w:rsidRPr="00AC6EC4">
        <w:rPr>
          <w:rFonts w:asciiTheme="majorHAnsi" w:hAnsiTheme="majorHAnsi" w:cstheme="majorHAnsi"/>
        </w:rPr>
        <w:t>In the domestic debt market, at the beginning of the medium-term period, a one percentage point an upward shift of the yield curve would increase the domestic debt interest payments annually by AMD 5.6 billion during 2022-2024.</w:t>
      </w:r>
    </w:p>
    <w:p w:rsidR="00D9637A" w:rsidRPr="00AC6EC4" w:rsidRDefault="00D9637A" w:rsidP="00A1274B">
      <w:pPr>
        <w:rPr>
          <w:rFonts w:asciiTheme="majorHAnsi" w:hAnsiTheme="majorHAnsi" w:cstheme="majorHAnsi"/>
        </w:rPr>
      </w:pPr>
    </w:p>
    <w:p w:rsidR="00025E2D" w:rsidRPr="00AC6EC4" w:rsidRDefault="005217D9"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 xml:space="preserve">The impact of a one percentage point change in the RA Government domestic debt interest rate at the beginning of the medium-term period on the interest payments for the RA Government domestic debt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7"/>
        <w:gridCol w:w="1170"/>
        <w:gridCol w:w="1040"/>
        <w:gridCol w:w="1107"/>
      </w:tblGrid>
      <w:tr w:rsidR="0068372D" w:rsidRPr="00AC6EC4" w:rsidTr="007E010D">
        <w:trPr>
          <w:trHeight w:val="612"/>
          <w:tblHeader/>
          <w:jc w:val="center"/>
        </w:trPr>
        <w:tc>
          <w:tcPr>
            <w:tcW w:w="5627" w:type="dxa"/>
            <w:tcBorders>
              <w:top w:val="thinThickThinSmallGap" w:sz="24" w:space="0" w:color="auto"/>
              <w:left w:val="nil"/>
              <w:bottom w:val="thinThickSmallGap" w:sz="24" w:space="0" w:color="auto"/>
              <w:right w:val="nil"/>
            </w:tcBorders>
            <w:shd w:val="clear" w:color="auto" w:fill="5B9BD5"/>
            <w:vAlign w:val="center"/>
          </w:tcPr>
          <w:p w:rsidR="00025E2D" w:rsidRPr="00AC6EC4" w:rsidRDefault="00025E2D" w:rsidP="00062901">
            <w:pPr>
              <w:spacing w:line="240" w:lineRule="auto"/>
              <w:ind w:firstLine="131"/>
              <w:jc w:val="center"/>
              <w:rPr>
                <w:rFonts w:asciiTheme="majorHAnsi" w:hAnsiTheme="majorHAnsi" w:cstheme="majorHAnsi"/>
              </w:rPr>
            </w:pPr>
          </w:p>
        </w:tc>
        <w:tc>
          <w:tcPr>
            <w:tcW w:w="1170" w:type="dxa"/>
            <w:tcBorders>
              <w:top w:val="thinThickThinSmallGap" w:sz="24" w:space="0" w:color="auto"/>
              <w:left w:val="double" w:sz="4" w:space="0" w:color="auto"/>
              <w:bottom w:val="thinThickSmallGap" w:sz="24" w:space="0" w:color="auto"/>
              <w:right w:val="nil"/>
            </w:tcBorders>
            <w:shd w:val="clear" w:color="auto" w:fill="5B9BD5"/>
            <w:vAlign w:val="center"/>
          </w:tcPr>
          <w:p w:rsidR="00025E2D" w:rsidRPr="00AC6EC4" w:rsidRDefault="00025E2D" w:rsidP="00062901">
            <w:pPr>
              <w:spacing w:line="240" w:lineRule="auto"/>
              <w:ind w:firstLine="131"/>
              <w:jc w:val="center"/>
              <w:rPr>
                <w:rFonts w:asciiTheme="majorHAnsi" w:hAnsiTheme="majorHAnsi" w:cstheme="majorHAnsi"/>
              </w:rPr>
            </w:pPr>
            <w:r w:rsidRPr="00AC6EC4">
              <w:rPr>
                <w:rFonts w:asciiTheme="majorHAnsi" w:hAnsiTheme="majorHAnsi" w:cstheme="majorHAnsi"/>
              </w:rPr>
              <w:t>20</w:t>
            </w:r>
            <w:r w:rsidR="0068372D" w:rsidRPr="00AC6EC4">
              <w:rPr>
                <w:rFonts w:asciiTheme="majorHAnsi" w:hAnsiTheme="majorHAnsi" w:cstheme="majorHAnsi"/>
              </w:rPr>
              <w:t>2</w:t>
            </w:r>
            <w:r w:rsidR="00700112" w:rsidRPr="00AC6EC4">
              <w:rPr>
                <w:rFonts w:asciiTheme="majorHAnsi" w:hAnsiTheme="majorHAnsi" w:cstheme="majorHAnsi"/>
              </w:rPr>
              <w:t>2</w:t>
            </w:r>
            <w:r w:rsidRPr="00AC6EC4">
              <w:rPr>
                <w:rFonts w:asciiTheme="majorHAnsi" w:hAnsiTheme="majorHAnsi" w:cstheme="majorHAnsi"/>
              </w:rPr>
              <w:t xml:space="preserve"> </w:t>
            </w:r>
            <w:r w:rsidR="000C7ED8" w:rsidRPr="00AC6EC4">
              <w:rPr>
                <w:rFonts w:asciiTheme="majorHAnsi" w:hAnsiTheme="majorHAnsi" w:cstheme="majorHAnsi"/>
                <w:lang w:val="en-US"/>
              </w:rPr>
              <w:t>forecast</w:t>
            </w:r>
          </w:p>
        </w:tc>
        <w:tc>
          <w:tcPr>
            <w:tcW w:w="1040" w:type="dxa"/>
            <w:tcBorders>
              <w:top w:val="thinThickThinSmallGap" w:sz="24" w:space="0" w:color="auto"/>
              <w:left w:val="nil"/>
              <w:bottom w:val="thinThickSmallGap" w:sz="24" w:space="0" w:color="auto"/>
              <w:right w:val="nil"/>
            </w:tcBorders>
            <w:shd w:val="clear" w:color="auto" w:fill="5B9BD5"/>
            <w:vAlign w:val="center"/>
          </w:tcPr>
          <w:p w:rsidR="00025E2D" w:rsidRPr="00AC6EC4" w:rsidRDefault="00025E2D" w:rsidP="00062901">
            <w:pPr>
              <w:spacing w:line="240" w:lineRule="auto"/>
              <w:ind w:firstLine="131"/>
              <w:jc w:val="center"/>
              <w:rPr>
                <w:rFonts w:asciiTheme="majorHAnsi" w:hAnsiTheme="majorHAnsi" w:cstheme="majorHAnsi"/>
              </w:rPr>
            </w:pPr>
            <w:r w:rsidRPr="00AC6EC4">
              <w:rPr>
                <w:rFonts w:asciiTheme="majorHAnsi" w:hAnsiTheme="majorHAnsi" w:cstheme="majorHAnsi"/>
              </w:rPr>
              <w:t>202</w:t>
            </w:r>
            <w:r w:rsidR="00700112" w:rsidRPr="00AC6EC4">
              <w:rPr>
                <w:rFonts w:asciiTheme="majorHAnsi" w:hAnsiTheme="majorHAnsi" w:cstheme="majorHAnsi"/>
              </w:rPr>
              <w:t>3</w:t>
            </w:r>
            <w:r w:rsidRPr="00AC6EC4">
              <w:rPr>
                <w:rFonts w:asciiTheme="majorHAnsi" w:hAnsiTheme="majorHAnsi" w:cstheme="majorHAnsi"/>
              </w:rPr>
              <w:t xml:space="preserve"> </w:t>
            </w:r>
            <w:r w:rsidR="000C7ED8" w:rsidRPr="00AC6EC4">
              <w:rPr>
                <w:rFonts w:asciiTheme="majorHAnsi" w:hAnsiTheme="majorHAnsi" w:cstheme="majorHAnsi"/>
                <w:lang w:val="en-US"/>
              </w:rPr>
              <w:t>forecast</w:t>
            </w:r>
          </w:p>
        </w:tc>
        <w:tc>
          <w:tcPr>
            <w:tcW w:w="1107" w:type="dxa"/>
            <w:tcBorders>
              <w:top w:val="thinThickThinSmallGap" w:sz="24" w:space="0" w:color="auto"/>
              <w:left w:val="nil"/>
              <w:bottom w:val="thinThickSmallGap" w:sz="24" w:space="0" w:color="auto"/>
              <w:right w:val="nil"/>
            </w:tcBorders>
            <w:shd w:val="clear" w:color="auto" w:fill="5B9BD5"/>
            <w:vAlign w:val="center"/>
          </w:tcPr>
          <w:p w:rsidR="00025E2D" w:rsidRPr="00AC6EC4" w:rsidRDefault="00025E2D" w:rsidP="00062901">
            <w:pPr>
              <w:spacing w:line="240" w:lineRule="auto"/>
              <w:ind w:firstLine="131"/>
              <w:jc w:val="center"/>
              <w:rPr>
                <w:rFonts w:asciiTheme="majorHAnsi" w:hAnsiTheme="majorHAnsi" w:cstheme="majorHAnsi"/>
              </w:rPr>
            </w:pPr>
            <w:r w:rsidRPr="00AC6EC4">
              <w:rPr>
                <w:rFonts w:asciiTheme="majorHAnsi" w:hAnsiTheme="majorHAnsi" w:cstheme="majorHAnsi"/>
              </w:rPr>
              <w:t>202</w:t>
            </w:r>
            <w:r w:rsidR="00700112" w:rsidRPr="00AC6EC4">
              <w:rPr>
                <w:rFonts w:asciiTheme="majorHAnsi" w:hAnsiTheme="majorHAnsi" w:cstheme="majorHAnsi"/>
              </w:rPr>
              <w:t>4</w:t>
            </w:r>
            <w:r w:rsidRPr="00AC6EC4">
              <w:rPr>
                <w:rFonts w:asciiTheme="majorHAnsi" w:hAnsiTheme="majorHAnsi" w:cstheme="majorHAnsi"/>
              </w:rPr>
              <w:t xml:space="preserve"> </w:t>
            </w:r>
            <w:r w:rsidR="000C7ED8" w:rsidRPr="00AC6EC4">
              <w:rPr>
                <w:rFonts w:asciiTheme="majorHAnsi" w:hAnsiTheme="majorHAnsi" w:cstheme="majorHAnsi"/>
                <w:lang w:val="en-US"/>
              </w:rPr>
              <w:t>forecast</w:t>
            </w:r>
          </w:p>
        </w:tc>
      </w:tr>
      <w:tr w:rsidR="003C587F" w:rsidRPr="00AC6EC4" w:rsidTr="00E00742">
        <w:trPr>
          <w:trHeight w:val="607"/>
          <w:jc w:val="center"/>
        </w:trPr>
        <w:tc>
          <w:tcPr>
            <w:tcW w:w="5627" w:type="dxa"/>
            <w:tcBorders>
              <w:left w:val="nil"/>
              <w:right w:val="nil"/>
            </w:tcBorders>
            <w:vAlign w:val="center"/>
          </w:tcPr>
          <w:p w:rsidR="003C587F" w:rsidRPr="00AC6EC4" w:rsidRDefault="003C587F" w:rsidP="00062901">
            <w:pPr>
              <w:spacing w:line="240" w:lineRule="auto"/>
              <w:ind w:firstLine="37"/>
              <w:jc w:val="left"/>
              <w:rPr>
                <w:rFonts w:asciiTheme="majorHAnsi" w:hAnsiTheme="majorHAnsi" w:cstheme="majorHAnsi"/>
              </w:rPr>
            </w:pPr>
            <w:r w:rsidRPr="00AC6EC4">
              <w:rPr>
                <w:rFonts w:asciiTheme="majorHAnsi" w:hAnsiTheme="majorHAnsi" w:cstheme="majorHAnsi"/>
              </w:rPr>
              <w:t>Change in the Interest Payment for the RA Government Domestic Debt (billion AMD)</w:t>
            </w:r>
          </w:p>
        </w:tc>
        <w:tc>
          <w:tcPr>
            <w:tcW w:w="1170" w:type="dxa"/>
            <w:tcBorders>
              <w:left w:val="double" w:sz="4" w:space="0" w:color="auto"/>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1.8</w:t>
            </w:r>
          </w:p>
        </w:tc>
        <w:tc>
          <w:tcPr>
            <w:tcW w:w="1040" w:type="dxa"/>
            <w:tcBorders>
              <w:left w:val="nil"/>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5.5</w:t>
            </w:r>
          </w:p>
        </w:tc>
        <w:tc>
          <w:tcPr>
            <w:tcW w:w="1107" w:type="dxa"/>
            <w:tcBorders>
              <w:left w:val="nil"/>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9.6</w:t>
            </w:r>
          </w:p>
        </w:tc>
      </w:tr>
      <w:tr w:rsidR="003C587F" w:rsidRPr="00AC6EC4" w:rsidTr="00E00742">
        <w:trPr>
          <w:trHeight w:val="696"/>
          <w:jc w:val="center"/>
        </w:trPr>
        <w:tc>
          <w:tcPr>
            <w:tcW w:w="5627" w:type="dxa"/>
            <w:tcBorders>
              <w:left w:val="nil"/>
              <w:right w:val="nil"/>
            </w:tcBorders>
            <w:vAlign w:val="center"/>
          </w:tcPr>
          <w:p w:rsidR="003C587F" w:rsidRPr="00AC6EC4" w:rsidRDefault="003C587F" w:rsidP="00062901">
            <w:pPr>
              <w:spacing w:line="240" w:lineRule="auto"/>
              <w:ind w:firstLine="37"/>
              <w:jc w:val="left"/>
              <w:rPr>
                <w:rFonts w:asciiTheme="majorHAnsi" w:hAnsiTheme="majorHAnsi" w:cstheme="majorHAnsi"/>
              </w:rPr>
            </w:pPr>
            <w:r w:rsidRPr="00AC6EC4">
              <w:rPr>
                <w:rFonts w:asciiTheme="majorHAnsi" w:hAnsiTheme="majorHAnsi" w:cstheme="majorHAnsi"/>
              </w:rPr>
              <w:t>Change in the Interest Payment for the RA Government Domestic Debt (%)</w:t>
            </w:r>
          </w:p>
        </w:tc>
        <w:tc>
          <w:tcPr>
            <w:tcW w:w="1170" w:type="dxa"/>
            <w:tcBorders>
              <w:left w:val="double" w:sz="4" w:space="0" w:color="auto"/>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1.4</w:t>
            </w:r>
          </w:p>
        </w:tc>
        <w:tc>
          <w:tcPr>
            <w:tcW w:w="1040" w:type="dxa"/>
            <w:tcBorders>
              <w:left w:val="nil"/>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3.6</w:t>
            </w:r>
          </w:p>
        </w:tc>
        <w:tc>
          <w:tcPr>
            <w:tcW w:w="1107" w:type="dxa"/>
            <w:tcBorders>
              <w:left w:val="nil"/>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5.4</w:t>
            </w:r>
          </w:p>
        </w:tc>
      </w:tr>
      <w:tr w:rsidR="003C587F" w:rsidRPr="00AC6EC4" w:rsidTr="00E00742">
        <w:trPr>
          <w:trHeight w:val="887"/>
          <w:jc w:val="center"/>
        </w:trPr>
        <w:tc>
          <w:tcPr>
            <w:tcW w:w="5627" w:type="dxa"/>
            <w:tcBorders>
              <w:left w:val="nil"/>
              <w:bottom w:val="thickThinSmallGap" w:sz="24" w:space="0" w:color="auto"/>
              <w:right w:val="nil"/>
            </w:tcBorders>
            <w:vAlign w:val="center"/>
          </w:tcPr>
          <w:p w:rsidR="003C587F" w:rsidRPr="00AC6EC4" w:rsidRDefault="003C587F" w:rsidP="00062901">
            <w:pPr>
              <w:spacing w:line="240" w:lineRule="auto"/>
              <w:ind w:firstLine="37"/>
              <w:jc w:val="left"/>
              <w:rPr>
                <w:rFonts w:asciiTheme="majorHAnsi" w:hAnsiTheme="majorHAnsi" w:cstheme="majorHAnsi"/>
              </w:rPr>
            </w:pPr>
            <w:r w:rsidRPr="00AC6EC4">
              <w:rPr>
                <w:rFonts w:asciiTheme="majorHAnsi" w:hAnsiTheme="majorHAnsi" w:cstheme="majorHAnsi"/>
              </w:rPr>
              <w:t>The Share of the Change in the Interest Payment for the RA Government Domestic Debt in the Own Revenues of the State Budget (without grants) (%)</w:t>
            </w:r>
          </w:p>
        </w:tc>
        <w:tc>
          <w:tcPr>
            <w:tcW w:w="1170" w:type="dxa"/>
            <w:tcBorders>
              <w:left w:val="double" w:sz="4" w:space="0" w:color="auto"/>
              <w:bottom w:val="thickThinSmallGap" w:sz="24" w:space="0" w:color="auto"/>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0.1</w:t>
            </w:r>
          </w:p>
        </w:tc>
        <w:tc>
          <w:tcPr>
            <w:tcW w:w="1040" w:type="dxa"/>
            <w:tcBorders>
              <w:left w:val="nil"/>
              <w:bottom w:val="thickThinSmallGap" w:sz="24" w:space="0" w:color="auto"/>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0.3</w:t>
            </w:r>
          </w:p>
        </w:tc>
        <w:tc>
          <w:tcPr>
            <w:tcW w:w="1107" w:type="dxa"/>
            <w:tcBorders>
              <w:left w:val="nil"/>
              <w:bottom w:val="thickThinSmallGap" w:sz="24" w:space="0" w:color="auto"/>
              <w:right w:val="nil"/>
            </w:tcBorders>
            <w:vAlign w:val="center"/>
          </w:tcPr>
          <w:p w:rsidR="003C587F" w:rsidRPr="00AC6EC4" w:rsidRDefault="003C587F" w:rsidP="00062901">
            <w:pPr>
              <w:spacing w:line="240" w:lineRule="auto"/>
              <w:ind w:firstLine="131"/>
              <w:jc w:val="center"/>
              <w:rPr>
                <w:rFonts w:asciiTheme="majorHAnsi" w:hAnsiTheme="majorHAnsi" w:cstheme="majorHAnsi"/>
              </w:rPr>
            </w:pPr>
            <w:r w:rsidRPr="00AC6EC4">
              <w:rPr>
                <w:rFonts w:asciiTheme="majorHAnsi" w:hAnsiTheme="majorHAnsi" w:cstheme="majorHAnsi"/>
              </w:rPr>
              <w:t>0.4</w:t>
            </w:r>
          </w:p>
        </w:tc>
      </w:tr>
    </w:tbl>
    <w:p w:rsidR="006F7BFF" w:rsidRPr="00AC6EC4" w:rsidRDefault="006F7BFF" w:rsidP="00E56C1B">
      <w:pPr>
        <w:ind w:firstLine="0"/>
        <w:rPr>
          <w:rFonts w:asciiTheme="majorHAnsi" w:hAnsiTheme="majorHAnsi" w:cstheme="majorHAnsi"/>
        </w:rPr>
      </w:pPr>
    </w:p>
    <w:p w:rsidR="00E56C1B" w:rsidRPr="00AC6EC4" w:rsidRDefault="00E56C1B" w:rsidP="00E56C1B">
      <w:pPr>
        <w:ind w:firstLine="0"/>
        <w:rPr>
          <w:rFonts w:asciiTheme="majorHAnsi" w:hAnsiTheme="majorHAnsi" w:cstheme="majorHAnsi"/>
        </w:rPr>
      </w:pPr>
      <w:r w:rsidRPr="00AC6EC4">
        <w:rPr>
          <w:rFonts w:asciiTheme="majorHAnsi" w:hAnsiTheme="majorHAnsi" w:cstheme="majorHAnsi"/>
        </w:rPr>
        <w:t>The conducted sensitivity analyses allow assuming that the impact of the exchange rate shock on the RA Government debt portfolio is much higher than the impact of the interest rate shock. This is mainly due to the on the one hand high weight of the foreign currency denominated debt and on the other hand the dominance of the fixed rate debt in the RA Government debt portfolio.</w:t>
      </w:r>
    </w:p>
    <w:p w:rsidR="009A080E" w:rsidRPr="00AC6EC4" w:rsidRDefault="009A080E" w:rsidP="00A1274B">
      <w:pPr>
        <w:rPr>
          <w:rFonts w:asciiTheme="majorHAnsi" w:hAnsiTheme="majorHAnsi" w:cstheme="majorHAnsi"/>
        </w:rPr>
      </w:pPr>
    </w:p>
    <w:p w:rsidR="00025E2D" w:rsidRPr="00AC6EC4" w:rsidRDefault="00D9637A" w:rsidP="001173A4">
      <w:pPr>
        <w:pStyle w:val="Heading2"/>
        <w:rPr>
          <w:rFonts w:asciiTheme="majorHAnsi" w:hAnsiTheme="majorHAnsi" w:cstheme="majorHAnsi"/>
        </w:rPr>
      </w:pPr>
      <w:r w:rsidRPr="00AC6EC4">
        <w:rPr>
          <w:rFonts w:asciiTheme="majorHAnsi" w:hAnsiTheme="majorHAnsi" w:cstheme="majorHAnsi"/>
        </w:rPr>
        <w:br w:type="page"/>
      </w:r>
      <w:bookmarkStart w:id="16" w:name="_Toc80868699"/>
      <w:r w:rsidR="00F144FA" w:rsidRPr="00AC6EC4">
        <w:rPr>
          <w:rFonts w:asciiTheme="majorHAnsi" w:hAnsiTheme="majorHAnsi" w:cstheme="majorHAnsi"/>
        </w:rPr>
        <w:lastRenderedPageBreak/>
        <w:t>Conclusions</w:t>
      </w:r>
      <w:bookmarkEnd w:id="16"/>
    </w:p>
    <w:p w:rsidR="00E56C1B" w:rsidRPr="00AC6EC4" w:rsidRDefault="00E56C1B" w:rsidP="00E56C1B">
      <w:pPr>
        <w:spacing w:after="100" w:afterAutospacing="1"/>
        <w:ind w:firstLine="0"/>
        <w:rPr>
          <w:rFonts w:asciiTheme="majorHAnsi" w:hAnsiTheme="majorHAnsi" w:cstheme="majorHAnsi"/>
        </w:rPr>
      </w:pPr>
      <w:r w:rsidRPr="00AC6EC4">
        <w:rPr>
          <w:rFonts w:asciiTheme="majorHAnsi" w:hAnsiTheme="majorHAnsi" w:cstheme="majorHAnsi"/>
        </w:rPr>
        <w:t xml:space="preserve">The results of the Government debt portfolio cost-at-risk analysis show that the debt portfolio is mostly exposed to exchange rate risk. Therefore, the RA Government considers as a priority the continuous development of the Government treasury securities market and the surge of the share of AMD denominated debt by increasing the volume of the borrowings from the domestic market. In 2022-2024, it is planned to increase the share of the deficit financing through the domestic net borrowings and </w:t>
      </w:r>
      <w:r w:rsidR="00DC245A" w:rsidRPr="00AC6EC4">
        <w:rPr>
          <w:rFonts w:asciiTheme="majorHAnsi" w:hAnsiTheme="majorHAnsi" w:cstheme="majorHAnsi"/>
        </w:rPr>
        <w:t>comp</w:t>
      </w:r>
      <w:r w:rsidR="002E4CCE">
        <w:rPr>
          <w:rFonts w:asciiTheme="majorHAnsi" w:hAnsiTheme="majorHAnsi" w:cstheme="majorHAnsi"/>
        </w:rPr>
        <w:t>l</w:t>
      </w:r>
      <w:r w:rsidR="00DC245A" w:rsidRPr="00AC6EC4">
        <w:rPr>
          <w:rFonts w:asciiTheme="majorHAnsi" w:hAnsiTheme="majorHAnsi" w:cstheme="majorHAnsi"/>
        </w:rPr>
        <w:t xml:space="preserve">etely </w:t>
      </w:r>
      <w:r w:rsidR="00AD56ED" w:rsidRPr="00AC6EC4">
        <w:rPr>
          <w:rFonts w:asciiTheme="majorHAnsi" w:hAnsiTheme="majorHAnsi" w:cstheme="majorHAnsi"/>
        </w:rPr>
        <w:t xml:space="preserve">finance </w:t>
      </w:r>
      <w:r w:rsidRPr="00AC6EC4">
        <w:rPr>
          <w:rFonts w:asciiTheme="majorHAnsi" w:hAnsiTheme="majorHAnsi" w:cstheme="majorHAnsi"/>
        </w:rPr>
        <w:t xml:space="preserve">the deficit through </w:t>
      </w:r>
      <w:r w:rsidR="00AD56ED" w:rsidRPr="00AC6EC4">
        <w:rPr>
          <w:rFonts w:asciiTheme="majorHAnsi" w:hAnsiTheme="majorHAnsi" w:cstheme="majorHAnsi"/>
        </w:rPr>
        <w:t>the domestic net borrowings in the medium-term</w:t>
      </w:r>
      <w:r w:rsidRPr="00AC6EC4">
        <w:rPr>
          <w:rFonts w:asciiTheme="majorHAnsi" w:hAnsiTheme="majorHAnsi" w:cstheme="majorHAnsi"/>
        </w:rPr>
        <w:t>.</w:t>
      </w:r>
    </w:p>
    <w:p w:rsidR="00AD56ED" w:rsidRPr="00AC6EC4" w:rsidRDefault="00AD56ED" w:rsidP="00AD56ED">
      <w:pPr>
        <w:spacing w:after="240"/>
        <w:ind w:firstLine="0"/>
        <w:rPr>
          <w:rFonts w:asciiTheme="majorHAnsi" w:hAnsiTheme="majorHAnsi" w:cstheme="majorHAnsi"/>
        </w:rPr>
      </w:pPr>
      <w:r w:rsidRPr="00AC6EC4">
        <w:rPr>
          <w:rFonts w:asciiTheme="majorHAnsi" w:hAnsiTheme="majorHAnsi" w:cstheme="majorHAnsi"/>
        </w:rPr>
        <w:t xml:space="preserve">It is important to mention that the actions to be carried out only in the RA Government debt management area are not sufficient for the substantial development of the RA Government domestic debt market. One of the preconditions for the development of the domestic debt market and the extension of the investors’ base is also the full implementation of the reforms in other segments of the financial market (pension, insurance, etc.). </w:t>
      </w:r>
    </w:p>
    <w:p w:rsidR="008A4164" w:rsidRPr="00AC6EC4" w:rsidRDefault="008A4164" w:rsidP="008A4164">
      <w:pPr>
        <w:spacing w:after="240"/>
        <w:ind w:firstLine="0"/>
        <w:rPr>
          <w:rFonts w:asciiTheme="majorHAnsi" w:hAnsiTheme="majorHAnsi" w:cstheme="majorHAnsi"/>
        </w:rPr>
      </w:pPr>
      <w:r w:rsidRPr="00AC6EC4">
        <w:rPr>
          <w:rFonts w:asciiTheme="majorHAnsi" w:hAnsiTheme="majorHAnsi" w:cstheme="majorHAnsi"/>
        </w:rPr>
        <w:t>In the medium-term, the RA Government will continue implementing the actions aimed at smoothening of the RA Government debt redemption profile and reducing the refinancing risk, by applying liquidity management instruments such as the formation of the cash buffer, implementation of buybacks and switches.</w:t>
      </w:r>
    </w:p>
    <w:p w:rsidR="00025E2D" w:rsidRPr="00AC6EC4" w:rsidRDefault="00025E2D" w:rsidP="00A1274B">
      <w:pPr>
        <w:pStyle w:val="Subtitle"/>
        <w:rPr>
          <w:rFonts w:asciiTheme="majorHAnsi" w:hAnsiTheme="majorHAnsi" w:cstheme="majorHAnsi"/>
        </w:rPr>
      </w:pPr>
      <w:r w:rsidRPr="00AC6EC4">
        <w:rPr>
          <w:rFonts w:asciiTheme="majorHAnsi" w:hAnsiTheme="majorHAnsi" w:cstheme="majorHAnsi"/>
          <w:color w:val="FF0000"/>
        </w:rPr>
        <w:br w:type="page"/>
      </w:r>
      <w:r w:rsidR="00F144FA" w:rsidRPr="00AC6EC4">
        <w:rPr>
          <w:rFonts w:asciiTheme="majorHAnsi" w:hAnsiTheme="majorHAnsi" w:cstheme="majorHAnsi"/>
          <w:lang w:val="hy-AM"/>
        </w:rPr>
        <w:lastRenderedPageBreak/>
        <w:t>Appendix</w:t>
      </w:r>
      <w:r w:rsidR="00D46083" w:rsidRPr="00AC6EC4">
        <w:rPr>
          <w:rFonts w:asciiTheme="majorHAnsi" w:hAnsiTheme="majorHAnsi" w:cstheme="majorHAnsi"/>
        </w:rPr>
        <w:t xml:space="preserve"> </w:t>
      </w:r>
    </w:p>
    <w:p w:rsidR="008A4164" w:rsidRPr="00AC6EC4" w:rsidRDefault="008A4164" w:rsidP="00A1274B">
      <w:pPr>
        <w:rPr>
          <w:rFonts w:asciiTheme="majorHAnsi" w:hAnsiTheme="majorHAnsi" w:cstheme="majorHAnsi"/>
          <w:lang w:val="en-US"/>
        </w:rPr>
      </w:pPr>
      <w:r w:rsidRPr="00AC6EC4">
        <w:rPr>
          <w:rFonts w:asciiTheme="majorHAnsi" w:hAnsiTheme="majorHAnsi" w:cstheme="majorHAnsi"/>
          <w:lang w:val="en-US"/>
        </w:rPr>
        <w:t xml:space="preserve">2019-2020 actual, 2021 state budget program and 2021-2024 forecasted indicators characterizing the RA government debt  </w:t>
      </w:r>
    </w:p>
    <w:p w:rsidR="00025E2D" w:rsidRPr="00AC6EC4" w:rsidRDefault="00C2797E" w:rsidP="00D43334">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 xml:space="preserve">The key indicators of the RA Government debt in </w:t>
      </w:r>
      <w:r w:rsidR="00025E2D" w:rsidRPr="00AC6EC4">
        <w:rPr>
          <w:rStyle w:val="Emphasis"/>
          <w:rFonts w:asciiTheme="majorHAnsi" w:hAnsiTheme="majorHAnsi" w:cstheme="majorHAnsi"/>
          <w:b w:val="0"/>
          <w:sz w:val="24"/>
          <w:szCs w:val="24"/>
        </w:rPr>
        <w:t>201</w:t>
      </w:r>
      <w:r w:rsidR="00FD74F9" w:rsidRPr="00AC6EC4">
        <w:rPr>
          <w:rStyle w:val="Emphasis"/>
          <w:rFonts w:asciiTheme="majorHAnsi" w:hAnsiTheme="majorHAnsi" w:cstheme="majorHAnsi"/>
          <w:b w:val="0"/>
          <w:sz w:val="24"/>
          <w:szCs w:val="24"/>
        </w:rPr>
        <w:t>9</w:t>
      </w:r>
      <w:r w:rsidR="00025E2D" w:rsidRPr="00AC6EC4">
        <w:rPr>
          <w:rStyle w:val="Emphasis"/>
          <w:rFonts w:asciiTheme="majorHAnsi" w:hAnsiTheme="majorHAnsi" w:cstheme="majorHAnsi"/>
          <w:b w:val="0"/>
          <w:sz w:val="24"/>
          <w:szCs w:val="24"/>
        </w:rPr>
        <w:t>-202</w:t>
      </w:r>
      <w:r w:rsidR="00FD74F9" w:rsidRPr="00AC6EC4">
        <w:rPr>
          <w:rStyle w:val="Emphasis"/>
          <w:rFonts w:asciiTheme="majorHAnsi" w:hAnsiTheme="majorHAnsi" w:cstheme="majorHAnsi"/>
          <w:b w:val="0"/>
          <w:sz w:val="24"/>
          <w:szCs w:val="24"/>
        </w:rPr>
        <w:t>4</w:t>
      </w:r>
      <w:r w:rsidR="003D40E2" w:rsidRPr="00AC6EC4">
        <w:rPr>
          <w:rStyle w:val="Emphasis"/>
          <w:rFonts w:asciiTheme="majorHAnsi" w:hAnsiTheme="majorHAnsi" w:cstheme="majorHAnsi"/>
          <w:b w:val="0"/>
          <w:sz w:val="24"/>
          <w:szCs w:val="24"/>
          <w:lang w:val="hy-AM"/>
        </w:rPr>
        <w:t xml:space="preserve"> </w:t>
      </w:r>
      <w:r w:rsidR="00025E2D" w:rsidRPr="00AC6EC4">
        <w:rPr>
          <w:rStyle w:val="Emphasis"/>
          <w:rFonts w:asciiTheme="majorHAnsi" w:hAnsiTheme="majorHAnsi" w:cstheme="majorHAnsi"/>
          <w:b w:val="0"/>
          <w:sz w:val="24"/>
          <w:szCs w:val="24"/>
        </w:rPr>
        <w:t>(</w:t>
      </w:r>
      <w:r w:rsidR="003D40E2" w:rsidRPr="00AC6EC4">
        <w:rPr>
          <w:rStyle w:val="Emphasis"/>
          <w:rFonts w:asciiTheme="majorHAnsi" w:hAnsiTheme="majorHAnsi" w:cstheme="majorHAnsi"/>
          <w:b w:val="0"/>
          <w:sz w:val="24"/>
          <w:szCs w:val="24"/>
          <w:lang w:val="hy-AM"/>
        </w:rPr>
        <w:t>billion AMD</w:t>
      </w:r>
      <w:r w:rsidR="00025E2D" w:rsidRPr="00AC6EC4">
        <w:rPr>
          <w:rStyle w:val="Emphasis"/>
          <w:rFonts w:asciiTheme="majorHAnsi" w:hAnsiTheme="majorHAnsi" w:cstheme="majorHAnsi"/>
          <w:b w:val="0"/>
          <w:sz w:val="24"/>
          <w:szCs w:val="24"/>
        </w:rPr>
        <w:t>)</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52"/>
        <w:gridCol w:w="1043"/>
        <w:gridCol w:w="52"/>
        <w:gridCol w:w="1019"/>
        <w:gridCol w:w="52"/>
        <w:gridCol w:w="1299"/>
        <w:gridCol w:w="52"/>
        <w:gridCol w:w="1019"/>
        <w:gridCol w:w="52"/>
        <w:gridCol w:w="1041"/>
        <w:gridCol w:w="52"/>
        <w:gridCol w:w="962"/>
        <w:gridCol w:w="52"/>
        <w:gridCol w:w="967"/>
        <w:gridCol w:w="52"/>
      </w:tblGrid>
      <w:tr w:rsidR="0069568F" w:rsidRPr="00AC6EC4" w:rsidTr="00C8379D">
        <w:trPr>
          <w:gridAfter w:val="1"/>
          <w:wAfter w:w="52" w:type="dxa"/>
          <w:trHeight w:val="616"/>
          <w:tblHeader/>
          <w:jc w:val="center"/>
        </w:trPr>
        <w:tc>
          <w:tcPr>
            <w:tcW w:w="2783"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69568F" w:rsidRPr="00AC6EC4" w:rsidRDefault="0069568F"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p>
        </w:tc>
        <w:tc>
          <w:tcPr>
            <w:tcW w:w="1095" w:type="dxa"/>
            <w:gridSpan w:val="2"/>
            <w:tcBorders>
              <w:top w:val="thinThickThinSmallGap" w:sz="24" w:space="0" w:color="auto"/>
              <w:left w:val="nil"/>
              <w:bottom w:val="thinThickSmallGap" w:sz="24" w:space="0" w:color="auto"/>
              <w:right w:val="nil"/>
            </w:tcBorders>
            <w:shd w:val="clear" w:color="auto" w:fill="365F91" w:themeFill="accent1" w:themeFillShade="BF"/>
            <w:vAlign w:val="center"/>
          </w:tcPr>
          <w:p w:rsidR="0069568F" w:rsidRPr="00AC6EC4" w:rsidRDefault="0069568F"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2019 </w:t>
            </w:r>
            <w:r w:rsidRPr="00AC6EC4">
              <w:rPr>
                <w:rFonts w:asciiTheme="majorHAnsi" w:hAnsiTheme="majorHAnsi" w:cstheme="majorHAnsi"/>
                <w:color w:val="FFFFFF" w:themeColor="background1"/>
                <w:lang w:val="en-US"/>
              </w:rPr>
              <w:t>Actual</w:t>
            </w:r>
          </w:p>
        </w:tc>
        <w:tc>
          <w:tcPr>
            <w:tcW w:w="1071" w:type="dxa"/>
            <w:gridSpan w:val="2"/>
            <w:tcBorders>
              <w:top w:val="thinThickThinSmallGap" w:sz="24" w:space="0" w:color="auto"/>
              <w:left w:val="nil"/>
              <w:bottom w:val="thinThickSmallGap" w:sz="24" w:space="0" w:color="auto"/>
              <w:right w:val="nil"/>
            </w:tcBorders>
            <w:shd w:val="clear" w:color="auto" w:fill="365F91" w:themeFill="accent1" w:themeFillShade="BF"/>
            <w:vAlign w:val="center"/>
          </w:tcPr>
          <w:p w:rsidR="0069568F" w:rsidRPr="00AC6EC4" w:rsidRDefault="0069568F"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2020 </w:t>
            </w:r>
            <w:r w:rsidRPr="00AC6EC4">
              <w:rPr>
                <w:rFonts w:asciiTheme="majorHAnsi" w:hAnsiTheme="majorHAnsi" w:cstheme="majorHAnsi"/>
                <w:color w:val="FFFFFF" w:themeColor="background1"/>
                <w:lang w:val="en-US"/>
              </w:rPr>
              <w:t>Actual</w:t>
            </w:r>
            <w:r w:rsidRPr="00AC6EC4">
              <w:rPr>
                <w:rFonts w:asciiTheme="majorHAnsi" w:hAnsiTheme="majorHAnsi" w:cstheme="majorHAnsi"/>
                <w:color w:val="FFFFFF" w:themeColor="background1"/>
              </w:rPr>
              <w:t xml:space="preserve"> </w:t>
            </w:r>
          </w:p>
        </w:tc>
        <w:tc>
          <w:tcPr>
            <w:tcW w:w="1351" w:type="dxa"/>
            <w:gridSpan w:val="2"/>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69568F" w:rsidRPr="00AC6EC4" w:rsidRDefault="0069568F"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 State budget program</w:t>
            </w:r>
          </w:p>
        </w:tc>
        <w:tc>
          <w:tcPr>
            <w:tcW w:w="1071" w:type="dxa"/>
            <w:gridSpan w:val="2"/>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69568F" w:rsidRPr="00AC6EC4" w:rsidRDefault="0069568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93" w:type="dxa"/>
            <w:gridSpan w:val="2"/>
            <w:tcBorders>
              <w:top w:val="thinThickThinSmallGap" w:sz="24" w:space="0" w:color="auto"/>
              <w:left w:val="nil"/>
              <w:bottom w:val="thinThickSmallGap" w:sz="24" w:space="0" w:color="auto"/>
              <w:right w:val="nil"/>
            </w:tcBorders>
            <w:shd w:val="clear" w:color="auto" w:fill="365F91" w:themeFill="accent1" w:themeFillShade="BF"/>
            <w:vAlign w:val="center"/>
          </w:tcPr>
          <w:p w:rsidR="0069568F" w:rsidRPr="00AC6EC4" w:rsidRDefault="0069568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014" w:type="dxa"/>
            <w:gridSpan w:val="2"/>
            <w:tcBorders>
              <w:top w:val="thinThickThinSmallGap" w:sz="24" w:space="0" w:color="auto"/>
              <w:left w:val="nil"/>
              <w:bottom w:val="thinThickSmallGap" w:sz="24" w:space="0" w:color="auto"/>
              <w:right w:val="nil"/>
            </w:tcBorders>
            <w:shd w:val="clear" w:color="auto" w:fill="365F91" w:themeFill="accent1" w:themeFillShade="BF"/>
            <w:vAlign w:val="center"/>
          </w:tcPr>
          <w:p w:rsidR="0069568F" w:rsidRPr="00AC6EC4" w:rsidRDefault="0069568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19" w:type="dxa"/>
            <w:gridSpan w:val="2"/>
            <w:tcBorders>
              <w:top w:val="thinThickThinSmallGap" w:sz="24" w:space="0" w:color="auto"/>
              <w:left w:val="nil"/>
              <w:bottom w:val="thinThickSmallGap" w:sz="24" w:space="0" w:color="auto"/>
              <w:right w:val="nil"/>
            </w:tcBorders>
            <w:shd w:val="clear" w:color="auto" w:fill="365F91" w:themeFill="accent1" w:themeFillShade="BF"/>
            <w:vAlign w:val="center"/>
          </w:tcPr>
          <w:p w:rsidR="0069568F" w:rsidRPr="00AC6EC4" w:rsidRDefault="0069568F"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5318B7" w:rsidRPr="00AC6EC4" w:rsidTr="00C8379D">
        <w:trPr>
          <w:trHeight w:val="256"/>
          <w:jc w:val="center"/>
        </w:trPr>
        <w:tc>
          <w:tcPr>
            <w:tcW w:w="2835" w:type="dxa"/>
            <w:gridSpan w:val="2"/>
            <w:tcBorders>
              <w:left w:val="nil"/>
              <w:bottom w:val="single" w:sz="4" w:space="0" w:color="auto"/>
              <w:right w:val="nil"/>
            </w:tcBorders>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Government Debt</w:t>
            </w:r>
          </w:p>
        </w:tc>
        <w:tc>
          <w:tcPr>
            <w:tcW w:w="1095"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3,277.3</w:t>
            </w:r>
          </w:p>
        </w:tc>
        <w:tc>
          <w:tcPr>
            <w:tcW w:w="1071"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3,923.9</w:t>
            </w:r>
          </w:p>
        </w:tc>
        <w:tc>
          <w:tcPr>
            <w:tcW w:w="1351" w:type="dxa"/>
            <w:gridSpan w:val="2"/>
            <w:tcBorders>
              <w:left w:val="nil"/>
              <w:bottom w:val="single" w:sz="4"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4,345.7</w:t>
            </w:r>
          </w:p>
        </w:tc>
        <w:tc>
          <w:tcPr>
            <w:tcW w:w="1071" w:type="dxa"/>
            <w:gridSpan w:val="2"/>
            <w:tcBorders>
              <w:left w:val="double" w:sz="4" w:space="0" w:color="auto"/>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4,286.3</w:t>
            </w:r>
          </w:p>
        </w:tc>
        <w:tc>
          <w:tcPr>
            <w:tcW w:w="1093"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4,579.8</w:t>
            </w:r>
          </w:p>
        </w:tc>
        <w:tc>
          <w:tcPr>
            <w:tcW w:w="1014"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4,794.8</w:t>
            </w:r>
          </w:p>
        </w:tc>
        <w:tc>
          <w:tcPr>
            <w:tcW w:w="1019"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5,018.3</w:t>
            </w:r>
          </w:p>
        </w:tc>
      </w:tr>
      <w:tr w:rsidR="005318B7" w:rsidRPr="00AC6EC4" w:rsidTr="00C8379D">
        <w:trPr>
          <w:trHeight w:val="328"/>
          <w:jc w:val="center"/>
        </w:trPr>
        <w:tc>
          <w:tcPr>
            <w:tcW w:w="2835" w:type="dxa"/>
            <w:gridSpan w:val="2"/>
            <w:tcBorders>
              <w:left w:val="nil"/>
              <w:bottom w:val="single" w:sz="12" w:space="0" w:color="auto"/>
              <w:right w:val="nil"/>
            </w:tcBorders>
          </w:tcPr>
          <w:p w:rsidR="005318B7" w:rsidRPr="00AC6EC4" w:rsidRDefault="005318B7" w:rsidP="00062901">
            <w:pPr>
              <w:spacing w:line="240" w:lineRule="auto"/>
              <w:ind w:left="356" w:firstLine="0"/>
              <w:rPr>
                <w:rFonts w:asciiTheme="majorHAnsi" w:hAnsiTheme="majorHAnsi" w:cstheme="majorHAnsi"/>
              </w:rPr>
            </w:pPr>
            <w:r w:rsidRPr="00AC6EC4">
              <w:rPr>
                <w:rFonts w:asciiTheme="majorHAnsi" w:hAnsiTheme="majorHAnsi" w:cstheme="majorHAnsi"/>
              </w:rPr>
              <w:t>% to GDP</w:t>
            </w:r>
          </w:p>
        </w:tc>
        <w:tc>
          <w:tcPr>
            <w:tcW w:w="1095"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50.1</w:t>
            </w:r>
          </w:p>
        </w:tc>
        <w:tc>
          <w:tcPr>
            <w:tcW w:w="1071"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63.5</w:t>
            </w:r>
          </w:p>
        </w:tc>
        <w:tc>
          <w:tcPr>
            <w:tcW w:w="1351" w:type="dxa"/>
            <w:gridSpan w:val="2"/>
            <w:tcBorders>
              <w:left w:val="nil"/>
              <w:bottom w:val="single" w:sz="12"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66.5</w:t>
            </w:r>
          </w:p>
        </w:tc>
        <w:tc>
          <w:tcPr>
            <w:tcW w:w="1071" w:type="dxa"/>
            <w:gridSpan w:val="2"/>
            <w:tcBorders>
              <w:left w:val="double" w:sz="4" w:space="0" w:color="auto"/>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62.3</w:t>
            </w:r>
          </w:p>
        </w:tc>
        <w:tc>
          <w:tcPr>
            <w:tcW w:w="1093"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60.5</w:t>
            </w:r>
          </w:p>
        </w:tc>
        <w:tc>
          <w:tcPr>
            <w:tcW w:w="1014"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58.7</w:t>
            </w:r>
          </w:p>
        </w:tc>
        <w:tc>
          <w:tcPr>
            <w:tcW w:w="1019"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56.8</w:t>
            </w:r>
          </w:p>
        </w:tc>
      </w:tr>
      <w:tr w:rsidR="005318B7" w:rsidRPr="00AC6EC4" w:rsidTr="00C8379D">
        <w:trPr>
          <w:trHeight w:val="256"/>
          <w:jc w:val="center"/>
        </w:trPr>
        <w:tc>
          <w:tcPr>
            <w:tcW w:w="2835" w:type="dxa"/>
            <w:gridSpan w:val="2"/>
            <w:tcBorders>
              <w:top w:val="single" w:sz="12" w:space="0" w:color="auto"/>
              <w:left w:val="nil"/>
              <w:right w:val="nil"/>
            </w:tcBorders>
            <w:vAlign w:val="center"/>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By residency</w:t>
            </w:r>
          </w:p>
        </w:tc>
        <w:tc>
          <w:tcPr>
            <w:tcW w:w="1095"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71"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351" w:type="dxa"/>
            <w:gridSpan w:val="2"/>
            <w:tcBorders>
              <w:top w:val="single" w:sz="12" w:space="0" w:color="auto"/>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71" w:type="dxa"/>
            <w:gridSpan w:val="2"/>
            <w:tcBorders>
              <w:top w:val="single" w:sz="12" w:space="0" w:color="auto"/>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93"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14"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19"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r>
      <w:tr w:rsidR="005318B7" w:rsidRPr="00AC6EC4" w:rsidTr="00C8379D">
        <w:trPr>
          <w:trHeight w:val="256"/>
          <w:jc w:val="center"/>
        </w:trPr>
        <w:tc>
          <w:tcPr>
            <w:tcW w:w="2835" w:type="dxa"/>
            <w:gridSpan w:val="2"/>
            <w:tcBorders>
              <w:left w:val="nil"/>
              <w:bottom w:val="single" w:sz="4" w:space="0" w:color="auto"/>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Government Domestic Debt</w:t>
            </w:r>
          </w:p>
        </w:tc>
        <w:tc>
          <w:tcPr>
            <w:tcW w:w="1095"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737.2</w:t>
            </w:r>
          </w:p>
        </w:tc>
        <w:tc>
          <w:tcPr>
            <w:tcW w:w="1071"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997.6</w:t>
            </w:r>
          </w:p>
        </w:tc>
        <w:tc>
          <w:tcPr>
            <w:tcW w:w="1351" w:type="dxa"/>
            <w:gridSpan w:val="2"/>
            <w:tcBorders>
              <w:left w:val="nil"/>
              <w:bottom w:val="single" w:sz="4"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1,221.3</w:t>
            </w:r>
          </w:p>
        </w:tc>
        <w:tc>
          <w:tcPr>
            <w:tcW w:w="1071" w:type="dxa"/>
            <w:gridSpan w:val="2"/>
            <w:tcBorders>
              <w:left w:val="double" w:sz="4" w:space="0" w:color="auto"/>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1,212.2</w:t>
            </w:r>
          </w:p>
        </w:tc>
        <w:tc>
          <w:tcPr>
            <w:tcW w:w="1093"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1,433.5</w:t>
            </w:r>
          </w:p>
        </w:tc>
        <w:tc>
          <w:tcPr>
            <w:tcW w:w="1014"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1,673.0</w:t>
            </w:r>
          </w:p>
        </w:tc>
        <w:tc>
          <w:tcPr>
            <w:tcW w:w="1019"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1,932.4</w:t>
            </w:r>
          </w:p>
        </w:tc>
      </w:tr>
      <w:tr w:rsidR="005318B7" w:rsidRPr="00AC6EC4" w:rsidTr="00C8379D">
        <w:trPr>
          <w:trHeight w:val="511"/>
          <w:jc w:val="center"/>
        </w:trPr>
        <w:tc>
          <w:tcPr>
            <w:tcW w:w="2835" w:type="dxa"/>
            <w:gridSpan w:val="2"/>
            <w:tcBorders>
              <w:left w:val="nil"/>
              <w:bottom w:val="single" w:sz="12" w:space="0" w:color="auto"/>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Government External Debt</w:t>
            </w:r>
          </w:p>
        </w:tc>
        <w:tc>
          <w:tcPr>
            <w:tcW w:w="1095"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2,540.1</w:t>
            </w:r>
          </w:p>
        </w:tc>
        <w:tc>
          <w:tcPr>
            <w:tcW w:w="1071"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2,926.2</w:t>
            </w:r>
          </w:p>
        </w:tc>
        <w:tc>
          <w:tcPr>
            <w:tcW w:w="1351" w:type="dxa"/>
            <w:gridSpan w:val="2"/>
            <w:tcBorders>
              <w:left w:val="nil"/>
              <w:bottom w:val="single" w:sz="12"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3,124.3</w:t>
            </w:r>
          </w:p>
        </w:tc>
        <w:tc>
          <w:tcPr>
            <w:tcW w:w="1071" w:type="dxa"/>
            <w:gridSpan w:val="2"/>
            <w:tcBorders>
              <w:left w:val="double" w:sz="4" w:space="0" w:color="auto"/>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3,074.1</w:t>
            </w:r>
          </w:p>
        </w:tc>
        <w:tc>
          <w:tcPr>
            <w:tcW w:w="1093"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3,146.3</w:t>
            </w:r>
          </w:p>
        </w:tc>
        <w:tc>
          <w:tcPr>
            <w:tcW w:w="1014"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3,121.8</w:t>
            </w:r>
          </w:p>
        </w:tc>
        <w:tc>
          <w:tcPr>
            <w:tcW w:w="1019"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3,085.8</w:t>
            </w:r>
          </w:p>
        </w:tc>
      </w:tr>
      <w:tr w:rsidR="005318B7" w:rsidRPr="00AC6EC4" w:rsidTr="00C8379D">
        <w:trPr>
          <w:trHeight w:val="249"/>
          <w:jc w:val="center"/>
        </w:trPr>
        <w:tc>
          <w:tcPr>
            <w:tcW w:w="2835" w:type="dxa"/>
            <w:gridSpan w:val="2"/>
            <w:tcBorders>
              <w:top w:val="single" w:sz="12" w:space="0" w:color="auto"/>
              <w:left w:val="nil"/>
              <w:right w:val="nil"/>
            </w:tcBorders>
            <w:vAlign w:val="center"/>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By instruments</w:t>
            </w:r>
          </w:p>
        </w:tc>
        <w:tc>
          <w:tcPr>
            <w:tcW w:w="1095"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71"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351" w:type="dxa"/>
            <w:gridSpan w:val="2"/>
            <w:tcBorders>
              <w:top w:val="single" w:sz="12" w:space="0" w:color="auto"/>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71" w:type="dxa"/>
            <w:gridSpan w:val="2"/>
            <w:tcBorders>
              <w:top w:val="single" w:sz="12" w:space="0" w:color="auto"/>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93"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14"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c>
          <w:tcPr>
            <w:tcW w:w="1019"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p>
        </w:tc>
      </w:tr>
      <w:tr w:rsidR="005318B7" w:rsidRPr="00AC6EC4" w:rsidTr="00C8379D">
        <w:trPr>
          <w:trHeight w:val="511"/>
          <w:jc w:val="center"/>
        </w:trPr>
        <w:tc>
          <w:tcPr>
            <w:tcW w:w="2835" w:type="dxa"/>
            <w:gridSpan w:val="2"/>
            <w:tcBorders>
              <w:left w:val="nil"/>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External Loans and Borrowings</w:t>
            </w:r>
          </w:p>
        </w:tc>
        <w:tc>
          <w:tcPr>
            <w:tcW w:w="1095"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2,065.9</w:t>
            </w:r>
          </w:p>
        </w:tc>
        <w:tc>
          <w:tcPr>
            <w:tcW w:w="1071"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2,438.0</w:t>
            </w:r>
          </w:p>
        </w:tc>
        <w:tc>
          <w:tcPr>
            <w:tcW w:w="1351" w:type="dxa"/>
            <w:gridSpan w:val="2"/>
            <w:tcBorders>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2,299.1</w:t>
            </w:r>
          </w:p>
        </w:tc>
        <w:tc>
          <w:tcPr>
            <w:tcW w:w="1071" w:type="dxa"/>
            <w:gridSpan w:val="2"/>
            <w:tcBorders>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2,250.4</w:t>
            </w:r>
          </w:p>
        </w:tc>
        <w:tc>
          <w:tcPr>
            <w:tcW w:w="1093"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2,290.3</w:t>
            </w:r>
          </w:p>
        </w:tc>
        <w:tc>
          <w:tcPr>
            <w:tcW w:w="1014"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2,260.9</w:t>
            </w:r>
          </w:p>
        </w:tc>
        <w:tc>
          <w:tcPr>
            <w:tcW w:w="1019"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2,220.2</w:t>
            </w:r>
          </w:p>
        </w:tc>
      </w:tr>
      <w:tr w:rsidR="005318B7" w:rsidRPr="00AC6EC4" w:rsidTr="00C8379D">
        <w:trPr>
          <w:trHeight w:val="511"/>
          <w:jc w:val="center"/>
        </w:trPr>
        <w:tc>
          <w:tcPr>
            <w:tcW w:w="2835" w:type="dxa"/>
            <w:gridSpan w:val="2"/>
            <w:tcBorders>
              <w:left w:val="nil"/>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Government Treasury Bonds</w:t>
            </w:r>
          </w:p>
        </w:tc>
        <w:tc>
          <w:tcPr>
            <w:tcW w:w="1095"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681.0</w:t>
            </w:r>
          </w:p>
        </w:tc>
        <w:tc>
          <w:tcPr>
            <w:tcW w:w="1071"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958.8</w:t>
            </w:r>
          </w:p>
        </w:tc>
        <w:tc>
          <w:tcPr>
            <w:tcW w:w="1351" w:type="dxa"/>
            <w:gridSpan w:val="2"/>
            <w:tcBorders>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1,178.1</w:t>
            </w:r>
          </w:p>
        </w:tc>
        <w:tc>
          <w:tcPr>
            <w:tcW w:w="1071" w:type="dxa"/>
            <w:gridSpan w:val="2"/>
            <w:tcBorders>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1,162.3</w:t>
            </w:r>
          </w:p>
        </w:tc>
        <w:tc>
          <w:tcPr>
            <w:tcW w:w="1093"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1,382.3</w:t>
            </w:r>
          </w:p>
        </w:tc>
        <w:tc>
          <w:tcPr>
            <w:tcW w:w="1014"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1,622.3</w:t>
            </w:r>
          </w:p>
        </w:tc>
        <w:tc>
          <w:tcPr>
            <w:tcW w:w="1019"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1,882.3</w:t>
            </w:r>
          </w:p>
        </w:tc>
      </w:tr>
      <w:tr w:rsidR="005318B7" w:rsidRPr="00AC6EC4" w:rsidTr="00C8379D">
        <w:trPr>
          <w:trHeight w:val="511"/>
          <w:jc w:val="center"/>
        </w:trPr>
        <w:tc>
          <w:tcPr>
            <w:tcW w:w="2835" w:type="dxa"/>
            <w:gridSpan w:val="2"/>
            <w:tcBorders>
              <w:left w:val="nil"/>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Foreign currency Denominated Government Bonds</w:t>
            </w:r>
          </w:p>
        </w:tc>
        <w:tc>
          <w:tcPr>
            <w:tcW w:w="1095"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526.5</w:t>
            </w:r>
          </w:p>
        </w:tc>
        <w:tc>
          <w:tcPr>
            <w:tcW w:w="1071"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522.6</w:t>
            </w:r>
          </w:p>
        </w:tc>
        <w:tc>
          <w:tcPr>
            <w:tcW w:w="1351" w:type="dxa"/>
            <w:gridSpan w:val="2"/>
            <w:tcBorders>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864.1</w:t>
            </w:r>
          </w:p>
        </w:tc>
        <w:tc>
          <w:tcPr>
            <w:tcW w:w="1071" w:type="dxa"/>
            <w:gridSpan w:val="2"/>
            <w:tcBorders>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869.5</w:t>
            </w:r>
          </w:p>
        </w:tc>
        <w:tc>
          <w:tcPr>
            <w:tcW w:w="1093"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902.9</w:t>
            </w:r>
          </w:p>
        </w:tc>
        <w:tc>
          <w:tcPr>
            <w:tcW w:w="1014"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907.5</w:t>
            </w:r>
          </w:p>
        </w:tc>
        <w:tc>
          <w:tcPr>
            <w:tcW w:w="1019"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912.0</w:t>
            </w:r>
          </w:p>
        </w:tc>
      </w:tr>
      <w:tr w:rsidR="005318B7" w:rsidRPr="00AC6EC4" w:rsidTr="00C8379D">
        <w:trPr>
          <w:trHeight w:val="249"/>
          <w:jc w:val="center"/>
        </w:trPr>
        <w:tc>
          <w:tcPr>
            <w:tcW w:w="2835" w:type="dxa"/>
            <w:gridSpan w:val="2"/>
            <w:tcBorders>
              <w:left w:val="nil"/>
              <w:bottom w:val="single" w:sz="4" w:space="0" w:color="auto"/>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External Guarantees</w:t>
            </w:r>
          </w:p>
        </w:tc>
        <w:tc>
          <w:tcPr>
            <w:tcW w:w="1095"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3.8</w:t>
            </w:r>
          </w:p>
        </w:tc>
        <w:tc>
          <w:tcPr>
            <w:tcW w:w="1071"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4.5</w:t>
            </w:r>
          </w:p>
        </w:tc>
        <w:tc>
          <w:tcPr>
            <w:tcW w:w="1351" w:type="dxa"/>
            <w:gridSpan w:val="2"/>
            <w:tcBorders>
              <w:left w:val="nil"/>
              <w:bottom w:val="single" w:sz="4"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4.4</w:t>
            </w:r>
          </w:p>
        </w:tc>
        <w:tc>
          <w:tcPr>
            <w:tcW w:w="1071" w:type="dxa"/>
            <w:gridSpan w:val="2"/>
            <w:tcBorders>
              <w:left w:val="double" w:sz="4" w:space="0" w:color="auto"/>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4.1</w:t>
            </w:r>
          </w:p>
        </w:tc>
        <w:tc>
          <w:tcPr>
            <w:tcW w:w="1093"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4.2</w:t>
            </w:r>
          </w:p>
        </w:tc>
        <w:tc>
          <w:tcPr>
            <w:tcW w:w="1014"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4.1</w:t>
            </w:r>
          </w:p>
        </w:tc>
        <w:tc>
          <w:tcPr>
            <w:tcW w:w="1019" w:type="dxa"/>
            <w:gridSpan w:val="2"/>
            <w:tcBorders>
              <w:left w:val="nil"/>
              <w:bottom w:val="sing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3.8</w:t>
            </w:r>
          </w:p>
        </w:tc>
      </w:tr>
      <w:tr w:rsidR="005318B7" w:rsidRPr="00AC6EC4" w:rsidTr="00C8379D">
        <w:trPr>
          <w:trHeight w:val="256"/>
          <w:jc w:val="center"/>
        </w:trPr>
        <w:tc>
          <w:tcPr>
            <w:tcW w:w="2835" w:type="dxa"/>
            <w:gridSpan w:val="2"/>
            <w:tcBorders>
              <w:left w:val="nil"/>
              <w:bottom w:val="single" w:sz="12" w:space="0" w:color="auto"/>
              <w:right w:val="nil"/>
            </w:tcBorders>
            <w:vAlign w:val="center"/>
          </w:tcPr>
          <w:p w:rsidR="005318B7" w:rsidRPr="00AC6EC4" w:rsidRDefault="005318B7" w:rsidP="00062901">
            <w:pPr>
              <w:spacing w:line="240" w:lineRule="auto"/>
              <w:ind w:left="297" w:firstLine="0"/>
              <w:rPr>
                <w:rFonts w:asciiTheme="majorHAnsi" w:hAnsiTheme="majorHAnsi" w:cstheme="majorHAnsi"/>
              </w:rPr>
            </w:pPr>
            <w:r w:rsidRPr="00AC6EC4">
              <w:rPr>
                <w:rFonts w:asciiTheme="majorHAnsi" w:hAnsiTheme="majorHAnsi" w:cstheme="majorHAnsi"/>
              </w:rPr>
              <w:t>Domestic Guarantees</w:t>
            </w:r>
          </w:p>
        </w:tc>
        <w:tc>
          <w:tcPr>
            <w:tcW w:w="1095"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c>
          <w:tcPr>
            <w:tcW w:w="1071"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c>
          <w:tcPr>
            <w:tcW w:w="1351" w:type="dxa"/>
            <w:gridSpan w:val="2"/>
            <w:tcBorders>
              <w:left w:val="nil"/>
              <w:bottom w:val="single" w:sz="12"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c>
          <w:tcPr>
            <w:tcW w:w="1071" w:type="dxa"/>
            <w:gridSpan w:val="2"/>
            <w:tcBorders>
              <w:left w:val="double" w:sz="4" w:space="0" w:color="auto"/>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c>
          <w:tcPr>
            <w:tcW w:w="1093"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c>
          <w:tcPr>
            <w:tcW w:w="1014"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c>
          <w:tcPr>
            <w:tcW w:w="1019" w:type="dxa"/>
            <w:gridSpan w:val="2"/>
            <w:tcBorders>
              <w:left w:val="nil"/>
              <w:bottom w:val="single" w:sz="12"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w:t>
            </w:r>
          </w:p>
        </w:tc>
      </w:tr>
      <w:tr w:rsidR="005318B7" w:rsidRPr="00AC6EC4" w:rsidTr="00C8379D">
        <w:trPr>
          <w:trHeight w:val="511"/>
          <w:jc w:val="center"/>
        </w:trPr>
        <w:tc>
          <w:tcPr>
            <w:tcW w:w="2835" w:type="dxa"/>
            <w:gridSpan w:val="2"/>
            <w:tcBorders>
              <w:top w:val="single" w:sz="12" w:space="0" w:color="auto"/>
              <w:left w:val="nil"/>
              <w:right w:val="nil"/>
            </w:tcBorders>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 xml:space="preserve">Interest Payment for Government Debt </w:t>
            </w:r>
          </w:p>
        </w:tc>
        <w:tc>
          <w:tcPr>
            <w:tcW w:w="1095"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157.5</w:t>
            </w:r>
          </w:p>
        </w:tc>
        <w:tc>
          <w:tcPr>
            <w:tcW w:w="1071"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164.7</w:t>
            </w:r>
          </w:p>
        </w:tc>
        <w:tc>
          <w:tcPr>
            <w:tcW w:w="1351" w:type="dxa"/>
            <w:gridSpan w:val="2"/>
            <w:tcBorders>
              <w:top w:val="single" w:sz="12" w:space="0" w:color="auto"/>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194.7</w:t>
            </w:r>
          </w:p>
        </w:tc>
        <w:tc>
          <w:tcPr>
            <w:tcW w:w="1071" w:type="dxa"/>
            <w:gridSpan w:val="2"/>
            <w:tcBorders>
              <w:top w:val="single" w:sz="12" w:space="0" w:color="auto"/>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194.5</w:t>
            </w:r>
          </w:p>
        </w:tc>
        <w:tc>
          <w:tcPr>
            <w:tcW w:w="1093"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215.7</w:t>
            </w:r>
          </w:p>
        </w:tc>
        <w:tc>
          <w:tcPr>
            <w:tcW w:w="1014"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243.5</w:t>
            </w:r>
          </w:p>
        </w:tc>
        <w:tc>
          <w:tcPr>
            <w:tcW w:w="1019" w:type="dxa"/>
            <w:gridSpan w:val="2"/>
            <w:tcBorders>
              <w:top w:val="single" w:sz="12" w:space="0" w:color="auto"/>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268.1</w:t>
            </w:r>
          </w:p>
        </w:tc>
      </w:tr>
      <w:tr w:rsidR="005318B7" w:rsidRPr="00AC6EC4" w:rsidTr="00C8379D">
        <w:trPr>
          <w:trHeight w:val="511"/>
          <w:jc w:val="center"/>
        </w:trPr>
        <w:tc>
          <w:tcPr>
            <w:tcW w:w="2835" w:type="dxa"/>
            <w:gridSpan w:val="2"/>
            <w:tcBorders>
              <w:left w:val="nil"/>
              <w:right w:val="nil"/>
            </w:tcBorders>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Interest Payment / State Budget Expenditures (%)</w:t>
            </w:r>
          </w:p>
        </w:tc>
        <w:tc>
          <w:tcPr>
            <w:tcW w:w="1095"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9.7</w:t>
            </w:r>
          </w:p>
        </w:tc>
        <w:tc>
          <w:tcPr>
            <w:tcW w:w="1071"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8.7</w:t>
            </w:r>
          </w:p>
        </w:tc>
        <w:tc>
          <w:tcPr>
            <w:tcW w:w="1351" w:type="dxa"/>
            <w:gridSpan w:val="2"/>
            <w:tcBorders>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10.5</w:t>
            </w:r>
          </w:p>
        </w:tc>
        <w:tc>
          <w:tcPr>
            <w:tcW w:w="1071" w:type="dxa"/>
            <w:gridSpan w:val="2"/>
            <w:tcBorders>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10.0</w:t>
            </w:r>
          </w:p>
        </w:tc>
        <w:tc>
          <w:tcPr>
            <w:tcW w:w="1093"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10.8</w:t>
            </w:r>
          </w:p>
        </w:tc>
        <w:tc>
          <w:tcPr>
            <w:tcW w:w="1014"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11.4</w:t>
            </w:r>
          </w:p>
        </w:tc>
        <w:tc>
          <w:tcPr>
            <w:tcW w:w="1019"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11.6</w:t>
            </w:r>
          </w:p>
        </w:tc>
      </w:tr>
      <w:tr w:rsidR="005318B7" w:rsidRPr="00AC6EC4" w:rsidTr="00C8379D">
        <w:trPr>
          <w:trHeight w:val="766"/>
          <w:jc w:val="center"/>
        </w:trPr>
        <w:tc>
          <w:tcPr>
            <w:tcW w:w="2835" w:type="dxa"/>
            <w:gridSpan w:val="2"/>
            <w:tcBorders>
              <w:left w:val="nil"/>
              <w:right w:val="nil"/>
            </w:tcBorders>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Interest Payment / State Budget Own Revenues (without grants) (%)</w:t>
            </w:r>
          </w:p>
        </w:tc>
        <w:tc>
          <w:tcPr>
            <w:tcW w:w="1095"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10.1</w:t>
            </w:r>
          </w:p>
        </w:tc>
        <w:tc>
          <w:tcPr>
            <w:tcW w:w="1071"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10.9</w:t>
            </w:r>
          </w:p>
        </w:tc>
        <w:tc>
          <w:tcPr>
            <w:tcW w:w="1351" w:type="dxa"/>
            <w:gridSpan w:val="2"/>
            <w:tcBorders>
              <w:left w:val="nil"/>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13.1</w:t>
            </w:r>
          </w:p>
        </w:tc>
        <w:tc>
          <w:tcPr>
            <w:tcW w:w="1071" w:type="dxa"/>
            <w:gridSpan w:val="2"/>
            <w:tcBorders>
              <w:left w:val="double" w:sz="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12.2</w:t>
            </w:r>
          </w:p>
        </w:tc>
        <w:tc>
          <w:tcPr>
            <w:tcW w:w="1093"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12.0</w:t>
            </w:r>
          </w:p>
        </w:tc>
        <w:tc>
          <w:tcPr>
            <w:tcW w:w="1014"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12.5</w:t>
            </w:r>
          </w:p>
        </w:tc>
        <w:tc>
          <w:tcPr>
            <w:tcW w:w="1019" w:type="dxa"/>
            <w:gridSpan w:val="2"/>
            <w:tcBorders>
              <w:left w:val="nil"/>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12.5</w:t>
            </w:r>
          </w:p>
        </w:tc>
      </w:tr>
      <w:tr w:rsidR="005318B7" w:rsidRPr="00AC6EC4" w:rsidTr="00C8379D">
        <w:trPr>
          <w:trHeight w:val="261"/>
          <w:jc w:val="center"/>
        </w:trPr>
        <w:tc>
          <w:tcPr>
            <w:tcW w:w="2835" w:type="dxa"/>
            <w:gridSpan w:val="2"/>
            <w:tcBorders>
              <w:left w:val="nil"/>
              <w:bottom w:val="thickThinSmallGap" w:sz="24" w:space="0" w:color="auto"/>
              <w:right w:val="nil"/>
            </w:tcBorders>
          </w:tcPr>
          <w:p w:rsidR="005318B7" w:rsidRPr="00AC6EC4" w:rsidRDefault="005318B7" w:rsidP="00062901">
            <w:pPr>
              <w:spacing w:line="240" w:lineRule="auto"/>
              <w:ind w:firstLine="0"/>
              <w:rPr>
                <w:rFonts w:asciiTheme="majorHAnsi" w:hAnsiTheme="majorHAnsi" w:cstheme="majorHAnsi"/>
              </w:rPr>
            </w:pPr>
            <w:r w:rsidRPr="00AC6EC4">
              <w:rPr>
                <w:rFonts w:asciiTheme="majorHAnsi" w:hAnsiTheme="majorHAnsi" w:cstheme="majorHAnsi"/>
              </w:rPr>
              <w:t>Interest Payment / GDP (%)</w:t>
            </w:r>
          </w:p>
        </w:tc>
        <w:tc>
          <w:tcPr>
            <w:tcW w:w="1095" w:type="dxa"/>
            <w:gridSpan w:val="2"/>
            <w:tcBorders>
              <w:left w:val="nil"/>
              <w:bottom w:val="thickThinSmallGap" w:sz="2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2.4</w:t>
            </w:r>
          </w:p>
        </w:tc>
        <w:tc>
          <w:tcPr>
            <w:tcW w:w="1071" w:type="dxa"/>
            <w:gridSpan w:val="2"/>
            <w:tcBorders>
              <w:left w:val="nil"/>
              <w:bottom w:val="thickThinSmallGap" w:sz="2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2.7</w:t>
            </w:r>
          </w:p>
        </w:tc>
        <w:tc>
          <w:tcPr>
            <w:tcW w:w="1351" w:type="dxa"/>
            <w:gridSpan w:val="2"/>
            <w:tcBorders>
              <w:left w:val="nil"/>
              <w:bottom w:val="thickThinSmallGap" w:sz="24" w:space="0" w:color="auto"/>
              <w:right w:val="double" w:sz="4" w:space="0" w:color="auto"/>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3.0</w:t>
            </w:r>
          </w:p>
        </w:tc>
        <w:tc>
          <w:tcPr>
            <w:tcW w:w="1071" w:type="dxa"/>
            <w:gridSpan w:val="2"/>
            <w:tcBorders>
              <w:left w:val="double" w:sz="4" w:space="0" w:color="auto"/>
              <w:bottom w:val="thickThinSmallGap" w:sz="2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2.8</w:t>
            </w:r>
          </w:p>
        </w:tc>
        <w:tc>
          <w:tcPr>
            <w:tcW w:w="1093" w:type="dxa"/>
            <w:gridSpan w:val="2"/>
            <w:tcBorders>
              <w:left w:val="nil"/>
              <w:bottom w:val="thickThinSmallGap" w:sz="2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2.8</w:t>
            </w:r>
          </w:p>
        </w:tc>
        <w:tc>
          <w:tcPr>
            <w:tcW w:w="1014" w:type="dxa"/>
            <w:gridSpan w:val="2"/>
            <w:tcBorders>
              <w:left w:val="nil"/>
              <w:bottom w:val="thickThinSmallGap" w:sz="2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3.0</w:t>
            </w:r>
          </w:p>
        </w:tc>
        <w:tc>
          <w:tcPr>
            <w:tcW w:w="1019" w:type="dxa"/>
            <w:gridSpan w:val="2"/>
            <w:tcBorders>
              <w:left w:val="nil"/>
              <w:bottom w:val="thickThinSmallGap" w:sz="24" w:space="0" w:color="auto"/>
              <w:right w:val="nil"/>
            </w:tcBorders>
            <w:vAlign w:val="center"/>
          </w:tcPr>
          <w:p w:rsidR="005318B7" w:rsidRPr="00AC6EC4" w:rsidRDefault="005318B7" w:rsidP="00062901">
            <w:pPr>
              <w:spacing w:line="240" w:lineRule="auto"/>
              <w:ind w:hanging="5"/>
              <w:jc w:val="center"/>
              <w:rPr>
                <w:rFonts w:asciiTheme="majorHAnsi" w:hAnsiTheme="majorHAnsi" w:cstheme="majorHAnsi"/>
              </w:rPr>
            </w:pPr>
            <w:r w:rsidRPr="00AC6EC4">
              <w:rPr>
                <w:rFonts w:asciiTheme="majorHAnsi" w:hAnsiTheme="majorHAnsi" w:cstheme="majorHAnsi"/>
              </w:rPr>
              <w:t>3.0</w:t>
            </w:r>
          </w:p>
        </w:tc>
      </w:tr>
    </w:tbl>
    <w:p w:rsidR="00025E2D" w:rsidRPr="00AC6EC4" w:rsidRDefault="00C8379D" w:rsidP="00274E65">
      <w:pPr>
        <w:pStyle w:val="Heading5"/>
        <w:numPr>
          <w:ilvl w:val="0"/>
          <w:numId w:val="29"/>
        </w:numPr>
        <w:spacing w:line="240" w:lineRule="auto"/>
        <w:ind w:left="426"/>
        <w:jc w:val="left"/>
        <w:rPr>
          <w:rStyle w:val="Emphasis"/>
          <w:rFonts w:asciiTheme="majorHAnsi" w:hAnsiTheme="majorHAnsi" w:cstheme="majorHAnsi"/>
          <w:b w:val="0"/>
          <w:sz w:val="24"/>
          <w:szCs w:val="24"/>
        </w:rPr>
      </w:pPr>
      <w:r w:rsidRPr="00AC6EC4">
        <w:rPr>
          <w:rStyle w:val="Emphasis"/>
          <w:rFonts w:asciiTheme="majorHAnsi" w:hAnsiTheme="majorHAnsi" w:cstheme="majorHAnsi"/>
          <w:b w:val="0"/>
          <w:sz w:val="24"/>
          <w:szCs w:val="24"/>
        </w:rPr>
        <w:tab/>
        <w:t>Government bond indicators in</w:t>
      </w:r>
      <w:r w:rsidRPr="00AC6EC4">
        <w:rPr>
          <w:rStyle w:val="Emphasis"/>
          <w:rFonts w:asciiTheme="majorHAnsi" w:hAnsiTheme="majorHAnsi" w:cstheme="majorHAnsi"/>
          <w:b w:val="0"/>
          <w:sz w:val="24"/>
          <w:szCs w:val="24"/>
          <w:lang w:val="en-US"/>
        </w:rPr>
        <w:t xml:space="preserve"> 2019-2024</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2"/>
        <w:gridCol w:w="983"/>
        <w:gridCol w:w="1373"/>
        <w:gridCol w:w="1087"/>
        <w:gridCol w:w="1074"/>
        <w:gridCol w:w="1003"/>
        <w:gridCol w:w="1002"/>
      </w:tblGrid>
      <w:tr w:rsidR="00C8379D" w:rsidRPr="00AC6EC4" w:rsidTr="00C8379D">
        <w:trPr>
          <w:trHeight w:val="794"/>
          <w:tblHeader/>
          <w:jc w:val="center"/>
        </w:trPr>
        <w:tc>
          <w:tcPr>
            <w:tcW w:w="269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C8379D" w:rsidRPr="00AC6EC4" w:rsidRDefault="00C8379D"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p>
        </w:tc>
        <w:tc>
          <w:tcPr>
            <w:tcW w:w="113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C8379D" w:rsidRPr="00AC6EC4" w:rsidRDefault="00C8379D"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2019 </w:t>
            </w:r>
            <w:r w:rsidRPr="00AC6EC4">
              <w:rPr>
                <w:rFonts w:asciiTheme="majorHAnsi" w:hAnsiTheme="majorHAnsi" w:cstheme="majorHAnsi"/>
                <w:color w:val="FFFFFF" w:themeColor="background1"/>
                <w:lang w:val="en-US"/>
              </w:rPr>
              <w:t>Actual</w:t>
            </w:r>
          </w:p>
        </w:tc>
        <w:tc>
          <w:tcPr>
            <w:tcW w:w="983"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C8379D" w:rsidRPr="00AC6EC4" w:rsidRDefault="00C8379D"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2020 </w:t>
            </w:r>
            <w:r w:rsidRPr="00AC6EC4">
              <w:rPr>
                <w:rFonts w:asciiTheme="majorHAnsi" w:hAnsiTheme="majorHAnsi" w:cstheme="majorHAnsi"/>
                <w:color w:val="FFFFFF" w:themeColor="background1"/>
                <w:lang w:val="en-US"/>
              </w:rPr>
              <w:t>Actual</w:t>
            </w:r>
            <w:r w:rsidRPr="00AC6EC4">
              <w:rPr>
                <w:rFonts w:asciiTheme="majorHAnsi" w:hAnsiTheme="majorHAnsi" w:cstheme="majorHAnsi"/>
                <w:color w:val="FFFFFF" w:themeColor="background1"/>
              </w:rPr>
              <w:t xml:space="preserve"> </w:t>
            </w:r>
          </w:p>
        </w:tc>
        <w:tc>
          <w:tcPr>
            <w:tcW w:w="1373"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C8379D" w:rsidRPr="00AC6EC4" w:rsidRDefault="00C8379D"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 State budget program</w:t>
            </w:r>
          </w:p>
        </w:tc>
        <w:tc>
          <w:tcPr>
            <w:tcW w:w="1087"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C8379D" w:rsidRPr="00AC6EC4" w:rsidRDefault="00C837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74"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C8379D" w:rsidRPr="00AC6EC4" w:rsidRDefault="00C837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003"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C8379D" w:rsidRPr="00AC6EC4" w:rsidRDefault="00C837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02"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C8379D" w:rsidRPr="00AC6EC4" w:rsidRDefault="00C8379D"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C8379D" w:rsidRPr="00AC6EC4" w:rsidTr="00C8379D">
        <w:trPr>
          <w:trHeight w:val="524"/>
          <w:jc w:val="center"/>
        </w:trPr>
        <w:tc>
          <w:tcPr>
            <w:tcW w:w="2694" w:type="dxa"/>
            <w:tcBorders>
              <w:left w:val="nil"/>
              <w:bottom w:val="single" w:sz="4" w:space="0" w:color="auto"/>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bCs/>
              </w:rPr>
              <w:t>Government Treasury Bonds, billion AMD</w:t>
            </w:r>
          </w:p>
        </w:tc>
        <w:tc>
          <w:tcPr>
            <w:tcW w:w="1132"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681.0</w:t>
            </w:r>
          </w:p>
        </w:tc>
        <w:tc>
          <w:tcPr>
            <w:tcW w:w="983"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958.8</w:t>
            </w:r>
          </w:p>
        </w:tc>
        <w:tc>
          <w:tcPr>
            <w:tcW w:w="1373" w:type="dxa"/>
            <w:tcBorders>
              <w:left w:val="nil"/>
              <w:bottom w:val="single" w:sz="4"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1,178.1</w:t>
            </w:r>
          </w:p>
        </w:tc>
        <w:tc>
          <w:tcPr>
            <w:tcW w:w="1087" w:type="dxa"/>
            <w:tcBorders>
              <w:left w:val="double" w:sz="4" w:space="0" w:color="auto"/>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1,162.3</w:t>
            </w:r>
          </w:p>
        </w:tc>
        <w:tc>
          <w:tcPr>
            <w:tcW w:w="1074"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1,382.3</w:t>
            </w:r>
          </w:p>
        </w:tc>
        <w:tc>
          <w:tcPr>
            <w:tcW w:w="1003"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1,622.3</w:t>
            </w:r>
          </w:p>
        </w:tc>
        <w:tc>
          <w:tcPr>
            <w:tcW w:w="1002"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1,882.3</w:t>
            </w:r>
          </w:p>
        </w:tc>
      </w:tr>
      <w:tr w:rsidR="00C8379D" w:rsidRPr="00AC6EC4" w:rsidTr="00C8379D">
        <w:trPr>
          <w:trHeight w:val="263"/>
          <w:jc w:val="center"/>
        </w:trPr>
        <w:tc>
          <w:tcPr>
            <w:tcW w:w="2694" w:type="dxa"/>
            <w:tcBorders>
              <w:left w:val="nil"/>
              <w:bottom w:val="single" w:sz="12" w:space="0" w:color="auto"/>
              <w:right w:val="nil"/>
            </w:tcBorders>
            <w:vAlign w:val="center"/>
          </w:tcPr>
          <w:p w:rsidR="00C8379D" w:rsidRPr="00AC6EC4" w:rsidRDefault="00C8379D" w:rsidP="00062901">
            <w:pPr>
              <w:spacing w:line="240" w:lineRule="auto"/>
              <w:ind w:left="356" w:firstLine="0"/>
              <w:rPr>
                <w:rFonts w:asciiTheme="majorHAnsi" w:hAnsiTheme="majorHAnsi" w:cstheme="majorHAnsi"/>
              </w:rPr>
            </w:pPr>
            <w:r w:rsidRPr="00AC6EC4">
              <w:rPr>
                <w:rFonts w:asciiTheme="majorHAnsi" w:hAnsiTheme="majorHAnsi" w:cstheme="majorHAnsi"/>
              </w:rPr>
              <w:t>% to GDP</w:t>
            </w:r>
          </w:p>
        </w:tc>
        <w:tc>
          <w:tcPr>
            <w:tcW w:w="113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10.4</w:t>
            </w:r>
          </w:p>
        </w:tc>
        <w:tc>
          <w:tcPr>
            <w:tcW w:w="98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15.5</w:t>
            </w:r>
          </w:p>
        </w:tc>
        <w:tc>
          <w:tcPr>
            <w:tcW w:w="1373" w:type="dxa"/>
            <w:tcBorders>
              <w:left w:val="nil"/>
              <w:bottom w:val="single" w:sz="12"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18.0</w:t>
            </w:r>
          </w:p>
        </w:tc>
        <w:tc>
          <w:tcPr>
            <w:tcW w:w="1087" w:type="dxa"/>
            <w:tcBorders>
              <w:left w:val="double" w:sz="4" w:space="0" w:color="auto"/>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16.9</w:t>
            </w:r>
          </w:p>
        </w:tc>
        <w:tc>
          <w:tcPr>
            <w:tcW w:w="1074"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18.3</w:t>
            </w:r>
          </w:p>
        </w:tc>
        <w:tc>
          <w:tcPr>
            <w:tcW w:w="100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19.9</w:t>
            </w:r>
          </w:p>
        </w:tc>
        <w:tc>
          <w:tcPr>
            <w:tcW w:w="100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21.3</w:t>
            </w:r>
          </w:p>
        </w:tc>
      </w:tr>
      <w:tr w:rsidR="00C8379D" w:rsidRPr="00AC6EC4" w:rsidTr="00C8379D">
        <w:trPr>
          <w:trHeight w:val="524"/>
          <w:jc w:val="center"/>
        </w:trPr>
        <w:tc>
          <w:tcPr>
            <w:tcW w:w="2694" w:type="dxa"/>
            <w:tcBorders>
              <w:top w:val="single" w:sz="12" w:space="0" w:color="auto"/>
              <w:left w:val="nil"/>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rPr>
              <w:t>By Days to Maturity</w:t>
            </w:r>
            <w:r w:rsidRPr="00AC6EC4">
              <w:rPr>
                <w:rFonts w:asciiTheme="majorHAnsi" w:hAnsiTheme="majorHAnsi" w:cstheme="majorHAnsi"/>
                <w:bCs/>
              </w:rPr>
              <w:t>, billion AMD</w:t>
            </w:r>
          </w:p>
        </w:tc>
        <w:tc>
          <w:tcPr>
            <w:tcW w:w="1132"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p>
        </w:tc>
        <w:tc>
          <w:tcPr>
            <w:tcW w:w="983"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lang w:val="en-US"/>
              </w:rPr>
            </w:pPr>
          </w:p>
        </w:tc>
        <w:tc>
          <w:tcPr>
            <w:tcW w:w="1373" w:type="dxa"/>
            <w:tcBorders>
              <w:top w:val="single" w:sz="12" w:space="0" w:color="auto"/>
              <w:left w:val="nil"/>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p>
        </w:tc>
        <w:tc>
          <w:tcPr>
            <w:tcW w:w="1087" w:type="dxa"/>
            <w:tcBorders>
              <w:top w:val="single" w:sz="12" w:space="0" w:color="auto"/>
              <w:left w:val="doub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p>
        </w:tc>
        <w:tc>
          <w:tcPr>
            <w:tcW w:w="1074"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p>
        </w:tc>
        <w:tc>
          <w:tcPr>
            <w:tcW w:w="1003"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p>
        </w:tc>
        <w:tc>
          <w:tcPr>
            <w:tcW w:w="1002"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p>
        </w:tc>
      </w:tr>
      <w:tr w:rsidR="00C8379D" w:rsidRPr="00AC6EC4" w:rsidTr="00C8379D">
        <w:trPr>
          <w:trHeight w:val="263"/>
          <w:jc w:val="center"/>
        </w:trPr>
        <w:tc>
          <w:tcPr>
            <w:tcW w:w="2694" w:type="dxa"/>
            <w:tcBorders>
              <w:left w:val="nil"/>
              <w:right w:val="nil"/>
            </w:tcBorders>
            <w:vAlign w:val="center"/>
          </w:tcPr>
          <w:p w:rsidR="00C8379D" w:rsidRPr="00AC6EC4" w:rsidRDefault="00C8379D" w:rsidP="00062901">
            <w:pPr>
              <w:spacing w:line="240" w:lineRule="auto"/>
              <w:ind w:left="436" w:firstLine="0"/>
              <w:rPr>
                <w:rFonts w:asciiTheme="majorHAnsi" w:hAnsiTheme="majorHAnsi" w:cstheme="majorHAnsi"/>
                <w:bCs/>
              </w:rPr>
            </w:pPr>
            <w:r w:rsidRPr="00AC6EC4">
              <w:rPr>
                <w:rFonts w:asciiTheme="majorHAnsi" w:hAnsiTheme="majorHAnsi" w:cstheme="majorHAnsi"/>
              </w:rPr>
              <w:t>Up to 1 year</w:t>
            </w:r>
          </w:p>
        </w:tc>
        <w:tc>
          <w:tcPr>
            <w:tcW w:w="1132"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86.2</w:t>
            </w:r>
          </w:p>
        </w:tc>
        <w:tc>
          <w:tcPr>
            <w:tcW w:w="983"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110.4</w:t>
            </w:r>
          </w:p>
        </w:tc>
        <w:tc>
          <w:tcPr>
            <w:tcW w:w="1373" w:type="dxa"/>
            <w:tcBorders>
              <w:left w:val="nil"/>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121.5</w:t>
            </w:r>
          </w:p>
        </w:tc>
        <w:tc>
          <w:tcPr>
            <w:tcW w:w="1087" w:type="dxa"/>
            <w:tcBorders>
              <w:left w:val="doub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141.5</w:t>
            </w:r>
          </w:p>
        </w:tc>
        <w:tc>
          <w:tcPr>
            <w:tcW w:w="1074"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153.9</w:t>
            </w:r>
          </w:p>
        </w:tc>
        <w:tc>
          <w:tcPr>
            <w:tcW w:w="1003"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162.9</w:t>
            </w:r>
          </w:p>
        </w:tc>
        <w:tc>
          <w:tcPr>
            <w:tcW w:w="1002"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265.4</w:t>
            </w:r>
          </w:p>
        </w:tc>
      </w:tr>
      <w:tr w:rsidR="00C8379D" w:rsidRPr="00AC6EC4" w:rsidTr="00C8379D">
        <w:trPr>
          <w:trHeight w:val="256"/>
          <w:jc w:val="center"/>
        </w:trPr>
        <w:tc>
          <w:tcPr>
            <w:tcW w:w="2694" w:type="dxa"/>
            <w:tcBorders>
              <w:left w:val="nil"/>
              <w:bottom w:val="single" w:sz="4" w:space="0" w:color="auto"/>
              <w:right w:val="nil"/>
            </w:tcBorders>
            <w:vAlign w:val="center"/>
          </w:tcPr>
          <w:p w:rsidR="00C8379D" w:rsidRPr="00AC6EC4" w:rsidRDefault="00C8379D" w:rsidP="00062901">
            <w:pPr>
              <w:spacing w:line="240" w:lineRule="auto"/>
              <w:ind w:left="436" w:firstLine="0"/>
              <w:rPr>
                <w:rFonts w:asciiTheme="majorHAnsi" w:hAnsiTheme="majorHAnsi" w:cstheme="majorHAnsi"/>
                <w:bCs/>
              </w:rPr>
            </w:pPr>
            <w:r w:rsidRPr="00AC6EC4">
              <w:rPr>
                <w:rFonts w:asciiTheme="majorHAnsi" w:hAnsiTheme="majorHAnsi" w:cstheme="majorHAnsi"/>
              </w:rPr>
              <w:t>1-5 years</w:t>
            </w:r>
          </w:p>
        </w:tc>
        <w:tc>
          <w:tcPr>
            <w:tcW w:w="1132"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196.1</w:t>
            </w:r>
          </w:p>
        </w:tc>
        <w:tc>
          <w:tcPr>
            <w:tcW w:w="983"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277.6</w:t>
            </w:r>
          </w:p>
        </w:tc>
        <w:tc>
          <w:tcPr>
            <w:tcW w:w="1373" w:type="dxa"/>
            <w:tcBorders>
              <w:left w:val="nil"/>
              <w:bottom w:val="single" w:sz="4"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349.8</w:t>
            </w:r>
          </w:p>
        </w:tc>
        <w:tc>
          <w:tcPr>
            <w:tcW w:w="1087" w:type="dxa"/>
            <w:tcBorders>
              <w:left w:val="double" w:sz="4" w:space="0" w:color="auto"/>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308.5</w:t>
            </w:r>
          </w:p>
        </w:tc>
        <w:tc>
          <w:tcPr>
            <w:tcW w:w="1074"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421.5</w:t>
            </w:r>
          </w:p>
        </w:tc>
        <w:tc>
          <w:tcPr>
            <w:tcW w:w="1003"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512.1</w:t>
            </w:r>
          </w:p>
        </w:tc>
        <w:tc>
          <w:tcPr>
            <w:tcW w:w="1002"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655.1</w:t>
            </w:r>
          </w:p>
        </w:tc>
      </w:tr>
      <w:tr w:rsidR="00C8379D" w:rsidRPr="00AC6EC4" w:rsidTr="00C8379D">
        <w:trPr>
          <w:trHeight w:val="263"/>
          <w:jc w:val="center"/>
        </w:trPr>
        <w:tc>
          <w:tcPr>
            <w:tcW w:w="2694" w:type="dxa"/>
            <w:tcBorders>
              <w:left w:val="nil"/>
              <w:bottom w:val="single" w:sz="12" w:space="0" w:color="auto"/>
              <w:right w:val="nil"/>
            </w:tcBorders>
            <w:vAlign w:val="center"/>
          </w:tcPr>
          <w:p w:rsidR="00C8379D" w:rsidRPr="00AC6EC4" w:rsidRDefault="00C8379D" w:rsidP="00062901">
            <w:pPr>
              <w:spacing w:line="240" w:lineRule="auto"/>
              <w:ind w:left="436" w:firstLine="0"/>
              <w:rPr>
                <w:rFonts w:asciiTheme="majorHAnsi" w:hAnsiTheme="majorHAnsi" w:cstheme="majorHAnsi"/>
                <w:bCs/>
              </w:rPr>
            </w:pPr>
            <w:r w:rsidRPr="00AC6EC4">
              <w:rPr>
                <w:rFonts w:asciiTheme="majorHAnsi" w:hAnsiTheme="majorHAnsi" w:cstheme="majorHAnsi"/>
              </w:rPr>
              <w:t>More than 5 years</w:t>
            </w:r>
          </w:p>
        </w:tc>
        <w:tc>
          <w:tcPr>
            <w:tcW w:w="113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398.7</w:t>
            </w:r>
          </w:p>
        </w:tc>
        <w:tc>
          <w:tcPr>
            <w:tcW w:w="98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570.8</w:t>
            </w:r>
          </w:p>
        </w:tc>
        <w:tc>
          <w:tcPr>
            <w:tcW w:w="1373" w:type="dxa"/>
            <w:tcBorders>
              <w:left w:val="nil"/>
              <w:bottom w:val="single" w:sz="12"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706.8</w:t>
            </w:r>
          </w:p>
        </w:tc>
        <w:tc>
          <w:tcPr>
            <w:tcW w:w="1087" w:type="dxa"/>
            <w:tcBorders>
              <w:left w:val="double" w:sz="4" w:space="0" w:color="auto"/>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712.4</w:t>
            </w:r>
          </w:p>
        </w:tc>
        <w:tc>
          <w:tcPr>
            <w:tcW w:w="1074"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806.9</w:t>
            </w:r>
          </w:p>
        </w:tc>
        <w:tc>
          <w:tcPr>
            <w:tcW w:w="100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947.4</w:t>
            </w:r>
          </w:p>
        </w:tc>
        <w:tc>
          <w:tcPr>
            <w:tcW w:w="100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961.8</w:t>
            </w:r>
          </w:p>
        </w:tc>
      </w:tr>
      <w:tr w:rsidR="00C8379D" w:rsidRPr="00AC6EC4" w:rsidTr="00C8379D">
        <w:trPr>
          <w:trHeight w:val="263"/>
          <w:jc w:val="center"/>
        </w:trPr>
        <w:tc>
          <w:tcPr>
            <w:tcW w:w="2694" w:type="dxa"/>
            <w:tcBorders>
              <w:top w:val="single" w:sz="12" w:space="0" w:color="auto"/>
              <w:left w:val="nil"/>
              <w:right w:val="nil"/>
            </w:tcBorders>
            <w:vAlign w:val="center"/>
          </w:tcPr>
          <w:p w:rsidR="00C8379D" w:rsidRPr="00AC6EC4" w:rsidRDefault="00C8379D" w:rsidP="00062901">
            <w:pPr>
              <w:spacing w:line="240" w:lineRule="auto"/>
              <w:ind w:firstLine="0"/>
              <w:rPr>
                <w:rFonts w:asciiTheme="majorHAnsi" w:hAnsiTheme="majorHAnsi" w:cstheme="majorHAnsi"/>
                <w:bCs/>
              </w:rPr>
            </w:pPr>
            <w:r w:rsidRPr="00AC6EC4">
              <w:rPr>
                <w:rFonts w:asciiTheme="majorHAnsi" w:hAnsiTheme="majorHAnsi" w:cstheme="majorHAnsi"/>
              </w:rPr>
              <w:t>Share by Days to Maturity</w:t>
            </w:r>
            <w:r w:rsidRPr="00AC6EC4">
              <w:rPr>
                <w:rFonts w:asciiTheme="majorHAnsi" w:hAnsiTheme="majorHAnsi" w:cstheme="majorHAnsi"/>
                <w:bCs/>
              </w:rPr>
              <w:t xml:space="preserve"> (%)</w:t>
            </w:r>
          </w:p>
        </w:tc>
        <w:tc>
          <w:tcPr>
            <w:tcW w:w="1132"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983"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373" w:type="dxa"/>
            <w:tcBorders>
              <w:top w:val="single" w:sz="12" w:space="0" w:color="auto"/>
              <w:left w:val="nil"/>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87" w:type="dxa"/>
            <w:tcBorders>
              <w:top w:val="single" w:sz="12" w:space="0" w:color="auto"/>
              <w:left w:val="doub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74"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03"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02"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r>
      <w:tr w:rsidR="00C8379D" w:rsidRPr="00AC6EC4" w:rsidTr="00C8379D">
        <w:trPr>
          <w:trHeight w:val="263"/>
          <w:jc w:val="center"/>
        </w:trPr>
        <w:tc>
          <w:tcPr>
            <w:tcW w:w="2694" w:type="dxa"/>
            <w:tcBorders>
              <w:left w:val="nil"/>
              <w:right w:val="nil"/>
            </w:tcBorders>
            <w:vAlign w:val="center"/>
          </w:tcPr>
          <w:p w:rsidR="00C8379D" w:rsidRPr="00AC6EC4" w:rsidRDefault="00C8379D" w:rsidP="00062901">
            <w:pPr>
              <w:spacing w:line="240" w:lineRule="auto"/>
              <w:ind w:left="436" w:firstLine="0"/>
              <w:rPr>
                <w:rFonts w:asciiTheme="majorHAnsi" w:hAnsiTheme="majorHAnsi" w:cstheme="majorHAnsi"/>
                <w:bCs/>
              </w:rPr>
            </w:pPr>
            <w:r w:rsidRPr="00AC6EC4">
              <w:rPr>
                <w:rFonts w:asciiTheme="majorHAnsi" w:hAnsiTheme="majorHAnsi" w:cstheme="majorHAnsi"/>
              </w:rPr>
              <w:lastRenderedPageBreak/>
              <w:t>Up to 1 year</w:t>
            </w:r>
          </w:p>
        </w:tc>
        <w:tc>
          <w:tcPr>
            <w:tcW w:w="1132"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12.7</w:t>
            </w:r>
          </w:p>
        </w:tc>
        <w:tc>
          <w:tcPr>
            <w:tcW w:w="983"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11.5</w:t>
            </w:r>
          </w:p>
        </w:tc>
        <w:tc>
          <w:tcPr>
            <w:tcW w:w="1373" w:type="dxa"/>
            <w:tcBorders>
              <w:left w:val="nil"/>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10.3</w:t>
            </w:r>
          </w:p>
        </w:tc>
        <w:tc>
          <w:tcPr>
            <w:tcW w:w="1087" w:type="dxa"/>
            <w:tcBorders>
              <w:left w:val="doub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12.2</w:t>
            </w:r>
          </w:p>
        </w:tc>
        <w:tc>
          <w:tcPr>
            <w:tcW w:w="1074"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11.1</w:t>
            </w:r>
          </w:p>
        </w:tc>
        <w:tc>
          <w:tcPr>
            <w:tcW w:w="1003"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02" w:type="dxa"/>
            <w:tcBorders>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14.1</w:t>
            </w:r>
          </w:p>
        </w:tc>
      </w:tr>
      <w:tr w:rsidR="00C8379D" w:rsidRPr="00AC6EC4" w:rsidTr="00C8379D">
        <w:trPr>
          <w:trHeight w:val="263"/>
          <w:jc w:val="center"/>
        </w:trPr>
        <w:tc>
          <w:tcPr>
            <w:tcW w:w="2694" w:type="dxa"/>
            <w:tcBorders>
              <w:left w:val="nil"/>
              <w:bottom w:val="single" w:sz="4" w:space="0" w:color="auto"/>
              <w:right w:val="nil"/>
            </w:tcBorders>
            <w:vAlign w:val="center"/>
          </w:tcPr>
          <w:p w:rsidR="00C8379D" w:rsidRPr="00AC6EC4" w:rsidRDefault="00C8379D" w:rsidP="00062901">
            <w:pPr>
              <w:spacing w:line="240" w:lineRule="auto"/>
              <w:ind w:left="436" w:firstLine="0"/>
              <w:rPr>
                <w:rFonts w:asciiTheme="majorHAnsi" w:hAnsiTheme="majorHAnsi" w:cstheme="majorHAnsi"/>
                <w:bCs/>
              </w:rPr>
            </w:pPr>
            <w:r w:rsidRPr="00AC6EC4">
              <w:rPr>
                <w:rFonts w:asciiTheme="majorHAnsi" w:hAnsiTheme="majorHAnsi" w:cstheme="majorHAnsi"/>
              </w:rPr>
              <w:t>1-5 years</w:t>
            </w:r>
          </w:p>
        </w:tc>
        <w:tc>
          <w:tcPr>
            <w:tcW w:w="1132"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28.8</w:t>
            </w:r>
          </w:p>
        </w:tc>
        <w:tc>
          <w:tcPr>
            <w:tcW w:w="983"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29.0</w:t>
            </w:r>
          </w:p>
        </w:tc>
        <w:tc>
          <w:tcPr>
            <w:tcW w:w="1373" w:type="dxa"/>
            <w:tcBorders>
              <w:left w:val="nil"/>
              <w:bottom w:val="single" w:sz="4"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29.7</w:t>
            </w:r>
          </w:p>
        </w:tc>
        <w:tc>
          <w:tcPr>
            <w:tcW w:w="1087" w:type="dxa"/>
            <w:tcBorders>
              <w:left w:val="double" w:sz="4" w:space="0" w:color="auto"/>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26.5</w:t>
            </w:r>
          </w:p>
        </w:tc>
        <w:tc>
          <w:tcPr>
            <w:tcW w:w="1074"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30.5</w:t>
            </w:r>
          </w:p>
        </w:tc>
        <w:tc>
          <w:tcPr>
            <w:tcW w:w="1003"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31.6</w:t>
            </w:r>
          </w:p>
        </w:tc>
        <w:tc>
          <w:tcPr>
            <w:tcW w:w="1002" w:type="dxa"/>
            <w:tcBorders>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34.8</w:t>
            </w:r>
          </w:p>
        </w:tc>
      </w:tr>
      <w:tr w:rsidR="00C8379D" w:rsidRPr="00AC6EC4" w:rsidTr="00C8379D">
        <w:trPr>
          <w:trHeight w:val="256"/>
          <w:jc w:val="center"/>
        </w:trPr>
        <w:tc>
          <w:tcPr>
            <w:tcW w:w="2694" w:type="dxa"/>
            <w:tcBorders>
              <w:left w:val="nil"/>
              <w:bottom w:val="single" w:sz="12" w:space="0" w:color="auto"/>
              <w:right w:val="nil"/>
            </w:tcBorders>
            <w:vAlign w:val="center"/>
          </w:tcPr>
          <w:p w:rsidR="00C8379D" w:rsidRPr="00AC6EC4" w:rsidRDefault="00C8379D" w:rsidP="00062901">
            <w:pPr>
              <w:spacing w:line="240" w:lineRule="auto"/>
              <w:ind w:left="436" w:firstLine="0"/>
              <w:rPr>
                <w:rFonts w:asciiTheme="majorHAnsi" w:hAnsiTheme="majorHAnsi" w:cstheme="majorHAnsi"/>
                <w:bCs/>
              </w:rPr>
            </w:pPr>
            <w:r w:rsidRPr="00AC6EC4">
              <w:rPr>
                <w:rFonts w:asciiTheme="majorHAnsi" w:hAnsiTheme="majorHAnsi" w:cstheme="majorHAnsi"/>
              </w:rPr>
              <w:t>More than 5 years</w:t>
            </w:r>
          </w:p>
        </w:tc>
        <w:tc>
          <w:tcPr>
            <w:tcW w:w="113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58.5</w:t>
            </w:r>
          </w:p>
        </w:tc>
        <w:tc>
          <w:tcPr>
            <w:tcW w:w="98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59.5</w:t>
            </w:r>
          </w:p>
        </w:tc>
        <w:tc>
          <w:tcPr>
            <w:tcW w:w="1373" w:type="dxa"/>
            <w:tcBorders>
              <w:left w:val="nil"/>
              <w:bottom w:val="single" w:sz="12"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60.0</w:t>
            </w:r>
          </w:p>
        </w:tc>
        <w:tc>
          <w:tcPr>
            <w:tcW w:w="1087" w:type="dxa"/>
            <w:tcBorders>
              <w:left w:val="double" w:sz="4" w:space="0" w:color="auto"/>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61.3</w:t>
            </w:r>
          </w:p>
        </w:tc>
        <w:tc>
          <w:tcPr>
            <w:tcW w:w="1074"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58.4</w:t>
            </w:r>
          </w:p>
        </w:tc>
        <w:tc>
          <w:tcPr>
            <w:tcW w:w="100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58.4</w:t>
            </w:r>
          </w:p>
        </w:tc>
        <w:tc>
          <w:tcPr>
            <w:tcW w:w="100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51.1</w:t>
            </w:r>
          </w:p>
        </w:tc>
      </w:tr>
      <w:tr w:rsidR="00C8379D" w:rsidRPr="00AC6EC4" w:rsidTr="00C8379D">
        <w:trPr>
          <w:trHeight w:val="263"/>
          <w:jc w:val="center"/>
        </w:trPr>
        <w:tc>
          <w:tcPr>
            <w:tcW w:w="2694" w:type="dxa"/>
            <w:tcBorders>
              <w:top w:val="single" w:sz="12" w:space="0" w:color="auto"/>
              <w:left w:val="nil"/>
              <w:bottom w:val="single" w:sz="4" w:space="0" w:color="auto"/>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bCs/>
              </w:rPr>
              <w:t>Average Interest Rate (%)</w:t>
            </w:r>
          </w:p>
        </w:tc>
        <w:tc>
          <w:tcPr>
            <w:tcW w:w="1132" w:type="dxa"/>
            <w:tcBorders>
              <w:top w:val="single" w:sz="12"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11.8</w:t>
            </w:r>
          </w:p>
        </w:tc>
        <w:tc>
          <w:tcPr>
            <w:tcW w:w="983" w:type="dxa"/>
            <w:tcBorders>
              <w:top w:val="single" w:sz="12"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10.4</w:t>
            </w:r>
          </w:p>
        </w:tc>
        <w:tc>
          <w:tcPr>
            <w:tcW w:w="1373" w:type="dxa"/>
            <w:tcBorders>
              <w:top w:val="single" w:sz="12" w:space="0" w:color="auto"/>
              <w:left w:val="nil"/>
              <w:bottom w:val="single" w:sz="4"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9.6</w:t>
            </w:r>
          </w:p>
        </w:tc>
        <w:tc>
          <w:tcPr>
            <w:tcW w:w="1087" w:type="dxa"/>
            <w:tcBorders>
              <w:top w:val="single" w:sz="12" w:space="0" w:color="auto"/>
              <w:left w:val="double" w:sz="4" w:space="0" w:color="auto"/>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10.1</w:t>
            </w:r>
          </w:p>
        </w:tc>
        <w:tc>
          <w:tcPr>
            <w:tcW w:w="1074" w:type="dxa"/>
            <w:tcBorders>
              <w:top w:val="single" w:sz="12"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03" w:type="dxa"/>
            <w:tcBorders>
              <w:top w:val="single" w:sz="12"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w:t>
            </w:r>
          </w:p>
        </w:tc>
        <w:tc>
          <w:tcPr>
            <w:tcW w:w="1002" w:type="dxa"/>
            <w:tcBorders>
              <w:top w:val="single" w:sz="12"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9.9</w:t>
            </w:r>
          </w:p>
        </w:tc>
      </w:tr>
      <w:tr w:rsidR="00C8379D" w:rsidRPr="00AC6EC4" w:rsidTr="00C8379D">
        <w:trPr>
          <w:trHeight w:val="263"/>
          <w:jc w:val="center"/>
        </w:trPr>
        <w:tc>
          <w:tcPr>
            <w:tcW w:w="2694" w:type="dxa"/>
            <w:tcBorders>
              <w:left w:val="nil"/>
              <w:bottom w:val="single" w:sz="36" w:space="0" w:color="auto"/>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bCs/>
              </w:rPr>
              <w:t>Average Time to Maturity (years)</w:t>
            </w:r>
          </w:p>
        </w:tc>
        <w:tc>
          <w:tcPr>
            <w:tcW w:w="1132" w:type="dxa"/>
            <w:tcBorders>
              <w:left w:val="nil"/>
              <w:bottom w:val="single" w:sz="36"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10.2</w:t>
            </w:r>
          </w:p>
        </w:tc>
        <w:tc>
          <w:tcPr>
            <w:tcW w:w="983" w:type="dxa"/>
            <w:tcBorders>
              <w:left w:val="nil"/>
              <w:bottom w:val="single" w:sz="36"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10.8</w:t>
            </w:r>
          </w:p>
        </w:tc>
        <w:tc>
          <w:tcPr>
            <w:tcW w:w="1373" w:type="dxa"/>
            <w:tcBorders>
              <w:left w:val="nil"/>
              <w:bottom w:val="single" w:sz="36"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10.3</w:t>
            </w:r>
          </w:p>
        </w:tc>
        <w:tc>
          <w:tcPr>
            <w:tcW w:w="1087" w:type="dxa"/>
            <w:tcBorders>
              <w:left w:val="double" w:sz="4" w:space="0" w:color="auto"/>
              <w:bottom w:val="single" w:sz="36"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10.5</w:t>
            </w:r>
          </w:p>
        </w:tc>
        <w:tc>
          <w:tcPr>
            <w:tcW w:w="1074" w:type="dxa"/>
            <w:tcBorders>
              <w:left w:val="nil"/>
              <w:bottom w:val="single" w:sz="36"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9.9</w:t>
            </w:r>
          </w:p>
        </w:tc>
        <w:tc>
          <w:tcPr>
            <w:tcW w:w="1003" w:type="dxa"/>
            <w:tcBorders>
              <w:left w:val="nil"/>
              <w:bottom w:val="single" w:sz="36"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9.7</w:t>
            </w:r>
          </w:p>
        </w:tc>
        <w:tc>
          <w:tcPr>
            <w:tcW w:w="1002" w:type="dxa"/>
            <w:tcBorders>
              <w:left w:val="nil"/>
              <w:bottom w:val="single" w:sz="36"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9.2</w:t>
            </w:r>
          </w:p>
        </w:tc>
      </w:tr>
      <w:tr w:rsidR="00C8379D" w:rsidRPr="00AC6EC4" w:rsidTr="00C8379D">
        <w:trPr>
          <w:trHeight w:val="268"/>
          <w:jc w:val="center"/>
        </w:trPr>
        <w:tc>
          <w:tcPr>
            <w:tcW w:w="2694" w:type="dxa"/>
            <w:tcBorders>
              <w:top w:val="single" w:sz="36" w:space="0" w:color="auto"/>
              <w:left w:val="nil"/>
              <w:bottom w:val="single" w:sz="4" w:space="0" w:color="auto"/>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bCs/>
              </w:rPr>
              <w:t>Foreign currency Denominated Government Bonds, million USD</w:t>
            </w:r>
          </w:p>
        </w:tc>
        <w:tc>
          <w:tcPr>
            <w:tcW w:w="1132" w:type="dxa"/>
            <w:tcBorders>
              <w:top w:val="single" w:sz="36"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1,097.7</w:t>
            </w:r>
          </w:p>
        </w:tc>
        <w:tc>
          <w:tcPr>
            <w:tcW w:w="983" w:type="dxa"/>
            <w:tcBorders>
              <w:top w:val="single" w:sz="36"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1,000.0</w:t>
            </w:r>
          </w:p>
        </w:tc>
        <w:tc>
          <w:tcPr>
            <w:tcW w:w="1373" w:type="dxa"/>
            <w:tcBorders>
              <w:top w:val="single" w:sz="36" w:space="0" w:color="auto"/>
              <w:left w:val="nil"/>
              <w:bottom w:val="single" w:sz="4"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1,750.0</w:t>
            </w:r>
          </w:p>
        </w:tc>
        <w:tc>
          <w:tcPr>
            <w:tcW w:w="1087" w:type="dxa"/>
            <w:tcBorders>
              <w:top w:val="single" w:sz="36" w:space="0" w:color="auto"/>
              <w:left w:val="double" w:sz="4" w:space="0" w:color="auto"/>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1,750.0</w:t>
            </w:r>
          </w:p>
        </w:tc>
        <w:tc>
          <w:tcPr>
            <w:tcW w:w="1074" w:type="dxa"/>
            <w:tcBorders>
              <w:top w:val="single" w:sz="36"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1,750.0</w:t>
            </w:r>
          </w:p>
        </w:tc>
        <w:tc>
          <w:tcPr>
            <w:tcW w:w="1003" w:type="dxa"/>
            <w:tcBorders>
              <w:top w:val="single" w:sz="36"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1,750.0</w:t>
            </w:r>
          </w:p>
        </w:tc>
        <w:tc>
          <w:tcPr>
            <w:tcW w:w="1002" w:type="dxa"/>
            <w:tcBorders>
              <w:top w:val="single" w:sz="36" w:space="0" w:color="auto"/>
              <w:left w:val="nil"/>
              <w:bottom w:val="sing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1,750.0</w:t>
            </w:r>
          </w:p>
        </w:tc>
      </w:tr>
      <w:tr w:rsidR="00C8379D" w:rsidRPr="00AC6EC4" w:rsidTr="00C8379D">
        <w:trPr>
          <w:trHeight w:val="142"/>
          <w:jc w:val="center"/>
        </w:trPr>
        <w:tc>
          <w:tcPr>
            <w:tcW w:w="2694" w:type="dxa"/>
            <w:tcBorders>
              <w:left w:val="nil"/>
              <w:bottom w:val="single" w:sz="12" w:space="0" w:color="auto"/>
              <w:right w:val="nil"/>
            </w:tcBorders>
            <w:vAlign w:val="center"/>
          </w:tcPr>
          <w:p w:rsidR="00C8379D" w:rsidRPr="00AC6EC4" w:rsidRDefault="00C8379D" w:rsidP="00062901">
            <w:pPr>
              <w:spacing w:line="240" w:lineRule="auto"/>
              <w:ind w:left="297" w:firstLine="0"/>
              <w:rPr>
                <w:rFonts w:asciiTheme="majorHAnsi" w:hAnsiTheme="majorHAnsi" w:cstheme="majorHAnsi"/>
              </w:rPr>
            </w:pPr>
            <w:r w:rsidRPr="00AC6EC4">
              <w:rPr>
                <w:rFonts w:asciiTheme="majorHAnsi" w:hAnsiTheme="majorHAnsi" w:cstheme="majorHAnsi"/>
              </w:rPr>
              <w:t>% to GDP</w:t>
            </w:r>
          </w:p>
        </w:tc>
        <w:tc>
          <w:tcPr>
            <w:tcW w:w="113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8.0</w:t>
            </w:r>
          </w:p>
        </w:tc>
        <w:tc>
          <w:tcPr>
            <w:tcW w:w="98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8.5</w:t>
            </w:r>
          </w:p>
        </w:tc>
        <w:tc>
          <w:tcPr>
            <w:tcW w:w="1373" w:type="dxa"/>
            <w:tcBorders>
              <w:left w:val="nil"/>
              <w:bottom w:val="single" w:sz="12"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13.2</w:t>
            </w:r>
          </w:p>
        </w:tc>
        <w:tc>
          <w:tcPr>
            <w:tcW w:w="1087" w:type="dxa"/>
            <w:tcBorders>
              <w:left w:val="double" w:sz="4" w:space="0" w:color="auto"/>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12.6</w:t>
            </w:r>
          </w:p>
        </w:tc>
        <w:tc>
          <w:tcPr>
            <w:tcW w:w="1074"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11.9</w:t>
            </w:r>
          </w:p>
        </w:tc>
        <w:tc>
          <w:tcPr>
            <w:tcW w:w="1003"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11.1</w:t>
            </w:r>
          </w:p>
        </w:tc>
        <w:tc>
          <w:tcPr>
            <w:tcW w:w="1002" w:type="dxa"/>
            <w:tcBorders>
              <w:left w:val="nil"/>
              <w:bottom w:val="single" w:sz="12"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10.3</w:t>
            </w:r>
          </w:p>
        </w:tc>
      </w:tr>
      <w:tr w:rsidR="00C8379D" w:rsidRPr="00AC6EC4" w:rsidTr="00C8379D">
        <w:trPr>
          <w:trHeight w:val="142"/>
          <w:jc w:val="center"/>
        </w:trPr>
        <w:tc>
          <w:tcPr>
            <w:tcW w:w="2694" w:type="dxa"/>
            <w:tcBorders>
              <w:top w:val="single" w:sz="12" w:space="0" w:color="auto"/>
              <w:left w:val="nil"/>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bCs/>
              </w:rPr>
              <w:t>Average Interest Rate (%)</w:t>
            </w:r>
          </w:p>
        </w:tc>
        <w:tc>
          <w:tcPr>
            <w:tcW w:w="1132"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5.9</w:t>
            </w:r>
          </w:p>
        </w:tc>
        <w:tc>
          <w:tcPr>
            <w:tcW w:w="983"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5.9</w:t>
            </w:r>
          </w:p>
        </w:tc>
        <w:tc>
          <w:tcPr>
            <w:tcW w:w="1373" w:type="dxa"/>
            <w:tcBorders>
              <w:top w:val="single" w:sz="12" w:space="0" w:color="auto"/>
              <w:left w:val="nil"/>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5.6</w:t>
            </w:r>
          </w:p>
        </w:tc>
        <w:tc>
          <w:tcPr>
            <w:tcW w:w="1087" w:type="dxa"/>
            <w:tcBorders>
              <w:top w:val="single" w:sz="12" w:space="0" w:color="auto"/>
              <w:left w:val="double" w:sz="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074"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003"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002" w:type="dxa"/>
            <w:tcBorders>
              <w:top w:val="single" w:sz="12" w:space="0" w:color="auto"/>
              <w:left w:val="nil"/>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4.1</w:t>
            </w:r>
          </w:p>
        </w:tc>
      </w:tr>
      <w:tr w:rsidR="00C8379D" w:rsidRPr="00AC6EC4" w:rsidTr="00C8379D">
        <w:trPr>
          <w:trHeight w:val="36"/>
          <w:jc w:val="center"/>
        </w:trPr>
        <w:tc>
          <w:tcPr>
            <w:tcW w:w="2694" w:type="dxa"/>
            <w:tcBorders>
              <w:left w:val="nil"/>
              <w:bottom w:val="thickThinSmallGap" w:sz="24" w:space="0" w:color="auto"/>
              <w:right w:val="nil"/>
            </w:tcBorders>
            <w:vAlign w:val="center"/>
          </w:tcPr>
          <w:p w:rsidR="00C8379D" w:rsidRPr="00AC6EC4" w:rsidRDefault="00C8379D" w:rsidP="00062901">
            <w:pPr>
              <w:spacing w:line="240" w:lineRule="auto"/>
              <w:ind w:firstLine="0"/>
              <w:rPr>
                <w:rFonts w:asciiTheme="majorHAnsi" w:hAnsiTheme="majorHAnsi" w:cstheme="majorHAnsi"/>
              </w:rPr>
            </w:pPr>
            <w:r w:rsidRPr="00AC6EC4">
              <w:rPr>
                <w:rFonts w:asciiTheme="majorHAnsi" w:hAnsiTheme="majorHAnsi" w:cstheme="majorHAnsi"/>
                <w:bCs/>
              </w:rPr>
              <w:t>Average Time to Maturity (years)</w:t>
            </w:r>
          </w:p>
        </w:tc>
        <w:tc>
          <w:tcPr>
            <w:tcW w:w="1132" w:type="dxa"/>
            <w:tcBorders>
              <w:left w:val="nil"/>
              <w:bottom w:val="thickThinSmallGap" w:sz="2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6.9</w:t>
            </w:r>
          </w:p>
        </w:tc>
        <w:tc>
          <w:tcPr>
            <w:tcW w:w="983" w:type="dxa"/>
            <w:tcBorders>
              <w:left w:val="nil"/>
              <w:bottom w:val="thickThinSmallGap" w:sz="2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6.5</w:t>
            </w:r>
          </w:p>
        </w:tc>
        <w:tc>
          <w:tcPr>
            <w:tcW w:w="1373" w:type="dxa"/>
            <w:tcBorders>
              <w:left w:val="nil"/>
              <w:bottom w:val="thickThinSmallGap" w:sz="24" w:space="0" w:color="auto"/>
              <w:right w:val="double" w:sz="4" w:space="0" w:color="auto"/>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7.3</w:t>
            </w:r>
          </w:p>
        </w:tc>
        <w:tc>
          <w:tcPr>
            <w:tcW w:w="1087" w:type="dxa"/>
            <w:tcBorders>
              <w:left w:val="double" w:sz="4" w:space="0" w:color="auto"/>
              <w:bottom w:val="thickThinSmallGap" w:sz="2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7.0</w:t>
            </w:r>
          </w:p>
        </w:tc>
        <w:tc>
          <w:tcPr>
            <w:tcW w:w="1074" w:type="dxa"/>
            <w:tcBorders>
              <w:left w:val="nil"/>
              <w:bottom w:val="thickThinSmallGap" w:sz="2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6.0</w:t>
            </w:r>
          </w:p>
        </w:tc>
        <w:tc>
          <w:tcPr>
            <w:tcW w:w="1003" w:type="dxa"/>
            <w:tcBorders>
              <w:left w:val="nil"/>
              <w:bottom w:val="thickThinSmallGap" w:sz="2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5.0</w:t>
            </w:r>
          </w:p>
        </w:tc>
        <w:tc>
          <w:tcPr>
            <w:tcW w:w="1002" w:type="dxa"/>
            <w:tcBorders>
              <w:left w:val="nil"/>
              <w:bottom w:val="thickThinSmallGap" w:sz="24" w:space="0" w:color="auto"/>
              <w:right w:val="nil"/>
            </w:tcBorders>
            <w:vAlign w:val="center"/>
          </w:tcPr>
          <w:p w:rsidR="00C8379D" w:rsidRPr="00AC6EC4" w:rsidRDefault="00C8379D" w:rsidP="00062901">
            <w:pPr>
              <w:spacing w:line="240" w:lineRule="auto"/>
              <w:ind w:firstLine="0"/>
              <w:jc w:val="center"/>
              <w:rPr>
                <w:rFonts w:asciiTheme="majorHAnsi" w:hAnsiTheme="majorHAnsi" w:cstheme="majorHAnsi"/>
              </w:rPr>
            </w:pPr>
            <w:r w:rsidRPr="00AC6EC4">
              <w:rPr>
                <w:rFonts w:asciiTheme="majorHAnsi" w:hAnsiTheme="majorHAnsi" w:cstheme="majorHAnsi"/>
              </w:rPr>
              <w:t>6.8</w:t>
            </w:r>
          </w:p>
        </w:tc>
      </w:tr>
    </w:tbl>
    <w:p w:rsidR="00D9637A" w:rsidRPr="00AC6EC4" w:rsidRDefault="00D9637A" w:rsidP="00A1274B">
      <w:pPr>
        <w:rPr>
          <w:rFonts w:asciiTheme="majorHAnsi" w:hAnsiTheme="majorHAnsi" w:cstheme="majorHAnsi"/>
        </w:rPr>
      </w:pPr>
    </w:p>
    <w:p w:rsidR="00025E2D" w:rsidRPr="00AC6EC4" w:rsidRDefault="00C8379D" w:rsidP="007E37AA">
      <w:pPr>
        <w:pStyle w:val="Heading5"/>
        <w:numPr>
          <w:ilvl w:val="0"/>
          <w:numId w:val="29"/>
        </w:numPr>
        <w:spacing w:line="240" w:lineRule="auto"/>
        <w:ind w:left="426"/>
        <w:jc w:val="left"/>
        <w:rPr>
          <w:rFonts w:asciiTheme="majorHAnsi" w:hAnsiTheme="majorHAnsi" w:cstheme="majorHAnsi"/>
          <w:b w:val="0"/>
          <w:i w:val="0"/>
          <w:iCs w:val="0"/>
          <w:sz w:val="24"/>
          <w:szCs w:val="24"/>
        </w:rPr>
      </w:pPr>
      <w:r w:rsidRPr="00AC6EC4">
        <w:rPr>
          <w:rStyle w:val="Emphasis"/>
          <w:rFonts w:asciiTheme="majorHAnsi" w:hAnsiTheme="majorHAnsi" w:cstheme="majorHAnsi"/>
          <w:b w:val="0"/>
          <w:sz w:val="24"/>
          <w:szCs w:val="24"/>
        </w:rPr>
        <w:t>Indicators for the RA Government loans and borrowings in 201</w:t>
      </w:r>
      <w:r w:rsidRPr="00AC6EC4">
        <w:rPr>
          <w:rStyle w:val="Emphasis"/>
          <w:rFonts w:asciiTheme="majorHAnsi" w:hAnsiTheme="majorHAnsi" w:cstheme="majorHAnsi"/>
          <w:b w:val="0"/>
          <w:sz w:val="24"/>
          <w:szCs w:val="24"/>
          <w:lang w:val="en-US"/>
        </w:rPr>
        <w:t>9</w:t>
      </w:r>
      <w:r w:rsidRPr="00AC6EC4">
        <w:rPr>
          <w:rStyle w:val="Emphasis"/>
          <w:rFonts w:asciiTheme="majorHAnsi" w:hAnsiTheme="majorHAnsi" w:cstheme="majorHAnsi"/>
          <w:b w:val="0"/>
          <w:sz w:val="24"/>
          <w:szCs w:val="24"/>
        </w:rPr>
        <w:t>-202</w:t>
      </w:r>
      <w:r w:rsidRPr="00AC6EC4">
        <w:rPr>
          <w:rStyle w:val="Emphasis"/>
          <w:rFonts w:asciiTheme="majorHAnsi" w:hAnsiTheme="majorHAnsi" w:cstheme="majorHAnsi"/>
          <w:b w:val="0"/>
          <w:sz w:val="24"/>
          <w:szCs w:val="24"/>
          <w:lang w:val="en-US"/>
        </w:rPr>
        <w:t>4</w:t>
      </w:r>
      <w:r w:rsidRPr="00AC6EC4">
        <w:rPr>
          <w:rStyle w:val="Emphasis"/>
          <w:rFonts w:asciiTheme="majorHAnsi" w:hAnsiTheme="majorHAnsi" w:cstheme="majorHAnsi"/>
          <w:b w:val="0"/>
          <w:sz w:val="24"/>
          <w:szCs w:val="24"/>
        </w:rPr>
        <w:t xml:space="preserve"> (million USD)</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1196"/>
        <w:gridCol w:w="1071"/>
        <w:gridCol w:w="1330"/>
        <w:gridCol w:w="1127"/>
        <w:gridCol w:w="1016"/>
        <w:gridCol w:w="1055"/>
        <w:gridCol w:w="1018"/>
      </w:tblGrid>
      <w:tr w:rsidR="00E93459" w:rsidRPr="00AC6EC4" w:rsidTr="00426EE4">
        <w:trPr>
          <w:trHeight w:val="765"/>
          <w:tblHeader/>
          <w:jc w:val="center"/>
        </w:trPr>
        <w:tc>
          <w:tcPr>
            <w:tcW w:w="276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E93459" w:rsidRPr="00AC6EC4" w:rsidRDefault="00E93459"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p>
        </w:tc>
        <w:tc>
          <w:tcPr>
            <w:tcW w:w="119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E93459" w:rsidRPr="00AC6EC4" w:rsidRDefault="00E93459"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2019 </w:t>
            </w:r>
            <w:r w:rsidRPr="00AC6EC4">
              <w:rPr>
                <w:rFonts w:asciiTheme="majorHAnsi" w:hAnsiTheme="majorHAnsi" w:cstheme="majorHAnsi"/>
                <w:color w:val="FFFFFF" w:themeColor="background1"/>
                <w:lang w:val="en-US"/>
              </w:rPr>
              <w:t>Actual</w:t>
            </w:r>
          </w:p>
        </w:tc>
        <w:tc>
          <w:tcPr>
            <w:tcW w:w="1071"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E93459" w:rsidRPr="00AC6EC4" w:rsidRDefault="00E93459"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2020 </w:t>
            </w:r>
            <w:r w:rsidRPr="00AC6EC4">
              <w:rPr>
                <w:rFonts w:asciiTheme="majorHAnsi" w:hAnsiTheme="majorHAnsi" w:cstheme="majorHAnsi"/>
                <w:color w:val="FFFFFF" w:themeColor="background1"/>
                <w:lang w:val="en-US"/>
              </w:rPr>
              <w:t>Actual</w:t>
            </w:r>
            <w:r w:rsidRPr="00AC6EC4">
              <w:rPr>
                <w:rFonts w:asciiTheme="majorHAnsi" w:hAnsiTheme="majorHAnsi" w:cstheme="majorHAnsi"/>
                <w:color w:val="FFFFFF" w:themeColor="background1"/>
              </w:rPr>
              <w:t xml:space="preserve"> </w:t>
            </w:r>
          </w:p>
        </w:tc>
        <w:tc>
          <w:tcPr>
            <w:tcW w:w="1330" w:type="dxa"/>
            <w:tcBorders>
              <w:top w:val="thinThickThinSmallGap" w:sz="24" w:space="0" w:color="auto"/>
              <w:left w:val="nil"/>
              <w:bottom w:val="thinThickSmallGap" w:sz="24" w:space="0" w:color="auto"/>
              <w:right w:val="double" w:sz="4" w:space="0" w:color="auto"/>
            </w:tcBorders>
            <w:shd w:val="clear" w:color="auto" w:fill="365F91" w:themeFill="accent1" w:themeFillShade="BF"/>
            <w:vAlign w:val="center"/>
          </w:tcPr>
          <w:p w:rsidR="00E93459" w:rsidRPr="00AC6EC4" w:rsidRDefault="00E93459" w:rsidP="00062901">
            <w:pPr>
              <w:shd w:val="clear" w:color="auto" w:fill="365F91" w:themeFill="accent1" w:themeFillShade="BF"/>
              <w:spacing w:line="240" w:lineRule="auto"/>
              <w:ind w:hanging="5"/>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2021 State budget program</w:t>
            </w:r>
          </w:p>
        </w:tc>
        <w:tc>
          <w:tcPr>
            <w:tcW w:w="1127" w:type="dxa"/>
            <w:tcBorders>
              <w:top w:val="thinThickThinSmallGap" w:sz="24" w:space="0" w:color="auto"/>
              <w:left w:val="double" w:sz="4" w:space="0" w:color="auto"/>
              <w:bottom w:val="thinThickSmallGap" w:sz="24" w:space="0" w:color="auto"/>
              <w:right w:val="nil"/>
            </w:tcBorders>
            <w:shd w:val="clear" w:color="auto" w:fill="365F91" w:themeFill="accent1" w:themeFillShade="BF"/>
            <w:vAlign w:val="center"/>
          </w:tcPr>
          <w:p w:rsidR="00E93459" w:rsidRPr="00AC6EC4" w:rsidRDefault="00E93459"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2021 </w:t>
            </w:r>
            <w:r w:rsidRPr="00AC6EC4">
              <w:rPr>
                <w:rFonts w:asciiTheme="majorHAnsi" w:hAnsiTheme="majorHAnsi" w:cstheme="majorHAnsi"/>
                <w:color w:val="FFFFFF"/>
              </w:rPr>
              <w:t xml:space="preserve">forecast </w:t>
            </w:r>
          </w:p>
        </w:tc>
        <w:tc>
          <w:tcPr>
            <w:tcW w:w="1016"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E93459" w:rsidRPr="00AC6EC4" w:rsidRDefault="00E93459"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2022 </w:t>
            </w:r>
            <w:r w:rsidRPr="00AC6EC4">
              <w:rPr>
                <w:rFonts w:asciiTheme="majorHAnsi" w:hAnsiTheme="majorHAnsi" w:cstheme="majorHAnsi"/>
                <w:color w:val="FFFFFF"/>
              </w:rPr>
              <w:t>forecast</w:t>
            </w:r>
          </w:p>
        </w:tc>
        <w:tc>
          <w:tcPr>
            <w:tcW w:w="1055"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E93459" w:rsidRPr="00AC6EC4" w:rsidRDefault="00E93459"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2023</w:t>
            </w:r>
            <w:r w:rsidRPr="00AC6EC4">
              <w:rPr>
                <w:rFonts w:asciiTheme="majorHAnsi" w:hAnsiTheme="majorHAnsi" w:cstheme="majorHAnsi"/>
                <w:color w:val="FFFFFF"/>
              </w:rPr>
              <w:t xml:space="preserve"> forecast</w:t>
            </w:r>
          </w:p>
        </w:tc>
        <w:tc>
          <w:tcPr>
            <w:tcW w:w="1018" w:type="dxa"/>
            <w:tcBorders>
              <w:top w:val="thinThickThinSmallGap" w:sz="24" w:space="0" w:color="auto"/>
              <w:left w:val="nil"/>
              <w:bottom w:val="thinThickSmallGap" w:sz="24" w:space="0" w:color="auto"/>
              <w:right w:val="nil"/>
            </w:tcBorders>
            <w:shd w:val="clear" w:color="auto" w:fill="365F91" w:themeFill="accent1" w:themeFillShade="BF"/>
            <w:vAlign w:val="center"/>
          </w:tcPr>
          <w:p w:rsidR="00E93459" w:rsidRPr="00AC6EC4" w:rsidRDefault="00E93459" w:rsidP="00062901">
            <w:pPr>
              <w:spacing w:line="240" w:lineRule="auto"/>
              <w:ind w:firstLine="0"/>
              <w:jc w:val="center"/>
              <w:rPr>
                <w:rFonts w:asciiTheme="majorHAnsi" w:hAnsiTheme="majorHAnsi" w:cstheme="majorHAnsi"/>
                <w:color w:val="FFFFFF" w:themeColor="background1"/>
              </w:rPr>
            </w:pPr>
            <w:r w:rsidRPr="00AC6EC4">
              <w:rPr>
                <w:rFonts w:asciiTheme="majorHAnsi" w:hAnsiTheme="majorHAnsi" w:cstheme="majorHAnsi"/>
                <w:color w:val="FFFFFF" w:themeColor="background1"/>
              </w:rPr>
              <w:t xml:space="preserve">2024 </w:t>
            </w:r>
            <w:r w:rsidRPr="00AC6EC4">
              <w:rPr>
                <w:rFonts w:asciiTheme="majorHAnsi" w:hAnsiTheme="majorHAnsi" w:cstheme="majorHAnsi"/>
                <w:color w:val="FFFFFF"/>
              </w:rPr>
              <w:t>forecast</w:t>
            </w:r>
          </w:p>
        </w:tc>
      </w:tr>
      <w:tr w:rsidR="00E93459" w:rsidRPr="00AC6EC4" w:rsidTr="007E37AA">
        <w:trPr>
          <w:trHeight w:val="510"/>
          <w:jc w:val="center"/>
        </w:trPr>
        <w:tc>
          <w:tcPr>
            <w:tcW w:w="2761" w:type="dxa"/>
            <w:tcBorders>
              <w:left w:val="nil"/>
              <w:bottom w:val="single" w:sz="4" w:space="0" w:color="auto"/>
              <w:right w:val="nil"/>
            </w:tcBorders>
            <w:vAlign w:val="center"/>
          </w:tcPr>
          <w:p w:rsidR="00E93459" w:rsidRPr="00AC6EC4" w:rsidRDefault="00E93459" w:rsidP="00062901">
            <w:pPr>
              <w:spacing w:line="240" w:lineRule="auto"/>
              <w:ind w:firstLine="0"/>
              <w:rPr>
                <w:rFonts w:asciiTheme="majorHAnsi" w:hAnsiTheme="majorHAnsi" w:cstheme="majorHAnsi"/>
              </w:rPr>
            </w:pPr>
            <w:r w:rsidRPr="00AC6EC4">
              <w:rPr>
                <w:rFonts w:asciiTheme="majorHAnsi" w:hAnsiTheme="majorHAnsi" w:cstheme="majorHAnsi"/>
                <w:bCs/>
              </w:rPr>
              <w:t>Government Loans and Credits</w:t>
            </w:r>
          </w:p>
        </w:tc>
        <w:tc>
          <w:tcPr>
            <w:tcW w:w="1196"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4,306.7</w:t>
            </w:r>
          </w:p>
        </w:tc>
        <w:tc>
          <w:tcPr>
            <w:tcW w:w="1071"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4,665.2</w:t>
            </w:r>
          </w:p>
        </w:tc>
        <w:tc>
          <w:tcPr>
            <w:tcW w:w="1330" w:type="dxa"/>
            <w:tcBorders>
              <w:left w:val="nil"/>
              <w:bottom w:val="single" w:sz="4"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4,656.4</w:t>
            </w:r>
          </w:p>
        </w:tc>
        <w:tc>
          <w:tcPr>
            <w:tcW w:w="1127" w:type="dxa"/>
            <w:tcBorders>
              <w:left w:val="double" w:sz="4" w:space="0" w:color="auto"/>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4,529.6</w:t>
            </w:r>
          </w:p>
        </w:tc>
        <w:tc>
          <w:tcPr>
            <w:tcW w:w="1016"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4,438.9</w:t>
            </w:r>
          </w:p>
        </w:tc>
        <w:tc>
          <w:tcPr>
            <w:tcW w:w="1055"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4,360.1</w:t>
            </w:r>
          </w:p>
        </w:tc>
        <w:tc>
          <w:tcPr>
            <w:tcW w:w="1018"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4,260.2</w:t>
            </w:r>
          </w:p>
        </w:tc>
      </w:tr>
      <w:tr w:rsidR="00E93459" w:rsidRPr="00AC6EC4" w:rsidTr="007E37AA">
        <w:trPr>
          <w:trHeight w:val="255"/>
          <w:jc w:val="center"/>
        </w:trPr>
        <w:tc>
          <w:tcPr>
            <w:tcW w:w="2761" w:type="dxa"/>
            <w:tcBorders>
              <w:left w:val="nil"/>
              <w:bottom w:val="single" w:sz="12" w:space="0" w:color="auto"/>
              <w:right w:val="nil"/>
            </w:tcBorders>
            <w:vAlign w:val="center"/>
          </w:tcPr>
          <w:p w:rsidR="00E93459" w:rsidRPr="00AC6EC4" w:rsidRDefault="00E93459" w:rsidP="00062901">
            <w:pPr>
              <w:spacing w:line="240" w:lineRule="auto"/>
              <w:ind w:firstLine="0"/>
              <w:rPr>
                <w:rFonts w:asciiTheme="majorHAnsi" w:hAnsiTheme="majorHAnsi" w:cstheme="majorHAnsi"/>
              </w:rPr>
            </w:pPr>
            <w:r w:rsidRPr="00AC6EC4">
              <w:rPr>
                <w:rFonts w:asciiTheme="majorHAnsi" w:hAnsiTheme="majorHAnsi" w:cstheme="majorHAnsi"/>
                <w:bCs/>
              </w:rPr>
              <w:t>In % to GDP</w:t>
            </w:r>
          </w:p>
        </w:tc>
        <w:tc>
          <w:tcPr>
            <w:tcW w:w="1196"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31.6</w:t>
            </w:r>
          </w:p>
        </w:tc>
        <w:tc>
          <w:tcPr>
            <w:tcW w:w="1071"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39.4</w:t>
            </w:r>
          </w:p>
        </w:tc>
        <w:tc>
          <w:tcPr>
            <w:tcW w:w="1330" w:type="dxa"/>
            <w:tcBorders>
              <w:left w:val="nil"/>
              <w:bottom w:val="single" w:sz="12"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35.2</w:t>
            </w:r>
          </w:p>
        </w:tc>
        <w:tc>
          <w:tcPr>
            <w:tcW w:w="1127" w:type="dxa"/>
            <w:tcBorders>
              <w:left w:val="double" w:sz="4" w:space="0" w:color="auto"/>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32.7</w:t>
            </w:r>
          </w:p>
        </w:tc>
        <w:tc>
          <w:tcPr>
            <w:tcW w:w="1016"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30.3</w:t>
            </w:r>
          </w:p>
        </w:tc>
        <w:tc>
          <w:tcPr>
            <w:tcW w:w="1055"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27.7</w:t>
            </w:r>
          </w:p>
        </w:tc>
        <w:tc>
          <w:tcPr>
            <w:tcW w:w="1018"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25.1</w:t>
            </w:r>
          </w:p>
        </w:tc>
      </w:tr>
      <w:tr w:rsidR="00E93459" w:rsidRPr="00AC6EC4" w:rsidTr="007E37AA">
        <w:trPr>
          <w:trHeight w:val="255"/>
          <w:jc w:val="center"/>
        </w:trPr>
        <w:tc>
          <w:tcPr>
            <w:tcW w:w="2761" w:type="dxa"/>
            <w:tcBorders>
              <w:top w:val="single" w:sz="12" w:space="0" w:color="auto"/>
              <w:left w:val="nil"/>
              <w:right w:val="nil"/>
            </w:tcBorders>
            <w:vAlign w:val="center"/>
          </w:tcPr>
          <w:p w:rsidR="00E93459" w:rsidRPr="00AC6EC4" w:rsidRDefault="00E93459" w:rsidP="00062901">
            <w:pPr>
              <w:spacing w:line="240" w:lineRule="auto"/>
              <w:ind w:firstLine="0"/>
              <w:rPr>
                <w:rFonts w:asciiTheme="majorHAnsi" w:hAnsiTheme="majorHAnsi" w:cstheme="majorHAnsi"/>
              </w:rPr>
            </w:pPr>
            <w:r w:rsidRPr="00AC6EC4">
              <w:rPr>
                <w:rFonts w:asciiTheme="majorHAnsi" w:hAnsiTheme="majorHAnsi" w:cstheme="majorHAnsi"/>
              </w:rPr>
              <w:t>By residency</w:t>
            </w:r>
          </w:p>
        </w:tc>
        <w:tc>
          <w:tcPr>
            <w:tcW w:w="1196"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71"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330" w:type="dxa"/>
            <w:tcBorders>
              <w:top w:val="single" w:sz="12" w:space="0" w:color="auto"/>
              <w:left w:val="nil"/>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127" w:type="dxa"/>
            <w:tcBorders>
              <w:top w:val="single" w:sz="12" w:space="0" w:color="auto"/>
              <w:left w:val="doub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16"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55"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18"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r>
      <w:tr w:rsidR="00E93459" w:rsidRPr="00AC6EC4" w:rsidTr="007E37AA">
        <w:trPr>
          <w:trHeight w:val="510"/>
          <w:jc w:val="center"/>
        </w:trPr>
        <w:tc>
          <w:tcPr>
            <w:tcW w:w="2761" w:type="dxa"/>
            <w:tcBorders>
              <w:left w:val="nil"/>
              <w:bottom w:val="single" w:sz="4" w:space="0" w:color="auto"/>
              <w:right w:val="nil"/>
            </w:tcBorders>
            <w:vAlign w:val="center"/>
          </w:tcPr>
          <w:p w:rsidR="00E93459" w:rsidRPr="00AC6EC4" w:rsidRDefault="00E93459" w:rsidP="00062901">
            <w:pPr>
              <w:spacing w:line="240" w:lineRule="auto"/>
              <w:ind w:left="297" w:firstLine="0"/>
              <w:rPr>
                <w:rFonts w:asciiTheme="majorHAnsi" w:hAnsiTheme="majorHAnsi" w:cstheme="majorHAnsi"/>
              </w:rPr>
            </w:pPr>
            <w:r w:rsidRPr="00AC6EC4">
              <w:rPr>
                <w:rFonts w:asciiTheme="majorHAnsi" w:hAnsiTheme="majorHAnsi" w:cstheme="majorHAnsi"/>
              </w:rPr>
              <w:t xml:space="preserve">External Loans and </w:t>
            </w:r>
            <w:r w:rsidRPr="00AC6EC4">
              <w:rPr>
                <w:rFonts w:asciiTheme="majorHAnsi" w:hAnsiTheme="majorHAnsi" w:cstheme="majorHAnsi"/>
                <w:bCs/>
              </w:rPr>
              <w:t>Credits</w:t>
            </w:r>
          </w:p>
        </w:tc>
        <w:tc>
          <w:tcPr>
            <w:tcW w:w="1196"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4,306.7</w:t>
            </w:r>
          </w:p>
        </w:tc>
        <w:tc>
          <w:tcPr>
            <w:tcW w:w="1071"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4,665.2</w:t>
            </w:r>
          </w:p>
        </w:tc>
        <w:tc>
          <w:tcPr>
            <w:tcW w:w="1330" w:type="dxa"/>
            <w:tcBorders>
              <w:left w:val="nil"/>
              <w:bottom w:val="single" w:sz="4"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4,656.4</w:t>
            </w:r>
          </w:p>
        </w:tc>
        <w:tc>
          <w:tcPr>
            <w:tcW w:w="1127" w:type="dxa"/>
            <w:tcBorders>
              <w:left w:val="double" w:sz="4" w:space="0" w:color="auto"/>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4,529.6</w:t>
            </w:r>
          </w:p>
        </w:tc>
        <w:tc>
          <w:tcPr>
            <w:tcW w:w="1016"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4,438.9</w:t>
            </w:r>
          </w:p>
        </w:tc>
        <w:tc>
          <w:tcPr>
            <w:tcW w:w="1055"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4,360.1</w:t>
            </w:r>
          </w:p>
        </w:tc>
        <w:tc>
          <w:tcPr>
            <w:tcW w:w="1018"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4,260.2</w:t>
            </w:r>
          </w:p>
        </w:tc>
      </w:tr>
      <w:tr w:rsidR="00E93459" w:rsidRPr="00AC6EC4" w:rsidTr="007E37AA">
        <w:trPr>
          <w:trHeight w:val="510"/>
          <w:jc w:val="center"/>
        </w:trPr>
        <w:tc>
          <w:tcPr>
            <w:tcW w:w="2761" w:type="dxa"/>
            <w:tcBorders>
              <w:left w:val="nil"/>
              <w:bottom w:val="single" w:sz="12" w:space="0" w:color="auto"/>
              <w:right w:val="nil"/>
            </w:tcBorders>
            <w:vAlign w:val="center"/>
          </w:tcPr>
          <w:p w:rsidR="00E93459" w:rsidRPr="00AC6EC4" w:rsidRDefault="00E93459" w:rsidP="00062901">
            <w:pPr>
              <w:spacing w:line="240" w:lineRule="auto"/>
              <w:ind w:left="297" w:firstLine="0"/>
              <w:rPr>
                <w:rFonts w:asciiTheme="majorHAnsi" w:hAnsiTheme="majorHAnsi" w:cstheme="majorHAnsi"/>
              </w:rPr>
            </w:pPr>
            <w:r w:rsidRPr="00AC6EC4">
              <w:rPr>
                <w:rFonts w:asciiTheme="majorHAnsi" w:hAnsiTheme="majorHAnsi" w:cstheme="majorHAnsi"/>
              </w:rPr>
              <w:t xml:space="preserve">Domestic Loans and </w:t>
            </w:r>
            <w:r w:rsidRPr="00AC6EC4">
              <w:rPr>
                <w:rFonts w:asciiTheme="majorHAnsi" w:hAnsiTheme="majorHAnsi" w:cstheme="majorHAnsi"/>
                <w:bCs/>
              </w:rPr>
              <w:t>Credits</w:t>
            </w:r>
          </w:p>
        </w:tc>
        <w:tc>
          <w:tcPr>
            <w:tcW w:w="1196"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071"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330" w:type="dxa"/>
            <w:tcBorders>
              <w:left w:val="nil"/>
              <w:bottom w:val="single" w:sz="12"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127" w:type="dxa"/>
            <w:tcBorders>
              <w:left w:val="double" w:sz="4" w:space="0" w:color="auto"/>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016"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055"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c>
          <w:tcPr>
            <w:tcW w:w="1018"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w:t>
            </w:r>
          </w:p>
        </w:tc>
      </w:tr>
      <w:tr w:rsidR="00E93459" w:rsidRPr="00AC6EC4" w:rsidTr="007E37AA">
        <w:trPr>
          <w:trHeight w:val="255"/>
          <w:jc w:val="center"/>
        </w:trPr>
        <w:tc>
          <w:tcPr>
            <w:tcW w:w="2761" w:type="dxa"/>
            <w:tcBorders>
              <w:top w:val="single" w:sz="12" w:space="0" w:color="auto"/>
              <w:left w:val="nil"/>
              <w:right w:val="nil"/>
            </w:tcBorders>
            <w:vAlign w:val="center"/>
          </w:tcPr>
          <w:p w:rsidR="00E93459" w:rsidRPr="00AC6EC4" w:rsidRDefault="00E93459" w:rsidP="00062901">
            <w:pPr>
              <w:spacing w:line="240" w:lineRule="auto"/>
              <w:ind w:firstLine="0"/>
              <w:rPr>
                <w:rFonts w:asciiTheme="majorHAnsi" w:hAnsiTheme="majorHAnsi" w:cstheme="majorHAnsi"/>
              </w:rPr>
            </w:pPr>
            <w:r w:rsidRPr="00AC6EC4">
              <w:rPr>
                <w:rFonts w:asciiTheme="majorHAnsi" w:hAnsiTheme="majorHAnsi" w:cstheme="majorHAnsi"/>
              </w:rPr>
              <w:t>By lender</w:t>
            </w:r>
          </w:p>
        </w:tc>
        <w:tc>
          <w:tcPr>
            <w:tcW w:w="1196"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71"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330" w:type="dxa"/>
            <w:tcBorders>
              <w:top w:val="single" w:sz="12" w:space="0" w:color="auto"/>
              <w:left w:val="nil"/>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127" w:type="dxa"/>
            <w:tcBorders>
              <w:top w:val="single" w:sz="12" w:space="0" w:color="auto"/>
              <w:left w:val="doub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16"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55"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c>
          <w:tcPr>
            <w:tcW w:w="1018"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p>
        </w:tc>
      </w:tr>
      <w:tr w:rsidR="00E93459" w:rsidRPr="00AC6EC4" w:rsidTr="007E37AA">
        <w:trPr>
          <w:trHeight w:val="510"/>
          <w:jc w:val="center"/>
        </w:trPr>
        <w:tc>
          <w:tcPr>
            <w:tcW w:w="2761" w:type="dxa"/>
            <w:tcBorders>
              <w:left w:val="nil"/>
              <w:right w:val="nil"/>
            </w:tcBorders>
            <w:vAlign w:val="center"/>
          </w:tcPr>
          <w:p w:rsidR="00E93459" w:rsidRPr="00AC6EC4" w:rsidRDefault="00E93459" w:rsidP="00062901">
            <w:pPr>
              <w:spacing w:line="240" w:lineRule="auto"/>
              <w:ind w:left="324" w:firstLine="0"/>
              <w:rPr>
                <w:rFonts w:asciiTheme="majorHAnsi" w:hAnsiTheme="majorHAnsi" w:cstheme="majorHAnsi"/>
              </w:rPr>
            </w:pPr>
            <w:r w:rsidRPr="00AC6EC4">
              <w:rPr>
                <w:rFonts w:asciiTheme="majorHAnsi" w:hAnsiTheme="majorHAnsi" w:cstheme="majorHAnsi"/>
              </w:rPr>
              <w:t>From International Financial Organizations</w:t>
            </w:r>
          </w:p>
        </w:tc>
        <w:tc>
          <w:tcPr>
            <w:tcW w:w="1196" w:type="dxa"/>
            <w:tcBorders>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3,237.4</w:t>
            </w:r>
          </w:p>
        </w:tc>
        <w:tc>
          <w:tcPr>
            <w:tcW w:w="1071" w:type="dxa"/>
            <w:tcBorders>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3,588.2</w:t>
            </w:r>
          </w:p>
        </w:tc>
        <w:tc>
          <w:tcPr>
            <w:tcW w:w="1330" w:type="dxa"/>
            <w:tcBorders>
              <w:left w:val="nil"/>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3,625.4</w:t>
            </w:r>
          </w:p>
        </w:tc>
        <w:tc>
          <w:tcPr>
            <w:tcW w:w="1127" w:type="dxa"/>
            <w:tcBorders>
              <w:left w:val="doub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3,511.7</w:t>
            </w:r>
          </w:p>
        </w:tc>
        <w:tc>
          <w:tcPr>
            <w:tcW w:w="1016" w:type="dxa"/>
            <w:tcBorders>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3,452.3</w:t>
            </w:r>
          </w:p>
        </w:tc>
        <w:tc>
          <w:tcPr>
            <w:tcW w:w="1055" w:type="dxa"/>
            <w:tcBorders>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3,398.0</w:t>
            </w:r>
          </w:p>
        </w:tc>
        <w:tc>
          <w:tcPr>
            <w:tcW w:w="1018" w:type="dxa"/>
            <w:tcBorders>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3,303.8</w:t>
            </w:r>
          </w:p>
        </w:tc>
      </w:tr>
      <w:tr w:rsidR="00E93459" w:rsidRPr="00AC6EC4" w:rsidTr="007E37AA">
        <w:trPr>
          <w:trHeight w:val="248"/>
          <w:jc w:val="center"/>
        </w:trPr>
        <w:tc>
          <w:tcPr>
            <w:tcW w:w="2761" w:type="dxa"/>
            <w:tcBorders>
              <w:left w:val="nil"/>
              <w:bottom w:val="single" w:sz="4" w:space="0" w:color="auto"/>
              <w:right w:val="nil"/>
            </w:tcBorders>
            <w:vAlign w:val="center"/>
          </w:tcPr>
          <w:p w:rsidR="00E93459" w:rsidRPr="00AC6EC4" w:rsidRDefault="00E93459" w:rsidP="00062901">
            <w:pPr>
              <w:spacing w:line="240" w:lineRule="auto"/>
              <w:ind w:left="324" w:firstLine="0"/>
              <w:rPr>
                <w:rFonts w:asciiTheme="majorHAnsi" w:hAnsiTheme="majorHAnsi" w:cstheme="majorHAnsi"/>
              </w:rPr>
            </w:pPr>
            <w:r w:rsidRPr="00AC6EC4">
              <w:rPr>
                <w:rFonts w:asciiTheme="majorHAnsi" w:hAnsiTheme="majorHAnsi" w:cstheme="majorHAnsi"/>
              </w:rPr>
              <w:t>From Foreign States</w:t>
            </w:r>
          </w:p>
        </w:tc>
        <w:tc>
          <w:tcPr>
            <w:tcW w:w="1196"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1,048.9</w:t>
            </w:r>
          </w:p>
        </w:tc>
        <w:tc>
          <w:tcPr>
            <w:tcW w:w="1071"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1,056.5</w:t>
            </w:r>
          </w:p>
        </w:tc>
        <w:tc>
          <w:tcPr>
            <w:tcW w:w="1330" w:type="dxa"/>
            <w:tcBorders>
              <w:left w:val="nil"/>
              <w:bottom w:val="single" w:sz="4"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1,014.1</w:t>
            </w:r>
          </w:p>
        </w:tc>
        <w:tc>
          <w:tcPr>
            <w:tcW w:w="1127" w:type="dxa"/>
            <w:tcBorders>
              <w:left w:val="double" w:sz="4" w:space="0" w:color="auto"/>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1,000.5</w:t>
            </w:r>
          </w:p>
        </w:tc>
        <w:tc>
          <w:tcPr>
            <w:tcW w:w="1016"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971.5</w:t>
            </w:r>
          </w:p>
        </w:tc>
        <w:tc>
          <w:tcPr>
            <w:tcW w:w="1055"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949.2</w:t>
            </w:r>
          </w:p>
        </w:tc>
        <w:tc>
          <w:tcPr>
            <w:tcW w:w="1018" w:type="dxa"/>
            <w:tcBorders>
              <w:left w:val="nil"/>
              <w:bottom w:val="sing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945.9</w:t>
            </w:r>
          </w:p>
        </w:tc>
      </w:tr>
      <w:tr w:rsidR="00E93459" w:rsidRPr="00AC6EC4" w:rsidTr="007E37AA">
        <w:trPr>
          <w:trHeight w:val="255"/>
          <w:jc w:val="center"/>
        </w:trPr>
        <w:tc>
          <w:tcPr>
            <w:tcW w:w="2761" w:type="dxa"/>
            <w:tcBorders>
              <w:left w:val="nil"/>
              <w:bottom w:val="single" w:sz="12" w:space="0" w:color="auto"/>
              <w:right w:val="nil"/>
            </w:tcBorders>
            <w:vAlign w:val="center"/>
          </w:tcPr>
          <w:p w:rsidR="00E93459" w:rsidRPr="00AC6EC4" w:rsidRDefault="00E93459" w:rsidP="00062901">
            <w:pPr>
              <w:spacing w:line="240" w:lineRule="auto"/>
              <w:ind w:left="324" w:firstLine="0"/>
              <w:rPr>
                <w:rFonts w:asciiTheme="majorHAnsi" w:hAnsiTheme="majorHAnsi" w:cstheme="majorHAnsi"/>
              </w:rPr>
            </w:pPr>
            <w:r w:rsidRPr="00AC6EC4">
              <w:rPr>
                <w:rFonts w:asciiTheme="majorHAnsi" w:hAnsiTheme="majorHAnsi" w:cstheme="majorHAnsi"/>
              </w:rPr>
              <w:t>From Commercial Banks</w:t>
            </w:r>
          </w:p>
        </w:tc>
        <w:tc>
          <w:tcPr>
            <w:tcW w:w="1196"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20.5</w:t>
            </w:r>
          </w:p>
        </w:tc>
        <w:tc>
          <w:tcPr>
            <w:tcW w:w="1071"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20.6</w:t>
            </w:r>
          </w:p>
        </w:tc>
        <w:tc>
          <w:tcPr>
            <w:tcW w:w="1330" w:type="dxa"/>
            <w:tcBorders>
              <w:left w:val="nil"/>
              <w:bottom w:val="single" w:sz="12"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16.9</w:t>
            </w:r>
          </w:p>
        </w:tc>
        <w:tc>
          <w:tcPr>
            <w:tcW w:w="1127" w:type="dxa"/>
            <w:tcBorders>
              <w:left w:val="double" w:sz="4" w:space="0" w:color="auto"/>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17.4</w:t>
            </w:r>
          </w:p>
        </w:tc>
        <w:tc>
          <w:tcPr>
            <w:tcW w:w="1016"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15.1</w:t>
            </w:r>
          </w:p>
        </w:tc>
        <w:tc>
          <w:tcPr>
            <w:tcW w:w="1055"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12.8</w:t>
            </w:r>
          </w:p>
        </w:tc>
        <w:tc>
          <w:tcPr>
            <w:tcW w:w="1018" w:type="dxa"/>
            <w:tcBorders>
              <w:left w:val="nil"/>
              <w:bottom w:val="single" w:sz="12"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10.6</w:t>
            </w:r>
          </w:p>
        </w:tc>
      </w:tr>
      <w:tr w:rsidR="00E93459" w:rsidRPr="00AC6EC4" w:rsidTr="007E37AA">
        <w:trPr>
          <w:trHeight w:val="255"/>
          <w:jc w:val="center"/>
        </w:trPr>
        <w:tc>
          <w:tcPr>
            <w:tcW w:w="2761" w:type="dxa"/>
            <w:tcBorders>
              <w:top w:val="single" w:sz="12" w:space="0" w:color="auto"/>
              <w:left w:val="nil"/>
              <w:right w:val="nil"/>
            </w:tcBorders>
            <w:vAlign w:val="center"/>
          </w:tcPr>
          <w:p w:rsidR="00E93459" w:rsidRPr="00AC6EC4" w:rsidRDefault="00E93459" w:rsidP="00062901">
            <w:pPr>
              <w:spacing w:line="240" w:lineRule="auto"/>
              <w:ind w:firstLine="0"/>
              <w:rPr>
                <w:rFonts w:asciiTheme="majorHAnsi" w:hAnsiTheme="majorHAnsi" w:cstheme="majorHAnsi"/>
              </w:rPr>
            </w:pPr>
            <w:r w:rsidRPr="00AC6EC4">
              <w:rPr>
                <w:rFonts w:asciiTheme="majorHAnsi" w:hAnsiTheme="majorHAnsi" w:cstheme="majorHAnsi"/>
                <w:bCs/>
              </w:rPr>
              <w:t>Average Interest Rate (%)</w:t>
            </w:r>
          </w:p>
        </w:tc>
        <w:tc>
          <w:tcPr>
            <w:tcW w:w="1196"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2.3</w:t>
            </w:r>
          </w:p>
        </w:tc>
        <w:tc>
          <w:tcPr>
            <w:tcW w:w="1071"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1.5</w:t>
            </w:r>
          </w:p>
        </w:tc>
        <w:tc>
          <w:tcPr>
            <w:tcW w:w="1330" w:type="dxa"/>
            <w:tcBorders>
              <w:top w:val="single" w:sz="12" w:space="0" w:color="auto"/>
              <w:left w:val="nil"/>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2.0</w:t>
            </w:r>
          </w:p>
        </w:tc>
        <w:tc>
          <w:tcPr>
            <w:tcW w:w="1127" w:type="dxa"/>
            <w:tcBorders>
              <w:top w:val="single" w:sz="12" w:space="0" w:color="auto"/>
              <w:left w:val="double" w:sz="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1.6</w:t>
            </w:r>
          </w:p>
        </w:tc>
        <w:tc>
          <w:tcPr>
            <w:tcW w:w="1016"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2.0</w:t>
            </w:r>
          </w:p>
        </w:tc>
        <w:tc>
          <w:tcPr>
            <w:tcW w:w="1055"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2.2</w:t>
            </w:r>
          </w:p>
        </w:tc>
        <w:tc>
          <w:tcPr>
            <w:tcW w:w="1018" w:type="dxa"/>
            <w:tcBorders>
              <w:top w:val="single" w:sz="12" w:space="0" w:color="auto"/>
              <w:left w:val="nil"/>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2.2</w:t>
            </w:r>
          </w:p>
        </w:tc>
      </w:tr>
      <w:tr w:rsidR="00E93459" w:rsidRPr="00AC6EC4" w:rsidTr="007E37AA">
        <w:trPr>
          <w:trHeight w:val="255"/>
          <w:jc w:val="center"/>
        </w:trPr>
        <w:tc>
          <w:tcPr>
            <w:tcW w:w="2761" w:type="dxa"/>
            <w:tcBorders>
              <w:left w:val="nil"/>
              <w:bottom w:val="thickThinSmallGap" w:sz="24" w:space="0" w:color="auto"/>
              <w:right w:val="nil"/>
            </w:tcBorders>
            <w:vAlign w:val="center"/>
          </w:tcPr>
          <w:p w:rsidR="00E93459" w:rsidRPr="00AC6EC4" w:rsidRDefault="00E93459" w:rsidP="00062901">
            <w:pPr>
              <w:spacing w:line="240" w:lineRule="auto"/>
              <w:ind w:firstLine="0"/>
              <w:rPr>
                <w:rFonts w:asciiTheme="majorHAnsi" w:hAnsiTheme="majorHAnsi" w:cstheme="majorHAnsi"/>
              </w:rPr>
            </w:pPr>
            <w:r w:rsidRPr="00AC6EC4">
              <w:rPr>
                <w:rFonts w:asciiTheme="majorHAnsi" w:hAnsiTheme="majorHAnsi" w:cstheme="majorHAnsi"/>
                <w:bCs/>
              </w:rPr>
              <w:t>Average Time to Maturity (years)</w:t>
            </w:r>
          </w:p>
        </w:tc>
        <w:tc>
          <w:tcPr>
            <w:tcW w:w="1196" w:type="dxa"/>
            <w:tcBorders>
              <w:left w:val="nil"/>
              <w:bottom w:val="thickThinSmallGap" w:sz="2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9.3</w:t>
            </w:r>
          </w:p>
        </w:tc>
        <w:tc>
          <w:tcPr>
            <w:tcW w:w="1071" w:type="dxa"/>
            <w:tcBorders>
              <w:left w:val="nil"/>
              <w:bottom w:val="thickThinSmallGap" w:sz="2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8.4</w:t>
            </w:r>
          </w:p>
        </w:tc>
        <w:tc>
          <w:tcPr>
            <w:tcW w:w="1330" w:type="dxa"/>
            <w:tcBorders>
              <w:left w:val="nil"/>
              <w:bottom w:val="thickThinSmallGap" w:sz="24" w:space="0" w:color="auto"/>
              <w:right w:val="double" w:sz="4" w:space="0" w:color="auto"/>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7.8</w:t>
            </w:r>
          </w:p>
        </w:tc>
        <w:tc>
          <w:tcPr>
            <w:tcW w:w="1127" w:type="dxa"/>
            <w:tcBorders>
              <w:left w:val="double" w:sz="4" w:space="0" w:color="auto"/>
              <w:bottom w:val="thickThinSmallGap" w:sz="2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7.8</w:t>
            </w:r>
          </w:p>
        </w:tc>
        <w:tc>
          <w:tcPr>
            <w:tcW w:w="1016" w:type="dxa"/>
            <w:tcBorders>
              <w:left w:val="nil"/>
              <w:bottom w:val="thickThinSmallGap" w:sz="2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7.3</w:t>
            </w:r>
          </w:p>
        </w:tc>
        <w:tc>
          <w:tcPr>
            <w:tcW w:w="1055" w:type="dxa"/>
            <w:tcBorders>
              <w:left w:val="nil"/>
              <w:bottom w:val="thickThinSmallGap" w:sz="2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6.9</w:t>
            </w:r>
          </w:p>
        </w:tc>
        <w:tc>
          <w:tcPr>
            <w:tcW w:w="1018" w:type="dxa"/>
            <w:tcBorders>
              <w:left w:val="nil"/>
              <w:bottom w:val="thickThinSmallGap" w:sz="24" w:space="0" w:color="auto"/>
              <w:right w:val="nil"/>
            </w:tcBorders>
            <w:vAlign w:val="center"/>
          </w:tcPr>
          <w:p w:rsidR="00E93459" w:rsidRPr="00AC6EC4" w:rsidRDefault="00E93459" w:rsidP="00062901">
            <w:pPr>
              <w:spacing w:line="240" w:lineRule="auto"/>
              <w:ind w:firstLine="0"/>
              <w:jc w:val="center"/>
              <w:rPr>
                <w:rFonts w:asciiTheme="majorHAnsi" w:hAnsiTheme="majorHAnsi" w:cstheme="majorHAnsi"/>
              </w:rPr>
            </w:pPr>
            <w:r w:rsidRPr="00AC6EC4">
              <w:rPr>
                <w:rFonts w:asciiTheme="majorHAnsi" w:hAnsiTheme="majorHAnsi" w:cstheme="majorHAnsi"/>
              </w:rPr>
              <w:t>6.8</w:t>
            </w:r>
          </w:p>
        </w:tc>
      </w:tr>
    </w:tbl>
    <w:p w:rsidR="00025E2D" w:rsidRPr="00AC6EC4" w:rsidRDefault="00025E2D" w:rsidP="00A1274B">
      <w:pPr>
        <w:rPr>
          <w:rFonts w:asciiTheme="majorHAnsi" w:hAnsiTheme="majorHAnsi" w:cstheme="majorHAnsi"/>
        </w:rPr>
      </w:pPr>
    </w:p>
    <w:bookmarkEnd w:id="2"/>
    <w:p w:rsidR="00FB7F60" w:rsidRDefault="00B72E15" w:rsidP="00A1274B">
      <w:pPr>
        <w:rPr>
          <w:rFonts w:asciiTheme="majorHAnsi" w:hAnsiTheme="majorHAnsi" w:cstheme="majorHAnsi"/>
        </w:rPr>
      </w:pPr>
      <w:r w:rsidRPr="00AC6EC4">
        <w:rPr>
          <w:rFonts w:asciiTheme="majorHAnsi" w:hAnsiTheme="majorHAnsi" w:cstheme="majorHAnsi"/>
        </w:rPr>
        <w:t xml:space="preserve"> </w:t>
      </w:r>
    </w:p>
    <w:p w:rsidR="00AC6EC4" w:rsidRPr="00AC6EC4" w:rsidRDefault="00AC6EC4" w:rsidP="00A1274B">
      <w:pPr>
        <w:rPr>
          <w:rFonts w:asciiTheme="majorHAnsi" w:hAnsiTheme="majorHAnsi" w:cstheme="majorHAnsi"/>
        </w:rPr>
      </w:pPr>
    </w:p>
    <w:sectPr w:rsidR="00AC6EC4" w:rsidRPr="00AC6EC4" w:rsidSect="008E36CD">
      <w:pgSz w:w="11909" w:h="16834" w:code="9"/>
      <w:pgMar w:top="1134" w:right="567" w:bottom="567"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31" w:rsidRDefault="00334F31" w:rsidP="00A1274B">
      <w:r>
        <w:separator/>
      </w:r>
    </w:p>
  </w:endnote>
  <w:endnote w:type="continuationSeparator" w:id="0">
    <w:p w:rsidR="00334F31" w:rsidRDefault="00334F31" w:rsidP="00A1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Unicode">
    <w:panose1 w:val="02020603050405020304"/>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ica">
    <w:panose1 w:val="00000000000000000000"/>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Armenian">
    <w:altName w:val="Arial Armenian"/>
    <w:panose1 w:val="00000000000000000000"/>
    <w:charset w:val="00"/>
    <w:family w:val="swiss"/>
    <w:notTrueType/>
    <w:pitch w:val="default"/>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allak Helv">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Liberation Sans">
    <w:altName w:val="Arial"/>
    <w:charset w:val="01"/>
    <w:family w:val="roman"/>
    <w:pitch w:val="variable"/>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31" w:rsidRDefault="00334F31" w:rsidP="00A127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34F31" w:rsidRDefault="00334F31" w:rsidP="00A127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31" w:rsidRDefault="00334F31" w:rsidP="00A1274B">
    <w:pPr>
      <w:pStyle w:val="Footer"/>
      <w:pBdr>
        <w:top w:val="single" w:sz="4" w:space="1" w:color="002060"/>
      </w:pBdr>
      <w:jc w:val="right"/>
    </w:pPr>
    <w:r>
      <w:fldChar w:fldCharType="begin"/>
    </w:r>
    <w:r>
      <w:instrText xml:space="preserve"> PAGE   \* MERGEFORMAT </w:instrText>
    </w:r>
    <w:r>
      <w:fldChar w:fldCharType="separate"/>
    </w:r>
    <w:r w:rsidR="00062C65">
      <w:rPr>
        <w:noProof/>
      </w:rPr>
      <w:t>2</w:t>
    </w:r>
    <w:r>
      <w:rPr>
        <w:noProof/>
      </w:rPr>
      <w:fldChar w:fldCharType="end"/>
    </w:r>
  </w:p>
  <w:p w:rsidR="00334F31" w:rsidRPr="00B75D58" w:rsidRDefault="00334F31" w:rsidP="00A127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31" w:rsidRDefault="00334F31" w:rsidP="00A1274B">
      <w:r>
        <w:separator/>
      </w:r>
    </w:p>
  </w:footnote>
  <w:footnote w:type="continuationSeparator" w:id="0">
    <w:p w:rsidR="00334F31" w:rsidRDefault="00334F31" w:rsidP="00A1274B">
      <w:r>
        <w:continuationSeparator/>
      </w:r>
    </w:p>
  </w:footnote>
  <w:footnote w:id="1">
    <w:p w:rsidR="00334F31" w:rsidRDefault="00334F31" w:rsidP="009F0B2E">
      <w:pPr>
        <w:pStyle w:val="FootnoteText"/>
      </w:pPr>
      <w:r>
        <w:rPr>
          <w:rStyle w:val="FootnoteReference"/>
        </w:rPr>
        <w:footnoteRef/>
      </w:r>
      <w:r>
        <w:t xml:space="preserve"> </w:t>
      </w:r>
      <w:r w:rsidRPr="00EB785D">
        <w:t xml:space="preserve">The description of the macroeconomic scenario of target economic growth, the conditions for its provision </w:t>
      </w:r>
      <w:r>
        <w:rPr>
          <w:lang w:val="en-US"/>
        </w:rPr>
        <w:t>and</w:t>
      </w:r>
      <w:r w:rsidRPr="00EB785D">
        <w:t xml:space="preserve"> the fiscal scenario can be found in the 2022-2024 </w:t>
      </w:r>
      <w:r>
        <w:rPr>
          <w:rFonts w:cs="GHEA Grapalat"/>
          <w:lang w:val="en-US"/>
        </w:rPr>
        <w:t>MTEF</w:t>
      </w:r>
      <w:r w:rsidRPr="00EB785D">
        <w:t xml:space="preserve"> document</w:t>
      </w:r>
      <w:r>
        <w:rPr>
          <w:lang w:val="en-US"/>
        </w:rPr>
        <w:t xml:space="preserve">, in the </w:t>
      </w:r>
      <w:r w:rsidRPr="00EB785D">
        <w:t>subsection "1</w:t>
      </w:r>
      <w:r w:rsidRPr="00EB785D">
        <w:rPr>
          <w:rFonts w:ascii="Cambria Math" w:hAnsi="Cambria Math" w:cs="Cambria Math"/>
        </w:rPr>
        <w:t>․</w:t>
      </w:r>
      <w:r w:rsidRPr="00EB785D">
        <w:t>3</w:t>
      </w:r>
      <w:r w:rsidRPr="00EB785D">
        <w:rPr>
          <w:rFonts w:ascii="Cambria Math" w:hAnsi="Cambria Math" w:cs="Cambria Math"/>
        </w:rPr>
        <w:t>․</w:t>
      </w:r>
      <w:r w:rsidRPr="00EB785D">
        <w:t>1</w:t>
      </w:r>
      <w:r>
        <w:rPr>
          <w:lang w:val="en-US"/>
        </w:rPr>
        <w:t>.</w:t>
      </w:r>
      <w:r w:rsidRPr="00EB785D">
        <w:t>Target (high) economic growth scenario ".</w:t>
      </w:r>
    </w:p>
  </w:footnote>
  <w:footnote w:id="2">
    <w:p w:rsidR="00334F31" w:rsidRPr="00FC75FC" w:rsidRDefault="00334F31" w:rsidP="006812E8">
      <w:pPr>
        <w:pStyle w:val="FootnoteText"/>
      </w:pPr>
      <w:r>
        <w:rPr>
          <w:rStyle w:val="FootnoteReference"/>
        </w:rPr>
        <w:footnoteRef/>
      </w:r>
      <w:r>
        <w:t xml:space="preserve"> </w:t>
      </w:r>
      <w:r w:rsidRPr="001A353C">
        <w:t xml:space="preserve">It is </w:t>
      </w:r>
      <w:r>
        <w:rPr>
          <w:lang w:val="en-US"/>
        </w:rPr>
        <w:t>forecast</w:t>
      </w:r>
      <w:r w:rsidRPr="001A353C">
        <w:t xml:space="preserve">ed that the financing of the state budget deficit in 2022-2024 will not only be fully implemented </w:t>
      </w:r>
      <w:r w:rsidR="00FB1209">
        <w:t>with</w:t>
      </w:r>
      <w:r w:rsidRPr="001A353C">
        <w:t xml:space="preserve"> </w:t>
      </w:r>
      <w:r>
        <w:rPr>
          <w:lang w:val="en-US"/>
        </w:rPr>
        <w:t xml:space="preserve">the </w:t>
      </w:r>
      <w:r w:rsidRPr="001A353C">
        <w:t>net domestic borrow</w:t>
      </w:r>
      <w:r>
        <w:rPr>
          <w:lang w:val="en-US"/>
        </w:rPr>
        <w:t>ing funds</w:t>
      </w:r>
      <w:r w:rsidRPr="001A353C">
        <w:t xml:space="preserve">, but also </w:t>
      </w:r>
      <w:r w:rsidR="00FB1209">
        <w:rPr>
          <w:lang w:val="en-US"/>
        </w:rPr>
        <w:t xml:space="preserve">the </w:t>
      </w:r>
      <w:r w:rsidRPr="001A353C">
        <w:t>net domestic borrow</w:t>
      </w:r>
      <w:r>
        <w:rPr>
          <w:lang w:val="en-US"/>
        </w:rPr>
        <w:t>ing</w:t>
      </w:r>
      <w:r w:rsidRPr="001A353C">
        <w:t xml:space="preserve"> funds will finance the negative flows </w:t>
      </w:r>
      <w:r w:rsidR="00FB1209">
        <w:rPr>
          <w:lang w:val="en-US"/>
        </w:rPr>
        <w:t>emanated from</w:t>
      </w:r>
      <w:r w:rsidRPr="001A353C">
        <w:t xml:space="preserve"> deficit financing </w:t>
      </w:r>
      <w:r w:rsidR="00FB1209">
        <w:rPr>
          <w:lang w:val="en-US"/>
        </w:rPr>
        <w:t>through</w:t>
      </w:r>
      <w:r>
        <w:rPr>
          <w:lang w:val="en-US"/>
        </w:rPr>
        <w:t xml:space="preserve"> </w:t>
      </w:r>
      <w:r w:rsidR="00FB1209">
        <w:rPr>
          <w:lang w:val="en-US"/>
        </w:rPr>
        <w:t xml:space="preserve">net </w:t>
      </w:r>
      <w:r>
        <w:rPr>
          <w:lang w:val="en-US"/>
        </w:rPr>
        <w:t>external</w:t>
      </w:r>
      <w:r w:rsidRPr="001A353C">
        <w:t xml:space="preserve"> borrow</w:t>
      </w:r>
      <w:r>
        <w:rPr>
          <w:lang w:val="en-US"/>
        </w:rPr>
        <w:t>ing</w:t>
      </w:r>
      <w:r w:rsidRPr="001A353C">
        <w:t xml:space="preserve"> funds.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83"/>
    <w:multiLevelType w:val="singleLevel"/>
    <w:tmpl w:val="9F865784"/>
    <w:lvl w:ilvl="0">
      <w:start w:val="1"/>
      <w:numFmt w:val="bullet"/>
      <w:pStyle w:val="2ndheading"/>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15:restartNumberingAfterBreak="0">
    <w:nsid w:val="034817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22CD"/>
    <w:multiLevelType w:val="multilevel"/>
    <w:tmpl w:val="C77EBEC8"/>
    <w:lvl w:ilvl="0">
      <w:start w:val="1"/>
      <w:numFmt w:val="decimal"/>
      <w:pStyle w:val="Style4"/>
      <w:lvlText w:val="´²ÄÆÜ %1."/>
      <w:lvlJc w:val="left"/>
      <w:pPr>
        <w:tabs>
          <w:tab w:val="num" w:pos="1531"/>
        </w:tabs>
        <w:ind w:left="1531" w:hanging="1531"/>
      </w:pPr>
      <w:rPr>
        <w:rFonts w:hint="default"/>
      </w:rPr>
    </w:lvl>
    <w:lvl w:ilvl="1">
      <w:start w:val="1"/>
      <w:numFmt w:val="decimal"/>
      <w:lvlRestart w:val="0"/>
      <w:pStyle w:val="annexedhead"/>
      <w:lvlText w:val="¶ÈàôÊ %2."/>
      <w:lvlJc w:val="left"/>
      <w:pPr>
        <w:tabs>
          <w:tab w:val="num" w:pos="1440"/>
        </w:tabs>
        <w:ind w:left="737" w:hanging="737"/>
      </w:pPr>
      <w:rPr>
        <w:rFonts w:hint="default"/>
      </w:rPr>
    </w:lvl>
    <w:lvl w:ilvl="2">
      <w:start w:val="1"/>
      <w:numFmt w:val="decimal"/>
      <w:pStyle w:val="StyleHeading3CenteredtextLinespacingsingle"/>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pStyle w:val="Heading6"/>
      <w:lvlText w:val="%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4C13DF6"/>
    <w:multiLevelType w:val="multilevel"/>
    <w:tmpl w:val="4F5A80D2"/>
    <w:lvl w:ilvl="0">
      <w:start w:val="1"/>
      <w:numFmt w:val="decimal"/>
      <w:lvlText w:val="Գլուխ %1."/>
      <w:lvlJc w:val="left"/>
      <w:pPr>
        <w:ind w:left="8866" w:hanging="360"/>
      </w:pPr>
      <w:rPr>
        <w:rFonts w:ascii="GHEA Grapalat" w:hAnsi="GHEA Grapalat" w:hint="default"/>
        <w:b/>
        <w:i w:val="0"/>
        <w:sz w:val="26"/>
        <w:szCs w:val="26"/>
      </w:rPr>
    </w:lvl>
    <w:lvl w:ilvl="1">
      <w:start w:val="1"/>
      <w:numFmt w:val="decimal"/>
      <w:pStyle w:val="Heading3"/>
      <w:lvlText w:val="%1.%2."/>
      <w:lvlJc w:val="left"/>
      <w:pPr>
        <w:ind w:left="9080" w:hanging="432"/>
      </w:pPr>
      <w:rPr>
        <w:b/>
        <w:bCs w:val="0"/>
      </w:rPr>
    </w:lvl>
    <w:lvl w:ilvl="2">
      <w:start w:val="1"/>
      <w:numFmt w:val="decimal"/>
      <w:pStyle w:val="Heading4"/>
      <w:lvlText w:val="%1.%2.%3."/>
      <w:lvlJc w:val="left"/>
      <w:pPr>
        <w:ind w:left="9162" w:hanging="504"/>
      </w:pPr>
    </w:lvl>
    <w:lvl w:ilvl="3">
      <w:start w:val="1"/>
      <w:numFmt w:val="decimal"/>
      <w:lvlText w:val="%1.%2.%3.%4."/>
      <w:lvlJc w:val="left"/>
      <w:pPr>
        <w:ind w:left="9666" w:hanging="648"/>
      </w:pPr>
    </w:lvl>
    <w:lvl w:ilvl="4">
      <w:start w:val="1"/>
      <w:numFmt w:val="decimal"/>
      <w:lvlText w:val="%1.%2.%3.%4.%5."/>
      <w:lvlJc w:val="left"/>
      <w:pPr>
        <w:ind w:left="10170" w:hanging="792"/>
      </w:pPr>
    </w:lvl>
    <w:lvl w:ilvl="5">
      <w:start w:val="1"/>
      <w:numFmt w:val="decimal"/>
      <w:lvlText w:val="%1.%2.%3.%4.%5.%6."/>
      <w:lvlJc w:val="left"/>
      <w:pPr>
        <w:ind w:left="10674" w:hanging="936"/>
      </w:pPr>
    </w:lvl>
    <w:lvl w:ilvl="6">
      <w:start w:val="1"/>
      <w:numFmt w:val="decimal"/>
      <w:lvlText w:val="%1.%2.%3.%4.%5.%6.%7."/>
      <w:lvlJc w:val="left"/>
      <w:pPr>
        <w:ind w:left="11178" w:hanging="1080"/>
      </w:pPr>
    </w:lvl>
    <w:lvl w:ilvl="7">
      <w:start w:val="1"/>
      <w:numFmt w:val="decimal"/>
      <w:lvlText w:val="%1.%2.%3.%4.%5.%6.%7.%8."/>
      <w:lvlJc w:val="left"/>
      <w:pPr>
        <w:ind w:left="11682" w:hanging="1224"/>
      </w:pPr>
    </w:lvl>
    <w:lvl w:ilvl="8">
      <w:start w:val="1"/>
      <w:numFmt w:val="decimal"/>
      <w:lvlText w:val="%1.%2.%3.%4.%5.%6.%7.%8.%9."/>
      <w:lvlJc w:val="left"/>
      <w:pPr>
        <w:ind w:left="12258" w:hanging="1440"/>
      </w:pPr>
    </w:lvl>
  </w:abstractNum>
  <w:abstractNum w:abstractNumId="6" w15:restartNumberingAfterBreak="0">
    <w:nsid w:val="2C0D17E8"/>
    <w:multiLevelType w:val="hybridMultilevel"/>
    <w:tmpl w:val="E8280606"/>
    <w:name w:val="WW8Num43"/>
    <w:lvl w:ilvl="0" w:tplc="FFFFFFFF">
      <w:start w:val="110"/>
      <w:numFmt w:val="bullet"/>
      <w:pStyle w:val="ListBullet2"/>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2EC57CAF"/>
    <w:multiLevelType w:val="multilevel"/>
    <w:tmpl w:val="A43AF0F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485EA2"/>
    <w:multiLevelType w:val="hybridMultilevel"/>
    <w:tmpl w:val="919A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D40F5"/>
    <w:multiLevelType w:val="hybridMultilevel"/>
    <w:tmpl w:val="EBA60766"/>
    <w:lvl w:ilvl="0" w:tplc="04090001">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nsolas" w:hAnsi="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nsolas" w:hAnsi="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nsolas" w:hAnsi="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93821"/>
    <w:multiLevelType w:val="hybridMultilevel"/>
    <w:tmpl w:val="355C92D4"/>
    <w:lvl w:ilvl="0" w:tplc="B762D296">
      <w:start w:val="1"/>
      <w:numFmt w:val="bullet"/>
      <w:lvlText w:val=""/>
      <w:lvlJc w:val="left"/>
      <w:pPr>
        <w:tabs>
          <w:tab w:val="num" w:pos="360"/>
        </w:tabs>
        <w:ind w:left="360" w:hanging="360"/>
      </w:pPr>
      <w:rPr>
        <w:rFonts w:ascii="Wingdings" w:hAnsi="Wingdings" w:hint="default"/>
      </w:rPr>
    </w:lvl>
    <w:lvl w:ilvl="1" w:tplc="839A500E" w:tentative="1">
      <w:start w:val="1"/>
      <w:numFmt w:val="bullet"/>
      <w:lvlText w:val="o"/>
      <w:lvlJc w:val="left"/>
      <w:pPr>
        <w:tabs>
          <w:tab w:val="num" w:pos="1080"/>
        </w:tabs>
        <w:ind w:left="1080" w:hanging="360"/>
      </w:pPr>
      <w:rPr>
        <w:rFonts w:ascii="Consolas" w:hAnsi="Consolas" w:hint="default"/>
      </w:rPr>
    </w:lvl>
    <w:lvl w:ilvl="2" w:tplc="95B6FAB6" w:tentative="1">
      <w:start w:val="1"/>
      <w:numFmt w:val="bullet"/>
      <w:lvlText w:val=""/>
      <w:lvlJc w:val="left"/>
      <w:pPr>
        <w:tabs>
          <w:tab w:val="num" w:pos="1800"/>
        </w:tabs>
        <w:ind w:left="1800" w:hanging="360"/>
      </w:pPr>
      <w:rPr>
        <w:rFonts w:ascii="Wingdings" w:hAnsi="Wingdings" w:hint="default"/>
      </w:rPr>
    </w:lvl>
    <w:lvl w:ilvl="3" w:tplc="E0FE1F36" w:tentative="1">
      <w:start w:val="1"/>
      <w:numFmt w:val="bullet"/>
      <w:lvlText w:val=""/>
      <w:lvlJc w:val="left"/>
      <w:pPr>
        <w:tabs>
          <w:tab w:val="num" w:pos="2520"/>
        </w:tabs>
        <w:ind w:left="2520" w:hanging="360"/>
      </w:pPr>
      <w:rPr>
        <w:rFonts w:ascii="Symbol" w:hAnsi="Symbol" w:hint="default"/>
      </w:rPr>
    </w:lvl>
    <w:lvl w:ilvl="4" w:tplc="B6BCBCE0" w:tentative="1">
      <w:start w:val="1"/>
      <w:numFmt w:val="bullet"/>
      <w:lvlText w:val="o"/>
      <w:lvlJc w:val="left"/>
      <w:pPr>
        <w:tabs>
          <w:tab w:val="num" w:pos="3240"/>
        </w:tabs>
        <w:ind w:left="3240" w:hanging="360"/>
      </w:pPr>
      <w:rPr>
        <w:rFonts w:ascii="Consolas" w:hAnsi="Consolas" w:hint="default"/>
      </w:rPr>
    </w:lvl>
    <w:lvl w:ilvl="5" w:tplc="64BAB4E0" w:tentative="1">
      <w:start w:val="1"/>
      <w:numFmt w:val="bullet"/>
      <w:lvlText w:val=""/>
      <w:lvlJc w:val="left"/>
      <w:pPr>
        <w:tabs>
          <w:tab w:val="num" w:pos="3960"/>
        </w:tabs>
        <w:ind w:left="3960" w:hanging="360"/>
      </w:pPr>
      <w:rPr>
        <w:rFonts w:ascii="Wingdings" w:hAnsi="Wingdings" w:hint="default"/>
      </w:rPr>
    </w:lvl>
    <w:lvl w:ilvl="6" w:tplc="6A5EFF82" w:tentative="1">
      <w:start w:val="1"/>
      <w:numFmt w:val="bullet"/>
      <w:lvlText w:val=""/>
      <w:lvlJc w:val="left"/>
      <w:pPr>
        <w:tabs>
          <w:tab w:val="num" w:pos="4680"/>
        </w:tabs>
        <w:ind w:left="4680" w:hanging="360"/>
      </w:pPr>
      <w:rPr>
        <w:rFonts w:ascii="Symbol" w:hAnsi="Symbol" w:hint="default"/>
      </w:rPr>
    </w:lvl>
    <w:lvl w:ilvl="7" w:tplc="B3A205DE" w:tentative="1">
      <w:start w:val="1"/>
      <w:numFmt w:val="bullet"/>
      <w:lvlText w:val="o"/>
      <w:lvlJc w:val="left"/>
      <w:pPr>
        <w:tabs>
          <w:tab w:val="num" w:pos="5400"/>
        </w:tabs>
        <w:ind w:left="5400" w:hanging="360"/>
      </w:pPr>
      <w:rPr>
        <w:rFonts w:ascii="Consolas" w:hAnsi="Consolas" w:hint="default"/>
      </w:rPr>
    </w:lvl>
    <w:lvl w:ilvl="8" w:tplc="4D926FB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4857514"/>
    <w:multiLevelType w:val="hybridMultilevel"/>
    <w:tmpl w:val="CDBC651C"/>
    <w:lvl w:ilvl="0" w:tplc="3998D056">
      <w:start w:val="1"/>
      <w:numFmt w:val="decimal"/>
      <w:lvlText w:val="Գծապատկեր %1."/>
      <w:lvlJc w:val="left"/>
      <w:pPr>
        <w:ind w:left="720" w:hanging="360"/>
      </w:pPr>
      <w:rPr>
        <w:rFonts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8094A"/>
    <w:multiLevelType w:val="hybridMultilevel"/>
    <w:tmpl w:val="2ADCA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5301"/>
    <w:multiLevelType w:val="hybridMultilevel"/>
    <w:tmpl w:val="47D425D2"/>
    <w:lvl w:ilvl="0" w:tplc="3A961D62">
      <w:start w:val="1"/>
      <w:numFmt w:val="bullet"/>
      <w:lvlText w:val=""/>
      <w:lvlJc w:val="left"/>
      <w:pPr>
        <w:ind w:left="1080" w:hanging="360"/>
      </w:pPr>
      <w:rPr>
        <w:rFonts w:ascii="Symbol" w:hAnsi="Symbol" w:hint="default"/>
        <w:color w:val="auto"/>
        <w:lang w:val="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47228"/>
    <w:multiLevelType w:val="hybridMultilevel"/>
    <w:tmpl w:val="69C88C5A"/>
    <w:lvl w:ilvl="0" w:tplc="04190001">
      <w:numFmt w:val="bullet"/>
      <w:pStyle w:val="a"/>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20" w15:restartNumberingAfterBreak="0">
    <w:nsid w:val="5F7C6FDB"/>
    <w:multiLevelType w:val="hybridMultilevel"/>
    <w:tmpl w:val="39C6AF84"/>
    <w:lvl w:ilvl="0" w:tplc="04090001">
      <w:start w:val="1"/>
      <w:numFmt w:val="decimal"/>
      <w:pStyle w:val="BodyText1"/>
      <w:lvlText w:val="%1."/>
      <w:lvlJc w:val="left"/>
      <w:pPr>
        <w:tabs>
          <w:tab w:val="num" w:pos="0"/>
        </w:tabs>
        <w:ind w:left="0" w:firstLine="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53D33EF"/>
    <w:multiLevelType w:val="hybridMultilevel"/>
    <w:tmpl w:val="444C9326"/>
    <w:lvl w:ilvl="0" w:tplc="DC7E644C">
      <w:start w:val="1"/>
      <w:numFmt w:val="decimal"/>
      <w:lvlText w:val="Chart %1."/>
      <w:lvlJc w:val="left"/>
      <w:pPr>
        <w:ind w:left="720" w:hanging="360"/>
      </w:pPr>
      <w:rPr>
        <w:rFonts w:hint="default"/>
        <w:b/>
        <w:bCs/>
        <w:i w:val="0"/>
        <w:i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2" w15:restartNumberingAfterBreak="0">
    <w:nsid w:val="6ABB4524"/>
    <w:multiLevelType w:val="hybridMultilevel"/>
    <w:tmpl w:val="831688D4"/>
    <w:lvl w:ilvl="0" w:tplc="04090001">
      <w:start w:val="1"/>
      <w:numFmt w:val="bullet"/>
      <w:pStyle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D8964AC"/>
    <w:multiLevelType w:val="hybridMultilevel"/>
    <w:tmpl w:val="D4741B72"/>
    <w:lvl w:ilvl="0" w:tplc="114CD1F0">
      <w:start w:val="1"/>
      <w:numFmt w:val="decimal"/>
      <w:lvlText w:val="Table %1."/>
      <w:lvlJc w:val="left"/>
      <w:pPr>
        <w:ind w:left="900" w:hanging="360"/>
      </w:pPr>
      <w:rPr>
        <w:rFonts w:hint="default"/>
        <w:b/>
        <w:bCs/>
      </w:rPr>
    </w:lvl>
    <w:lvl w:ilvl="1" w:tplc="042B0019" w:tentative="1">
      <w:start w:val="1"/>
      <w:numFmt w:val="lowerLetter"/>
      <w:lvlText w:val="%2."/>
      <w:lvlJc w:val="left"/>
      <w:pPr>
        <w:ind w:left="1620" w:hanging="360"/>
      </w:pPr>
    </w:lvl>
    <w:lvl w:ilvl="2" w:tplc="042B001B" w:tentative="1">
      <w:start w:val="1"/>
      <w:numFmt w:val="lowerRoman"/>
      <w:lvlText w:val="%3."/>
      <w:lvlJc w:val="right"/>
      <w:pPr>
        <w:ind w:left="2340" w:hanging="180"/>
      </w:pPr>
    </w:lvl>
    <w:lvl w:ilvl="3" w:tplc="042B000F" w:tentative="1">
      <w:start w:val="1"/>
      <w:numFmt w:val="decimal"/>
      <w:lvlText w:val="%4."/>
      <w:lvlJc w:val="left"/>
      <w:pPr>
        <w:ind w:left="3060" w:hanging="360"/>
      </w:pPr>
    </w:lvl>
    <w:lvl w:ilvl="4" w:tplc="042B0019" w:tentative="1">
      <w:start w:val="1"/>
      <w:numFmt w:val="lowerLetter"/>
      <w:lvlText w:val="%5."/>
      <w:lvlJc w:val="left"/>
      <w:pPr>
        <w:ind w:left="3780" w:hanging="360"/>
      </w:pPr>
    </w:lvl>
    <w:lvl w:ilvl="5" w:tplc="042B001B" w:tentative="1">
      <w:start w:val="1"/>
      <w:numFmt w:val="lowerRoman"/>
      <w:lvlText w:val="%6."/>
      <w:lvlJc w:val="right"/>
      <w:pPr>
        <w:ind w:left="4500" w:hanging="180"/>
      </w:pPr>
    </w:lvl>
    <w:lvl w:ilvl="6" w:tplc="042B000F" w:tentative="1">
      <w:start w:val="1"/>
      <w:numFmt w:val="decimal"/>
      <w:lvlText w:val="%7."/>
      <w:lvlJc w:val="left"/>
      <w:pPr>
        <w:ind w:left="5220" w:hanging="360"/>
      </w:pPr>
    </w:lvl>
    <w:lvl w:ilvl="7" w:tplc="042B0019" w:tentative="1">
      <w:start w:val="1"/>
      <w:numFmt w:val="lowerLetter"/>
      <w:lvlText w:val="%8."/>
      <w:lvlJc w:val="left"/>
      <w:pPr>
        <w:ind w:left="5940" w:hanging="360"/>
      </w:pPr>
    </w:lvl>
    <w:lvl w:ilvl="8" w:tplc="042B001B" w:tentative="1">
      <w:start w:val="1"/>
      <w:numFmt w:val="lowerRoman"/>
      <w:lvlText w:val="%9."/>
      <w:lvlJc w:val="right"/>
      <w:pPr>
        <w:ind w:left="6660" w:hanging="180"/>
      </w:pPr>
    </w:lvl>
  </w:abstractNum>
  <w:abstractNum w:abstractNumId="24" w15:restartNumberingAfterBreak="0">
    <w:nsid w:val="7A47583E"/>
    <w:multiLevelType w:val="hybridMultilevel"/>
    <w:tmpl w:val="02B41A44"/>
    <w:lvl w:ilvl="0" w:tplc="04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2"/>
  </w:num>
  <w:num w:numId="2">
    <w:abstractNumId w:val="4"/>
  </w:num>
  <w:num w:numId="3">
    <w:abstractNumId w:val="20"/>
  </w:num>
  <w:num w:numId="4">
    <w:abstractNumId w:val="18"/>
  </w:num>
  <w:num w:numId="5">
    <w:abstractNumId w:val="17"/>
  </w:num>
  <w:num w:numId="6">
    <w:abstractNumId w:val="6"/>
  </w:num>
  <w:num w:numId="7">
    <w:abstractNumId w:val="16"/>
  </w:num>
  <w:num w:numId="8">
    <w:abstractNumId w:val="0"/>
  </w:num>
  <w:num w:numId="9">
    <w:abstractNumId w:val="3"/>
  </w:num>
  <w:num w:numId="10">
    <w:abstractNumId w:val="11"/>
  </w:num>
  <w:num w:numId="11">
    <w:abstractNumId w:val="10"/>
  </w:num>
  <w:num w:numId="12">
    <w:abstractNumId w:val="1"/>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4"/>
  </w:num>
  <w:num w:numId="18">
    <w:abstractNumId w:val="8"/>
  </w:num>
  <w:num w:numId="19">
    <w:abstractNumId w:val="13"/>
  </w:num>
  <w:num w:numId="20">
    <w:abstractNumId w:val="15"/>
  </w:num>
  <w:num w:numId="21">
    <w:abstractNumId w:val="5"/>
  </w:num>
  <w:num w:numId="22">
    <w:abstractNumId w:val="5"/>
  </w:num>
  <w:num w:numId="23">
    <w:abstractNumId w:val="2"/>
  </w:num>
  <w:num w:numId="24">
    <w:abstractNumId w:val="7"/>
  </w:num>
  <w:num w:numId="25">
    <w:abstractNumId w:val="7"/>
  </w:num>
  <w:num w:numId="26">
    <w:abstractNumId w:val="7"/>
  </w:num>
  <w:num w:numId="27">
    <w:abstractNumId w:val="7"/>
  </w:num>
  <w:num w:numId="28">
    <w:abstractNumId w:val="21"/>
  </w:num>
  <w:num w:numId="29">
    <w:abstractNumId w:val="23"/>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141"/>
  <w:drawingGridHorizontalSpacing w:val="120"/>
  <w:displayHorizontalDrawingGridEvery w:val="2"/>
  <w:noPunctuationKerning/>
  <w:characterSpacingControl w:val="doNotCompress"/>
  <w:hdrShapeDefaults>
    <o:shapedefaults v:ext="edit" spidmax="2049">
      <o:colormru v:ext="edit" colors="#ffc,#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88"/>
    <w:rsid w:val="000005FE"/>
    <w:rsid w:val="00000BD5"/>
    <w:rsid w:val="00001434"/>
    <w:rsid w:val="000024FA"/>
    <w:rsid w:val="0000313E"/>
    <w:rsid w:val="000035F3"/>
    <w:rsid w:val="00003621"/>
    <w:rsid w:val="00003865"/>
    <w:rsid w:val="00003F2B"/>
    <w:rsid w:val="000044C4"/>
    <w:rsid w:val="000045AA"/>
    <w:rsid w:val="0000473B"/>
    <w:rsid w:val="00004A96"/>
    <w:rsid w:val="0000514E"/>
    <w:rsid w:val="000052BD"/>
    <w:rsid w:val="00005497"/>
    <w:rsid w:val="000055DF"/>
    <w:rsid w:val="0000576D"/>
    <w:rsid w:val="000063EC"/>
    <w:rsid w:val="00006489"/>
    <w:rsid w:val="000064D0"/>
    <w:rsid w:val="00006A45"/>
    <w:rsid w:val="00006CBF"/>
    <w:rsid w:val="00006FCA"/>
    <w:rsid w:val="000072EB"/>
    <w:rsid w:val="000074A5"/>
    <w:rsid w:val="00007732"/>
    <w:rsid w:val="00007867"/>
    <w:rsid w:val="00007B16"/>
    <w:rsid w:val="00007B72"/>
    <w:rsid w:val="00007C68"/>
    <w:rsid w:val="00007DB5"/>
    <w:rsid w:val="00007F82"/>
    <w:rsid w:val="0001003F"/>
    <w:rsid w:val="00011512"/>
    <w:rsid w:val="00011594"/>
    <w:rsid w:val="0001159F"/>
    <w:rsid w:val="000117CE"/>
    <w:rsid w:val="00011929"/>
    <w:rsid w:val="00011E91"/>
    <w:rsid w:val="00011E94"/>
    <w:rsid w:val="000120C5"/>
    <w:rsid w:val="0001230D"/>
    <w:rsid w:val="00013286"/>
    <w:rsid w:val="000134EE"/>
    <w:rsid w:val="00013860"/>
    <w:rsid w:val="00013CB6"/>
    <w:rsid w:val="00013D78"/>
    <w:rsid w:val="0001465C"/>
    <w:rsid w:val="00014BC2"/>
    <w:rsid w:val="0001518B"/>
    <w:rsid w:val="00016106"/>
    <w:rsid w:val="00016DF1"/>
    <w:rsid w:val="0001764B"/>
    <w:rsid w:val="00017776"/>
    <w:rsid w:val="0001789E"/>
    <w:rsid w:val="00017C97"/>
    <w:rsid w:val="00020620"/>
    <w:rsid w:val="00020674"/>
    <w:rsid w:val="000207D8"/>
    <w:rsid w:val="000211FE"/>
    <w:rsid w:val="00021385"/>
    <w:rsid w:val="000215A0"/>
    <w:rsid w:val="0002175F"/>
    <w:rsid w:val="00021890"/>
    <w:rsid w:val="000218DB"/>
    <w:rsid w:val="00021CE8"/>
    <w:rsid w:val="00021EDA"/>
    <w:rsid w:val="000220F0"/>
    <w:rsid w:val="00022681"/>
    <w:rsid w:val="000228FD"/>
    <w:rsid w:val="000233F2"/>
    <w:rsid w:val="00023502"/>
    <w:rsid w:val="0002352D"/>
    <w:rsid w:val="0002388E"/>
    <w:rsid w:val="00023CEE"/>
    <w:rsid w:val="00023D1F"/>
    <w:rsid w:val="000240E8"/>
    <w:rsid w:val="0002480D"/>
    <w:rsid w:val="0002485B"/>
    <w:rsid w:val="000257B5"/>
    <w:rsid w:val="000259FD"/>
    <w:rsid w:val="00025DCF"/>
    <w:rsid w:val="00025E2D"/>
    <w:rsid w:val="000265BB"/>
    <w:rsid w:val="00026778"/>
    <w:rsid w:val="0002687E"/>
    <w:rsid w:val="00026CAE"/>
    <w:rsid w:val="00027014"/>
    <w:rsid w:val="00027348"/>
    <w:rsid w:val="0002739E"/>
    <w:rsid w:val="00027405"/>
    <w:rsid w:val="00027410"/>
    <w:rsid w:val="00027621"/>
    <w:rsid w:val="00027752"/>
    <w:rsid w:val="000278B1"/>
    <w:rsid w:val="00027E37"/>
    <w:rsid w:val="00030004"/>
    <w:rsid w:val="00030715"/>
    <w:rsid w:val="00030DD0"/>
    <w:rsid w:val="00031AED"/>
    <w:rsid w:val="00031E0D"/>
    <w:rsid w:val="00032117"/>
    <w:rsid w:val="000323A3"/>
    <w:rsid w:val="00032478"/>
    <w:rsid w:val="000326B7"/>
    <w:rsid w:val="000327B7"/>
    <w:rsid w:val="000327D5"/>
    <w:rsid w:val="00032D62"/>
    <w:rsid w:val="0003365B"/>
    <w:rsid w:val="00033C41"/>
    <w:rsid w:val="000348C0"/>
    <w:rsid w:val="0003498C"/>
    <w:rsid w:val="000349F1"/>
    <w:rsid w:val="000351CF"/>
    <w:rsid w:val="0003569C"/>
    <w:rsid w:val="0003671D"/>
    <w:rsid w:val="00036D08"/>
    <w:rsid w:val="00036DEF"/>
    <w:rsid w:val="0003753C"/>
    <w:rsid w:val="00037649"/>
    <w:rsid w:val="00037B0E"/>
    <w:rsid w:val="000402B9"/>
    <w:rsid w:val="0004081B"/>
    <w:rsid w:val="000408C8"/>
    <w:rsid w:val="00040B73"/>
    <w:rsid w:val="00041070"/>
    <w:rsid w:val="000415EC"/>
    <w:rsid w:val="00041C62"/>
    <w:rsid w:val="00041E53"/>
    <w:rsid w:val="000420B9"/>
    <w:rsid w:val="00042F8A"/>
    <w:rsid w:val="00043BEA"/>
    <w:rsid w:val="00043DB9"/>
    <w:rsid w:val="00044A87"/>
    <w:rsid w:val="00044B27"/>
    <w:rsid w:val="00044C4E"/>
    <w:rsid w:val="00044DDB"/>
    <w:rsid w:val="000453D7"/>
    <w:rsid w:val="00045882"/>
    <w:rsid w:val="00045D88"/>
    <w:rsid w:val="00045F29"/>
    <w:rsid w:val="0004600A"/>
    <w:rsid w:val="000461CA"/>
    <w:rsid w:val="00046215"/>
    <w:rsid w:val="000462A1"/>
    <w:rsid w:val="000463BB"/>
    <w:rsid w:val="00046F0D"/>
    <w:rsid w:val="00047138"/>
    <w:rsid w:val="00047172"/>
    <w:rsid w:val="0004719F"/>
    <w:rsid w:val="00047B1D"/>
    <w:rsid w:val="00050379"/>
    <w:rsid w:val="00050449"/>
    <w:rsid w:val="00050680"/>
    <w:rsid w:val="000508BA"/>
    <w:rsid w:val="00050ACB"/>
    <w:rsid w:val="00051149"/>
    <w:rsid w:val="00051580"/>
    <w:rsid w:val="00051D7F"/>
    <w:rsid w:val="00051FBD"/>
    <w:rsid w:val="00052321"/>
    <w:rsid w:val="000529D2"/>
    <w:rsid w:val="00052CA4"/>
    <w:rsid w:val="0005381A"/>
    <w:rsid w:val="00053B43"/>
    <w:rsid w:val="00053C5A"/>
    <w:rsid w:val="0005403B"/>
    <w:rsid w:val="000546EA"/>
    <w:rsid w:val="00054B4E"/>
    <w:rsid w:val="000553FB"/>
    <w:rsid w:val="00055E86"/>
    <w:rsid w:val="00055FA1"/>
    <w:rsid w:val="0005609D"/>
    <w:rsid w:val="000564D6"/>
    <w:rsid w:val="00056745"/>
    <w:rsid w:val="00056F9E"/>
    <w:rsid w:val="0005710D"/>
    <w:rsid w:val="00057327"/>
    <w:rsid w:val="000577AC"/>
    <w:rsid w:val="00057C3D"/>
    <w:rsid w:val="0006029F"/>
    <w:rsid w:val="00060808"/>
    <w:rsid w:val="00060A6E"/>
    <w:rsid w:val="00060F9E"/>
    <w:rsid w:val="00061181"/>
    <w:rsid w:val="00061930"/>
    <w:rsid w:val="00061B0E"/>
    <w:rsid w:val="00061DB0"/>
    <w:rsid w:val="00061F03"/>
    <w:rsid w:val="0006210F"/>
    <w:rsid w:val="00062286"/>
    <w:rsid w:val="00062354"/>
    <w:rsid w:val="00062642"/>
    <w:rsid w:val="00062901"/>
    <w:rsid w:val="0006297A"/>
    <w:rsid w:val="00062C65"/>
    <w:rsid w:val="000631F3"/>
    <w:rsid w:val="00063238"/>
    <w:rsid w:val="00063B02"/>
    <w:rsid w:val="00063FAF"/>
    <w:rsid w:val="000643F9"/>
    <w:rsid w:val="000649E3"/>
    <w:rsid w:val="00064C59"/>
    <w:rsid w:val="00064ED0"/>
    <w:rsid w:val="0006508A"/>
    <w:rsid w:val="0006543A"/>
    <w:rsid w:val="00065F27"/>
    <w:rsid w:val="00066B3C"/>
    <w:rsid w:val="000674CF"/>
    <w:rsid w:val="00067807"/>
    <w:rsid w:val="000678BC"/>
    <w:rsid w:val="00067E28"/>
    <w:rsid w:val="00070A9D"/>
    <w:rsid w:val="00070EF0"/>
    <w:rsid w:val="00071184"/>
    <w:rsid w:val="0007141A"/>
    <w:rsid w:val="000714BE"/>
    <w:rsid w:val="00071818"/>
    <w:rsid w:val="00072207"/>
    <w:rsid w:val="000723A0"/>
    <w:rsid w:val="00072496"/>
    <w:rsid w:val="0007268E"/>
    <w:rsid w:val="00072EAD"/>
    <w:rsid w:val="00072FA7"/>
    <w:rsid w:val="00073298"/>
    <w:rsid w:val="00073861"/>
    <w:rsid w:val="00073D18"/>
    <w:rsid w:val="00074E12"/>
    <w:rsid w:val="00074FD2"/>
    <w:rsid w:val="00075B95"/>
    <w:rsid w:val="00076105"/>
    <w:rsid w:val="00076112"/>
    <w:rsid w:val="0007613A"/>
    <w:rsid w:val="00076497"/>
    <w:rsid w:val="00076562"/>
    <w:rsid w:val="0007671B"/>
    <w:rsid w:val="00077372"/>
    <w:rsid w:val="00077B04"/>
    <w:rsid w:val="00077C42"/>
    <w:rsid w:val="00080A63"/>
    <w:rsid w:val="00080D96"/>
    <w:rsid w:val="00080E7B"/>
    <w:rsid w:val="00080EF2"/>
    <w:rsid w:val="000812D1"/>
    <w:rsid w:val="00081AC8"/>
    <w:rsid w:val="00081C12"/>
    <w:rsid w:val="00082001"/>
    <w:rsid w:val="00082325"/>
    <w:rsid w:val="00082A34"/>
    <w:rsid w:val="00082B19"/>
    <w:rsid w:val="00082EDD"/>
    <w:rsid w:val="0008305A"/>
    <w:rsid w:val="0008337F"/>
    <w:rsid w:val="00083803"/>
    <w:rsid w:val="00083B66"/>
    <w:rsid w:val="0008464C"/>
    <w:rsid w:val="00085064"/>
    <w:rsid w:val="0008572F"/>
    <w:rsid w:val="00085771"/>
    <w:rsid w:val="00085DF5"/>
    <w:rsid w:val="00086338"/>
    <w:rsid w:val="000872B5"/>
    <w:rsid w:val="000873CF"/>
    <w:rsid w:val="00087427"/>
    <w:rsid w:val="000875F4"/>
    <w:rsid w:val="00087831"/>
    <w:rsid w:val="00087B91"/>
    <w:rsid w:val="00090574"/>
    <w:rsid w:val="00090A40"/>
    <w:rsid w:val="00090A7A"/>
    <w:rsid w:val="00090B4A"/>
    <w:rsid w:val="00090F10"/>
    <w:rsid w:val="000914F1"/>
    <w:rsid w:val="0009159D"/>
    <w:rsid w:val="0009250E"/>
    <w:rsid w:val="0009275C"/>
    <w:rsid w:val="00092B01"/>
    <w:rsid w:val="00092E94"/>
    <w:rsid w:val="00093084"/>
    <w:rsid w:val="000930F2"/>
    <w:rsid w:val="0009351A"/>
    <w:rsid w:val="00093CAD"/>
    <w:rsid w:val="00093CE8"/>
    <w:rsid w:val="000941D6"/>
    <w:rsid w:val="00094365"/>
    <w:rsid w:val="0009439C"/>
    <w:rsid w:val="00094C48"/>
    <w:rsid w:val="000952AF"/>
    <w:rsid w:val="000954FC"/>
    <w:rsid w:val="00095ACA"/>
    <w:rsid w:val="000961E7"/>
    <w:rsid w:val="00096964"/>
    <w:rsid w:val="00096A0B"/>
    <w:rsid w:val="00096B18"/>
    <w:rsid w:val="00096BF2"/>
    <w:rsid w:val="00097247"/>
    <w:rsid w:val="00097B73"/>
    <w:rsid w:val="000A00E3"/>
    <w:rsid w:val="000A036D"/>
    <w:rsid w:val="000A072B"/>
    <w:rsid w:val="000A0885"/>
    <w:rsid w:val="000A0FA0"/>
    <w:rsid w:val="000A13D1"/>
    <w:rsid w:val="000A1498"/>
    <w:rsid w:val="000A1D3C"/>
    <w:rsid w:val="000A28D7"/>
    <w:rsid w:val="000A2E66"/>
    <w:rsid w:val="000A382F"/>
    <w:rsid w:val="000A43C8"/>
    <w:rsid w:val="000A482A"/>
    <w:rsid w:val="000A4D9F"/>
    <w:rsid w:val="000A50AC"/>
    <w:rsid w:val="000A50AD"/>
    <w:rsid w:val="000A5B81"/>
    <w:rsid w:val="000A5BAB"/>
    <w:rsid w:val="000A5D60"/>
    <w:rsid w:val="000A645E"/>
    <w:rsid w:val="000A64B6"/>
    <w:rsid w:val="000A6767"/>
    <w:rsid w:val="000A72F7"/>
    <w:rsid w:val="000A73BE"/>
    <w:rsid w:val="000A7C38"/>
    <w:rsid w:val="000B00C3"/>
    <w:rsid w:val="000B0A94"/>
    <w:rsid w:val="000B0D87"/>
    <w:rsid w:val="000B1087"/>
    <w:rsid w:val="000B18AF"/>
    <w:rsid w:val="000B1E12"/>
    <w:rsid w:val="000B2212"/>
    <w:rsid w:val="000B3017"/>
    <w:rsid w:val="000B3192"/>
    <w:rsid w:val="000B33AF"/>
    <w:rsid w:val="000B3914"/>
    <w:rsid w:val="000B4186"/>
    <w:rsid w:val="000B4BB4"/>
    <w:rsid w:val="000B4BCB"/>
    <w:rsid w:val="000B5329"/>
    <w:rsid w:val="000B5416"/>
    <w:rsid w:val="000B575A"/>
    <w:rsid w:val="000B5824"/>
    <w:rsid w:val="000B70DE"/>
    <w:rsid w:val="000B71B3"/>
    <w:rsid w:val="000B7388"/>
    <w:rsid w:val="000B776A"/>
    <w:rsid w:val="000B7AD5"/>
    <w:rsid w:val="000C0254"/>
    <w:rsid w:val="000C0652"/>
    <w:rsid w:val="000C0B83"/>
    <w:rsid w:val="000C0F88"/>
    <w:rsid w:val="000C167F"/>
    <w:rsid w:val="000C17F0"/>
    <w:rsid w:val="000C1A6D"/>
    <w:rsid w:val="000C1C7D"/>
    <w:rsid w:val="000C1CB3"/>
    <w:rsid w:val="000C2344"/>
    <w:rsid w:val="000C26A1"/>
    <w:rsid w:val="000C2840"/>
    <w:rsid w:val="000C3354"/>
    <w:rsid w:val="000C4526"/>
    <w:rsid w:val="000C452C"/>
    <w:rsid w:val="000C458F"/>
    <w:rsid w:val="000C4710"/>
    <w:rsid w:val="000C48A1"/>
    <w:rsid w:val="000C4CD2"/>
    <w:rsid w:val="000C50BA"/>
    <w:rsid w:val="000C514C"/>
    <w:rsid w:val="000C531F"/>
    <w:rsid w:val="000C5350"/>
    <w:rsid w:val="000C5407"/>
    <w:rsid w:val="000C551F"/>
    <w:rsid w:val="000C6173"/>
    <w:rsid w:val="000C61DF"/>
    <w:rsid w:val="000C6B74"/>
    <w:rsid w:val="000C77CB"/>
    <w:rsid w:val="000C78A2"/>
    <w:rsid w:val="000C7ED8"/>
    <w:rsid w:val="000D02E1"/>
    <w:rsid w:val="000D0369"/>
    <w:rsid w:val="000D065E"/>
    <w:rsid w:val="000D0675"/>
    <w:rsid w:val="000D0C1A"/>
    <w:rsid w:val="000D0D77"/>
    <w:rsid w:val="000D0F36"/>
    <w:rsid w:val="000D179A"/>
    <w:rsid w:val="000D1A88"/>
    <w:rsid w:val="000D1E6C"/>
    <w:rsid w:val="000D2265"/>
    <w:rsid w:val="000D2DBD"/>
    <w:rsid w:val="000D2FDE"/>
    <w:rsid w:val="000D3D8C"/>
    <w:rsid w:val="000D3E50"/>
    <w:rsid w:val="000D3EB7"/>
    <w:rsid w:val="000D3EE7"/>
    <w:rsid w:val="000D42B5"/>
    <w:rsid w:val="000D4BEC"/>
    <w:rsid w:val="000D5DC2"/>
    <w:rsid w:val="000D5E56"/>
    <w:rsid w:val="000D5EE1"/>
    <w:rsid w:val="000D6104"/>
    <w:rsid w:val="000D6179"/>
    <w:rsid w:val="000D68C6"/>
    <w:rsid w:val="000D6AF1"/>
    <w:rsid w:val="000D6E6B"/>
    <w:rsid w:val="000D7621"/>
    <w:rsid w:val="000D7D1C"/>
    <w:rsid w:val="000E0968"/>
    <w:rsid w:val="000E0A40"/>
    <w:rsid w:val="000E1348"/>
    <w:rsid w:val="000E14AD"/>
    <w:rsid w:val="000E1E11"/>
    <w:rsid w:val="000E1FE9"/>
    <w:rsid w:val="000E2224"/>
    <w:rsid w:val="000E22C7"/>
    <w:rsid w:val="000E2807"/>
    <w:rsid w:val="000E2832"/>
    <w:rsid w:val="000E288D"/>
    <w:rsid w:val="000E2909"/>
    <w:rsid w:val="000E292F"/>
    <w:rsid w:val="000E387E"/>
    <w:rsid w:val="000E38DE"/>
    <w:rsid w:val="000E49C1"/>
    <w:rsid w:val="000E5432"/>
    <w:rsid w:val="000E5707"/>
    <w:rsid w:val="000E5745"/>
    <w:rsid w:val="000E5DDC"/>
    <w:rsid w:val="000E60F9"/>
    <w:rsid w:val="000E6222"/>
    <w:rsid w:val="000E696B"/>
    <w:rsid w:val="000E715A"/>
    <w:rsid w:val="000E782E"/>
    <w:rsid w:val="000E7D66"/>
    <w:rsid w:val="000F0242"/>
    <w:rsid w:val="000F08E8"/>
    <w:rsid w:val="000F0B28"/>
    <w:rsid w:val="000F0D35"/>
    <w:rsid w:val="000F0EE0"/>
    <w:rsid w:val="000F165C"/>
    <w:rsid w:val="000F18CC"/>
    <w:rsid w:val="000F1B4F"/>
    <w:rsid w:val="000F20F7"/>
    <w:rsid w:val="000F2396"/>
    <w:rsid w:val="000F2663"/>
    <w:rsid w:val="000F28A2"/>
    <w:rsid w:val="000F2A73"/>
    <w:rsid w:val="000F2AC4"/>
    <w:rsid w:val="000F2D42"/>
    <w:rsid w:val="000F32F5"/>
    <w:rsid w:val="000F3318"/>
    <w:rsid w:val="000F37C6"/>
    <w:rsid w:val="000F39F6"/>
    <w:rsid w:val="000F4784"/>
    <w:rsid w:val="000F4C26"/>
    <w:rsid w:val="000F4CC2"/>
    <w:rsid w:val="000F52E5"/>
    <w:rsid w:val="000F5552"/>
    <w:rsid w:val="000F56CC"/>
    <w:rsid w:val="000F6011"/>
    <w:rsid w:val="000F622B"/>
    <w:rsid w:val="000F648D"/>
    <w:rsid w:val="000F71DF"/>
    <w:rsid w:val="000F724A"/>
    <w:rsid w:val="000F77B8"/>
    <w:rsid w:val="000F7E5D"/>
    <w:rsid w:val="000F7F12"/>
    <w:rsid w:val="001014AD"/>
    <w:rsid w:val="001015B9"/>
    <w:rsid w:val="0010162A"/>
    <w:rsid w:val="001017D4"/>
    <w:rsid w:val="00101EEE"/>
    <w:rsid w:val="00101F94"/>
    <w:rsid w:val="00102CF9"/>
    <w:rsid w:val="00103045"/>
    <w:rsid w:val="001031A7"/>
    <w:rsid w:val="001038CC"/>
    <w:rsid w:val="001039A1"/>
    <w:rsid w:val="00103A1E"/>
    <w:rsid w:val="00103A39"/>
    <w:rsid w:val="00103F16"/>
    <w:rsid w:val="0010428E"/>
    <w:rsid w:val="001049EE"/>
    <w:rsid w:val="00104FD4"/>
    <w:rsid w:val="0010543C"/>
    <w:rsid w:val="00105849"/>
    <w:rsid w:val="00105C05"/>
    <w:rsid w:val="00105D83"/>
    <w:rsid w:val="0010624B"/>
    <w:rsid w:val="001069C9"/>
    <w:rsid w:val="00106BF7"/>
    <w:rsid w:val="00106FAB"/>
    <w:rsid w:val="00107064"/>
    <w:rsid w:val="00107322"/>
    <w:rsid w:val="00107425"/>
    <w:rsid w:val="0010765C"/>
    <w:rsid w:val="001076F3"/>
    <w:rsid w:val="0011052A"/>
    <w:rsid w:val="00110ABA"/>
    <w:rsid w:val="00110ED4"/>
    <w:rsid w:val="0011136E"/>
    <w:rsid w:val="001113A0"/>
    <w:rsid w:val="00111755"/>
    <w:rsid w:val="0011181A"/>
    <w:rsid w:val="00111853"/>
    <w:rsid w:val="00111C4F"/>
    <w:rsid w:val="00113025"/>
    <w:rsid w:val="001134DC"/>
    <w:rsid w:val="001135F1"/>
    <w:rsid w:val="00113656"/>
    <w:rsid w:val="001137FF"/>
    <w:rsid w:val="001139A7"/>
    <w:rsid w:val="00113E83"/>
    <w:rsid w:val="00113E91"/>
    <w:rsid w:val="00114446"/>
    <w:rsid w:val="00114744"/>
    <w:rsid w:val="001147F4"/>
    <w:rsid w:val="00114C47"/>
    <w:rsid w:val="001159A3"/>
    <w:rsid w:val="00115B50"/>
    <w:rsid w:val="00115E50"/>
    <w:rsid w:val="00115EAD"/>
    <w:rsid w:val="0011738A"/>
    <w:rsid w:val="001173A4"/>
    <w:rsid w:val="001174E9"/>
    <w:rsid w:val="001179F9"/>
    <w:rsid w:val="00117A7F"/>
    <w:rsid w:val="0012003A"/>
    <w:rsid w:val="00120183"/>
    <w:rsid w:val="0012048A"/>
    <w:rsid w:val="001209A9"/>
    <w:rsid w:val="00120BBF"/>
    <w:rsid w:val="00121153"/>
    <w:rsid w:val="0012137E"/>
    <w:rsid w:val="0012190B"/>
    <w:rsid w:val="00122AF7"/>
    <w:rsid w:val="00122D37"/>
    <w:rsid w:val="0012336D"/>
    <w:rsid w:val="00123B92"/>
    <w:rsid w:val="00123F26"/>
    <w:rsid w:val="00124229"/>
    <w:rsid w:val="00124594"/>
    <w:rsid w:val="00124B37"/>
    <w:rsid w:val="00124D40"/>
    <w:rsid w:val="001257D1"/>
    <w:rsid w:val="001257F4"/>
    <w:rsid w:val="00126860"/>
    <w:rsid w:val="00126E02"/>
    <w:rsid w:val="0012744D"/>
    <w:rsid w:val="00127849"/>
    <w:rsid w:val="00127D54"/>
    <w:rsid w:val="00127D74"/>
    <w:rsid w:val="00127F86"/>
    <w:rsid w:val="00130A5F"/>
    <w:rsid w:val="001310CD"/>
    <w:rsid w:val="001310D3"/>
    <w:rsid w:val="0013157A"/>
    <w:rsid w:val="00131827"/>
    <w:rsid w:val="001322C2"/>
    <w:rsid w:val="00132426"/>
    <w:rsid w:val="001324C7"/>
    <w:rsid w:val="0013252A"/>
    <w:rsid w:val="001326E3"/>
    <w:rsid w:val="001328FB"/>
    <w:rsid w:val="00132C3B"/>
    <w:rsid w:val="001334AE"/>
    <w:rsid w:val="0013393C"/>
    <w:rsid w:val="0013405A"/>
    <w:rsid w:val="00134914"/>
    <w:rsid w:val="00134CAA"/>
    <w:rsid w:val="00134F7E"/>
    <w:rsid w:val="001353C8"/>
    <w:rsid w:val="00135530"/>
    <w:rsid w:val="00135A94"/>
    <w:rsid w:val="00135FA8"/>
    <w:rsid w:val="0013704B"/>
    <w:rsid w:val="00137338"/>
    <w:rsid w:val="001377A2"/>
    <w:rsid w:val="001379CC"/>
    <w:rsid w:val="0014003A"/>
    <w:rsid w:val="001402F9"/>
    <w:rsid w:val="001407E0"/>
    <w:rsid w:val="00140878"/>
    <w:rsid w:val="00140CFC"/>
    <w:rsid w:val="00140EDF"/>
    <w:rsid w:val="00141041"/>
    <w:rsid w:val="00141283"/>
    <w:rsid w:val="00141835"/>
    <w:rsid w:val="001419DA"/>
    <w:rsid w:val="00142702"/>
    <w:rsid w:val="00142969"/>
    <w:rsid w:val="00142C23"/>
    <w:rsid w:val="00142FCD"/>
    <w:rsid w:val="001430CB"/>
    <w:rsid w:val="00143552"/>
    <w:rsid w:val="0014364C"/>
    <w:rsid w:val="00143710"/>
    <w:rsid w:val="00143A45"/>
    <w:rsid w:val="00143A4B"/>
    <w:rsid w:val="00143A88"/>
    <w:rsid w:val="00143E2A"/>
    <w:rsid w:val="00143EAC"/>
    <w:rsid w:val="001440CA"/>
    <w:rsid w:val="001442F7"/>
    <w:rsid w:val="00144330"/>
    <w:rsid w:val="001450AD"/>
    <w:rsid w:val="00145A62"/>
    <w:rsid w:val="00145B3E"/>
    <w:rsid w:val="00145CD2"/>
    <w:rsid w:val="00145E8F"/>
    <w:rsid w:val="0014617A"/>
    <w:rsid w:val="0014624E"/>
    <w:rsid w:val="0014795A"/>
    <w:rsid w:val="0014799E"/>
    <w:rsid w:val="00147A6F"/>
    <w:rsid w:val="00147D36"/>
    <w:rsid w:val="0015024D"/>
    <w:rsid w:val="001502AA"/>
    <w:rsid w:val="001505CB"/>
    <w:rsid w:val="00150CC6"/>
    <w:rsid w:val="00151153"/>
    <w:rsid w:val="001512AC"/>
    <w:rsid w:val="0015146A"/>
    <w:rsid w:val="001516BE"/>
    <w:rsid w:val="00151DF4"/>
    <w:rsid w:val="001521E1"/>
    <w:rsid w:val="00152D14"/>
    <w:rsid w:val="00152FCA"/>
    <w:rsid w:val="0015329E"/>
    <w:rsid w:val="00153B37"/>
    <w:rsid w:val="00153DA6"/>
    <w:rsid w:val="001540E6"/>
    <w:rsid w:val="00155376"/>
    <w:rsid w:val="001554F4"/>
    <w:rsid w:val="00155D71"/>
    <w:rsid w:val="00155D97"/>
    <w:rsid w:val="001567B6"/>
    <w:rsid w:val="00156B22"/>
    <w:rsid w:val="00156E92"/>
    <w:rsid w:val="00157347"/>
    <w:rsid w:val="0015778E"/>
    <w:rsid w:val="00157B13"/>
    <w:rsid w:val="001602BE"/>
    <w:rsid w:val="001605EC"/>
    <w:rsid w:val="001606E5"/>
    <w:rsid w:val="00160749"/>
    <w:rsid w:val="001609FC"/>
    <w:rsid w:val="00160B2B"/>
    <w:rsid w:val="00160F48"/>
    <w:rsid w:val="001614E8"/>
    <w:rsid w:val="001616E4"/>
    <w:rsid w:val="00161801"/>
    <w:rsid w:val="00161F0D"/>
    <w:rsid w:val="001620E4"/>
    <w:rsid w:val="001624AB"/>
    <w:rsid w:val="00162924"/>
    <w:rsid w:val="00162AD0"/>
    <w:rsid w:val="0016395D"/>
    <w:rsid w:val="00163A3C"/>
    <w:rsid w:val="0016408F"/>
    <w:rsid w:val="0016487B"/>
    <w:rsid w:val="001649D0"/>
    <w:rsid w:val="00164B77"/>
    <w:rsid w:val="00164E9D"/>
    <w:rsid w:val="00165307"/>
    <w:rsid w:val="00165310"/>
    <w:rsid w:val="00165FCB"/>
    <w:rsid w:val="001660D6"/>
    <w:rsid w:val="001665A5"/>
    <w:rsid w:val="00166712"/>
    <w:rsid w:val="0016680F"/>
    <w:rsid w:val="00166A28"/>
    <w:rsid w:val="00166ACC"/>
    <w:rsid w:val="00167269"/>
    <w:rsid w:val="00167830"/>
    <w:rsid w:val="0017063A"/>
    <w:rsid w:val="001706D4"/>
    <w:rsid w:val="0017082A"/>
    <w:rsid w:val="00170E4C"/>
    <w:rsid w:val="001716C4"/>
    <w:rsid w:val="00171828"/>
    <w:rsid w:val="00171B20"/>
    <w:rsid w:val="00171BF5"/>
    <w:rsid w:val="00172016"/>
    <w:rsid w:val="00172560"/>
    <w:rsid w:val="00172C94"/>
    <w:rsid w:val="00172CC5"/>
    <w:rsid w:val="00173296"/>
    <w:rsid w:val="00173586"/>
    <w:rsid w:val="00174A30"/>
    <w:rsid w:val="00174B20"/>
    <w:rsid w:val="00174DD9"/>
    <w:rsid w:val="0017547F"/>
    <w:rsid w:val="0017581E"/>
    <w:rsid w:val="00175CD1"/>
    <w:rsid w:val="00175EA8"/>
    <w:rsid w:val="001760AB"/>
    <w:rsid w:val="001764F9"/>
    <w:rsid w:val="00176EE6"/>
    <w:rsid w:val="001776A8"/>
    <w:rsid w:val="001779C0"/>
    <w:rsid w:val="00180135"/>
    <w:rsid w:val="00180A3A"/>
    <w:rsid w:val="00180BAF"/>
    <w:rsid w:val="00180DA0"/>
    <w:rsid w:val="001810DD"/>
    <w:rsid w:val="001816E6"/>
    <w:rsid w:val="0018173E"/>
    <w:rsid w:val="00182452"/>
    <w:rsid w:val="00182A3E"/>
    <w:rsid w:val="00182BD1"/>
    <w:rsid w:val="00182E0D"/>
    <w:rsid w:val="00183AEA"/>
    <w:rsid w:val="00183C8D"/>
    <w:rsid w:val="00184036"/>
    <w:rsid w:val="00184299"/>
    <w:rsid w:val="001846EF"/>
    <w:rsid w:val="001848C0"/>
    <w:rsid w:val="001849C6"/>
    <w:rsid w:val="00184BC0"/>
    <w:rsid w:val="00184E89"/>
    <w:rsid w:val="00184F02"/>
    <w:rsid w:val="00185BE0"/>
    <w:rsid w:val="00185FE1"/>
    <w:rsid w:val="00186BB6"/>
    <w:rsid w:val="00186BCC"/>
    <w:rsid w:val="00187206"/>
    <w:rsid w:val="00187492"/>
    <w:rsid w:val="0018761B"/>
    <w:rsid w:val="001877FE"/>
    <w:rsid w:val="0018789D"/>
    <w:rsid w:val="00187AA6"/>
    <w:rsid w:val="00190000"/>
    <w:rsid w:val="00190B36"/>
    <w:rsid w:val="00190F64"/>
    <w:rsid w:val="00190FB9"/>
    <w:rsid w:val="001911DA"/>
    <w:rsid w:val="001918A2"/>
    <w:rsid w:val="00192647"/>
    <w:rsid w:val="001926FE"/>
    <w:rsid w:val="00192843"/>
    <w:rsid w:val="00192AF5"/>
    <w:rsid w:val="00192B0B"/>
    <w:rsid w:val="00192FFE"/>
    <w:rsid w:val="00193263"/>
    <w:rsid w:val="0019355D"/>
    <w:rsid w:val="001937BF"/>
    <w:rsid w:val="00193A77"/>
    <w:rsid w:val="00193B7F"/>
    <w:rsid w:val="0019437A"/>
    <w:rsid w:val="00195A69"/>
    <w:rsid w:val="00195ACC"/>
    <w:rsid w:val="00196700"/>
    <w:rsid w:val="00196826"/>
    <w:rsid w:val="001968AF"/>
    <w:rsid w:val="001968E0"/>
    <w:rsid w:val="0019725A"/>
    <w:rsid w:val="001972A8"/>
    <w:rsid w:val="001974D9"/>
    <w:rsid w:val="001977DD"/>
    <w:rsid w:val="0019782E"/>
    <w:rsid w:val="0019788F"/>
    <w:rsid w:val="00197E64"/>
    <w:rsid w:val="001A0085"/>
    <w:rsid w:val="001A0093"/>
    <w:rsid w:val="001A1369"/>
    <w:rsid w:val="001A1697"/>
    <w:rsid w:val="001A1914"/>
    <w:rsid w:val="001A1B96"/>
    <w:rsid w:val="001A1FEC"/>
    <w:rsid w:val="001A27DD"/>
    <w:rsid w:val="001A2B7B"/>
    <w:rsid w:val="001A2C62"/>
    <w:rsid w:val="001A2D4A"/>
    <w:rsid w:val="001A3444"/>
    <w:rsid w:val="001A353C"/>
    <w:rsid w:val="001A37F1"/>
    <w:rsid w:val="001A3977"/>
    <w:rsid w:val="001A3AFF"/>
    <w:rsid w:val="001A3B7D"/>
    <w:rsid w:val="001A3E52"/>
    <w:rsid w:val="001A3FF3"/>
    <w:rsid w:val="001A41AA"/>
    <w:rsid w:val="001A459D"/>
    <w:rsid w:val="001A4C0C"/>
    <w:rsid w:val="001A4C14"/>
    <w:rsid w:val="001A51B6"/>
    <w:rsid w:val="001A59B7"/>
    <w:rsid w:val="001A6C58"/>
    <w:rsid w:val="001A6CBD"/>
    <w:rsid w:val="001A744C"/>
    <w:rsid w:val="001A7525"/>
    <w:rsid w:val="001A77B6"/>
    <w:rsid w:val="001A7914"/>
    <w:rsid w:val="001A7FD0"/>
    <w:rsid w:val="001B00E2"/>
    <w:rsid w:val="001B04BA"/>
    <w:rsid w:val="001B0518"/>
    <w:rsid w:val="001B0709"/>
    <w:rsid w:val="001B097C"/>
    <w:rsid w:val="001B0A43"/>
    <w:rsid w:val="001B10F0"/>
    <w:rsid w:val="001B1109"/>
    <w:rsid w:val="001B120F"/>
    <w:rsid w:val="001B1486"/>
    <w:rsid w:val="001B1A9B"/>
    <w:rsid w:val="001B1C29"/>
    <w:rsid w:val="001B21D0"/>
    <w:rsid w:val="001B2312"/>
    <w:rsid w:val="001B2343"/>
    <w:rsid w:val="001B2434"/>
    <w:rsid w:val="001B2491"/>
    <w:rsid w:val="001B24EB"/>
    <w:rsid w:val="001B26BF"/>
    <w:rsid w:val="001B2AE8"/>
    <w:rsid w:val="001B2B31"/>
    <w:rsid w:val="001B2E8D"/>
    <w:rsid w:val="001B2ED8"/>
    <w:rsid w:val="001B3270"/>
    <w:rsid w:val="001B34FC"/>
    <w:rsid w:val="001B4143"/>
    <w:rsid w:val="001B41C6"/>
    <w:rsid w:val="001B4704"/>
    <w:rsid w:val="001B4E79"/>
    <w:rsid w:val="001B5E85"/>
    <w:rsid w:val="001B628F"/>
    <w:rsid w:val="001B65FF"/>
    <w:rsid w:val="001B67C2"/>
    <w:rsid w:val="001B6A6C"/>
    <w:rsid w:val="001B6D9F"/>
    <w:rsid w:val="001B6E97"/>
    <w:rsid w:val="001B6EF3"/>
    <w:rsid w:val="001B7DC7"/>
    <w:rsid w:val="001C0435"/>
    <w:rsid w:val="001C0630"/>
    <w:rsid w:val="001C06C7"/>
    <w:rsid w:val="001C0804"/>
    <w:rsid w:val="001C08A3"/>
    <w:rsid w:val="001C0CFC"/>
    <w:rsid w:val="001C0E74"/>
    <w:rsid w:val="001C0EC8"/>
    <w:rsid w:val="001C0F12"/>
    <w:rsid w:val="001C12CF"/>
    <w:rsid w:val="001C1563"/>
    <w:rsid w:val="001C1BB8"/>
    <w:rsid w:val="001C25F6"/>
    <w:rsid w:val="001C2743"/>
    <w:rsid w:val="001C27FF"/>
    <w:rsid w:val="001C3097"/>
    <w:rsid w:val="001C3206"/>
    <w:rsid w:val="001C3917"/>
    <w:rsid w:val="001C391F"/>
    <w:rsid w:val="001C3C86"/>
    <w:rsid w:val="001C3F5A"/>
    <w:rsid w:val="001C40E5"/>
    <w:rsid w:val="001C4147"/>
    <w:rsid w:val="001C4223"/>
    <w:rsid w:val="001C43B7"/>
    <w:rsid w:val="001C491F"/>
    <w:rsid w:val="001C4ABD"/>
    <w:rsid w:val="001C52AD"/>
    <w:rsid w:val="001C584E"/>
    <w:rsid w:val="001C5A29"/>
    <w:rsid w:val="001C602A"/>
    <w:rsid w:val="001C62F8"/>
    <w:rsid w:val="001C6915"/>
    <w:rsid w:val="001C6DD4"/>
    <w:rsid w:val="001C6FA0"/>
    <w:rsid w:val="001C71E3"/>
    <w:rsid w:val="001C7D73"/>
    <w:rsid w:val="001C7DB1"/>
    <w:rsid w:val="001D09CC"/>
    <w:rsid w:val="001D14AB"/>
    <w:rsid w:val="001D15A7"/>
    <w:rsid w:val="001D1A1E"/>
    <w:rsid w:val="001D1D3A"/>
    <w:rsid w:val="001D1ED7"/>
    <w:rsid w:val="001D1EF3"/>
    <w:rsid w:val="001D2150"/>
    <w:rsid w:val="001D2E19"/>
    <w:rsid w:val="001D307D"/>
    <w:rsid w:val="001D317E"/>
    <w:rsid w:val="001D3687"/>
    <w:rsid w:val="001D388A"/>
    <w:rsid w:val="001D38BE"/>
    <w:rsid w:val="001D3B5C"/>
    <w:rsid w:val="001D437C"/>
    <w:rsid w:val="001D454C"/>
    <w:rsid w:val="001D4C83"/>
    <w:rsid w:val="001D4CEA"/>
    <w:rsid w:val="001D5966"/>
    <w:rsid w:val="001D5988"/>
    <w:rsid w:val="001D5FBA"/>
    <w:rsid w:val="001D6296"/>
    <w:rsid w:val="001D652B"/>
    <w:rsid w:val="001D679E"/>
    <w:rsid w:val="001D6ACE"/>
    <w:rsid w:val="001D6AD0"/>
    <w:rsid w:val="001D6E18"/>
    <w:rsid w:val="001D7978"/>
    <w:rsid w:val="001D7B4D"/>
    <w:rsid w:val="001D7B9E"/>
    <w:rsid w:val="001D7DEF"/>
    <w:rsid w:val="001E0F39"/>
    <w:rsid w:val="001E0F92"/>
    <w:rsid w:val="001E1B3E"/>
    <w:rsid w:val="001E1BBB"/>
    <w:rsid w:val="001E1D83"/>
    <w:rsid w:val="001E20AB"/>
    <w:rsid w:val="001E21C7"/>
    <w:rsid w:val="001E3096"/>
    <w:rsid w:val="001E322D"/>
    <w:rsid w:val="001E33BC"/>
    <w:rsid w:val="001E3D85"/>
    <w:rsid w:val="001E3DF5"/>
    <w:rsid w:val="001E44F0"/>
    <w:rsid w:val="001E4858"/>
    <w:rsid w:val="001E512F"/>
    <w:rsid w:val="001E51C9"/>
    <w:rsid w:val="001E52AC"/>
    <w:rsid w:val="001E53A7"/>
    <w:rsid w:val="001E607A"/>
    <w:rsid w:val="001E61DC"/>
    <w:rsid w:val="001E6772"/>
    <w:rsid w:val="001E6ECF"/>
    <w:rsid w:val="001E7093"/>
    <w:rsid w:val="001E70AA"/>
    <w:rsid w:val="001E744B"/>
    <w:rsid w:val="001E79B8"/>
    <w:rsid w:val="001E7A72"/>
    <w:rsid w:val="001E7BC8"/>
    <w:rsid w:val="001E7C14"/>
    <w:rsid w:val="001F0627"/>
    <w:rsid w:val="001F0817"/>
    <w:rsid w:val="001F0B51"/>
    <w:rsid w:val="001F0DCF"/>
    <w:rsid w:val="001F11DC"/>
    <w:rsid w:val="001F16C7"/>
    <w:rsid w:val="001F1992"/>
    <w:rsid w:val="001F19F6"/>
    <w:rsid w:val="001F24A7"/>
    <w:rsid w:val="001F2522"/>
    <w:rsid w:val="001F27AE"/>
    <w:rsid w:val="001F28C1"/>
    <w:rsid w:val="001F2AA6"/>
    <w:rsid w:val="001F2D46"/>
    <w:rsid w:val="001F2FF8"/>
    <w:rsid w:val="001F321B"/>
    <w:rsid w:val="001F39F7"/>
    <w:rsid w:val="001F3BA2"/>
    <w:rsid w:val="001F3D8F"/>
    <w:rsid w:val="001F4521"/>
    <w:rsid w:val="001F45D9"/>
    <w:rsid w:val="001F4B29"/>
    <w:rsid w:val="001F4D35"/>
    <w:rsid w:val="001F4E17"/>
    <w:rsid w:val="001F5412"/>
    <w:rsid w:val="001F5CD8"/>
    <w:rsid w:val="001F65C5"/>
    <w:rsid w:val="001F6959"/>
    <w:rsid w:val="001F6CF1"/>
    <w:rsid w:val="001F72A6"/>
    <w:rsid w:val="001F743C"/>
    <w:rsid w:val="001F7C07"/>
    <w:rsid w:val="00200056"/>
    <w:rsid w:val="002004F8"/>
    <w:rsid w:val="002005E3"/>
    <w:rsid w:val="00200648"/>
    <w:rsid w:val="00201348"/>
    <w:rsid w:val="00201823"/>
    <w:rsid w:val="00201868"/>
    <w:rsid w:val="00201DEA"/>
    <w:rsid w:val="00201F23"/>
    <w:rsid w:val="00201F72"/>
    <w:rsid w:val="00201FBC"/>
    <w:rsid w:val="00202405"/>
    <w:rsid w:val="0020267B"/>
    <w:rsid w:val="00202838"/>
    <w:rsid w:val="00202CE6"/>
    <w:rsid w:val="00202ED6"/>
    <w:rsid w:val="00203081"/>
    <w:rsid w:val="002035B4"/>
    <w:rsid w:val="00203862"/>
    <w:rsid w:val="00203EBA"/>
    <w:rsid w:val="00204311"/>
    <w:rsid w:val="00204C41"/>
    <w:rsid w:val="00205F59"/>
    <w:rsid w:val="00206834"/>
    <w:rsid w:val="00206C71"/>
    <w:rsid w:val="00206D91"/>
    <w:rsid w:val="00207043"/>
    <w:rsid w:val="00207157"/>
    <w:rsid w:val="0020762E"/>
    <w:rsid w:val="00207DB1"/>
    <w:rsid w:val="00207F4A"/>
    <w:rsid w:val="00210347"/>
    <w:rsid w:val="002103B9"/>
    <w:rsid w:val="0021078E"/>
    <w:rsid w:val="00210CE3"/>
    <w:rsid w:val="002112B1"/>
    <w:rsid w:val="0021135B"/>
    <w:rsid w:val="0021156A"/>
    <w:rsid w:val="00211872"/>
    <w:rsid w:val="00211AA5"/>
    <w:rsid w:val="002122CA"/>
    <w:rsid w:val="002128D4"/>
    <w:rsid w:val="00213300"/>
    <w:rsid w:val="0021332C"/>
    <w:rsid w:val="00213402"/>
    <w:rsid w:val="0021342D"/>
    <w:rsid w:val="00213A83"/>
    <w:rsid w:val="00213C8E"/>
    <w:rsid w:val="00213F53"/>
    <w:rsid w:val="00213FE6"/>
    <w:rsid w:val="002147E0"/>
    <w:rsid w:val="00214CCE"/>
    <w:rsid w:val="00215754"/>
    <w:rsid w:val="002159DB"/>
    <w:rsid w:val="00215B39"/>
    <w:rsid w:val="00215F5D"/>
    <w:rsid w:val="002165F9"/>
    <w:rsid w:val="002166B7"/>
    <w:rsid w:val="00216EFC"/>
    <w:rsid w:val="00216FA8"/>
    <w:rsid w:val="0021756F"/>
    <w:rsid w:val="00217700"/>
    <w:rsid w:val="002179E8"/>
    <w:rsid w:val="0022015E"/>
    <w:rsid w:val="0022027D"/>
    <w:rsid w:val="00220358"/>
    <w:rsid w:val="0022060F"/>
    <w:rsid w:val="002208A9"/>
    <w:rsid w:val="00220CD5"/>
    <w:rsid w:val="00220D0D"/>
    <w:rsid w:val="0022134B"/>
    <w:rsid w:val="002219C5"/>
    <w:rsid w:val="00221AE4"/>
    <w:rsid w:val="00221D56"/>
    <w:rsid w:val="00221DB4"/>
    <w:rsid w:val="00222155"/>
    <w:rsid w:val="002221D8"/>
    <w:rsid w:val="0022260F"/>
    <w:rsid w:val="002230A4"/>
    <w:rsid w:val="00223DC9"/>
    <w:rsid w:val="00224117"/>
    <w:rsid w:val="00225357"/>
    <w:rsid w:val="0022581D"/>
    <w:rsid w:val="00225D51"/>
    <w:rsid w:val="00226082"/>
    <w:rsid w:val="002261D2"/>
    <w:rsid w:val="00226605"/>
    <w:rsid w:val="0022687C"/>
    <w:rsid w:val="0022706B"/>
    <w:rsid w:val="00227258"/>
    <w:rsid w:val="00227588"/>
    <w:rsid w:val="002276CB"/>
    <w:rsid w:val="002278A3"/>
    <w:rsid w:val="00227A35"/>
    <w:rsid w:val="00230138"/>
    <w:rsid w:val="00230E20"/>
    <w:rsid w:val="00230E91"/>
    <w:rsid w:val="00230FF8"/>
    <w:rsid w:val="00231539"/>
    <w:rsid w:val="00231696"/>
    <w:rsid w:val="002316B2"/>
    <w:rsid w:val="0023226D"/>
    <w:rsid w:val="00232B0B"/>
    <w:rsid w:val="00233BD9"/>
    <w:rsid w:val="00233DC5"/>
    <w:rsid w:val="00233FFB"/>
    <w:rsid w:val="00234078"/>
    <w:rsid w:val="00234514"/>
    <w:rsid w:val="00234D6A"/>
    <w:rsid w:val="00235158"/>
    <w:rsid w:val="002361C4"/>
    <w:rsid w:val="0023727D"/>
    <w:rsid w:val="00237364"/>
    <w:rsid w:val="00237367"/>
    <w:rsid w:val="00237EB0"/>
    <w:rsid w:val="00240447"/>
    <w:rsid w:val="0024111E"/>
    <w:rsid w:val="00241974"/>
    <w:rsid w:val="002420C8"/>
    <w:rsid w:val="00242273"/>
    <w:rsid w:val="00242464"/>
    <w:rsid w:val="002425F3"/>
    <w:rsid w:val="00242607"/>
    <w:rsid w:val="002431EA"/>
    <w:rsid w:val="00243768"/>
    <w:rsid w:val="00243B34"/>
    <w:rsid w:val="002441F2"/>
    <w:rsid w:val="00244804"/>
    <w:rsid w:val="002448A5"/>
    <w:rsid w:val="00245125"/>
    <w:rsid w:val="002455E7"/>
    <w:rsid w:val="00245753"/>
    <w:rsid w:val="00245D43"/>
    <w:rsid w:val="00246188"/>
    <w:rsid w:val="00246196"/>
    <w:rsid w:val="002461C5"/>
    <w:rsid w:val="00246415"/>
    <w:rsid w:val="00246983"/>
    <w:rsid w:val="00246BB6"/>
    <w:rsid w:val="00247383"/>
    <w:rsid w:val="0024766C"/>
    <w:rsid w:val="002479B8"/>
    <w:rsid w:val="002479BF"/>
    <w:rsid w:val="00247B9E"/>
    <w:rsid w:val="00247D80"/>
    <w:rsid w:val="00247ED6"/>
    <w:rsid w:val="002514AD"/>
    <w:rsid w:val="00251668"/>
    <w:rsid w:val="00251C6E"/>
    <w:rsid w:val="002528D7"/>
    <w:rsid w:val="00252DE3"/>
    <w:rsid w:val="00253133"/>
    <w:rsid w:val="00253CA5"/>
    <w:rsid w:val="0025408A"/>
    <w:rsid w:val="00254150"/>
    <w:rsid w:val="00254712"/>
    <w:rsid w:val="00254B09"/>
    <w:rsid w:val="00254CBA"/>
    <w:rsid w:val="00254F1C"/>
    <w:rsid w:val="0025531B"/>
    <w:rsid w:val="00255E9A"/>
    <w:rsid w:val="002565D5"/>
    <w:rsid w:val="00256654"/>
    <w:rsid w:val="00256657"/>
    <w:rsid w:val="00256D0D"/>
    <w:rsid w:val="00256F6E"/>
    <w:rsid w:val="00257655"/>
    <w:rsid w:val="00257ABE"/>
    <w:rsid w:val="00257BCE"/>
    <w:rsid w:val="00257E12"/>
    <w:rsid w:val="00257ED5"/>
    <w:rsid w:val="00260420"/>
    <w:rsid w:val="002606C7"/>
    <w:rsid w:val="002606F5"/>
    <w:rsid w:val="00260AFE"/>
    <w:rsid w:val="00260BB3"/>
    <w:rsid w:val="00260C76"/>
    <w:rsid w:val="00260E3E"/>
    <w:rsid w:val="00260F6C"/>
    <w:rsid w:val="002611A6"/>
    <w:rsid w:val="00261288"/>
    <w:rsid w:val="002619C3"/>
    <w:rsid w:val="00262169"/>
    <w:rsid w:val="002624EC"/>
    <w:rsid w:val="0026292E"/>
    <w:rsid w:val="00262FF8"/>
    <w:rsid w:val="0026353F"/>
    <w:rsid w:val="002645D9"/>
    <w:rsid w:val="00264BF4"/>
    <w:rsid w:val="00264F2B"/>
    <w:rsid w:val="0026520C"/>
    <w:rsid w:val="0026557C"/>
    <w:rsid w:val="002655F0"/>
    <w:rsid w:val="002659D0"/>
    <w:rsid w:val="00265BAB"/>
    <w:rsid w:val="00265F9B"/>
    <w:rsid w:val="0026641C"/>
    <w:rsid w:val="00266691"/>
    <w:rsid w:val="002666E5"/>
    <w:rsid w:val="0026693E"/>
    <w:rsid w:val="00266B75"/>
    <w:rsid w:val="002670FA"/>
    <w:rsid w:val="00267363"/>
    <w:rsid w:val="002678B8"/>
    <w:rsid w:val="00267FB9"/>
    <w:rsid w:val="002706AC"/>
    <w:rsid w:val="002712CE"/>
    <w:rsid w:val="00271549"/>
    <w:rsid w:val="0027202D"/>
    <w:rsid w:val="00272290"/>
    <w:rsid w:val="002728F4"/>
    <w:rsid w:val="00272FC3"/>
    <w:rsid w:val="002736A2"/>
    <w:rsid w:val="00273C94"/>
    <w:rsid w:val="002742AA"/>
    <w:rsid w:val="00274E65"/>
    <w:rsid w:val="00275036"/>
    <w:rsid w:val="002756F8"/>
    <w:rsid w:val="00276122"/>
    <w:rsid w:val="00276938"/>
    <w:rsid w:val="00276BBA"/>
    <w:rsid w:val="002778DE"/>
    <w:rsid w:val="002779CC"/>
    <w:rsid w:val="00280A02"/>
    <w:rsid w:val="00280EE6"/>
    <w:rsid w:val="00281277"/>
    <w:rsid w:val="00281431"/>
    <w:rsid w:val="00281826"/>
    <w:rsid w:val="00281999"/>
    <w:rsid w:val="00281EB0"/>
    <w:rsid w:val="00282029"/>
    <w:rsid w:val="0028297B"/>
    <w:rsid w:val="00282BD7"/>
    <w:rsid w:val="00282C56"/>
    <w:rsid w:val="00282C62"/>
    <w:rsid w:val="00282E8E"/>
    <w:rsid w:val="0028315F"/>
    <w:rsid w:val="00283414"/>
    <w:rsid w:val="002843E3"/>
    <w:rsid w:val="0028470F"/>
    <w:rsid w:val="002847CB"/>
    <w:rsid w:val="00284996"/>
    <w:rsid w:val="00285429"/>
    <w:rsid w:val="00286390"/>
    <w:rsid w:val="0028687E"/>
    <w:rsid w:val="00286AF0"/>
    <w:rsid w:val="0028728D"/>
    <w:rsid w:val="00287402"/>
    <w:rsid w:val="00290131"/>
    <w:rsid w:val="002902A0"/>
    <w:rsid w:val="002905E1"/>
    <w:rsid w:val="00290876"/>
    <w:rsid w:val="00290B1B"/>
    <w:rsid w:val="00290EAB"/>
    <w:rsid w:val="00291042"/>
    <w:rsid w:val="002910EF"/>
    <w:rsid w:val="002911BC"/>
    <w:rsid w:val="002916AA"/>
    <w:rsid w:val="00291F2C"/>
    <w:rsid w:val="002920E8"/>
    <w:rsid w:val="0029219F"/>
    <w:rsid w:val="00292227"/>
    <w:rsid w:val="0029252F"/>
    <w:rsid w:val="0029274A"/>
    <w:rsid w:val="00292802"/>
    <w:rsid w:val="00292830"/>
    <w:rsid w:val="00292896"/>
    <w:rsid w:val="002929F9"/>
    <w:rsid w:val="00292CF1"/>
    <w:rsid w:val="00293769"/>
    <w:rsid w:val="0029382F"/>
    <w:rsid w:val="00293C61"/>
    <w:rsid w:val="00294798"/>
    <w:rsid w:val="00294BCA"/>
    <w:rsid w:val="0029611A"/>
    <w:rsid w:val="00296581"/>
    <w:rsid w:val="0029690D"/>
    <w:rsid w:val="00296932"/>
    <w:rsid w:val="00297487"/>
    <w:rsid w:val="00297C90"/>
    <w:rsid w:val="002A0244"/>
    <w:rsid w:val="002A0A8B"/>
    <w:rsid w:val="002A0D41"/>
    <w:rsid w:val="002A17CE"/>
    <w:rsid w:val="002A209C"/>
    <w:rsid w:val="002A28EA"/>
    <w:rsid w:val="002A2966"/>
    <w:rsid w:val="002A3A3D"/>
    <w:rsid w:val="002A3A57"/>
    <w:rsid w:val="002A3EDA"/>
    <w:rsid w:val="002A3FFB"/>
    <w:rsid w:val="002A4075"/>
    <w:rsid w:val="002A445E"/>
    <w:rsid w:val="002A4886"/>
    <w:rsid w:val="002A4F6A"/>
    <w:rsid w:val="002A504D"/>
    <w:rsid w:val="002A5329"/>
    <w:rsid w:val="002A5DFD"/>
    <w:rsid w:val="002A6092"/>
    <w:rsid w:val="002A6746"/>
    <w:rsid w:val="002A693C"/>
    <w:rsid w:val="002A6B99"/>
    <w:rsid w:val="002A6EAA"/>
    <w:rsid w:val="002A6F78"/>
    <w:rsid w:val="002A6FD8"/>
    <w:rsid w:val="002A7072"/>
    <w:rsid w:val="002A766B"/>
    <w:rsid w:val="002A7CF1"/>
    <w:rsid w:val="002A7FAE"/>
    <w:rsid w:val="002B005F"/>
    <w:rsid w:val="002B0887"/>
    <w:rsid w:val="002B0A0F"/>
    <w:rsid w:val="002B0B4A"/>
    <w:rsid w:val="002B0D77"/>
    <w:rsid w:val="002B0E16"/>
    <w:rsid w:val="002B1326"/>
    <w:rsid w:val="002B1480"/>
    <w:rsid w:val="002B1566"/>
    <w:rsid w:val="002B17BA"/>
    <w:rsid w:val="002B19C5"/>
    <w:rsid w:val="002B1A16"/>
    <w:rsid w:val="002B1EBA"/>
    <w:rsid w:val="002B1FE2"/>
    <w:rsid w:val="002B2211"/>
    <w:rsid w:val="002B2EA4"/>
    <w:rsid w:val="002B30CA"/>
    <w:rsid w:val="002B346E"/>
    <w:rsid w:val="002B38E2"/>
    <w:rsid w:val="002B463E"/>
    <w:rsid w:val="002B555E"/>
    <w:rsid w:val="002B5A4F"/>
    <w:rsid w:val="002B5CC7"/>
    <w:rsid w:val="002B63A3"/>
    <w:rsid w:val="002B6A33"/>
    <w:rsid w:val="002B7F55"/>
    <w:rsid w:val="002C10D5"/>
    <w:rsid w:val="002C12E1"/>
    <w:rsid w:val="002C2546"/>
    <w:rsid w:val="002C2BE4"/>
    <w:rsid w:val="002C2FF5"/>
    <w:rsid w:val="002C30A4"/>
    <w:rsid w:val="002C32CD"/>
    <w:rsid w:val="002C3C62"/>
    <w:rsid w:val="002C3C73"/>
    <w:rsid w:val="002C410A"/>
    <w:rsid w:val="002C435E"/>
    <w:rsid w:val="002C450F"/>
    <w:rsid w:val="002C4CEB"/>
    <w:rsid w:val="002C4E70"/>
    <w:rsid w:val="002C527F"/>
    <w:rsid w:val="002C5387"/>
    <w:rsid w:val="002C54E4"/>
    <w:rsid w:val="002C5E92"/>
    <w:rsid w:val="002C5EE6"/>
    <w:rsid w:val="002C61DD"/>
    <w:rsid w:val="002C6318"/>
    <w:rsid w:val="002C6698"/>
    <w:rsid w:val="002C734A"/>
    <w:rsid w:val="002C74DB"/>
    <w:rsid w:val="002C7D1C"/>
    <w:rsid w:val="002D0386"/>
    <w:rsid w:val="002D03AA"/>
    <w:rsid w:val="002D058A"/>
    <w:rsid w:val="002D083D"/>
    <w:rsid w:val="002D101A"/>
    <w:rsid w:val="002D1E67"/>
    <w:rsid w:val="002D2C99"/>
    <w:rsid w:val="002D2ED7"/>
    <w:rsid w:val="002D33E5"/>
    <w:rsid w:val="002D38B6"/>
    <w:rsid w:val="002D433D"/>
    <w:rsid w:val="002D44D4"/>
    <w:rsid w:val="002D478B"/>
    <w:rsid w:val="002D47CA"/>
    <w:rsid w:val="002D48E7"/>
    <w:rsid w:val="002D4979"/>
    <w:rsid w:val="002D58FE"/>
    <w:rsid w:val="002D5DC0"/>
    <w:rsid w:val="002D651B"/>
    <w:rsid w:val="002D6832"/>
    <w:rsid w:val="002D6A0A"/>
    <w:rsid w:val="002D6C5B"/>
    <w:rsid w:val="002D70E4"/>
    <w:rsid w:val="002D7737"/>
    <w:rsid w:val="002E0135"/>
    <w:rsid w:val="002E06A4"/>
    <w:rsid w:val="002E07A2"/>
    <w:rsid w:val="002E096D"/>
    <w:rsid w:val="002E0ECD"/>
    <w:rsid w:val="002E18E2"/>
    <w:rsid w:val="002E1E6A"/>
    <w:rsid w:val="002E1E83"/>
    <w:rsid w:val="002E31F2"/>
    <w:rsid w:val="002E33FE"/>
    <w:rsid w:val="002E3493"/>
    <w:rsid w:val="002E357A"/>
    <w:rsid w:val="002E3937"/>
    <w:rsid w:val="002E3C89"/>
    <w:rsid w:val="002E41A0"/>
    <w:rsid w:val="002E4283"/>
    <w:rsid w:val="002E42BA"/>
    <w:rsid w:val="002E4468"/>
    <w:rsid w:val="002E4517"/>
    <w:rsid w:val="002E4681"/>
    <w:rsid w:val="002E4CCE"/>
    <w:rsid w:val="002E51B2"/>
    <w:rsid w:val="002E544E"/>
    <w:rsid w:val="002E64F9"/>
    <w:rsid w:val="002E697D"/>
    <w:rsid w:val="002E6C5C"/>
    <w:rsid w:val="002E6FB8"/>
    <w:rsid w:val="002E7051"/>
    <w:rsid w:val="002E7C9C"/>
    <w:rsid w:val="002E7DDA"/>
    <w:rsid w:val="002F1722"/>
    <w:rsid w:val="002F198C"/>
    <w:rsid w:val="002F199B"/>
    <w:rsid w:val="002F1D06"/>
    <w:rsid w:val="002F1DEF"/>
    <w:rsid w:val="002F2053"/>
    <w:rsid w:val="002F21F7"/>
    <w:rsid w:val="002F28FF"/>
    <w:rsid w:val="002F2980"/>
    <w:rsid w:val="002F3158"/>
    <w:rsid w:val="002F333E"/>
    <w:rsid w:val="002F3606"/>
    <w:rsid w:val="002F36B8"/>
    <w:rsid w:val="002F3FA0"/>
    <w:rsid w:val="002F4B7A"/>
    <w:rsid w:val="002F4CC8"/>
    <w:rsid w:val="002F507B"/>
    <w:rsid w:val="002F7980"/>
    <w:rsid w:val="00300383"/>
    <w:rsid w:val="0030076F"/>
    <w:rsid w:val="00300B3A"/>
    <w:rsid w:val="00300D4B"/>
    <w:rsid w:val="00300E5A"/>
    <w:rsid w:val="00301443"/>
    <w:rsid w:val="003015D7"/>
    <w:rsid w:val="00301716"/>
    <w:rsid w:val="003017AA"/>
    <w:rsid w:val="00301E90"/>
    <w:rsid w:val="00301F32"/>
    <w:rsid w:val="003022FF"/>
    <w:rsid w:val="003029EB"/>
    <w:rsid w:val="00302D0C"/>
    <w:rsid w:val="00302D0E"/>
    <w:rsid w:val="00302EB1"/>
    <w:rsid w:val="00302EBC"/>
    <w:rsid w:val="0030383B"/>
    <w:rsid w:val="00303922"/>
    <w:rsid w:val="00303D28"/>
    <w:rsid w:val="003041BC"/>
    <w:rsid w:val="00305045"/>
    <w:rsid w:val="00305148"/>
    <w:rsid w:val="00305BB2"/>
    <w:rsid w:val="0030636B"/>
    <w:rsid w:val="00306375"/>
    <w:rsid w:val="003063A6"/>
    <w:rsid w:val="00306617"/>
    <w:rsid w:val="003067AF"/>
    <w:rsid w:val="00306A1F"/>
    <w:rsid w:val="00306E99"/>
    <w:rsid w:val="00306EF2"/>
    <w:rsid w:val="0031090F"/>
    <w:rsid w:val="00310DA0"/>
    <w:rsid w:val="003111B3"/>
    <w:rsid w:val="0031134F"/>
    <w:rsid w:val="00311A69"/>
    <w:rsid w:val="00312648"/>
    <w:rsid w:val="00313C48"/>
    <w:rsid w:val="003149E0"/>
    <w:rsid w:val="0031508A"/>
    <w:rsid w:val="0031545E"/>
    <w:rsid w:val="00316498"/>
    <w:rsid w:val="00316801"/>
    <w:rsid w:val="00316B7D"/>
    <w:rsid w:val="003173B8"/>
    <w:rsid w:val="00317BE2"/>
    <w:rsid w:val="00317C5F"/>
    <w:rsid w:val="00317FC3"/>
    <w:rsid w:val="003202E6"/>
    <w:rsid w:val="00320628"/>
    <w:rsid w:val="00320D50"/>
    <w:rsid w:val="0032117D"/>
    <w:rsid w:val="003212A8"/>
    <w:rsid w:val="00321DD0"/>
    <w:rsid w:val="00321EE1"/>
    <w:rsid w:val="00322457"/>
    <w:rsid w:val="00322473"/>
    <w:rsid w:val="00322F58"/>
    <w:rsid w:val="00323193"/>
    <w:rsid w:val="003234F5"/>
    <w:rsid w:val="003236AB"/>
    <w:rsid w:val="00323912"/>
    <w:rsid w:val="00323979"/>
    <w:rsid w:val="00323A11"/>
    <w:rsid w:val="00323A3E"/>
    <w:rsid w:val="00324D72"/>
    <w:rsid w:val="00325362"/>
    <w:rsid w:val="00326263"/>
    <w:rsid w:val="00326B88"/>
    <w:rsid w:val="0032710C"/>
    <w:rsid w:val="003276A5"/>
    <w:rsid w:val="00330645"/>
    <w:rsid w:val="00330901"/>
    <w:rsid w:val="003313E9"/>
    <w:rsid w:val="0033173F"/>
    <w:rsid w:val="00331BC5"/>
    <w:rsid w:val="00331F6E"/>
    <w:rsid w:val="00332120"/>
    <w:rsid w:val="0033213B"/>
    <w:rsid w:val="003322CA"/>
    <w:rsid w:val="003325F6"/>
    <w:rsid w:val="00332689"/>
    <w:rsid w:val="00332DB9"/>
    <w:rsid w:val="00332F86"/>
    <w:rsid w:val="00333C04"/>
    <w:rsid w:val="003345D2"/>
    <w:rsid w:val="00334CF8"/>
    <w:rsid w:val="00334D20"/>
    <w:rsid w:val="00334EBD"/>
    <w:rsid w:val="00334EFE"/>
    <w:rsid w:val="00334F31"/>
    <w:rsid w:val="00335159"/>
    <w:rsid w:val="00335719"/>
    <w:rsid w:val="00335C4A"/>
    <w:rsid w:val="0033652C"/>
    <w:rsid w:val="0033666B"/>
    <w:rsid w:val="00336A4D"/>
    <w:rsid w:val="00336CE1"/>
    <w:rsid w:val="00337865"/>
    <w:rsid w:val="00340306"/>
    <w:rsid w:val="00340471"/>
    <w:rsid w:val="003406A4"/>
    <w:rsid w:val="003408CF"/>
    <w:rsid w:val="00340CB9"/>
    <w:rsid w:val="00340F36"/>
    <w:rsid w:val="00341185"/>
    <w:rsid w:val="00341911"/>
    <w:rsid w:val="00341B57"/>
    <w:rsid w:val="0034243E"/>
    <w:rsid w:val="003425E3"/>
    <w:rsid w:val="003427CF"/>
    <w:rsid w:val="00343290"/>
    <w:rsid w:val="00343314"/>
    <w:rsid w:val="0034338E"/>
    <w:rsid w:val="003435E7"/>
    <w:rsid w:val="00343B2B"/>
    <w:rsid w:val="00343B6F"/>
    <w:rsid w:val="00344D75"/>
    <w:rsid w:val="00344F44"/>
    <w:rsid w:val="00345889"/>
    <w:rsid w:val="00345C9E"/>
    <w:rsid w:val="00345CA4"/>
    <w:rsid w:val="00346179"/>
    <w:rsid w:val="0034639C"/>
    <w:rsid w:val="00346E53"/>
    <w:rsid w:val="00346F95"/>
    <w:rsid w:val="0034709F"/>
    <w:rsid w:val="0034727F"/>
    <w:rsid w:val="003505A5"/>
    <w:rsid w:val="003506B2"/>
    <w:rsid w:val="00350908"/>
    <w:rsid w:val="00350C59"/>
    <w:rsid w:val="00350C69"/>
    <w:rsid w:val="00350D3A"/>
    <w:rsid w:val="00350E3E"/>
    <w:rsid w:val="00351BD5"/>
    <w:rsid w:val="00351C08"/>
    <w:rsid w:val="00351CA4"/>
    <w:rsid w:val="00351CBD"/>
    <w:rsid w:val="00352123"/>
    <w:rsid w:val="003524A8"/>
    <w:rsid w:val="00352654"/>
    <w:rsid w:val="00352BDD"/>
    <w:rsid w:val="00352DC3"/>
    <w:rsid w:val="00353205"/>
    <w:rsid w:val="0035397B"/>
    <w:rsid w:val="003540C2"/>
    <w:rsid w:val="00354711"/>
    <w:rsid w:val="0035491A"/>
    <w:rsid w:val="00354B35"/>
    <w:rsid w:val="00354BEC"/>
    <w:rsid w:val="00354D5B"/>
    <w:rsid w:val="00354F84"/>
    <w:rsid w:val="003555F1"/>
    <w:rsid w:val="00355B18"/>
    <w:rsid w:val="003561C9"/>
    <w:rsid w:val="00356214"/>
    <w:rsid w:val="00356237"/>
    <w:rsid w:val="00356611"/>
    <w:rsid w:val="00356EC5"/>
    <w:rsid w:val="00357088"/>
    <w:rsid w:val="00357784"/>
    <w:rsid w:val="0035792C"/>
    <w:rsid w:val="0035798D"/>
    <w:rsid w:val="003606CE"/>
    <w:rsid w:val="00361DFA"/>
    <w:rsid w:val="00362316"/>
    <w:rsid w:val="003626C1"/>
    <w:rsid w:val="00362D70"/>
    <w:rsid w:val="003638B2"/>
    <w:rsid w:val="00363E4C"/>
    <w:rsid w:val="00364088"/>
    <w:rsid w:val="003641B1"/>
    <w:rsid w:val="003642AD"/>
    <w:rsid w:val="003646A9"/>
    <w:rsid w:val="003648AF"/>
    <w:rsid w:val="00364CCB"/>
    <w:rsid w:val="0036517F"/>
    <w:rsid w:val="00365329"/>
    <w:rsid w:val="00365711"/>
    <w:rsid w:val="00365842"/>
    <w:rsid w:val="00365C51"/>
    <w:rsid w:val="00366049"/>
    <w:rsid w:val="003660C1"/>
    <w:rsid w:val="003662FB"/>
    <w:rsid w:val="003668B7"/>
    <w:rsid w:val="00366E98"/>
    <w:rsid w:val="00367AC5"/>
    <w:rsid w:val="00370941"/>
    <w:rsid w:val="00370D42"/>
    <w:rsid w:val="00370EBD"/>
    <w:rsid w:val="00370EFE"/>
    <w:rsid w:val="00371C18"/>
    <w:rsid w:val="00372CB0"/>
    <w:rsid w:val="00373C04"/>
    <w:rsid w:val="00373EED"/>
    <w:rsid w:val="0037449F"/>
    <w:rsid w:val="003746C6"/>
    <w:rsid w:val="0037481F"/>
    <w:rsid w:val="003752D1"/>
    <w:rsid w:val="00375639"/>
    <w:rsid w:val="003758BC"/>
    <w:rsid w:val="00375FF5"/>
    <w:rsid w:val="00376D1C"/>
    <w:rsid w:val="00380750"/>
    <w:rsid w:val="00380974"/>
    <w:rsid w:val="00380CE4"/>
    <w:rsid w:val="00380D41"/>
    <w:rsid w:val="00381518"/>
    <w:rsid w:val="00381918"/>
    <w:rsid w:val="00381A3E"/>
    <w:rsid w:val="00381C5E"/>
    <w:rsid w:val="00381E13"/>
    <w:rsid w:val="00381F72"/>
    <w:rsid w:val="00382CF0"/>
    <w:rsid w:val="00383300"/>
    <w:rsid w:val="00383377"/>
    <w:rsid w:val="00383968"/>
    <w:rsid w:val="003842F0"/>
    <w:rsid w:val="00384867"/>
    <w:rsid w:val="00385180"/>
    <w:rsid w:val="003852C5"/>
    <w:rsid w:val="003853C0"/>
    <w:rsid w:val="00385AAA"/>
    <w:rsid w:val="00385BFD"/>
    <w:rsid w:val="00385DAC"/>
    <w:rsid w:val="00386473"/>
    <w:rsid w:val="003866FA"/>
    <w:rsid w:val="00386C44"/>
    <w:rsid w:val="003870C4"/>
    <w:rsid w:val="0038746E"/>
    <w:rsid w:val="00387529"/>
    <w:rsid w:val="003879BD"/>
    <w:rsid w:val="00387D17"/>
    <w:rsid w:val="00387FDE"/>
    <w:rsid w:val="0039013E"/>
    <w:rsid w:val="00390E25"/>
    <w:rsid w:val="00391229"/>
    <w:rsid w:val="003913BD"/>
    <w:rsid w:val="003915B9"/>
    <w:rsid w:val="00391BD7"/>
    <w:rsid w:val="00391CF5"/>
    <w:rsid w:val="00391D73"/>
    <w:rsid w:val="00392705"/>
    <w:rsid w:val="00392F81"/>
    <w:rsid w:val="00393964"/>
    <w:rsid w:val="00393A40"/>
    <w:rsid w:val="00393BFB"/>
    <w:rsid w:val="00394133"/>
    <w:rsid w:val="00394F50"/>
    <w:rsid w:val="00395271"/>
    <w:rsid w:val="00395492"/>
    <w:rsid w:val="003956FC"/>
    <w:rsid w:val="00395D43"/>
    <w:rsid w:val="00395DC8"/>
    <w:rsid w:val="00396A69"/>
    <w:rsid w:val="00396DEF"/>
    <w:rsid w:val="0039701E"/>
    <w:rsid w:val="00397469"/>
    <w:rsid w:val="00397C1F"/>
    <w:rsid w:val="003A0137"/>
    <w:rsid w:val="003A01FB"/>
    <w:rsid w:val="003A0944"/>
    <w:rsid w:val="003A09F3"/>
    <w:rsid w:val="003A0BBB"/>
    <w:rsid w:val="003A10ED"/>
    <w:rsid w:val="003A10EF"/>
    <w:rsid w:val="003A14F6"/>
    <w:rsid w:val="003A1D9F"/>
    <w:rsid w:val="003A22EE"/>
    <w:rsid w:val="003A2311"/>
    <w:rsid w:val="003A2392"/>
    <w:rsid w:val="003A2609"/>
    <w:rsid w:val="003A287B"/>
    <w:rsid w:val="003A359C"/>
    <w:rsid w:val="003A3641"/>
    <w:rsid w:val="003A3970"/>
    <w:rsid w:val="003A3F1F"/>
    <w:rsid w:val="003A40FF"/>
    <w:rsid w:val="003A425C"/>
    <w:rsid w:val="003A42B3"/>
    <w:rsid w:val="003A47C1"/>
    <w:rsid w:val="003A4C51"/>
    <w:rsid w:val="003A4D88"/>
    <w:rsid w:val="003A624D"/>
    <w:rsid w:val="003A6D6F"/>
    <w:rsid w:val="003A6E77"/>
    <w:rsid w:val="003A7086"/>
    <w:rsid w:val="003A7241"/>
    <w:rsid w:val="003A75E5"/>
    <w:rsid w:val="003B0474"/>
    <w:rsid w:val="003B0565"/>
    <w:rsid w:val="003B05BD"/>
    <w:rsid w:val="003B0900"/>
    <w:rsid w:val="003B09B0"/>
    <w:rsid w:val="003B0B2E"/>
    <w:rsid w:val="003B1266"/>
    <w:rsid w:val="003B1501"/>
    <w:rsid w:val="003B16E0"/>
    <w:rsid w:val="003B1819"/>
    <w:rsid w:val="003B35B6"/>
    <w:rsid w:val="003B3657"/>
    <w:rsid w:val="003B3F1B"/>
    <w:rsid w:val="003B409D"/>
    <w:rsid w:val="003B4113"/>
    <w:rsid w:val="003B441E"/>
    <w:rsid w:val="003B497A"/>
    <w:rsid w:val="003B4CD4"/>
    <w:rsid w:val="003B5032"/>
    <w:rsid w:val="003B5523"/>
    <w:rsid w:val="003B57EA"/>
    <w:rsid w:val="003B5B28"/>
    <w:rsid w:val="003B5ECE"/>
    <w:rsid w:val="003B6254"/>
    <w:rsid w:val="003B6770"/>
    <w:rsid w:val="003B722F"/>
    <w:rsid w:val="003B743F"/>
    <w:rsid w:val="003B78FE"/>
    <w:rsid w:val="003B7FDE"/>
    <w:rsid w:val="003C053E"/>
    <w:rsid w:val="003C064B"/>
    <w:rsid w:val="003C092F"/>
    <w:rsid w:val="003C119F"/>
    <w:rsid w:val="003C1BB8"/>
    <w:rsid w:val="003C1E86"/>
    <w:rsid w:val="003C1EA9"/>
    <w:rsid w:val="003C241B"/>
    <w:rsid w:val="003C2B64"/>
    <w:rsid w:val="003C2D90"/>
    <w:rsid w:val="003C3B8F"/>
    <w:rsid w:val="003C4585"/>
    <w:rsid w:val="003C4692"/>
    <w:rsid w:val="003C4AE8"/>
    <w:rsid w:val="003C4D48"/>
    <w:rsid w:val="003C587F"/>
    <w:rsid w:val="003C5E9C"/>
    <w:rsid w:val="003C664D"/>
    <w:rsid w:val="003C6E3B"/>
    <w:rsid w:val="003C7556"/>
    <w:rsid w:val="003C75D3"/>
    <w:rsid w:val="003C7A1A"/>
    <w:rsid w:val="003D0199"/>
    <w:rsid w:val="003D0352"/>
    <w:rsid w:val="003D03A1"/>
    <w:rsid w:val="003D05D6"/>
    <w:rsid w:val="003D1051"/>
    <w:rsid w:val="003D10D2"/>
    <w:rsid w:val="003D118C"/>
    <w:rsid w:val="003D178B"/>
    <w:rsid w:val="003D1BE1"/>
    <w:rsid w:val="003D2015"/>
    <w:rsid w:val="003D20C0"/>
    <w:rsid w:val="003D20CD"/>
    <w:rsid w:val="003D2109"/>
    <w:rsid w:val="003D232C"/>
    <w:rsid w:val="003D28DA"/>
    <w:rsid w:val="003D2AC7"/>
    <w:rsid w:val="003D350E"/>
    <w:rsid w:val="003D35CC"/>
    <w:rsid w:val="003D3BC2"/>
    <w:rsid w:val="003D40E2"/>
    <w:rsid w:val="003D4BA6"/>
    <w:rsid w:val="003D4EB9"/>
    <w:rsid w:val="003D5AEB"/>
    <w:rsid w:val="003D5B92"/>
    <w:rsid w:val="003D6325"/>
    <w:rsid w:val="003D636C"/>
    <w:rsid w:val="003D6A1A"/>
    <w:rsid w:val="003D6B5F"/>
    <w:rsid w:val="003D70C7"/>
    <w:rsid w:val="003D70ED"/>
    <w:rsid w:val="003D790C"/>
    <w:rsid w:val="003D7C2B"/>
    <w:rsid w:val="003D7F61"/>
    <w:rsid w:val="003E067C"/>
    <w:rsid w:val="003E0BBB"/>
    <w:rsid w:val="003E0D73"/>
    <w:rsid w:val="003E1135"/>
    <w:rsid w:val="003E14E5"/>
    <w:rsid w:val="003E158C"/>
    <w:rsid w:val="003E199E"/>
    <w:rsid w:val="003E1A71"/>
    <w:rsid w:val="003E1ADF"/>
    <w:rsid w:val="003E1B35"/>
    <w:rsid w:val="003E1F18"/>
    <w:rsid w:val="003E24B7"/>
    <w:rsid w:val="003E266C"/>
    <w:rsid w:val="003E2B29"/>
    <w:rsid w:val="003E2EF0"/>
    <w:rsid w:val="003E3525"/>
    <w:rsid w:val="003E38E4"/>
    <w:rsid w:val="003E3C38"/>
    <w:rsid w:val="003E3CD3"/>
    <w:rsid w:val="003E3DD8"/>
    <w:rsid w:val="003E41B2"/>
    <w:rsid w:val="003E433E"/>
    <w:rsid w:val="003E4726"/>
    <w:rsid w:val="003E4B30"/>
    <w:rsid w:val="003E4EB4"/>
    <w:rsid w:val="003E5DC1"/>
    <w:rsid w:val="003E5F3D"/>
    <w:rsid w:val="003E6188"/>
    <w:rsid w:val="003E66EE"/>
    <w:rsid w:val="003E6C81"/>
    <w:rsid w:val="003E7391"/>
    <w:rsid w:val="003E7550"/>
    <w:rsid w:val="003E7647"/>
    <w:rsid w:val="003F09B1"/>
    <w:rsid w:val="003F0B5A"/>
    <w:rsid w:val="003F0E67"/>
    <w:rsid w:val="003F2080"/>
    <w:rsid w:val="003F2134"/>
    <w:rsid w:val="003F2298"/>
    <w:rsid w:val="003F2B04"/>
    <w:rsid w:val="003F2E3B"/>
    <w:rsid w:val="003F2F20"/>
    <w:rsid w:val="003F2F51"/>
    <w:rsid w:val="003F325C"/>
    <w:rsid w:val="003F3353"/>
    <w:rsid w:val="003F376C"/>
    <w:rsid w:val="003F39B5"/>
    <w:rsid w:val="003F46CD"/>
    <w:rsid w:val="003F4AB7"/>
    <w:rsid w:val="003F4E1D"/>
    <w:rsid w:val="003F50B2"/>
    <w:rsid w:val="003F57CB"/>
    <w:rsid w:val="003F5886"/>
    <w:rsid w:val="003F5BDE"/>
    <w:rsid w:val="003F5C7C"/>
    <w:rsid w:val="003F6568"/>
    <w:rsid w:val="003F67BA"/>
    <w:rsid w:val="003F69E5"/>
    <w:rsid w:val="003F6A07"/>
    <w:rsid w:val="003F6C7E"/>
    <w:rsid w:val="003F6C91"/>
    <w:rsid w:val="003F7235"/>
    <w:rsid w:val="003F7546"/>
    <w:rsid w:val="003F7608"/>
    <w:rsid w:val="003F76E8"/>
    <w:rsid w:val="003F76F0"/>
    <w:rsid w:val="003F7CC7"/>
    <w:rsid w:val="003F7EAB"/>
    <w:rsid w:val="004002C9"/>
    <w:rsid w:val="0040090F"/>
    <w:rsid w:val="00400BC0"/>
    <w:rsid w:val="0040254C"/>
    <w:rsid w:val="00402971"/>
    <w:rsid w:val="00402D4B"/>
    <w:rsid w:val="00402DA2"/>
    <w:rsid w:val="00402F32"/>
    <w:rsid w:val="00403424"/>
    <w:rsid w:val="004035EC"/>
    <w:rsid w:val="0040413B"/>
    <w:rsid w:val="00404306"/>
    <w:rsid w:val="00404331"/>
    <w:rsid w:val="00404DAD"/>
    <w:rsid w:val="00405232"/>
    <w:rsid w:val="0040540B"/>
    <w:rsid w:val="004056C4"/>
    <w:rsid w:val="004058B6"/>
    <w:rsid w:val="004058C0"/>
    <w:rsid w:val="004063D3"/>
    <w:rsid w:val="004065C5"/>
    <w:rsid w:val="00406730"/>
    <w:rsid w:val="00406FD9"/>
    <w:rsid w:val="00406FF3"/>
    <w:rsid w:val="00407298"/>
    <w:rsid w:val="00407763"/>
    <w:rsid w:val="00407E0B"/>
    <w:rsid w:val="00410120"/>
    <w:rsid w:val="00410BA8"/>
    <w:rsid w:val="00410E1C"/>
    <w:rsid w:val="00410FD0"/>
    <w:rsid w:val="00411220"/>
    <w:rsid w:val="00411509"/>
    <w:rsid w:val="004118F7"/>
    <w:rsid w:val="0041190F"/>
    <w:rsid w:val="00411E14"/>
    <w:rsid w:val="004126B2"/>
    <w:rsid w:val="004127CB"/>
    <w:rsid w:val="004129F4"/>
    <w:rsid w:val="004139D0"/>
    <w:rsid w:val="0041471A"/>
    <w:rsid w:val="00414D6B"/>
    <w:rsid w:val="00414E4B"/>
    <w:rsid w:val="00415499"/>
    <w:rsid w:val="0041582B"/>
    <w:rsid w:val="00415986"/>
    <w:rsid w:val="00415B90"/>
    <w:rsid w:val="00415C9A"/>
    <w:rsid w:val="00416473"/>
    <w:rsid w:val="00416533"/>
    <w:rsid w:val="0041684D"/>
    <w:rsid w:val="00417280"/>
    <w:rsid w:val="00417329"/>
    <w:rsid w:val="00417525"/>
    <w:rsid w:val="00417DBE"/>
    <w:rsid w:val="00420801"/>
    <w:rsid w:val="0042084F"/>
    <w:rsid w:val="004213FE"/>
    <w:rsid w:val="0042149A"/>
    <w:rsid w:val="004217B1"/>
    <w:rsid w:val="00421AD4"/>
    <w:rsid w:val="00422987"/>
    <w:rsid w:val="00422E77"/>
    <w:rsid w:val="0042316F"/>
    <w:rsid w:val="00423F99"/>
    <w:rsid w:val="00423FC4"/>
    <w:rsid w:val="004240FE"/>
    <w:rsid w:val="004242AA"/>
    <w:rsid w:val="004246ED"/>
    <w:rsid w:val="0042491B"/>
    <w:rsid w:val="00424DA3"/>
    <w:rsid w:val="00424E13"/>
    <w:rsid w:val="00424F33"/>
    <w:rsid w:val="004253B8"/>
    <w:rsid w:val="004254F5"/>
    <w:rsid w:val="004254F6"/>
    <w:rsid w:val="00425637"/>
    <w:rsid w:val="0042567B"/>
    <w:rsid w:val="00425D1C"/>
    <w:rsid w:val="00425E56"/>
    <w:rsid w:val="00426028"/>
    <w:rsid w:val="00426DDD"/>
    <w:rsid w:val="00426EE4"/>
    <w:rsid w:val="00427575"/>
    <w:rsid w:val="0043002B"/>
    <w:rsid w:val="004300D5"/>
    <w:rsid w:val="004307CC"/>
    <w:rsid w:val="00430B69"/>
    <w:rsid w:val="00431FE9"/>
    <w:rsid w:val="004321F6"/>
    <w:rsid w:val="00432508"/>
    <w:rsid w:val="004325CE"/>
    <w:rsid w:val="004325F2"/>
    <w:rsid w:val="004333C0"/>
    <w:rsid w:val="0043362B"/>
    <w:rsid w:val="004336B6"/>
    <w:rsid w:val="00433F56"/>
    <w:rsid w:val="00434461"/>
    <w:rsid w:val="0043515A"/>
    <w:rsid w:val="004357C7"/>
    <w:rsid w:val="004358C3"/>
    <w:rsid w:val="00435AE6"/>
    <w:rsid w:val="00435D28"/>
    <w:rsid w:val="0043601A"/>
    <w:rsid w:val="00436664"/>
    <w:rsid w:val="0043688D"/>
    <w:rsid w:val="00436996"/>
    <w:rsid w:val="00437A7E"/>
    <w:rsid w:val="00437AAC"/>
    <w:rsid w:val="00437C12"/>
    <w:rsid w:val="0044051E"/>
    <w:rsid w:val="00440E57"/>
    <w:rsid w:val="00440F81"/>
    <w:rsid w:val="00441030"/>
    <w:rsid w:val="00441224"/>
    <w:rsid w:val="004413AA"/>
    <w:rsid w:val="00441809"/>
    <w:rsid w:val="00441D7B"/>
    <w:rsid w:val="004421B9"/>
    <w:rsid w:val="0044250F"/>
    <w:rsid w:val="004427EB"/>
    <w:rsid w:val="00442C86"/>
    <w:rsid w:val="00443136"/>
    <w:rsid w:val="0044360C"/>
    <w:rsid w:val="0044392F"/>
    <w:rsid w:val="00443BEF"/>
    <w:rsid w:val="00443E36"/>
    <w:rsid w:val="0044415D"/>
    <w:rsid w:val="00444B07"/>
    <w:rsid w:val="00444FFF"/>
    <w:rsid w:val="00445444"/>
    <w:rsid w:val="0044549C"/>
    <w:rsid w:val="00445C29"/>
    <w:rsid w:val="00445C8E"/>
    <w:rsid w:val="00445E28"/>
    <w:rsid w:val="00446138"/>
    <w:rsid w:val="004462F3"/>
    <w:rsid w:val="00446376"/>
    <w:rsid w:val="00446D4C"/>
    <w:rsid w:val="00446F75"/>
    <w:rsid w:val="00447419"/>
    <w:rsid w:val="004476C4"/>
    <w:rsid w:val="004478AD"/>
    <w:rsid w:val="004506E3"/>
    <w:rsid w:val="00450B2A"/>
    <w:rsid w:val="00450F26"/>
    <w:rsid w:val="00450FE2"/>
    <w:rsid w:val="00451043"/>
    <w:rsid w:val="00451365"/>
    <w:rsid w:val="004515DC"/>
    <w:rsid w:val="00451A2F"/>
    <w:rsid w:val="00451A5F"/>
    <w:rsid w:val="00451B83"/>
    <w:rsid w:val="00451DF0"/>
    <w:rsid w:val="004529B3"/>
    <w:rsid w:val="004529F6"/>
    <w:rsid w:val="00452C00"/>
    <w:rsid w:val="00452F6B"/>
    <w:rsid w:val="0045375F"/>
    <w:rsid w:val="00453E63"/>
    <w:rsid w:val="0045410F"/>
    <w:rsid w:val="004545BF"/>
    <w:rsid w:val="00454767"/>
    <w:rsid w:val="00454CF9"/>
    <w:rsid w:val="00455B6D"/>
    <w:rsid w:val="00455C67"/>
    <w:rsid w:val="00455E62"/>
    <w:rsid w:val="0045615A"/>
    <w:rsid w:val="004561BC"/>
    <w:rsid w:val="0045690E"/>
    <w:rsid w:val="004577B5"/>
    <w:rsid w:val="00457C1A"/>
    <w:rsid w:val="00457CDE"/>
    <w:rsid w:val="00457D03"/>
    <w:rsid w:val="0046055C"/>
    <w:rsid w:val="004605E8"/>
    <w:rsid w:val="00460A54"/>
    <w:rsid w:val="00460D17"/>
    <w:rsid w:val="00460F7D"/>
    <w:rsid w:val="00461675"/>
    <w:rsid w:val="00461F51"/>
    <w:rsid w:val="00462029"/>
    <w:rsid w:val="004631D3"/>
    <w:rsid w:val="0046387D"/>
    <w:rsid w:val="0046419B"/>
    <w:rsid w:val="004641B7"/>
    <w:rsid w:val="00464C22"/>
    <w:rsid w:val="00465232"/>
    <w:rsid w:val="004659BC"/>
    <w:rsid w:val="00465EF7"/>
    <w:rsid w:val="00465F05"/>
    <w:rsid w:val="004664A3"/>
    <w:rsid w:val="004667BF"/>
    <w:rsid w:val="004669F3"/>
    <w:rsid w:val="00466A1E"/>
    <w:rsid w:val="00466D35"/>
    <w:rsid w:val="0046789F"/>
    <w:rsid w:val="00467902"/>
    <w:rsid w:val="00467954"/>
    <w:rsid w:val="00470612"/>
    <w:rsid w:val="00470A1F"/>
    <w:rsid w:val="0047109D"/>
    <w:rsid w:val="0047115F"/>
    <w:rsid w:val="00471310"/>
    <w:rsid w:val="00471777"/>
    <w:rsid w:val="00472365"/>
    <w:rsid w:val="0047239E"/>
    <w:rsid w:val="004723FF"/>
    <w:rsid w:val="00472498"/>
    <w:rsid w:val="00472B31"/>
    <w:rsid w:val="00472D78"/>
    <w:rsid w:val="00474A81"/>
    <w:rsid w:val="00474AB6"/>
    <w:rsid w:val="00474C95"/>
    <w:rsid w:val="00474F17"/>
    <w:rsid w:val="00475293"/>
    <w:rsid w:val="00475386"/>
    <w:rsid w:val="00475AC1"/>
    <w:rsid w:val="00475D3E"/>
    <w:rsid w:val="00476E8F"/>
    <w:rsid w:val="00477428"/>
    <w:rsid w:val="00477CF0"/>
    <w:rsid w:val="00477EB0"/>
    <w:rsid w:val="00480CA4"/>
    <w:rsid w:val="00480E9E"/>
    <w:rsid w:val="00481852"/>
    <w:rsid w:val="00481A77"/>
    <w:rsid w:val="00481CAA"/>
    <w:rsid w:val="00482208"/>
    <w:rsid w:val="0048248D"/>
    <w:rsid w:val="0048287F"/>
    <w:rsid w:val="00482B94"/>
    <w:rsid w:val="00482EF0"/>
    <w:rsid w:val="00483321"/>
    <w:rsid w:val="004836A0"/>
    <w:rsid w:val="00483B7C"/>
    <w:rsid w:val="00483FF0"/>
    <w:rsid w:val="004846AE"/>
    <w:rsid w:val="0048533F"/>
    <w:rsid w:val="00485351"/>
    <w:rsid w:val="004859B8"/>
    <w:rsid w:val="00485BB5"/>
    <w:rsid w:val="00485ECE"/>
    <w:rsid w:val="00485FD0"/>
    <w:rsid w:val="0048612D"/>
    <w:rsid w:val="00486146"/>
    <w:rsid w:val="00486148"/>
    <w:rsid w:val="00486595"/>
    <w:rsid w:val="00486FEF"/>
    <w:rsid w:val="00487276"/>
    <w:rsid w:val="0048729A"/>
    <w:rsid w:val="004872AA"/>
    <w:rsid w:val="004872CA"/>
    <w:rsid w:val="004872D9"/>
    <w:rsid w:val="00487474"/>
    <w:rsid w:val="004876CD"/>
    <w:rsid w:val="004879B6"/>
    <w:rsid w:val="00487B70"/>
    <w:rsid w:val="00487F1A"/>
    <w:rsid w:val="00490168"/>
    <w:rsid w:val="00490244"/>
    <w:rsid w:val="004902A8"/>
    <w:rsid w:val="0049066F"/>
    <w:rsid w:val="004907C8"/>
    <w:rsid w:val="00490876"/>
    <w:rsid w:val="00490BFB"/>
    <w:rsid w:val="00490CFE"/>
    <w:rsid w:val="00490D5F"/>
    <w:rsid w:val="00490E23"/>
    <w:rsid w:val="00491649"/>
    <w:rsid w:val="00491736"/>
    <w:rsid w:val="0049255A"/>
    <w:rsid w:val="00492D51"/>
    <w:rsid w:val="00493401"/>
    <w:rsid w:val="00493E5E"/>
    <w:rsid w:val="0049416D"/>
    <w:rsid w:val="00494311"/>
    <w:rsid w:val="00494654"/>
    <w:rsid w:val="00494703"/>
    <w:rsid w:val="004947DE"/>
    <w:rsid w:val="0049492E"/>
    <w:rsid w:val="00494932"/>
    <w:rsid w:val="00494E19"/>
    <w:rsid w:val="004950DA"/>
    <w:rsid w:val="00495263"/>
    <w:rsid w:val="00495D28"/>
    <w:rsid w:val="00495D77"/>
    <w:rsid w:val="00496339"/>
    <w:rsid w:val="00496AD6"/>
    <w:rsid w:val="00496C04"/>
    <w:rsid w:val="00496E5C"/>
    <w:rsid w:val="00496F8C"/>
    <w:rsid w:val="0049769F"/>
    <w:rsid w:val="0049778D"/>
    <w:rsid w:val="00497ACC"/>
    <w:rsid w:val="00497BD7"/>
    <w:rsid w:val="00497DA4"/>
    <w:rsid w:val="004A05B8"/>
    <w:rsid w:val="004A0D08"/>
    <w:rsid w:val="004A0F5C"/>
    <w:rsid w:val="004A126B"/>
    <w:rsid w:val="004A17DC"/>
    <w:rsid w:val="004A19C3"/>
    <w:rsid w:val="004A1F22"/>
    <w:rsid w:val="004A2051"/>
    <w:rsid w:val="004A290C"/>
    <w:rsid w:val="004A31E3"/>
    <w:rsid w:val="004A340E"/>
    <w:rsid w:val="004A3725"/>
    <w:rsid w:val="004A4108"/>
    <w:rsid w:val="004A4C00"/>
    <w:rsid w:val="004A4D9D"/>
    <w:rsid w:val="004A4DDC"/>
    <w:rsid w:val="004A51BD"/>
    <w:rsid w:val="004A5795"/>
    <w:rsid w:val="004A6134"/>
    <w:rsid w:val="004A63DA"/>
    <w:rsid w:val="004A63F9"/>
    <w:rsid w:val="004A664C"/>
    <w:rsid w:val="004A6874"/>
    <w:rsid w:val="004A687B"/>
    <w:rsid w:val="004A6ADB"/>
    <w:rsid w:val="004A6E4A"/>
    <w:rsid w:val="004A6F0B"/>
    <w:rsid w:val="004A6F39"/>
    <w:rsid w:val="004A6FA1"/>
    <w:rsid w:val="004A76A4"/>
    <w:rsid w:val="004A76FF"/>
    <w:rsid w:val="004A7A98"/>
    <w:rsid w:val="004A7B38"/>
    <w:rsid w:val="004A7EEE"/>
    <w:rsid w:val="004B0098"/>
    <w:rsid w:val="004B00B5"/>
    <w:rsid w:val="004B1AF4"/>
    <w:rsid w:val="004B2023"/>
    <w:rsid w:val="004B2080"/>
    <w:rsid w:val="004B26E8"/>
    <w:rsid w:val="004B29A9"/>
    <w:rsid w:val="004B2BD0"/>
    <w:rsid w:val="004B3086"/>
    <w:rsid w:val="004B3193"/>
    <w:rsid w:val="004B326C"/>
    <w:rsid w:val="004B332A"/>
    <w:rsid w:val="004B3764"/>
    <w:rsid w:val="004B3DC1"/>
    <w:rsid w:val="004B42F0"/>
    <w:rsid w:val="004B4DE3"/>
    <w:rsid w:val="004B5204"/>
    <w:rsid w:val="004B52CF"/>
    <w:rsid w:val="004B5718"/>
    <w:rsid w:val="004B5A91"/>
    <w:rsid w:val="004B5E94"/>
    <w:rsid w:val="004B61FB"/>
    <w:rsid w:val="004B6A9D"/>
    <w:rsid w:val="004B7414"/>
    <w:rsid w:val="004B7520"/>
    <w:rsid w:val="004B7B0A"/>
    <w:rsid w:val="004C10CA"/>
    <w:rsid w:val="004C12B4"/>
    <w:rsid w:val="004C1A10"/>
    <w:rsid w:val="004C217F"/>
    <w:rsid w:val="004C3212"/>
    <w:rsid w:val="004C35FB"/>
    <w:rsid w:val="004C38CD"/>
    <w:rsid w:val="004C392F"/>
    <w:rsid w:val="004C3CDB"/>
    <w:rsid w:val="004C4662"/>
    <w:rsid w:val="004C4890"/>
    <w:rsid w:val="004C4D8B"/>
    <w:rsid w:val="004C51F6"/>
    <w:rsid w:val="004C5D42"/>
    <w:rsid w:val="004C5E39"/>
    <w:rsid w:val="004C667A"/>
    <w:rsid w:val="004C6E53"/>
    <w:rsid w:val="004C719C"/>
    <w:rsid w:val="004C7893"/>
    <w:rsid w:val="004D0DCD"/>
    <w:rsid w:val="004D110F"/>
    <w:rsid w:val="004D11CA"/>
    <w:rsid w:val="004D1300"/>
    <w:rsid w:val="004D158C"/>
    <w:rsid w:val="004D1B07"/>
    <w:rsid w:val="004D1BAE"/>
    <w:rsid w:val="004D2835"/>
    <w:rsid w:val="004D29FF"/>
    <w:rsid w:val="004D2AE9"/>
    <w:rsid w:val="004D2DA8"/>
    <w:rsid w:val="004D2E88"/>
    <w:rsid w:val="004D30A8"/>
    <w:rsid w:val="004D3777"/>
    <w:rsid w:val="004D3BE6"/>
    <w:rsid w:val="004D43A1"/>
    <w:rsid w:val="004D4B25"/>
    <w:rsid w:val="004D50AB"/>
    <w:rsid w:val="004D55A0"/>
    <w:rsid w:val="004D58E3"/>
    <w:rsid w:val="004D5DCE"/>
    <w:rsid w:val="004D5EDF"/>
    <w:rsid w:val="004D61D0"/>
    <w:rsid w:val="004D62FE"/>
    <w:rsid w:val="004D6551"/>
    <w:rsid w:val="004D7256"/>
    <w:rsid w:val="004D78E6"/>
    <w:rsid w:val="004E0042"/>
    <w:rsid w:val="004E0A71"/>
    <w:rsid w:val="004E0D45"/>
    <w:rsid w:val="004E151B"/>
    <w:rsid w:val="004E16C6"/>
    <w:rsid w:val="004E174F"/>
    <w:rsid w:val="004E1E1B"/>
    <w:rsid w:val="004E277D"/>
    <w:rsid w:val="004E2E10"/>
    <w:rsid w:val="004E2F88"/>
    <w:rsid w:val="004E3004"/>
    <w:rsid w:val="004E345E"/>
    <w:rsid w:val="004E3498"/>
    <w:rsid w:val="004E36B9"/>
    <w:rsid w:val="004E3AE6"/>
    <w:rsid w:val="004E3CFA"/>
    <w:rsid w:val="004E453B"/>
    <w:rsid w:val="004E4949"/>
    <w:rsid w:val="004E4C94"/>
    <w:rsid w:val="004E4ED5"/>
    <w:rsid w:val="004E53FF"/>
    <w:rsid w:val="004E5544"/>
    <w:rsid w:val="004E5864"/>
    <w:rsid w:val="004E5A78"/>
    <w:rsid w:val="004E5E52"/>
    <w:rsid w:val="004E60AE"/>
    <w:rsid w:val="004E6686"/>
    <w:rsid w:val="004E6A5E"/>
    <w:rsid w:val="004E6BEE"/>
    <w:rsid w:val="004E6DBB"/>
    <w:rsid w:val="004E79AE"/>
    <w:rsid w:val="004E7AB5"/>
    <w:rsid w:val="004E7D9A"/>
    <w:rsid w:val="004E7FC3"/>
    <w:rsid w:val="004F046F"/>
    <w:rsid w:val="004F061F"/>
    <w:rsid w:val="004F07D6"/>
    <w:rsid w:val="004F0A98"/>
    <w:rsid w:val="004F0C6E"/>
    <w:rsid w:val="004F0CBD"/>
    <w:rsid w:val="004F0F66"/>
    <w:rsid w:val="004F1465"/>
    <w:rsid w:val="004F1E85"/>
    <w:rsid w:val="004F248E"/>
    <w:rsid w:val="004F2540"/>
    <w:rsid w:val="004F2677"/>
    <w:rsid w:val="004F2DC1"/>
    <w:rsid w:val="004F31CA"/>
    <w:rsid w:val="004F33F9"/>
    <w:rsid w:val="004F38B9"/>
    <w:rsid w:val="004F3914"/>
    <w:rsid w:val="004F3ACA"/>
    <w:rsid w:val="004F3CE7"/>
    <w:rsid w:val="004F43EC"/>
    <w:rsid w:val="004F46D9"/>
    <w:rsid w:val="004F5017"/>
    <w:rsid w:val="004F6D7B"/>
    <w:rsid w:val="004F7042"/>
    <w:rsid w:val="004F765B"/>
    <w:rsid w:val="004F7B58"/>
    <w:rsid w:val="00500446"/>
    <w:rsid w:val="0050072F"/>
    <w:rsid w:val="005008F1"/>
    <w:rsid w:val="00500DE2"/>
    <w:rsid w:val="00500F16"/>
    <w:rsid w:val="0050146F"/>
    <w:rsid w:val="005014EC"/>
    <w:rsid w:val="00501D90"/>
    <w:rsid w:val="00501EFE"/>
    <w:rsid w:val="00502724"/>
    <w:rsid w:val="0050283B"/>
    <w:rsid w:val="00502D94"/>
    <w:rsid w:val="005030A0"/>
    <w:rsid w:val="00503429"/>
    <w:rsid w:val="0050352A"/>
    <w:rsid w:val="00503693"/>
    <w:rsid w:val="00503895"/>
    <w:rsid w:val="00503D89"/>
    <w:rsid w:val="00503E85"/>
    <w:rsid w:val="00503FD1"/>
    <w:rsid w:val="00504159"/>
    <w:rsid w:val="00504278"/>
    <w:rsid w:val="005042D6"/>
    <w:rsid w:val="00504866"/>
    <w:rsid w:val="00504974"/>
    <w:rsid w:val="00505665"/>
    <w:rsid w:val="005067B3"/>
    <w:rsid w:val="005068B4"/>
    <w:rsid w:val="005069B1"/>
    <w:rsid w:val="00507003"/>
    <w:rsid w:val="00507072"/>
    <w:rsid w:val="005073FE"/>
    <w:rsid w:val="005078D7"/>
    <w:rsid w:val="00510288"/>
    <w:rsid w:val="00510609"/>
    <w:rsid w:val="00510CD0"/>
    <w:rsid w:val="00511052"/>
    <w:rsid w:val="005112FF"/>
    <w:rsid w:val="00511567"/>
    <w:rsid w:val="005115EC"/>
    <w:rsid w:val="00511C56"/>
    <w:rsid w:val="00511E51"/>
    <w:rsid w:val="00511FD1"/>
    <w:rsid w:val="0051218C"/>
    <w:rsid w:val="005121FB"/>
    <w:rsid w:val="00512431"/>
    <w:rsid w:val="005126BD"/>
    <w:rsid w:val="00512EB7"/>
    <w:rsid w:val="005131BB"/>
    <w:rsid w:val="0051340C"/>
    <w:rsid w:val="00513C0D"/>
    <w:rsid w:val="00513C20"/>
    <w:rsid w:val="00513EAE"/>
    <w:rsid w:val="0051503D"/>
    <w:rsid w:val="00515CBF"/>
    <w:rsid w:val="00516179"/>
    <w:rsid w:val="0051653E"/>
    <w:rsid w:val="00516A61"/>
    <w:rsid w:val="00516AF8"/>
    <w:rsid w:val="00516B9F"/>
    <w:rsid w:val="005175E0"/>
    <w:rsid w:val="005179F1"/>
    <w:rsid w:val="00517B2E"/>
    <w:rsid w:val="00517BAD"/>
    <w:rsid w:val="00520401"/>
    <w:rsid w:val="005208D2"/>
    <w:rsid w:val="00520F12"/>
    <w:rsid w:val="00521343"/>
    <w:rsid w:val="005217D9"/>
    <w:rsid w:val="00521B37"/>
    <w:rsid w:val="0052209E"/>
    <w:rsid w:val="00522B9A"/>
    <w:rsid w:val="005234EC"/>
    <w:rsid w:val="005239D8"/>
    <w:rsid w:val="00523A55"/>
    <w:rsid w:val="00523D04"/>
    <w:rsid w:val="00523D50"/>
    <w:rsid w:val="00523DC6"/>
    <w:rsid w:val="00524127"/>
    <w:rsid w:val="005249DC"/>
    <w:rsid w:val="00524FAB"/>
    <w:rsid w:val="0052503A"/>
    <w:rsid w:val="00525CC6"/>
    <w:rsid w:val="00525E42"/>
    <w:rsid w:val="0052629F"/>
    <w:rsid w:val="00526538"/>
    <w:rsid w:val="0052654A"/>
    <w:rsid w:val="00526551"/>
    <w:rsid w:val="005270AE"/>
    <w:rsid w:val="00527216"/>
    <w:rsid w:val="005276B9"/>
    <w:rsid w:val="00527B23"/>
    <w:rsid w:val="00530347"/>
    <w:rsid w:val="00530768"/>
    <w:rsid w:val="00530B95"/>
    <w:rsid w:val="00530F4E"/>
    <w:rsid w:val="00530FED"/>
    <w:rsid w:val="00531054"/>
    <w:rsid w:val="0053117C"/>
    <w:rsid w:val="005313FC"/>
    <w:rsid w:val="005318B7"/>
    <w:rsid w:val="00531AA0"/>
    <w:rsid w:val="00532273"/>
    <w:rsid w:val="005324BB"/>
    <w:rsid w:val="00532602"/>
    <w:rsid w:val="00532A3B"/>
    <w:rsid w:val="00532E8C"/>
    <w:rsid w:val="00533E1B"/>
    <w:rsid w:val="00534284"/>
    <w:rsid w:val="00534952"/>
    <w:rsid w:val="005349BA"/>
    <w:rsid w:val="0053502B"/>
    <w:rsid w:val="005356DC"/>
    <w:rsid w:val="00536112"/>
    <w:rsid w:val="00536120"/>
    <w:rsid w:val="00536C00"/>
    <w:rsid w:val="00536DD2"/>
    <w:rsid w:val="0053771A"/>
    <w:rsid w:val="00537EF0"/>
    <w:rsid w:val="0054010F"/>
    <w:rsid w:val="00540258"/>
    <w:rsid w:val="00540316"/>
    <w:rsid w:val="00541257"/>
    <w:rsid w:val="005412CD"/>
    <w:rsid w:val="00541575"/>
    <w:rsid w:val="005415C7"/>
    <w:rsid w:val="005418EE"/>
    <w:rsid w:val="005420CF"/>
    <w:rsid w:val="0054213F"/>
    <w:rsid w:val="005425FA"/>
    <w:rsid w:val="00542B9C"/>
    <w:rsid w:val="00542D62"/>
    <w:rsid w:val="00542EAF"/>
    <w:rsid w:val="00543031"/>
    <w:rsid w:val="005430B1"/>
    <w:rsid w:val="0054354C"/>
    <w:rsid w:val="00544AF1"/>
    <w:rsid w:val="00544D41"/>
    <w:rsid w:val="00545594"/>
    <w:rsid w:val="005455D2"/>
    <w:rsid w:val="005461B7"/>
    <w:rsid w:val="00546379"/>
    <w:rsid w:val="00546564"/>
    <w:rsid w:val="00546C37"/>
    <w:rsid w:val="00546EA2"/>
    <w:rsid w:val="00547022"/>
    <w:rsid w:val="005471F2"/>
    <w:rsid w:val="00547281"/>
    <w:rsid w:val="00547551"/>
    <w:rsid w:val="005500EA"/>
    <w:rsid w:val="0055016E"/>
    <w:rsid w:val="00550816"/>
    <w:rsid w:val="005508BD"/>
    <w:rsid w:val="00550CE2"/>
    <w:rsid w:val="00550D32"/>
    <w:rsid w:val="00550E1E"/>
    <w:rsid w:val="005510F2"/>
    <w:rsid w:val="00551122"/>
    <w:rsid w:val="005514AA"/>
    <w:rsid w:val="00552369"/>
    <w:rsid w:val="005524C7"/>
    <w:rsid w:val="00552817"/>
    <w:rsid w:val="0055295E"/>
    <w:rsid w:val="0055299B"/>
    <w:rsid w:val="00552A94"/>
    <w:rsid w:val="00552B4D"/>
    <w:rsid w:val="00552DA7"/>
    <w:rsid w:val="00552F9F"/>
    <w:rsid w:val="005531A9"/>
    <w:rsid w:val="00553206"/>
    <w:rsid w:val="00553381"/>
    <w:rsid w:val="005533AC"/>
    <w:rsid w:val="00553A10"/>
    <w:rsid w:val="0055419D"/>
    <w:rsid w:val="005546E3"/>
    <w:rsid w:val="00554D89"/>
    <w:rsid w:val="00554E65"/>
    <w:rsid w:val="00555580"/>
    <w:rsid w:val="00555771"/>
    <w:rsid w:val="005557C2"/>
    <w:rsid w:val="005559F6"/>
    <w:rsid w:val="00555AB6"/>
    <w:rsid w:val="00555DB7"/>
    <w:rsid w:val="005560CA"/>
    <w:rsid w:val="005561FF"/>
    <w:rsid w:val="005567D3"/>
    <w:rsid w:val="0055686B"/>
    <w:rsid w:val="0055691D"/>
    <w:rsid w:val="00556A0B"/>
    <w:rsid w:val="00556A45"/>
    <w:rsid w:val="00556B84"/>
    <w:rsid w:val="00556D6C"/>
    <w:rsid w:val="00556F82"/>
    <w:rsid w:val="005571E3"/>
    <w:rsid w:val="005572CD"/>
    <w:rsid w:val="00557906"/>
    <w:rsid w:val="005579D3"/>
    <w:rsid w:val="0056044D"/>
    <w:rsid w:val="00560AD9"/>
    <w:rsid w:val="00561989"/>
    <w:rsid w:val="00561B2C"/>
    <w:rsid w:val="00561E33"/>
    <w:rsid w:val="00562172"/>
    <w:rsid w:val="005623F7"/>
    <w:rsid w:val="00562CFA"/>
    <w:rsid w:val="00562D56"/>
    <w:rsid w:val="0056377B"/>
    <w:rsid w:val="00563B54"/>
    <w:rsid w:val="00563E43"/>
    <w:rsid w:val="0056507C"/>
    <w:rsid w:val="005653A3"/>
    <w:rsid w:val="0056557D"/>
    <w:rsid w:val="00565BC3"/>
    <w:rsid w:val="00565ECF"/>
    <w:rsid w:val="0056606F"/>
    <w:rsid w:val="005660E5"/>
    <w:rsid w:val="00566463"/>
    <w:rsid w:val="00566942"/>
    <w:rsid w:val="00566E5C"/>
    <w:rsid w:val="005670E4"/>
    <w:rsid w:val="00567A51"/>
    <w:rsid w:val="0057040D"/>
    <w:rsid w:val="005710A4"/>
    <w:rsid w:val="005711FE"/>
    <w:rsid w:val="00571894"/>
    <w:rsid w:val="00571D0B"/>
    <w:rsid w:val="00572242"/>
    <w:rsid w:val="005726F4"/>
    <w:rsid w:val="00572B38"/>
    <w:rsid w:val="00572D08"/>
    <w:rsid w:val="00573608"/>
    <w:rsid w:val="00573B68"/>
    <w:rsid w:val="00573C1C"/>
    <w:rsid w:val="00573D0E"/>
    <w:rsid w:val="00573D57"/>
    <w:rsid w:val="00573DD2"/>
    <w:rsid w:val="00574023"/>
    <w:rsid w:val="00574160"/>
    <w:rsid w:val="0057479A"/>
    <w:rsid w:val="0057502A"/>
    <w:rsid w:val="005750B1"/>
    <w:rsid w:val="0057524B"/>
    <w:rsid w:val="00575C5C"/>
    <w:rsid w:val="00575FD1"/>
    <w:rsid w:val="00575FDD"/>
    <w:rsid w:val="005763B8"/>
    <w:rsid w:val="00576519"/>
    <w:rsid w:val="00576AA0"/>
    <w:rsid w:val="005772DF"/>
    <w:rsid w:val="00577408"/>
    <w:rsid w:val="0057795C"/>
    <w:rsid w:val="00577BB2"/>
    <w:rsid w:val="00580135"/>
    <w:rsid w:val="005809C5"/>
    <w:rsid w:val="00580A3A"/>
    <w:rsid w:val="005812FC"/>
    <w:rsid w:val="0058135C"/>
    <w:rsid w:val="00581B13"/>
    <w:rsid w:val="005822A7"/>
    <w:rsid w:val="00582716"/>
    <w:rsid w:val="00583735"/>
    <w:rsid w:val="005838BB"/>
    <w:rsid w:val="00584AA9"/>
    <w:rsid w:val="00584F79"/>
    <w:rsid w:val="005851DB"/>
    <w:rsid w:val="00585471"/>
    <w:rsid w:val="005854AB"/>
    <w:rsid w:val="00585767"/>
    <w:rsid w:val="00585839"/>
    <w:rsid w:val="00585B96"/>
    <w:rsid w:val="00585D81"/>
    <w:rsid w:val="0058688C"/>
    <w:rsid w:val="005868BF"/>
    <w:rsid w:val="0058696C"/>
    <w:rsid w:val="00586D24"/>
    <w:rsid w:val="005870B6"/>
    <w:rsid w:val="005870DA"/>
    <w:rsid w:val="005875DB"/>
    <w:rsid w:val="005878A4"/>
    <w:rsid w:val="00587B38"/>
    <w:rsid w:val="00587E63"/>
    <w:rsid w:val="00590298"/>
    <w:rsid w:val="005907A9"/>
    <w:rsid w:val="00590AB4"/>
    <w:rsid w:val="00590ADA"/>
    <w:rsid w:val="005917D1"/>
    <w:rsid w:val="00591E82"/>
    <w:rsid w:val="00591F52"/>
    <w:rsid w:val="00591FD2"/>
    <w:rsid w:val="00592353"/>
    <w:rsid w:val="0059256A"/>
    <w:rsid w:val="005926ED"/>
    <w:rsid w:val="0059298B"/>
    <w:rsid w:val="00592C89"/>
    <w:rsid w:val="00592F01"/>
    <w:rsid w:val="0059356D"/>
    <w:rsid w:val="0059419E"/>
    <w:rsid w:val="005946DE"/>
    <w:rsid w:val="00594846"/>
    <w:rsid w:val="005948B8"/>
    <w:rsid w:val="00594914"/>
    <w:rsid w:val="00594CA7"/>
    <w:rsid w:val="00594E59"/>
    <w:rsid w:val="00594F35"/>
    <w:rsid w:val="00596228"/>
    <w:rsid w:val="00596989"/>
    <w:rsid w:val="00597824"/>
    <w:rsid w:val="00597E9F"/>
    <w:rsid w:val="005A052D"/>
    <w:rsid w:val="005A07B5"/>
    <w:rsid w:val="005A12CE"/>
    <w:rsid w:val="005A140D"/>
    <w:rsid w:val="005A25FC"/>
    <w:rsid w:val="005A2E2C"/>
    <w:rsid w:val="005A34FA"/>
    <w:rsid w:val="005A3B8C"/>
    <w:rsid w:val="005A3C3E"/>
    <w:rsid w:val="005A3E62"/>
    <w:rsid w:val="005A41B7"/>
    <w:rsid w:val="005A4214"/>
    <w:rsid w:val="005A434C"/>
    <w:rsid w:val="005A45EA"/>
    <w:rsid w:val="005A515A"/>
    <w:rsid w:val="005A51E3"/>
    <w:rsid w:val="005A57C2"/>
    <w:rsid w:val="005A5A08"/>
    <w:rsid w:val="005A6335"/>
    <w:rsid w:val="005A67C0"/>
    <w:rsid w:val="005A6BEC"/>
    <w:rsid w:val="005A7FD6"/>
    <w:rsid w:val="005B01E6"/>
    <w:rsid w:val="005B0488"/>
    <w:rsid w:val="005B0865"/>
    <w:rsid w:val="005B08FB"/>
    <w:rsid w:val="005B0B4D"/>
    <w:rsid w:val="005B0FB7"/>
    <w:rsid w:val="005B0FD8"/>
    <w:rsid w:val="005B10BB"/>
    <w:rsid w:val="005B14B1"/>
    <w:rsid w:val="005B1905"/>
    <w:rsid w:val="005B1984"/>
    <w:rsid w:val="005B208F"/>
    <w:rsid w:val="005B231B"/>
    <w:rsid w:val="005B25CF"/>
    <w:rsid w:val="005B2A93"/>
    <w:rsid w:val="005B3131"/>
    <w:rsid w:val="005B35E9"/>
    <w:rsid w:val="005B3695"/>
    <w:rsid w:val="005B375A"/>
    <w:rsid w:val="005B382F"/>
    <w:rsid w:val="005B3CA4"/>
    <w:rsid w:val="005B40B9"/>
    <w:rsid w:val="005B4BD4"/>
    <w:rsid w:val="005B4E7F"/>
    <w:rsid w:val="005B51C7"/>
    <w:rsid w:val="005B557D"/>
    <w:rsid w:val="005B68F4"/>
    <w:rsid w:val="005B699F"/>
    <w:rsid w:val="005B6B6B"/>
    <w:rsid w:val="005B6BC2"/>
    <w:rsid w:val="005B7D93"/>
    <w:rsid w:val="005C0727"/>
    <w:rsid w:val="005C08FC"/>
    <w:rsid w:val="005C0904"/>
    <w:rsid w:val="005C0BB4"/>
    <w:rsid w:val="005C0D44"/>
    <w:rsid w:val="005C1301"/>
    <w:rsid w:val="005C140D"/>
    <w:rsid w:val="005C146F"/>
    <w:rsid w:val="005C1527"/>
    <w:rsid w:val="005C15EB"/>
    <w:rsid w:val="005C168A"/>
    <w:rsid w:val="005C1AD4"/>
    <w:rsid w:val="005C207E"/>
    <w:rsid w:val="005C20F8"/>
    <w:rsid w:val="005C2B6C"/>
    <w:rsid w:val="005C2DC7"/>
    <w:rsid w:val="005C30E1"/>
    <w:rsid w:val="005C38F6"/>
    <w:rsid w:val="005C3ADC"/>
    <w:rsid w:val="005C3ED8"/>
    <w:rsid w:val="005C4107"/>
    <w:rsid w:val="005C45B3"/>
    <w:rsid w:val="005C491E"/>
    <w:rsid w:val="005C4A30"/>
    <w:rsid w:val="005C4B7E"/>
    <w:rsid w:val="005C52EB"/>
    <w:rsid w:val="005C533E"/>
    <w:rsid w:val="005C549A"/>
    <w:rsid w:val="005C5AE6"/>
    <w:rsid w:val="005C5D63"/>
    <w:rsid w:val="005C5E1A"/>
    <w:rsid w:val="005C61E2"/>
    <w:rsid w:val="005C665E"/>
    <w:rsid w:val="005C6835"/>
    <w:rsid w:val="005C6E80"/>
    <w:rsid w:val="005C7501"/>
    <w:rsid w:val="005C77AC"/>
    <w:rsid w:val="005C7CFF"/>
    <w:rsid w:val="005C7DDA"/>
    <w:rsid w:val="005C7EBC"/>
    <w:rsid w:val="005D0186"/>
    <w:rsid w:val="005D0640"/>
    <w:rsid w:val="005D0686"/>
    <w:rsid w:val="005D093D"/>
    <w:rsid w:val="005D0C85"/>
    <w:rsid w:val="005D1241"/>
    <w:rsid w:val="005D196D"/>
    <w:rsid w:val="005D19EF"/>
    <w:rsid w:val="005D1A31"/>
    <w:rsid w:val="005D1B7F"/>
    <w:rsid w:val="005D1D10"/>
    <w:rsid w:val="005D2662"/>
    <w:rsid w:val="005D3748"/>
    <w:rsid w:val="005D3A34"/>
    <w:rsid w:val="005D4CE9"/>
    <w:rsid w:val="005D4E95"/>
    <w:rsid w:val="005D5335"/>
    <w:rsid w:val="005D5629"/>
    <w:rsid w:val="005D5B0F"/>
    <w:rsid w:val="005D5F84"/>
    <w:rsid w:val="005D6101"/>
    <w:rsid w:val="005D6521"/>
    <w:rsid w:val="005D66F0"/>
    <w:rsid w:val="005D6749"/>
    <w:rsid w:val="005D67C3"/>
    <w:rsid w:val="005D6C3A"/>
    <w:rsid w:val="005D6CDA"/>
    <w:rsid w:val="005D71F6"/>
    <w:rsid w:val="005D7DAD"/>
    <w:rsid w:val="005D7DAF"/>
    <w:rsid w:val="005E01C4"/>
    <w:rsid w:val="005E04D4"/>
    <w:rsid w:val="005E0750"/>
    <w:rsid w:val="005E09A5"/>
    <w:rsid w:val="005E0D5A"/>
    <w:rsid w:val="005E14EA"/>
    <w:rsid w:val="005E1A6A"/>
    <w:rsid w:val="005E1F20"/>
    <w:rsid w:val="005E2146"/>
    <w:rsid w:val="005E230A"/>
    <w:rsid w:val="005E350E"/>
    <w:rsid w:val="005E354D"/>
    <w:rsid w:val="005E39D2"/>
    <w:rsid w:val="005E3DD2"/>
    <w:rsid w:val="005E4169"/>
    <w:rsid w:val="005E43F0"/>
    <w:rsid w:val="005E495B"/>
    <w:rsid w:val="005E4A07"/>
    <w:rsid w:val="005E4EBD"/>
    <w:rsid w:val="005E5166"/>
    <w:rsid w:val="005E5A1A"/>
    <w:rsid w:val="005E5A6E"/>
    <w:rsid w:val="005E618C"/>
    <w:rsid w:val="005E6711"/>
    <w:rsid w:val="005E6EF1"/>
    <w:rsid w:val="005E780E"/>
    <w:rsid w:val="005E79D7"/>
    <w:rsid w:val="005E7B60"/>
    <w:rsid w:val="005E7E6E"/>
    <w:rsid w:val="005F071C"/>
    <w:rsid w:val="005F077F"/>
    <w:rsid w:val="005F084F"/>
    <w:rsid w:val="005F0851"/>
    <w:rsid w:val="005F0B68"/>
    <w:rsid w:val="005F17B5"/>
    <w:rsid w:val="005F1D17"/>
    <w:rsid w:val="005F1EA1"/>
    <w:rsid w:val="005F1F44"/>
    <w:rsid w:val="005F2095"/>
    <w:rsid w:val="005F2A59"/>
    <w:rsid w:val="005F2C3C"/>
    <w:rsid w:val="005F2D0E"/>
    <w:rsid w:val="005F2F13"/>
    <w:rsid w:val="005F4779"/>
    <w:rsid w:val="005F48ED"/>
    <w:rsid w:val="005F4A1E"/>
    <w:rsid w:val="005F5148"/>
    <w:rsid w:val="005F51CB"/>
    <w:rsid w:val="005F5318"/>
    <w:rsid w:val="005F55D9"/>
    <w:rsid w:val="005F5951"/>
    <w:rsid w:val="005F5C04"/>
    <w:rsid w:val="005F5D25"/>
    <w:rsid w:val="005F5DED"/>
    <w:rsid w:val="005F5F7F"/>
    <w:rsid w:val="005F610A"/>
    <w:rsid w:val="005F6676"/>
    <w:rsid w:val="005F6CB4"/>
    <w:rsid w:val="005F7214"/>
    <w:rsid w:val="005F74B4"/>
    <w:rsid w:val="005F74E5"/>
    <w:rsid w:val="005F7B00"/>
    <w:rsid w:val="005F7E19"/>
    <w:rsid w:val="00600144"/>
    <w:rsid w:val="006003A2"/>
    <w:rsid w:val="00600502"/>
    <w:rsid w:val="00600B58"/>
    <w:rsid w:val="00600C1B"/>
    <w:rsid w:val="00601987"/>
    <w:rsid w:val="00601BCC"/>
    <w:rsid w:val="00601F14"/>
    <w:rsid w:val="006028B3"/>
    <w:rsid w:val="00602AD7"/>
    <w:rsid w:val="00602C17"/>
    <w:rsid w:val="00602C73"/>
    <w:rsid w:val="00602CDB"/>
    <w:rsid w:val="00602ECA"/>
    <w:rsid w:val="00603389"/>
    <w:rsid w:val="0060381C"/>
    <w:rsid w:val="00604C17"/>
    <w:rsid w:val="006057CA"/>
    <w:rsid w:val="00606663"/>
    <w:rsid w:val="00606914"/>
    <w:rsid w:val="00606C1F"/>
    <w:rsid w:val="0060739A"/>
    <w:rsid w:val="00607B28"/>
    <w:rsid w:val="00607BEA"/>
    <w:rsid w:val="0061005A"/>
    <w:rsid w:val="006100DA"/>
    <w:rsid w:val="0061026C"/>
    <w:rsid w:val="00610888"/>
    <w:rsid w:val="00610A8D"/>
    <w:rsid w:val="00611634"/>
    <w:rsid w:val="006116ED"/>
    <w:rsid w:val="006119B5"/>
    <w:rsid w:val="0061338A"/>
    <w:rsid w:val="0061363A"/>
    <w:rsid w:val="00613F8B"/>
    <w:rsid w:val="0061409F"/>
    <w:rsid w:val="006140A2"/>
    <w:rsid w:val="00614461"/>
    <w:rsid w:val="00614CAC"/>
    <w:rsid w:val="00614F46"/>
    <w:rsid w:val="00614F5A"/>
    <w:rsid w:val="006163DA"/>
    <w:rsid w:val="006166EA"/>
    <w:rsid w:val="00616A5F"/>
    <w:rsid w:val="00616A8B"/>
    <w:rsid w:val="00616FF3"/>
    <w:rsid w:val="0061735A"/>
    <w:rsid w:val="006175D7"/>
    <w:rsid w:val="00617688"/>
    <w:rsid w:val="006176F4"/>
    <w:rsid w:val="00617E87"/>
    <w:rsid w:val="006207D8"/>
    <w:rsid w:val="00620CD4"/>
    <w:rsid w:val="0062127E"/>
    <w:rsid w:val="006215A0"/>
    <w:rsid w:val="006217E4"/>
    <w:rsid w:val="00621B8B"/>
    <w:rsid w:val="0062236A"/>
    <w:rsid w:val="00622B3B"/>
    <w:rsid w:val="0062332B"/>
    <w:rsid w:val="0062474E"/>
    <w:rsid w:val="00624D8B"/>
    <w:rsid w:val="00624E28"/>
    <w:rsid w:val="006251CA"/>
    <w:rsid w:val="00625281"/>
    <w:rsid w:val="00625AFD"/>
    <w:rsid w:val="0062610C"/>
    <w:rsid w:val="00626366"/>
    <w:rsid w:val="00626646"/>
    <w:rsid w:val="00626927"/>
    <w:rsid w:val="00626937"/>
    <w:rsid w:val="00626989"/>
    <w:rsid w:val="00626A70"/>
    <w:rsid w:val="00626D34"/>
    <w:rsid w:val="00626D37"/>
    <w:rsid w:val="00626D56"/>
    <w:rsid w:val="006272E3"/>
    <w:rsid w:val="006277DA"/>
    <w:rsid w:val="00627B32"/>
    <w:rsid w:val="00630058"/>
    <w:rsid w:val="00630162"/>
    <w:rsid w:val="0063062E"/>
    <w:rsid w:val="0063067F"/>
    <w:rsid w:val="00630A92"/>
    <w:rsid w:val="00630F14"/>
    <w:rsid w:val="006311CB"/>
    <w:rsid w:val="00631271"/>
    <w:rsid w:val="00631AC3"/>
    <w:rsid w:val="00631CC3"/>
    <w:rsid w:val="00632102"/>
    <w:rsid w:val="0063232C"/>
    <w:rsid w:val="006325A2"/>
    <w:rsid w:val="00632D7D"/>
    <w:rsid w:val="00633AFB"/>
    <w:rsid w:val="00633E75"/>
    <w:rsid w:val="00635305"/>
    <w:rsid w:val="00635EEF"/>
    <w:rsid w:val="006364E6"/>
    <w:rsid w:val="006366C8"/>
    <w:rsid w:val="00636CD0"/>
    <w:rsid w:val="006375E3"/>
    <w:rsid w:val="006379A5"/>
    <w:rsid w:val="00637EBE"/>
    <w:rsid w:val="0064030D"/>
    <w:rsid w:val="006405A7"/>
    <w:rsid w:val="006408BD"/>
    <w:rsid w:val="006409BB"/>
    <w:rsid w:val="00640AC0"/>
    <w:rsid w:val="00640B94"/>
    <w:rsid w:val="00641447"/>
    <w:rsid w:val="0064154E"/>
    <w:rsid w:val="006416CF"/>
    <w:rsid w:val="00641B28"/>
    <w:rsid w:val="006431FC"/>
    <w:rsid w:val="00643BE3"/>
    <w:rsid w:val="006443EE"/>
    <w:rsid w:val="006447B1"/>
    <w:rsid w:val="0064496F"/>
    <w:rsid w:val="00644C0A"/>
    <w:rsid w:val="00644ED9"/>
    <w:rsid w:val="006451C0"/>
    <w:rsid w:val="00645310"/>
    <w:rsid w:val="0064537B"/>
    <w:rsid w:val="0064615D"/>
    <w:rsid w:val="00646432"/>
    <w:rsid w:val="006466FC"/>
    <w:rsid w:val="00647A65"/>
    <w:rsid w:val="006502EC"/>
    <w:rsid w:val="00650CC6"/>
    <w:rsid w:val="00650CF0"/>
    <w:rsid w:val="006519F8"/>
    <w:rsid w:val="00651A53"/>
    <w:rsid w:val="00651F23"/>
    <w:rsid w:val="0065229C"/>
    <w:rsid w:val="00652422"/>
    <w:rsid w:val="00652800"/>
    <w:rsid w:val="00652DA3"/>
    <w:rsid w:val="00652E26"/>
    <w:rsid w:val="00653B8A"/>
    <w:rsid w:val="00653CB2"/>
    <w:rsid w:val="00653DEC"/>
    <w:rsid w:val="006543A3"/>
    <w:rsid w:val="00654894"/>
    <w:rsid w:val="00654BAC"/>
    <w:rsid w:val="00654F98"/>
    <w:rsid w:val="00655285"/>
    <w:rsid w:val="00655E1D"/>
    <w:rsid w:val="00655E76"/>
    <w:rsid w:val="006561A5"/>
    <w:rsid w:val="00656498"/>
    <w:rsid w:val="00656A10"/>
    <w:rsid w:val="00656AC3"/>
    <w:rsid w:val="00656FB3"/>
    <w:rsid w:val="006579FF"/>
    <w:rsid w:val="00657CFC"/>
    <w:rsid w:val="006606B6"/>
    <w:rsid w:val="006608FC"/>
    <w:rsid w:val="00661676"/>
    <w:rsid w:val="00661713"/>
    <w:rsid w:val="006618DC"/>
    <w:rsid w:val="006619D3"/>
    <w:rsid w:val="00661C60"/>
    <w:rsid w:val="00662128"/>
    <w:rsid w:val="00662523"/>
    <w:rsid w:val="0066271E"/>
    <w:rsid w:val="00662832"/>
    <w:rsid w:val="00662F36"/>
    <w:rsid w:val="00662F80"/>
    <w:rsid w:val="00663969"/>
    <w:rsid w:val="00663B4C"/>
    <w:rsid w:val="00663DB2"/>
    <w:rsid w:val="00664AB0"/>
    <w:rsid w:val="00664B2E"/>
    <w:rsid w:val="006651C6"/>
    <w:rsid w:val="00665A74"/>
    <w:rsid w:val="00665F12"/>
    <w:rsid w:val="006668EE"/>
    <w:rsid w:val="00666A26"/>
    <w:rsid w:val="006670C3"/>
    <w:rsid w:val="00667506"/>
    <w:rsid w:val="006679FC"/>
    <w:rsid w:val="00670547"/>
    <w:rsid w:val="006711B5"/>
    <w:rsid w:val="00671492"/>
    <w:rsid w:val="0067159C"/>
    <w:rsid w:val="006715C7"/>
    <w:rsid w:val="00671A59"/>
    <w:rsid w:val="00672541"/>
    <w:rsid w:val="006729DC"/>
    <w:rsid w:val="00672D48"/>
    <w:rsid w:val="006732F2"/>
    <w:rsid w:val="006735EA"/>
    <w:rsid w:val="006737D0"/>
    <w:rsid w:val="00673B20"/>
    <w:rsid w:val="00673F36"/>
    <w:rsid w:val="0067448E"/>
    <w:rsid w:val="00674BA4"/>
    <w:rsid w:val="00674BD9"/>
    <w:rsid w:val="00674EA4"/>
    <w:rsid w:val="006755C5"/>
    <w:rsid w:val="00675F43"/>
    <w:rsid w:val="00676879"/>
    <w:rsid w:val="00676DF1"/>
    <w:rsid w:val="006770F0"/>
    <w:rsid w:val="00677537"/>
    <w:rsid w:val="00677965"/>
    <w:rsid w:val="00677DC0"/>
    <w:rsid w:val="006801C8"/>
    <w:rsid w:val="006802DC"/>
    <w:rsid w:val="00680530"/>
    <w:rsid w:val="00680773"/>
    <w:rsid w:val="00680D03"/>
    <w:rsid w:val="0068111C"/>
    <w:rsid w:val="00681179"/>
    <w:rsid w:val="006812E8"/>
    <w:rsid w:val="0068145E"/>
    <w:rsid w:val="006814FC"/>
    <w:rsid w:val="00681B89"/>
    <w:rsid w:val="00682886"/>
    <w:rsid w:val="006828B2"/>
    <w:rsid w:val="00683392"/>
    <w:rsid w:val="0068372D"/>
    <w:rsid w:val="0068394A"/>
    <w:rsid w:val="00683A2F"/>
    <w:rsid w:val="00683C10"/>
    <w:rsid w:val="006842C0"/>
    <w:rsid w:val="006842D6"/>
    <w:rsid w:val="006843B2"/>
    <w:rsid w:val="006856DA"/>
    <w:rsid w:val="006859EC"/>
    <w:rsid w:val="00685C13"/>
    <w:rsid w:val="006865F2"/>
    <w:rsid w:val="00686F6C"/>
    <w:rsid w:val="006870A8"/>
    <w:rsid w:val="00687A60"/>
    <w:rsid w:val="00687B85"/>
    <w:rsid w:val="00687EB2"/>
    <w:rsid w:val="006902EE"/>
    <w:rsid w:val="0069177E"/>
    <w:rsid w:val="006927DF"/>
    <w:rsid w:val="006929C7"/>
    <w:rsid w:val="00692D16"/>
    <w:rsid w:val="0069389B"/>
    <w:rsid w:val="00693BC2"/>
    <w:rsid w:val="006940D2"/>
    <w:rsid w:val="006940F5"/>
    <w:rsid w:val="00694969"/>
    <w:rsid w:val="00694B70"/>
    <w:rsid w:val="00694D2B"/>
    <w:rsid w:val="006952F6"/>
    <w:rsid w:val="0069532E"/>
    <w:rsid w:val="006953BC"/>
    <w:rsid w:val="00695409"/>
    <w:rsid w:val="006955DC"/>
    <w:rsid w:val="0069568F"/>
    <w:rsid w:val="00695A5C"/>
    <w:rsid w:val="00695D4A"/>
    <w:rsid w:val="00695DA2"/>
    <w:rsid w:val="00695E25"/>
    <w:rsid w:val="00696088"/>
    <w:rsid w:val="006964A9"/>
    <w:rsid w:val="00696706"/>
    <w:rsid w:val="006968A2"/>
    <w:rsid w:val="0069692F"/>
    <w:rsid w:val="00696A2E"/>
    <w:rsid w:val="0069779F"/>
    <w:rsid w:val="00697FF2"/>
    <w:rsid w:val="006A059D"/>
    <w:rsid w:val="006A0635"/>
    <w:rsid w:val="006A0732"/>
    <w:rsid w:val="006A0D12"/>
    <w:rsid w:val="006A12EC"/>
    <w:rsid w:val="006A1C1F"/>
    <w:rsid w:val="006A1DB6"/>
    <w:rsid w:val="006A1EAF"/>
    <w:rsid w:val="006A337C"/>
    <w:rsid w:val="006A3C76"/>
    <w:rsid w:val="006A3EC7"/>
    <w:rsid w:val="006A424F"/>
    <w:rsid w:val="006A443B"/>
    <w:rsid w:val="006A4D25"/>
    <w:rsid w:val="006A4DA4"/>
    <w:rsid w:val="006A5079"/>
    <w:rsid w:val="006A5F43"/>
    <w:rsid w:val="006A6061"/>
    <w:rsid w:val="006A60F7"/>
    <w:rsid w:val="006A636B"/>
    <w:rsid w:val="006A6B52"/>
    <w:rsid w:val="006A6BFB"/>
    <w:rsid w:val="006A6D3F"/>
    <w:rsid w:val="006A6DBA"/>
    <w:rsid w:val="006A71D0"/>
    <w:rsid w:val="006A7358"/>
    <w:rsid w:val="006A7517"/>
    <w:rsid w:val="006A7ACC"/>
    <w:rsid w:val="006A7B78"/>
    <w:rsid w:val="006A7BB3"/>
    <w:rsid w:val="006A7FB1"/>
    <w:rsid w:val="006B0144"/>
    <w:rsid w:val="006B068F"/>
    <w:rsid w:val="006B07B6"/>
    <w:rsid w:val="006B0BBD"/>
    <w:rsid w:val="006B1B4A"/>
    <w:rsid w:val="006B1B7C"/>
    <w:rsid w:val="006B22AF"/>
    <w:rsid w:val="006B2C9B"/>
    <w:rsid w:val="006B2EED"/>
    <w:rsid w:val="006B4755"/>
    <w:rsid w:val="006B4912"/>
    <w:rsid w:val="006B4B2F"/>
    <w:rsid w:val="006B5844"/>
    <w:rsid w:val="006B5849"/>
    <w:rsid w:val="006B58AD"/>
    <w:rsid w:val="006B5B7A"/>
    <w:rsid w:val="006B5BB2"/>
    <w:rsid w:val="006B5E86"/>
    <w:rsid w:val="006B636E"/>
    <w:rsid w:val="006B6ABB"/>
    <w:rsid w:val="006B70AB"/>
    <w:rsid w:val="006B759D"/>
    <w:rsid w:val="006B78A9"/>
    <w:rsid w:val="006B7B90"/>
    <w:rsid w:val="006C046A"/>
    <w:rsid w:val="006C050F"/>
    <w:rsid w:val="006C08D3"/>
    <w:rsid w:val="006C1B7A"/>
    <w:rsid w:val="006C2735"/>
    <w:rsid w:val="006C286E"/>
    <w:rsid w:val="006C2D41"/>
    <w:rsid w:val="006C3016"/>
    <w:rsid w:val="006C3239"/>
    <w:rsid w:val="006C387F"/>
    <w:rsid w:val="006C3A85"/>
    <w:rsid w:val="006C3BCF"/>
    <w:rsid w:val="006C3BE6"/>
    <w:rsid w:val="006C3F48"/>
    <w:rsid w:val="006C43E2"/>
    <w:rsid w:val="006C49B8"/>
    <w:rsid w:val="006C4B35"/>
    <w:rsid w:val="006C4C32"/>
    <w:rsid w:val="006C4EB4"/>
    <w:rsid w:val="006C542D"/>
    <w:rsid w:val="006C5628"/>
    <w:rsid w:val="006C5A6A"/>
    <w:rsid w:val="006C5F7E"/>
    <w:rsid w:val="006C63F6"/>
    <w:rsid w:val="006C6912"/>
    <w:rsid w:val="006C6BFE"/>
    <w:rsid w:val="006C6E25"/>
    <w:rsid w:val="006C6EF7"/>
    <w:rsid w:val="006C6F75"/>
    <w:rsid w:val="006C70D3"/>
    <w:rsid w:val="006C7AFC"/>
    <w:rsid w:val="006C7E2B"/>
    <w:rsid w:val="006C7E7A"/>
    <w:rsid w:val="006C7E81"/>
    <w:rsid w:val="006D0D61"/>
    <w:rsid w:val="006D0E21"/>
    <w:rsid w:val="006D2165"/>
    <w:rsid w:val="006D2612"/>
    <w:rsid w:val="006D2804"/>
    <w:rsid w:val="006D2885"/>
    <w:rsid w:val="006D2F29"/>
    <w:rsid w:val="006D31A6"/>
    <w:rsid w:val="006D3491"/>
    <w:rsid w:val="006D3DAB"/>
    <w:rsid w:val="006D405F"/>
    <w:rsid w:val="006D4D4C"/>
    <w:rsid w:val="006D4F07"/>
    <w:rsid w:val="006D5AA4"/>
    <w:rsid w:val="006D5C4B"/>
    <w:rsid w:val="006D6E9B"/>
    <w:rsid w:val="006D7056"/>
    <w:rsid w:val="006D70E2"/>
    <w:rsid w:val="006D7E26"/>
    <w:rsid w:val="006E0181"/>
    <w:rsid w:val="006E0482"/>
    <w:rsid w:val="006E07CF"/>
    <w:rsid w:val="006E14A9"/>
    <w:rsid w:val="006E1B90"/>
    <w:rsid w:val="006E1E4F"/>
    <w:rsid w:val="006E25CB"/>
    <w:rsid w:val="006E2EF0"/>
    <w:rsid w:val="006E33E9"/>
    <w:rsid w:val="006E3711"/>
    <w:rsid w:val="006E39E4"/>
    <w:rsid w:val="006E3A42"/>
    <w:rsid w:val="006E3A84"/>
    <w:rsid w:val="006E3F37"/>
    <w:rsid w:val="006E43C5"/>
    <w:rsid w:val="006E44E7"/>
    <w:rsid w:val="006E480A"/>
    <w:rsid w:val="006E4F89"/>
    <w:rsid w:val="006E51C7"/>
    <w:rsid w:val="006E53CE"/>
    <w:rsid w:val="006E598E"/>
    <w:rsid w:val="006E5FA2"/>
    <w:rsid w:val="006E6055"/>
    <w:rsid w:val="006E6768"/>
    <w:rsid w:val="006E699F"/>
    <w:rsid w:val="006E6B40"/>
    <w:rsid w:val="006E6E89"/>
    <w:rsid w:val="006E6F3E"/>
    <w:rsid w:val="006E759C"/>
    <w:rsid w:val="006E770B"/>
    <w:rsid w:val="006E7CB6"/>
    <w:rsid w:val="006F00B7"/>
    <w:rsid w:val="006F01AE"/>
    <w:rsid w:val="006F084D"/>
    <w:rsid w:val="006F0B7A"/>
    <w:rsid w:val="006F0F6D"/>
    <w:rsid w:val="006F15AC"/>
    <w:rsid w:val="006F174D"/>
    <w:rsid w:val="006F19C6"/>
    <w:rsid w:val="006F1BED"/>
    <w:rsid w:val="006F201A"/>
    <w:rsid w:val="006F242A"/>
    <w:rsid w:val="006F27D0"/>
    <w:rsid w:val="006F298A"/>
    <w:rsid w:val="006F2F63"/>
    <w:rsid w:val="006F3F34"/>
    <w:rsid w:val="006F4485"/>
    <w:rsid w:val="006F47A9"/>
    <w:rsid w:val="006F47DF"/>
    <w:rsid w:val="006F537D"/>
    <w:rsid w:val="006F59B4"/>
    <w:rsid w:val="006F5B04"/>
    <w:rsid w:val="006F63DA"/>
    <w:rsid w:val="006F6498"/>
    <w:rsid w:val="006F6643"/>
    <w:rsid w:val="006F69E4"/>
    <w:rsid w:val="006F6AB8"/>
    <w:rsid w:val="006F6C9A"/>
    <w:rsid w:val="006F6E3B"/>
    <w:rsid w:val="006F6F3C"/>
    <w:rsid w:val="006F7018"/>
    <w:rsid w:val="006F7059"/>
    <w:rsid w:val="006F72A8"/>
    <w:rsid w:val="006F7384"/>
    <w:rsid w:val="006F73C8"/>
    <w:rsid w:val="006F7981"/>
    <w:rsid w:val="006F7BFF"/>
    <w:rsid w:val="00700112"/>
    <w:rsid w:val="00700140"/>
    <w:rsid w:val="0070019F"/>
    <w:rsid w:val="0070046B"/>
    <w:rsid w:val="007006DA"/>
    <w:rsid w:val="007007F3"/>
    <w:rsid w:val="0070098A"/>
    <w:rsid w:val="00700D2F"/>
    <w:rsid w:val="00700ED3"/>
    <w:rsid w:val="00701055"/>
    <w:rsid w:val="0070105F"/>
    <w:rsid w:val="0070126D"/>
    <w:rsid w:val="0070165A"/>
    <w:rsid w:val="0070186F"/>
    <w:rsid w:val="007018B1"/>
    <w:rsid w:val="007018EA"/>
    <w:rsid w:val="00702104"/>
    <w:rsid w:val="00702338"/>
    <w:rsid w:val="007027B1"/>
    <w:rsid w:val="00702B12"/>
    <w:rsid w:val="00702E40"/>
    <w:rsid w:val="007030E0"/>
    <w:rsid w:val="007033CE"/>
    <w:rsid w:val="00703663"/>
    <w:rsid w:val="00703873"/>
    <w:rsid w:val="007039AB"/>
    <w:rsid w:val="007043A5"/>
    <w:rsid w:val="00704D36"/>
    <w:rsid w:val="00704F62"/>
    <w:rsid w:val="00705107"/>
    <w:rsid w:val="0070594B"/>
    <w:rsid w:val="00705D41"/>
    <w:rsid w:val="00706218"/>
    <w:rsid w:val="00706638"/>
    <w:rsid w:val="00706640"/>
    <w:rsid w:val="007066C7"/>
    <w:rsid w:val="00706A40"/>
    <w:rsid w:val="00706AF3"/>
    <w:rsid w:val="00706FB3"/>
    <w:rsid w:val="00707443"/>
    <w:rsid w:val="00710026"/>
    <w:rsid w:val="00710078"/>
    <w:rsid w:val="00710A84"/>
    <w:rsid w:val="00710A8A"/>
    <w:rsid w:val="007113C6"/>
    <w:rsid w:val="007114F2"/>
    <w:rsid w:val="00711775"/>
    <w:rsid w:val="00711EED"/>
    <w:rsid w:val="00712058"/>
    <w:rsid w:val="0071237D"/>
    <w:rsid w:val="0071249C"/>
    <w:rsid w:val="00712919"/>
    <w:rsid w:val="00712C00"/>
    <w:rsid w:val="00712D69"/>
    <w:rsid w:val="007131CD"/>
    <w:rsid w:val="00713B3F"/>
    <w:rsid w:val="007152BC"/>
    <w:rsid w:val="00715694"/>
    <w:rsid w:val="00715695"/>
    <w:rsid w:val="007161C6"/>
    <w:rsid w:val="0071657E"/>
    <w:rsid w:val="00716AEF"/>
    <w:rsid w:val="00716C4E"/>
    <w:rsid w:val="00716CFF"/>
    <w:rsid w:val="007172B0"/>
    <w:rsid w:val="007176D5"/>
    <w:rsid w:val="007176F2"/>
    <w:rsid w:val="007177DA"/>
    <w:rsid w:val="00717859"/>
    <w:rsid w:val="00717DE5"/>
    <w:rsid w:val="00717EFD"/>
    <w:rsid w:val="00720116"/>
    <w:rsid w:val="0072014A"/>
    <w:rsid w:val="0072026D"/>
    <w:rsid w:val="007205A6"/>
    <w:rsid w:val="007218C9"/>
    <w:rsid w:val="00722902"/>
    <w:rsid w:val="007229EA"/>
    <w:rsid w:val="00722B44"/>
    <w:rsid w:val="00722E81"/>
    <w:rsid w:val="00723156"/>
    <w:rsid w:val="00723682"/>
    <w:rsid w:val="007236FB"/>
    <w:rsid w:val="007238A1"/>
    <w:rsid w:val="00723A34"/>
    <w:rsid w:val="00723BF7"/>
    <w:rsid w:val="00723FA0"/>
    <w:rsid w:val="00724895"/>
    <w:rsid w:val="00724949"/>
    <w:rsid w:val="00724ACE"/>
    <w:rsid w:val="007258EF"/>
    <w:rsid w:val="00725A51"/>
    <w:rsid w:val="00725B94"/>
    <w:rsid w:val="00725E55"/>
    <w:rsid w:val="00726229"/>
    <w:rsid w:val="007269B2"/>
    <w:rsid w:val="00726FAA"/>
    <w:rsid w:val="00727564"/>
    <w:rsid w:val="00727A16"/>
    <w:rsid w:val="00727D55"/>
    <w:rsid w:val="00731FFE"/>
    <w:rsid w:val="00732055"/>
    <w:rsid w:val="007323D0"/>
    <w:rsid w:val="007325C2"/>
    <w:rsid w:val="00733B91"/>
    <w:rsid w:val="00733C29"/>
    <w:rsid w:val="007340EC"/>
    <w:rsid w:val="0073429F"/>
    <w:rsid w:val="007342E3"/>
    <w:rsid w:val="00734874"/>
    <w:rsid w:val="00734B99"/>
    <w:rsid w:val="00734D64"/>
    <w:rsid w:val="00734F40"/>
    <w:rsid w:val="007350AC"/>
    <w:rsid w:val="0073518C"/>
    <w:rsid w:val="00735A76"/>
    <w:rsid w:val="00735CAC"/>
    <w:rsid w:val="00735E87"/>
    <w:rsid w:val="00736296"/>
    <w:rsid w:val="00736791"/>
    <w:rsid w:val="007369DD"/>
    <w:rsid w:val="00736FF1"/>
    <w:rsid w:val="00737172"/>
    <w:rsid w:val="00737314"/>
    <w:rsid w:val="00737467"/>
    <w:rsid w:val="007374F3"/>
    <w:rsid w:val="00737A89"/>
    <w:rsid w:val="00737B7B"/>
    <w:rsid w:val="00737D54"/>
    <w:rsid w:val="007400D7"/>
    <w:rsid w:val="007403FD"/>
    <w:rsid w:val="00740FD4"/>
    <w:rsid w:val="007411D6"/>
    <w:rsid w:val="00741736"/>
    <w:rsid w:val="0074261C"/>
    <w:rsid w:val="00742D86"/>
    <w:rsid w:val="00743374"/>
    <w:rsid w:val="00743916"/>
    <w:rsid w:val="007439A1"/>
    <w:rsid w:val="00743CB2"/>
    <w:rsid w:val="00744BBB"/>
    <w:rsid w:val="00744F3E"/>
    <w:rsid w:val="00744FCF"/>
    <w:rsid w:val="00745079"/>
    <w:rsid w:val="00745267"/>
    <w:rsid w:val="007452E6"/>
    <w:rsid w:val="007459E9"/>
    <w:rsid w:val="00745C22"/>
    <w:rsid w:val="00745CB0"/>
    <w:rsid w:val="00746092"/>
    <w:rsid w:val="0074656E"/>
    <w:rsid w:val="0074680E"/>
    <w:rsid w:val="00746BD7"/>
    <w:rsid w:val="00746EC3"/>
    <w:rsid w:val="0074702E"/>
    <w:rsid w:val="007477E8"/>
    <w:rsid w:val="007502B1"/>
    <w:rsid w:val="00750357"/>
    <w:rsid w:val="0075046D"/>
    <w:rsid w:val="007509F8"/>
    <w:rsid w:val="00750AF7"/>
    <w:rsid w:val="0075171B"/>
    <w:rsid w:val="00752457"/>
    <w:rsid w:val="00752836"/>
    <w:rsid w:val="007528F0"/>
    <w:rsid w:val="00752922"/>
    <w:rsid w:val="0075298F"/>
    <w:rsid w:val="00752B47"/>
    <w:rsid w:val="007540BD"/>
    <w:rsid w:val="00754C96"/>
    <w:rsid w:val="00754E73"/>
    <w:rsid w:val="00754E8F"/>
    <w:rsid w:val="0075500D"/>
    <w:rsid w:val="007556E1"/>
    <w:rsid w:val="0075598F"/>
    <w:rsid w:val="00755B7A"/>
    <w:rsid w:val="00756193"/>
    <w:rsid w:val="007561F6"/>
    <w:rsid w:val="0075624F"/>
    <w:rsid w:val="00756686"/>
    <w:rsid w:val="0075692D"/>
    <w:rsid w:val="00756A30"/>
    <w:rsid w:val="00756C20"/>
    <w:rsid w:val="00756D08"/>
    <w:rsid w:val="00756D3F"/>
    <w:rsid w:val="00757031"/>
    <w:rsid w:val="007575B5"/>
    <w:rsid w:val="00757AF0"/>
    <w:rsid w:val="00757C78"/>
    <w:rsid w:val="00757DB5"/>
    <w:rsid w:val="00757E31"/>
    <w:rsid w:val="007604DA"/>
    <w:rsid w:val="007605DF"/>
    <w:rsid w:val="007614CA"/>
    <w:rsid w:val="007618B0"/>
    <w:rsid w:val="007618E0"/>
    <w:rsid w:val="00761AC7"/>
    <w:rsid w:val="00761D70"/>
    <w:rsid w:val="00761DBE"/>
    <w:rsid w:val="00762370"/>
    <w:rsid w:val="00762C52"/>
    <w:rsid w:val="00762C62"/>
    <w:rsid w:val="00762E14"/>
    <w:rsid w:val="00762E9E"/>
    <w:rsid w:val="00762FE5"/>
    <w:rsid w:val="007639C7"/>
    <w:rsid w:val="00763A57"/>
    <w:rsid w:val="00763C8A"/>
    <w:rsid w:val="00763D22"/>
    <w:rsid w:val="00763F90"/>
    <w:rsid w:val="00764436"/>
    <w:rsid w:val="00764621"/>
    <w:rsid w:val="00764FB0"/>
    <w:rsid w:val="00765510"/>
    <w:rsid w:val="00765901"/>
    <w:rsid w:val="00765E7D"/>
    <w:rsid w:val="00767255"/>
    <w:rsid w:val="00767383"/>
    <w:rsid w:val="0076762D"/>
    <w:rsid w:val="00767900"/>
    <w:rsid w:val="00767D74"/>
    <w:rsid w:val="00767FA7"/>
    <w:rsid w:val="00770F8C"/>
    <w:rsid w:val="007712D0"/>
    <w:rsid w:val="007714EF"/>
    <w:rsid w:val="0077153C"/>
    <w:rsid w:val="0077169A"/>
    <w:rsid w:val="007716A6"/>
    <w:rsid w:val="00771B41"/>
    <w:rsid w:val="00771DAB"/>
    <w:rsid w:val="00771E52"/>
    <w:rsid w:val="00771F80"/>
    <w:rsid w:val="007720E2"/>
    <w:rsid w:val="007727E6"/>
    <w:rsid w:val="007728D2"/>
    <w:rsid w:val="0077299B"/>
    <w:rsid w:val="00772D12"/>
    <w:rsid w:val="007730D9"/>
    <w:rsid w:val="0077330F"/>
    <w:rsid w:val="0077339C"/>
    <w:rsid w:val="00773729"/>
    <w:rsid w:val="0077392A"/>
    <w:rsid w:val="007741E2"/>
    <w:rsid w:val="00774212"/>
    <w:rsid w:val="007748E8"/>
    <w:rsid w:val="00774AB4"/>
    <w:rsid w:val="007752CA"/>
    <w:rsid w:val="00775A32"/>
    <w:rsid w:val="00775C7A"/>
    <w:rsid w:val="00776181"/>
    <w:rsid w:val="0077661A"/>
    <w:rsid w:val="0077696D"/>
    <w:rsid w:val="00776991"/>
    <w:rsid w:val="00776B72"/>
    <w:rsid w:val="00776C92"/>
    <w:rsid w:val="007778F9"/>
    <w:rsid w:val="00777B92"/>
    <w:rsid w:val="00777BE0"/>
    <w:rsid w:val="00780818"/>
    <w:rsid w:val="00780EB0"/>
    <w:rsid w:val="00781014"/>
    <w:rsid w:val="007819EB"/>
    <w:rsid w:val="00781BB6"/>
    <w:rsid w:val="00781D04"/>
    <w:rsid w:val="00782136"/>
    <w:rsid w:val="00782BFF"/>
    <w:rsid w:val="00783023"/>
    <w:rsid w:val="007836C7"/>
    <w:rsid w:val="00783AC7"/>
    <w:rsid w:val="00783F57"/>
    <w:rsid w:val="0078401C"/>
    <w:rsid w:val="00784110"/>
    <w:rsid w:val="00784736"/>
    <w:rsid w:val="00784A8C"/>
    <w:rsid w:val="00784C28"/>
    <w:rsid w:val="00784FC7"/>
    <w:rsid w:val="00785BD5"/>
    <w:rsid w:val="00785DE3"/>
    <w:rsid w:val="00786060"/>
    <w:rsid w:val="0078611B"/>
    <w:rsid w:val="0078629A"/>
    <w:rsid w:val="007865BF"/>
    <w:rsid w:val="007866D3"/>
    <w:rsid w:val="00786986"/>
    <w:rsid w:val="007869CC"/>
    <w:rsid w:val="00786C0C"/>
    <w:rsid w:val="0078781B"/>
    <w:rsid w:val="00787C04"/>
    <w:rsid w:val="007901C3"/>
    <w:rsid w:val="0079069A"/>
    <w:rsid w:val="00790A04"/>
    <w:rsid w:val="00790A4E"/>
    <w:rsid w:val="00790DAF"/>
    <w:rsid w:val="007912A2"/>
    <w:rsid w:val="00791822"/>
    <w:rsid w:val="00791A05"/>
    <w:rsid w:val="00791D74"/>
    <w:rsid w:val="00791F6D"/>
    <w:rsid w:val="007920A4"/>
    <w:rsid w:val="007922DA"/>
    <w:rsid w:val="007924CE"/>
    <w:rsid w:val="0079295D"/>
    <w:rsid w:val="007934BD"/>
    <w:rsid w:val="00793C65"/>
    <w:rsid w:val="00793F90"/>
    <w:rsid w:val="00794C9E"/>
    <w:rsid w:val="00794E72"/>
    <w:rsid w:val="00794FB9"/>
    <w:rsid w:val="0079517E"/>
    <w:rsid w:val="007951A4"/>
    <w:rsid w:val="0079526F"/>
    <w:rsid w:val="00795321"/>
    <w:rsid w:val="007957D8"/>
    <w:rsid w:val="00795B5B"/>
    <w:rsid w:val="007961B6"/>
    <w:rsid w:val="00796267"/>
    <w:rsid w:val="007966DA"/>
    <w:rsid w:val="0079695B"/>
    <w:rsid w:val="00796972"/>
    <w:rsid w:val="00796B65"/>
    <w:rsid w:val="00796DAC"/>
    <w:rsid w:val="00797112"/>
    <w:rsid w:val="00797195"/>
    <w:rsid w:val="007972C9"/>
    <w:rsid w:val="00797745"/>
    <w:rsid w:val="00797E1E"/>
    <w:rsid w:val="007A0199"/>
    <w:rsid w:val="007A02E4"/>
    <w:rsid w:val="007A0965"/>
    <w:rsid w:val="007A11BE"/>
    <w:rsid w:val="007A1404"/>
    <w:rsid w:val="007A20FF"/>
    <w:rsid w:val="007A24A1"/>
    <w:rsid w:val="007A257D"/>
    <w:rsid w:val="007A2AA8"/>
    <w:rsid w:val="007A2C82"/>
    <w:rsid w:val="007A2D1E"/>
    <w:rsid w:val="007A2DC5"/>
    <w:rsid w:val="007A3308"/>
    <w:rsid w:val="007A33BF"/>
    <w:rsid w:val="007A34C3"/>
    <w:rsid w:val="007A3AB0"/>
    <w:rsid w:val="007A3B77"/>
    <w:rsid w:val="007A3C8C"/>
    <w:rsid w:val="007A3DFB"/>
    <w:rsid w:val="007A410C"/>
    <w:rsid w:val="007A4573"/>
    <w:rsid w:val="007A45C6"/>
    <w:rsid w:val="007A4C29"/>
    <w:rsid w:val="007A4E3E"/>
    <w:rsid w:val="007A59F7"/>
    <w:rsid w:val="007A5D1B"/>
    <w:rsid w:val="007A5D8A"/>
    <w:rsid w:val="007A5DD2"/>
    <w:rsid w:val="007A5E6F"/>
    <w:rsid w:val="007A607F"/>
    <w:rsid w:val="007A61D7"/>
    <w:rsid w:val="007A66F3"/>
    <w:rsid w:val="007A6993"/>
    <w:rsid w:val="007A6F3E"/>
    <w:rsid w:val="007A73B0"/>
    <w:rsid w:val="007B07A7"/>
    <w:rsid w:val="007B096C"/>
    <w:rsid w:val="007B0E96"/>
    <w:rsid w:val="007B10B6"/>
    <w:rsid w:val="007B1136"/>
    <w:rsid w:val="007B147E"/>
    <w:rsid w:val="007B1CFA"/>
    <w:rsid w:val="007B2048"/>
    <w:rsid w:val="007B3018"/>
    <w:rsid w:val="007B328A"/>
    <w:rsid w:val="007B3521"/>
    <w:rsid w:val="007B35FA"/>
    <w:rsid w:val="007B3E87"/>
    <w:rsid w:val="007B3FC1"/>
    <w:rsid w:val="007B4144"/>
    <w:rsid w:val="007B4305"/>
    <w:rsid w:val="007B4497"/>
    <w:rsid w:val="007B46B4"/>
    <w:rsid w:val="007B4E6F"/>
    <w:rsid w:val="007B505E"/>
    <w:rsid w:val="007B50AD"/>
    <w:rsid w:val="007B5113"/>
    <w:rsid w:val="007B545C"/>
    <w:rsid w:val="007B5FA2"/>
    <w:rsid w:val="007B69AD"/>
    <w:rsid w:val="007B6B5E"/>
    <w:rsid w:val="007B6CCA"/>
    <w:rsid w:val="007B6FCC"/>
    <w:rsid w:val="007B6FD3"/>
    <w:rsid w:val="007B7C51"/>
    <w:rsid w:val="007B7FC3"/>
    <w:rsid w:val="007B7FF2"/>
    <w:rsid w:val="007C0169"/>
    <w:rsid w:val="007C02D2"/>
    <w:rsid w:val="007C06CE"/>
    <w:rsid w:val="007C09F2"/>
    <w:rsid w:val="007C1B14"/>
    <w:rsid w:val="007C1D5E"/>
    <w:rsid w:val="007C2303"/>
    <w:rsid w:val="007C277F"/>
    <w:rsid w:val="007C2D2F"/>
    <w:rsid w:val="007C2E86"/>
    <w:rsid w:val="007C321D"/>
    <w:rsid w:val="007C378F"/>
    <w:rsid w:val="007C46BF"/>
    <w:rsid w:val="007C4C94"/>
    <w:rsid w:val="007C57B2"/>
    <w:rsid w:val="007C58FE"/>
    <w:rsid w:val="007C64C0"/>
    <w:rsid w:val="007C655A"/>
    <w:rsid w:val="007C65AF"/>
    <w:rsid w:val="007C677F"/>
    <w:rsid w:val="007C69D4"/>
    <w:rsid w:val="007C6AF8"/>
    <w:rsid w:val="007C711D"/>
    <w:rsid w:val="007C72B4"/>
    <w:rsid w:val="007C77F7"/>
    <w:rsid w:val="007D0299"/>
    <w:rsid w:val="007D084B"/>
    <w:rsid w:val="007D093D"/>
    <w:rsid w:val="007D0965"/>
    <w:rsid w:val="007D0A6E"/>
    <w:rsid w:val="007D1452"/>
    <w:rsid w:val="007D1947"/>
    <w:rsid w:val="007D259D"/>
    <w:rsid w:val="007D3113"/>
    <w:rsid w:val="007D31FD"/>
    <w:rsid w:val="007D3987"/>
    <w:rsid w:val="007D39F9"/>
    <w:rsid w:val="007D3D80"/>
    <w:rsid w:val="007D4044"/>
    <w:rsid w:val="007D44A7"/>
    <w:rsid w:val="007D535C"/>
    <w:rsid w:val="007D5417"/>
    <w:rsid w:val="007D5460"/>
    <w:rsid w:val="007D5A68"/>
    <w:rsid w:val="007D69A5"/>
    <w:rsid w:val="007D6FF6"/>
    <w:rsid w:val="007D708B"/>
    <w:rsid w:val="007D745C"/>
    <w:rsid w:val="007D7814"/>
    <w:rsid w:val="007D7866"/>
    <w:rsid w:val="007D796E"/>
    <w:rsid w:val="007D7A02"/>
    <w:rsid w:val="007D7BA9"/>
    <w:rsid w:val="007D7DDF"/>
    <w:rsid w:val="007E010D"/>
    <w:rsid w:val="007E058D"/>
    <w:rsid w:val="007E07CC"/>
    <w:rsid w:val="007E08D6"/>
    <w:rsid w:val="007E0BB9"/>
    <w:rsid w:val="007E109D"/>
    <w:rsid w:val="007E1979"/>
    <w:rsid w:val="007E1EFA"/>
    <w:rsid w:val="007E204F"/>
    <w:rsid w:val="007E23D7"/>
    <w:rsid w:val="007E2A19"/>
    <w:rsid w:val="007E328C"/>
    <w:rsid w:val="007E37AA"/>
    <w:rsid w:val="007E3ADA"/>
    <w:rsid w:val="007E49F5"/>
    <w:rsid w:val="007E4CB7"/>
    <w:rsid w:val="007E4E65"/>
    <w:rsid w:val="007E4F72"/>
    <w:rsid w:val="007E556F"/>
    <w:rsid w:val="007E5C38"/>
    <w:rsid w:val="007E625E"/>
    <w:rsid w:val="007E6332"/>
    <w:rsid w:val="007E64E8"/>
    <w:rsid w:val="007E67C4"/>
    <w:rsid w:val="007E6833"/>
    <w:rsid w:val="007E6B1F"/>
    <w:rsid w:val="007E6F1D"/>
    <w:rsid w:val="007E70EE"/>
    <w:rsid w:val="007E7904"/>
    <w:rsid w:val="007E7A89"/>
    <w:rsid w:val="007E7CB7"/>
    <w:rsid w:val="007F0376"/>
    <w:rsid w:val="007F0CEC"/>
    <w:rsid w:val="007F0D12"/>
    <w:rsid w:val="007F0F9B"/>
    <w:rsid w:val="007F1503"/>
    <w:rsid w:val="007F1579"/>
    <w:rsid w:val="007F16AF"/>
    <w:rsid w:val="007F209A"/>
    <w:rsid w:val="007F217B"/>
    <w:rsid w:val="007F2308"/>
    <w:rsid w:val="007F2824"/>
    <w:rsid w:val="007F2AA9"/>
    <w:rsid w:val="007F2C82"/>
    <w:rsid w:val="007F3005"/>
    <w:rsid w:val="007F43D6"/>
    <w:rsid w:val="007F4556"/>
    <w:rsid w:val="007F4A20"/>
    <w:rsid w:val="007F5932"/>
    <w:rsid w:val="007F5E8E"/>
    <w:rsid w:val="007F62F3"/>
    <w:rsid w:val="007F63A0"/>
    <w:rsid w:val="007F71EE"/>
    <w:rsid w:val="007F758A"/>
    <w:rsid w:val="007F7CE4"/>
    <w:rsid w:val="00800072"/>
    <w:rsid w:val="008009B9"/>
    <w:rsid w:val="00800B2B"/>
    <w:rsid w:val="00800CBF"/>
    <w:rsid w:val="0080125C"/>
    <w:rsid w:val="00801DC9"/>
    <w:rsid w:val="00801E33"/>
    <w:rsid w:val="00802B6D"/>
    <w:rsid w:val="00802E81"/>
    <w:rsid w:val="008030DA"/>
    <w:rsid w:val="0080359C"/>
    <w:rsid w:val="00803656"/>
    <w:rsid w:val="0080382A"/>
    <w:rsid w:val="00803CED"/>
    <w:rsid w:val="008044F8"/>
    <w:rsid w:val="00804A26"/>
    <w:rsid w:val="00804D46"/>
    <w:rsid w:val="00805542"/>
    <w:rsid w:val="008056C4"/>
    <w:rsid w:val="00805A03"/>
    <w:rsid w:val="0080657F"/>
    <w:rsid w:val="00806831"/>
    <w:rsid w:val="00806FD7"/>
    <w:rsid w:val="0080735B"/>
    <w:rsid w:val="008073BC"/>
    <w:rsid w:val="008074E7"/>
    <w:rsid w:val="008076D3"/>
    <w:rsid w:val="0081040A"/>
    <w:rsid w:val="00810F72"/>
    <w:rsid w:val="00811469"/>
    <w:rsid w:val="00811DF4"/>
    <w:rsid w:val="008129B2"/>
    <w:rsid w:val="00812DEF"/>
    <w:rsid w:val="00813092"/>
    <w:rsid w:val="008130F9"/>
    <w:rsid w:val="0081313B"/>
    <w:rsid w:val="00813610"/>
    <w:rsid w:val="00813D99"/>
    <w:rsid w:val="00813E8F"/>
    <w:rsid w:val="00813F83"/>
    <w:rsid w:val="00814385"/>
    <w:rsid w:val="00814DBD"/>
    <w:rsid w:val="00815096"/>
    <w:rsid w:val="00815517"/>
    <w:rsid w:val="00815D6A"/>
    <w:rsid w:val="00815E18"/>
    <w:rsid w:val="00816A59"/>
    <w:rsid w:val="00816F9A"/>
    <w:rsid w:val="0081734C"/>
    <w:rsid w:val="00817BAC"/>
    <w:rsid w:val="00820915"/>
    <w:rsid w:val="00821453"/>
    <w:rsid w:val="008216CB"/>
    <w:rsid w:val="008225E1"/>
    <w:rsid w:val="00822CB7"/>
    <w:rsid w:val="00823D39"/>
    <w:rsid w:val="008243BC"/>
    <w:rsid w:val="008243CD"/>
    <w:rsid w:val="00824E2D"/>
    <w:rsid w:val="00825769"/>
    <w:rsid w:val="00826862"/>
    <w:rsid w:val="008269EE"/>
    <w:rsid w:val="00827483"/>
    <w:rsid w:val="008276CE"/>
    <w:rsid w:val="00827716"/>
    <w:rsid w:val="00827EF9"/>
    <w:rsid w:val="008307A5"/>
    <w:rsid w:val="0083084D"/>
    <w:rsid w:val="00830A5B"/>
    <w:rsid w:val="00830BDD"/>
    <w:rsid w:val="00831053"/>
    <w:rsid w:val="008312A2"/>
    <w:rsid w:val="00831BF7"/>
    <w:rsid w:val="00831C21"/>
    <w:rsid w:val="00831CC3"/>
    <w:rsid w:val="0083286C"/>
    <w:rsid w:val="00832D3F"/>
    <w:rsid w:val="00833015"/>
    <w:rsid w:val="00833366"/>
    <w:rsid w:val="008334DC"/>
    <w:rsid w:val="00833B50"/>
    <w:rsid w:val="00833D88"/>
    <w:rsid w:val="008341E7"/>
    <w:rsid w:val="0083454C"/>
    <w:rsid w:val="00834A87"/>
    <w:rsid w:val="00834B20"/>
    <w:rsid w:val="00834B41"/>
    <w:rsid w:val="00834C10"/>
    <w:rsid w:val="00834D8D"/>
    <w:rsid w:val="00834DBC"/>
    <w:rsid w:val="00834E5A"/>
    <w:rsid w:val="00835022"/>
    <w:rsid w:val="00835111"/>
    <w:rsid w:val="008351A4"/>
    <w:rsid w:val="008353BF"/>
    <w:rsid w:val="00835A64"/>
    <w:rsid w:val="00835D69"/>
    <w:rsid w:val="008361DC"/>
    <w:rsid w:val="0083641B"/>
    <w:rsid w:val="008365EA"/>
    <w:rsid w:val="008366EE"/>
    <w:rsid w:val="00836739"/>
    <w:rsid w:val="008368B5"/>
    <w:rsid w:val="00836AEB"/>
    <w:rsid w:val="00836BA5"/>
    <w:rsid w:val="0083707A"/>
    <w:rsid w:val="00837175"/>
    <w:rsid w:val="00837A56"/>
    <w:rsid w:val="00837D50"/>
    <w:rsid w:val="00837EC0"/>
    <w:rsid w:val="00840199"/>
    <w:rsid w:val="008407A5"/>
    <w:rsid w:val="00840F1A"/>
    <w:rsid w:val="008418E0"/>
    <w:rsid w:val="00842418"/>
    <w:rsid w:val="0084258D"/>
    <w:rsid w:val="00842F9F"/>
    <w:rsid w:val="0084332A"/>
    <w:rsid w:val="0084373A"/>
    <w:rsid w:val="008437D7"/>
    <w:rsid w:val="00843C79"/>
    <w:rsid w:val="00845726"/>
    <w:rsid w:val="0084593D"/>
    <w:rsid w:val="00845A1D"/>
    <w:rsid w:val="00845B8D"/>
    <w:rsid w:val="008464BE"/>
    <w:rsid w:val="00846895"/>
    <w:rsid w:val="00846E69"/>
    <w:rsid w:val="0084740A"/>
    <w:rsid w:val="00847451"/>
    <w:rsid w:val="00850088"/>
    <w:rsid w:val="008504B5"/>
    <w:rsid w:val="008504F9"/>
    <w:rsid w:val="0085080B"/>
    <w:rsid w:val="00850B5D"/>
    <w:rsid w:val="00850B7C"/>
    <w:rsid w:val="00850E51"/>
    <w:rsid w:val="008511AF"/>
    <w:rsid w:val="008512E4"/>
    <w:rsid w:val="00851653"/>
    <w:rsid w:val="00851896"/>
    <w:rsid w:val="0085206E"/>
    <w:rsid w:val="008521BD"/>
    <w:rsid w:val="008526DC"/>
    <w:rsid w:val="0085271C"/>
    <w:rsid w:val="00852B5A"/>
    <w:rsid w:val="00852BD9"/>
    <w:rsid w:val="00852C88"/>
    <w:rsid w:val="00852FAB"/>
    <w:rsid w:val="00853023"/>
    <w:rsid w:val="00853058"/>
    <w:rsid w:val="008532FA"/>
    <w:rsid w:val="00853D67"/>
    <w:rsid w:val="0085432F"/>
    <w:rsid w:val="00854D1A"/>
    <w:rsid w:val="00855205"/>
    <w:rsid w:val="008553FD"/>
    <w:rsid w:val="0085549D"/>
    <w:rsid w:val="008565E8"/>
    <w:rsid w:val="00856662"/>
    <w:rsid w:val="008568FE"/>
    <w:rsid w:val="00856F4D"/>
    <w:rsid w:val="0085705B"/>
    <w:rsid w:val="00857076"/>
    <w:rsid w:val="008570C4"/>
    <w:rsid w:val="0085781B"/>
    <w:rsid w:val="008578F8"/>
    <w:rsid w:val="0086085B"/>
    <w:rsid w:val="00861C85"/>
    <w:rsid w:val="00861EE4"/>
    <w:rsid w:val="008621AC"/>
    <w:rsid w:val="00862410"/>
    <w:rsid w:val="00862970"/>
    <w:rsid w:val="00862B46"/>
    <w:rsid w:val="008630AF"/>
    <w:rsid w:val="008632B5"/>
    <w:rsid w:val="00863DEB"/>
    <w:rsid w:val="008640A6"/>
    <w:rsid w:val="008641F9"/>
    <w:rsid w:val="00864458"/>
    <w:rsid w:val="008644F7"/>
    <w:rsid w:val="008647DA"/>
    <w:rsid w:val="00864C5C"/>
    <w:rsid w:val="0086508E"/>
    <w:rsid w:val="00865442"/>
    <w:rsid w:val="0086566C"/>
    <w:rsid w:val="008656BD"/>
    <w:rsid w:val="00865EF3"/>
    <w:rsid w:val="00866057"/>
    <w:rsid w:val="008660C1"/>
    <w:rsid w:val="00866335"/>
    <w:rsid w:val="008664B0"/>
    <w:rsid w:val="00866858"/>
    <w:rsid w:val="00867BAD"/>
    <w:rsid w:val="0087034C"/>
    <w:rsid w:val="00870568"/>
    <w:rsid w:val="0087098E"/>
    <w:rsid w:val="00871C31"/>
    <w:rsid w:val="00871F49"/>
    <w:rsid w:val="00871FFF"/>
    <w:rsid w:val="008723C6"/>
    <w:rsid w:val="00872B4E"/>
    <w:rsid w:val="00873311"/>
    <w:rsid w:val="008733D5"/>
    <w:rsid w:val="0087373E"/>
    <w:rsid w:val="00873BEF"/>
    <w:rsid w:val="00873F05"/>
    <w:rsid w:val="008741E1"/>
    <w:rsid w:val="008755FC"/>
    <w:rsid w:val="00875710"/>
    <w:rsid w:val="008758A0"/>
    <w:rsid w:val="008765E3"/>
    <w:rsid w:val="00876D4A"/>
    <w:rsid w:val="00876DE7"/>
    <w:rsid w:val="008773DC"/>
    <w:rsid w:val="0088001C"/>
    <w:rsid w:val="008804F1"/>
    <w:rsid w:val="00881264"/>
    <w:rsid w:val="00881393"/>
    <w:rsid w:val="0088166A"/>
    <w:rsid w:val="00881671"/>
    <w:rsid w:val="008823CD"/>
    <w:rsid w:val="00882403"/>
    <w:rsid w:val="0088251E"/>
    <w:rsid w:val="008826A6"/>
    <w:rsid w:val="00882748"/>
    <w:rsid w:val="00882B66"/>
    <w:rsid w:val="00882C90"/>
    <w:rsid w:val="00882E8A"/>
    <w:rsid w:val="00882F80"/>
    <w:rsid w:val="0088346A"/>
    <w:rsid w:val="008835F8"/>
    <w:rsid w:val="00883AD8"/>
    <w:rsid w:val="00883B2D"/>
    <w:rsid w:val="00884794"/>
    <w:rsid w:val="00884D4E"/>
    <w:rsid w:val="00884F3A"/>
    <w:rsid w:val="00884F41"/>
    <w:rsid w:val="008855F4"/>
    <w:rsid w:val="00885F7C"/>
    <w:rsid w:val="00886121"/>
    <w:rsid w:val="00886323"/>
    <w:rsid w:val="0088694E"/>
    <w:rsid w:val="0088717F"/>
    <w:rsid w:val="0088718C"/>
    <w:rsid w:val="008871AB"/>
    <w:rsid w:val="008877F0"/>
    <w:rsid w:val="00887D4B"/>
    <w:rsid w:val="0089068D"/>
    <w:rsid w:val="00890851"/>
    <w:rsid w:val="00890B29"/>
    <w:rsid w:val="008912F5"/>
    <w:rsid w:val="00892316"/>
    <w:rsid w:val="00892635"/>
    <w:rsid w:val="008926E3"/>
    <w:rsid w:val="008928AC"/>
    <w:rsid w:val="00892DCA"/>
    <w:rsid w:val="00892E8B"/>
    <w:rsid w:val="00893024"/>
    <w:rsid w:val="0089375B"/>
    <w:rsid w:val="00893CA5"/>
    <w:rsid w:val="00894170"/>
    <w:rsid w:val="00895015"/>
    <w:rsid w:val="00895173"/>
    <w:rsid w:val="008955B4"/>
    <w:rsid w:val="008963B5"/>
    <w:rsid w:val="00896AA9"/>
    <w:rsid w:val="0089722C"/>
    <w:rsid w:val="008973E3"/>
    <w:rsid w:val="00897777"/>
    <w:rsid w:val="00897912"/>
    <w:rsid w:val="00897B18"/>
    <w:rsid w:val="00897CE4"/>
    <w:rsid w:val="00897DA8"/>
    <w:rsid w:val="00897FA2"/>
    <w:rsid w:val="008A037F"/>
    <w:rsid w:val="008A0419"/>
    <w:rsid w:val="008A068E"/>
    <w:rsid w:val="008A0F55"/>
    <w:rsid w:val="008A0FDD"/>
    <w:rsid w:val="008A121A"/>
    <w:rsid w:val="008A1B5C"/>
    <w:rsid w:val="008A1F65"/>
    <w:rsid w:val="008A1FF5"/>
    <w:rsid w:val="008A259F"/>
    <w:rsid w:val="008A25AF"/>
    <w:rsid w:val="008A2E91"/>
    <w:rsid w:val="008A356E"/>
    <w:rsid w:val="008A3850"/>
    <w:rsid w:val="008A3C7D"/>
    <w:rsid w:val="008A4164"/>
    <w:rsid w:val="008A4328"/>
    <w:rsid w:val="008A4855"/>
    <w:rsid w:val="008A4EC2"/>
    <w:rsid w:val="008A5418"/>
    <w:rsid w:val="008A564E"/>
    <w:rsid w:val="008A5ABE"/>
    <w:rsid w:val="008A5EA6"/>
    <w:rsid w:val="008A6CA9"/>
    <w:rsid w:val="008A6F8A"/>
    <w:rsid w:val="008A73EF"/>
    <w:rsid w:val="008A74C5"/>
    <w:rsid w:val="008A79CD"/>
    <w:rsid w:val="008A79D6"/>
    <w:rsid w:val="008B03AA"/>
    <w:rsid w:val="008B05B3"/>
    <w:rsid w:val="008B0EC0"/>
    <w:rsid w:val="008B0FC5"/>
    <w:rsid w:val="008B1331"/>
    <w:rsid w:val="008B15FD"/>
    <w:rsid w:val="008B2196"/>
    <w:rsid w:val="008B2280"/>
    <w:rsid w:val="008B2904"/>
    <w:rsid w:val="008B298B"/>
    <w:rsid w:val="008B29B5"/>
    <w:rsid w:val="008B3063"/>
    <w:rsid w:val="008B30CF"/>
    <w:rsid w:val="008B3CE4"/>
    <w:rsid w:val="008B48E6"/>
    <w:rsid w:val="008B4EFA"/>
    <w:rsid w:val="008B5285"/>
    <w:rsid w:val="008B57C4"/>
    <w:rsid w:val="008B59B4"/>
    <w:rsid w:val="008B6594"/>
    <w:rsid w:val="008B65A4"/>
    <w:rsid w:val="008B67F3"/>
    <w:rsid w:val="008B69A0"/>
    <w:rsid w:val="008B6C56"/>
    <w:rsid w:val="008B6ED2"/>
    <w:rsid w:val="008B7068"/>
    <w:rsid w:val="008B7BFF"/>
    <w:rsid w:val="008C05D6"/>
    <w:rsid w:val="008C088C"/>
    <w:rsid w:val="008C09F0"/>
    <w:rsid w:val="008C10E2"/>
    <w:rsid w:val="008C12C0"/>
    <w:rsid w:val="008C135E"/>
    <w:rsid w:val="008C1500"/>
    <w:rsid w:val="008C1714"/>
    <w:rsid w:val="008C210A"/>
    <w:rsid w:val="008C23A8"/>
    <w:rsid w:val="008C29B6"/>
    <w:rsid w:val="008C2ADE"/>
    <w:rsid w:val="008C31B3"/>
    <w:rsid w:val="008C3349"/>
    <w:rsid w:val="008C3357"/>
    <w:rsid w:val="008C33B1"/>
    <w:rsid w:val="008C3428"/>
    <w:rsid w:val="008C3609"/>
    <w:rsid w:val="008C3750"/>
    <w:rsid w:val="008C3998"/>
    <w:rsid w:val="008C3C2C"/>
    <w:rsid w:val="008C431D"/>
    <w:rsid w:val="008C4805"/>
    <w:rsid w:val="008C4810"/>
    <w:rsid w:val="008C49DE"/>
    <w:rsid w:val="008C4CAA"/>
    <w:rsid w:val="008C57FB"/>
    <w:rsid w:val="008C5983"/>
    <w:rsid w:val="008C59FD"/>
    <w:rsid w:val="008C5A6D"/>
    <w:rsid w:val="008C5C07"/>
    <w:rsid w:val="008C5F95"/>
    <w:rsid w:val="008C6325"/>
    <w:rsid w:val="008C67A2"/>
    <w:rsid w:val="008C6ED1"/>
    <w:rsid w:val="008C6FA2"/>
    <w:rsid w:val="008C73A5"/>
    <w:rsid w:val="008C796D"/>
    <w:rsid w:val="008C7972"/>
    <w:rsid w:val="008D00CF"/>
    <w:rsid w:val="008D0309"/>
    <w:rsid w:val="008D054D"/>
    <w:rsid w:val="008D06C1"/>
    <w:rsid w:val="008D09CB"/>
    <w:rsid w:val="008D0FD9"/>
    <w:rsid w:val="008D1306"/>
    <w:rsid w:val="008D1CD4"/>
    <w:rsid w:val="008D1D05"/>
    <w:rsid w:val="008D1D5D"/>
    <w:rsid w:val="008D1FC1"/>
    <w:rsid w:val="008D20B6"/>
    <w:rsid w:val="008D21EF"/>
    <w:rsid w:val="008D2820"/>
    <w:rsid w:val="008D290D"/>
    <w:rsid w:val="008D33F2"/>
    <w:rsid w:val="008D3AC5"/>
    <w:rsid w:val="008D40CB"/>
    <w:rsid w:val="008D482B"/>
    <w:rsid w:val="008D4D2D"/>
    <w:rsid w:val="008D4D71"/>
    <w:rsid w:val="008D4FDE"/>
    <w:rsid w:val="008D5194"/>
    <w:rsid w:val="008D58D3"/>
    <w:rsid w:val="008D59A5"/>
    <w:rsid w:val="008D5EDB"/>
    <w:rsid w:val="008D62B0"/>
    <w:rsid w:val="008D6737"/>
    <w:rsid w:val="008D69C8"/>
    <w:rsid w:val="008D6AF9"/>
    <w:rsid w:val="008D756C"/>
    <w:rsid w:val="008D7E34"/>
    <w:rsid w:val="008E0F91"/>
    <w:rsid w:val="008E15FB"/>
    <w:rsid w:val="008E1953"/>
    <w:rsid w:val="008E1E63"/>
    <w:rsid w:val="008E1ED9"/>
    <w:rsid w:val="008E2150"/>
    <w:rsid w:val="008E2769"/>
    <w:rsid w:val="008E2793"/>
    <w:rsid w:val="008E29DA"/>
    <w:rsid w:val="008E31D0"/>
    <w:rsid w:val="008E36CD"/>
    <w:rsid w:val="008E3DB0"/>
    <w:rsid w:val="008E4458"/>
    <w:rsid w:val="008E4B78"/>
    <w:rsid w:val="008E4C00"/>
    <w:rsid w:val="008E4C9D"/>
    <w:rsid w:val="008E4D64"/>
    <w:rsid w:val="008E4EA0"/>
    <w:rsid w:val="008E52F5"/>
    <w:rsid w:val="008E5490"/>
    <w:rsid w:val="008E55EF"/>
    <w:rsid w:val="008E5EE0"/>
    <w:rsid w:val="008E638F"/>
    <w:rsid w:val="008E660E"/>
    <w:rsid w:val="008E6CD2"/>
    <w:rsid w:val="008E7724"/>
    <w:rsid w:val="008F01A4"/>
    <w:rsid w:val="008F051A"/>
    <w:rsid w:val="008F0CAB"/>
    <w:rsid w:val="008F0EE2"/>
    <w:rsid w:val="008F116B"/>
    <w:rsid w:val="008F165D"/>
    <w:rsid w:val="008F27B2"/>
    <w:rsid w:val="008F2B2A"/>
    <w:rsid w:val="008F2E2C"/>
    <w:rsid w:val="008F311D"/>
    <w:rsid w:val="008F32B1"/>
    <w:rsid w:val="008F3741"/>
    <w:rsid w:val="008F37E5"/>
    <w:rsid w:val="008F3843"/>
    <w:rsid w:val="008F49C6"/>
    <w:rsid w:val="008F49EA"/>
    <w:rsid w:val="008F5087"/>
    <w:rsid w:val="008F524E"/>
    <w:rsid w:val="008F540D"/>
    <w:rsid w:val="008F5E1E"/>
    <w:rsid w:val="008F6382"/>
    <w:rsid w:val="008F63D7"/>
    <w:rsid w:val="008F660E"/>
    <w:rsid w:val="008F6D4F"/>
    <w:rsid w:val="008F6EAD"/>
    <w:rsid w:val="008F6F6E"/>
    <w:rsid w:val="008F77EB"/>
    <w:rsid w:val="008F7F91"/>
    <w:rsid w:val="00900043"/>
    <w:rsid w:val="00900E3C"/>
    <w:rsid w:val="009012C5"/>
    <w:rsid w:val="00901BF3"/>
    <w:rsid w:val="009020EE"/>
    <w:rsid w:val="00902131"/>
    <w:rsid w:val="00902185"/>
    <w:rsid w:val="00902363"/>
    <w:rsid w:val="0090258B"/>
    <w:rsid w:val="00902672"/>
    <w:rsid w:val="009027BC"/>
    <w:rsid w:val="009027D1"/>
    <w:rsid w:val="00902892"/>
    <w:rsid w:val="00902A04"/>
    <w:rsid w:val="00902A44"/>
    <w:rsid w:val="00903B79"/>
    <w:rsid w:val="00903E87"/>
    <w:rsid w:val="0090429E"/>
    <w:rsid w:val="0090441B"/>
    <w:rsid w:val="009045BD"/>
    <w:rsid w:val="009046CF"/>
    <w:rsid w:val="00904825"/>
    <w:rsid w:val="00904B0C"/>
    <w:rsid w:val="00904EB0"/>
    <w:rsid w:val="00905116"/>
    <w:rsid w:val="00905405"/>
    <w:rsid w:val="0090554F"/>
    <w:rsid w:val="009058B7"/>
    <w:rsid w:val="00905C61"/>
    <w:rsid w:val="00905F94"/>
    <w:rsid w:val="0090601B"/>
    <w:rsid w:val="00906333"/>
    <w:rsid w:val="009068C0"/>
    <w:rsid w:val="009069FB"/>
    <w:rsid w:val="00906B76"/>
    <w:rsid w:val="009073B6"/>
    <w:rsid w:val="0090745C"/>
    <w:rsid w:val="00907558"/>
    <w:rsid w:val="0090766E"/>
    <w:rsid w:val="0090784F"/>
    <w:rsid w:val="00907E1C"/>
    <w:rsid w:val="00907E1F"/>
    <w:rsid w:val="00910DBD"/>
    <w:rsid w:val="0091145D"/>
    <w:rsid w:val="0091151A"/>
    <w:rsid w:val="00911C8A"/>
    <w:rsid w:val="00912847"/>
    <w:rsid w:val="00912E2B"/>
    <w:rsid w:val="00913246"/>
    <w:rsid w:val="0091387E"/>
    <w:rsid w:val="00914639"/>
    <w:rsid w:val="0091476A"/>
    <w:rsid w:val="00915118"/>
    <w:rsid w:val="0091527C"/>
    <w:rsid w:val="00915472"/>
    <w:rsid w:val="00915576"/>
    <w:rsid w:val="00915F16"/>
    <w:rsid w:val="00916173"/>
    <w:rsid w:val="00916BD8"/>
    <w:rsid w:val="00916EC6"/>
    <w:rsid w:val="009207FE"/>
    <w:rsid w:val="00920840"/>
    <w:rsid w:val="00920A01"/>
    <w:rsid w:val="00920EED"/>
    <w:rsid w:val="0092147E"/>
    <w:rsid w:val="00922335"/>
    <w:rsid w:val="00922BD3"/>
    <w:rsid w:val="00922CD3"/>
    <w:rsid w:val="00922E5C"/>
    <w:rsid w:val="00923D0B"/>
    <w:rsid w:val="00924052"/>
    <w:rsid w:val="0092420F"/>
    <w:rsid w:val="0092470B"/>
    <w:rsid w:val="00924A3C"/>
    <w:rsid w:val="00924D57"/>
    <w:rsid w:val="00924DD9"/>
    <w:rsid w:val="00924DE2"/>
    <w:rsid w:val="00924EC1"/>
    <w:rsid w:val="00925137"/>
    <w:rsid w:val="00925487"/>
    <w:rsid w:val="0092558C"/>
    <w:rsid w:val="00925C40"/>
    <w:rsid w:val="0092635E"/>
    <w:rsid w:val="00926565"/>
    <w:rsid w:val="00926A08"/>
    <w:rsid w:val="00926B5A"/>
    <w:rsid w:val="00926BD7"/>
    <w:rsid w:val="00927088"/>
    <w:rsid w:val="00927777"/>
    <w:rsid w:val="009277C7"/>
    <w:rsid w:val="00930671"/>
    <w:rsid w:val="00930C97"/>
    <w:rsid w:val="00930EE1"/>
    <w:rsid w:val="0093103C"/>
    <w:rsid w:val="00931579"/>
    <w:rsid w:val="00931A6E"/>
    <w:rsid w:val="00931A76"/>
    <w:rsid w:val="00932493"/>
    <w:rsid w:val="00932854"/>
    <w:rsid w:val="00933675"/>
    <w:rsid w:val="00933C39"/>
    <w:rsid w:val="00933E5F"/>
    <w:rsid w:val="0093413C"/>
    <w:rsid w:val="0093434A"/>
    <w:rsid w:val="00934BED"/>
    <w:rsid w:val="00934CA4"/>
    <w:rsid w:val="009352AF"/>
    <w:rsid w:val="00935317"/>
    <w:rsid w:val="00935D5C"/>
    <w:rsid w:val="0093683B"/>
    <w:rsid w:val="00936C9D"/>
    <w:rsid w:val="009375AC"/>
    <w:rsid w:val="0093780A"/>
    <w:rsid w:val="00937841"/>
    <w:rsid w:val="00940A33"/>
    <w:rsid w:val="00940E35"/>
    <w:rsid w:val="00941534"/>
    <w:rsid w:val="00941B32"/>
    <w:rsid w:val="00941E44"/>
    <w:rsid w:val="00941F38"/>
    <w:rsid w:val="00942303"/>
    <w:rsid w:val="0094264B"/>
    <w:rsid w:val="009426A1"/>
    <w:rsid w:val="00943381"/>
    <w:rsid w:val="00943F62"/>
    <w:rsid w:val="009441CA"/>
    <w:rsid w:val="00944607"/>
    <w:rsid w:val="00945101"/>
    <w:rsid w:val="00945A94"/>
    <w:rsid w:val="00945C70"/>
    <w:rsid w:val="00945DFE"/>
    <w:rsid w:val="00945FBD"/>
    <w:rsid w:val="00946886"/>
    <w:rsid w:val="009468C4"/>
    <w:rsid w:val="00946BBF"/>
    <w:rsid w:val="009470EA"/>
    <w:rsid w:val="0094712B"/>
    <w:rsid w:val="0094724F"/>
    <w:rsid w:val="00947B2E"/>
    <w:rsid w:val="00947CB6"/>
    <w:rsid w:val="00947CD7"/>
    <w:rsid w:val="0095117F"/>
    <w:rsid w:val="009512B1"/>
    <w:rsid w:val="009514FC"/>
    <w:rsid w:val="00951558"/>
    <w:rsid w:val="009515E4"/>
    <w:rsid w:val="00951DA2"/>
    <w:rsid w:val="009522CD"/>
    <w:rsid w:val="009523F2"/>
    <w:rsid w:val="00952BC6"/>
    <w:rsid w:val="0095381B"/>
    <w:rsid w:val="00953AEA"/>
    <w:rsid w:val="00954162"/>
    <w:rsid w:val="009549B2"/>
    <w:rsid w:val="00954C91"/>
    <w:rsid w:val="00954D53"/>
    <w:rsid w:val="0095519A"/>
    <w:rsid w:val="00955255"/>
    <w:rsid w:val="00955540"/>
    <w:rsid w:val="009562F5"/>
    <w:rsid w:val="0095680B"/>
    <w:rsid w:val="00956F5C"/>
    <w:rsid w:val="009570EC"/>
    <w:rsid w:val="009570F9"/>
    <w:rsid w:val="0095731C"/>
    <w:rsid w:val="00957521"/>
    <w:rsid w:val="00957992"/>
    <w:rsid w:val="00957CFF"/>
    <w:rsid w:val="00957E4C"/>
    <w:rsid w:val="0096017C"/>
    <w:rsid w:val="00960A4C"/>
    <w:rsid w:val="00960AE8"/>
    <w:rsid w:val="00960D4D"/>
    <w:rsid w:val="0096127A"/>
    <w:rsid w:val="009613A9"/>
    <w:rsid w:val="00961586"/>
    <w:rsid w:val="009620CA"/>
    <w:rsid w:val="0096276D"/>
    <w:rsid w:val="009628C3"/>
    <w:rsid w:val="00962C1C"/>
    <w:rsid w:val="00963111"/>
    <w:rsid w:val="00963168"/>
    <w:rsid w:val="0096349E"/>
    <w:rsid w:val="009638CB"/>
    <w:rsid w:val="00963E2B"/>
    <w:rsid w:val="00963EDF"/>
    <w:rsid w:val="00964288"/>
    <w:rsid w:val="0096479A"/>
    <w:rsid w:val="00964DC3"/>
    <w:rsid w:val="00964F02"/>
    <w:rsid w:val="00965947"/>
    <w:rsid w:val="00965C99"/>
    <w:rsid w:val="009665EE"/>
    <w:rsid w:val="0096662F"/>
    <w:rsid w:val="009667E2"/>
    <w:rsid w:val="00966BEF"/>
    <w:rsid w:val="00966D24"/>
    <w:rsid w:val="009670AF"/>
    <w:rsid w:val="00967966"/>
    <w:rsid w:val="00967A88"/>
    <w:rsid w:val="00967BD9"/>
    <w:rsid w:val="00967CDA"/>
    <w:rsid w:val="00967D26"/>
    <w:rsid w:val="0097039C"/>
    <w:rsid w:val="0097055B"/>
    <w:rsid w:val="009705E7"/>
    <w:rsid w:val="00970669"/>
    <w:rsid w:val="00970AE6"/>
    <w:rsid w:val="00970F7D"/>
    <w:rsid w:val="00971029"/>
    <w:rsid w:val="00971202"/>
    <w:rsid w:val="00971522"/>
    <w:rsid w:val="009716AA"/>
    <w:rsid w:val="009716AD"/>
    <w:rsid w:val="00971E14"/>
    <w:rsid w:val="009722FF"/>
    <w:rsid w:val="00972945"/>
    <w:rsid w:val="00972F41"/>
    <w:rsid w:val="00973287"/>
    <w:rsid w:val="0097471E"/>
    <w:rsid w:val="00974AF3"/>
    <w:rsid w:val="00974E42"/>
    <w:rsid w:val="00975247"/>
    <w:rsid w:val="009756EF"/>
    <w:rsid w:val="00975824"/>
    <w:rsid w:val="00975BEC"/>
    <w:rsid w:val="00976B1B"/>
    <w:rsid w:val="00976CF7"/>
    <w:rsid w:val="0097713A"/>
    <w:rsid w:val="009772CD"/>
    <w:rsid w:val="00977A4F"/>
    <w:rsid w:val="00977FB0"/>
    <w:rsid w:val="00980497"/>
    <w:rsid w:val="0098060F"/>
    <w:rsid w:val="009807D1"/>
    <w:rsid w:val="00981BC8"/>
    <w:rsid w:val="0098223A"/>
    <w:rsid w:val="00982436"/>
    <w:rsid w:val="00982841"/>
    <w:rsid w:val="009830DA"/>
    <w:rsid w:val="00983263"/>
    <w:rsid w:val="009834F7"/>
    <w:rsid w:val="00984123"/>
    <w:rsid w:val="009843CC"/>
    <w:rsid w:val="009845F0"/>
    <w:rsid w:val="00984E35"/>
    <w:rsid w:val="0098542E"/>
    <w:rsid w:val="0098591E"/>
    <w:rsid w:val="00985A63"/>
    <w:rsid w:val="00985F5A"/>
    <w:rsid w:val="009865DD"/>
    <w:rsid w:val="0098695C"/>
    <w:rsid w:val="00986E8C"/>
    <w:rsid w:val="009870CA"/>
    <w:rsid w:val="00987543"/>
    <w:rsid w:val="00987871"/>
    <w:rsid w:val="00987F15"/>
    <w:rsid w:val="00990CB6"/>
    <w:rsid w:val="00990DD3"/>
    <w:rsid w:val="00991047"/>
    <w:rsid w:val="00991546"/>
    <w:rsid w:val="00991D24"/>
    <w:rsid w:val="009922C7"/>
    <w:rsid w:val="00992363"/>
    <w:rsid w:val="00992B73"/>
    <w:rsid w:val="00992DFF"/>
    <w:rsid w:val="00993357"/>
    <w:rsid w:val="009938FB"/>
    <w:rsid w:val="00993CAB"/>
    <w:rsid w:val="00993F10"/>
    <w:rsid w:val="009954AD"/>
    <w:rsid w:val="00995986"/>
    <w:rsid w:val="00995BD0"/>
    <w:rsid w:val="00995C3B"/>
    <w:rsid w:val="00995E1F"/>
    <w:rsid w:val="009966EA"/>
    <w:rsid w:val="00996B1B"/>
    <w:rsid w:val="00996BD6"/>
    <w:rsid w:val="009972AE"/>
    <w:rsid w:val="00997466"/>
    <w:rsid w:val="00997586"/>
    <w:rsid w:val="009979B4"/>
    <w:rsid w:val="00997D55"/>
    <w:rsid w:val="00997DE8"/>
    <w:rsid w:val="009A02E1"/>
    <w:rsid w:val="009A03AC"/>
    <w:rsid w:val="009A064E"/>
    <w:rsid w:val="009A080E"/>
    <w:rsid w:val="009A092F"/>
    <w:rsid w:val="009A0FED"/>
    <w:rsid w:val="009A0FF6"/>
    <w:rsid w:val="009A1121"/>
    <w:rsid w:val="009A164C"/>
    <w:rsid w:val="009A1E74"/>
    <w:rsid w:val="009A1EF4"/>
    <w:rsid w:val="009A2197"/>
    <w:rsid w:val="009A2254"/>
    <w:rsid w:val="009A26EF"/>
    <w:rsid w:val="009A2940"/>
    <w:rsid w:val="009A2A46"/>
    <w:rsid w:val="009A31B0"/>
    <w:rsid w:val="009A3472"/>
    <w:rsid w:val="009A348A"/>
    <w:rsid w:val="009A35F2"/>
    <w:rsid w:val="009A3C48"/>
    <w:rsid w:val="009A41BD"/>
    <w:rsid w:val="009A465C"/>
    <w:rsid w:val="009A4AC0"/>
    <w:rsid w:val="009A4CDF"/>
    <w:rsid w:val="009A4F85"/>
    <w:rsid w:val="009A5072"/>
    <w:rsid w:val="009A5523"/>
    <w:rsid w:val="009A6204"/>
    <w:rsid w:val="009A6393"/>
    <w:rsid w:val="009A665E"/>
    <w:rsid w:val="009A6B5C"/>
    <w:rsid w:val="009A6D14"/>
    <w:rsid w:val="009A72DB"/>
    <w:rsid w:val="009A7415"/>
    <w:rsid w:val="009A7541"/>
    <w:rsid w:val="009A7677"/>
    <w:rsid w:val="009A78DB"/>
    <w:rsid w:val="009A7B5D"/>
    <w:rsid w:val="009A7C12"/>
    <w:rsid w:val="009A7C8C"/>
    <w:rsid w:val="009B0703"/>
    <w:rsid w:val="009B07BA"/>
    <w:rsid w:val="009B0A21"/>
    <w:rsid w:val="009B0B42"/>
    <w:rsid w:val="009B0F4A"/>
    <w:rsid w:val="009B152B"/>
    <w:rsid w:val="009B1BFB"/>
    <w:rsid w:val="009B21B5"/>
    <w:rsid w:val="009B2442"/>
    <w:rsid w:val="009B269A"/>
    <w:rsid w:val="009B2809"/>
    <w:rsid w:val="009B3B13"/>
    <w:rsid w:val="009B3BDF"/>
    <w:rsid w:val="009B3C60"/>
    <w:rsid w:val="009B410F"/>
    <w:rsid w:val="009B41CA"/>
    <w:rsid w:val="009B4284"/>
    <w:rsid w:val="009B433E"/>
    <w:rsid w:val="009B4985"/>
    <w:rsid w:val="009B4A10"/>
    <w:rsid w:val="009B4E6E"/>
    <w:rsid w:val="009B510C"/>
    <w:rsid w:val="009B523C"/>
    <w:rsid w:val="009B5B75"/>
    <w:rsid w:val="009B6073"/>
    <w:rsid w:val="009B625B"/>
    <w:rsid w:val="009B696D"/>
    <w:rsid w:val="009B7104"/>
    <w:rsid w:val="009B7BC6"/>
    <w:rsid w:val="009C0A74"/>
    <w:rsid w:val="009C0A95"/>
    <w:rsid w:val="009C0C9A"/>
    <w:rsid w:val="009C0D05"/>
    <w:rsid w:val="009C1B8D"/>
    <w:rsid w:val="009C2D21"/>
    <w:rsid w:val="009C31F3"/>
    <w:rsid w:val="009C348E"/>
    <w:rsid w:val="009C3C62"/>
    <w:rsid w:val="009C46CD"/>
    <w:rsid w:val="009C4E65"/>
    <w:rsid w:val="009C560D"/>
    <w:rsid w:val="009C56D7"/>
    <w:rsid w:val="009C5DA7"/>
    <w:rsid w:val="009C62A9"/>
    <w:rsid w:val="009C69CF"/>
    <w:rsid w:val="009C69EA"/>
    <w:rsid w:val="009C6D9C"/>
    <w:rsid w:val="009C6F9F"/>
    <w:rsid w:val="009C7166"/>
    <w:rsid w:val="009C73DC"/>
    <w:rsid w:val="009C773F"/>
    <w:rsid w:val="009C77E2"/>
    <w:rsid w:val="009C7DDE"/>
    <w:rsid w:val="009D0E71"/>
    <w:rsid w:val="009D12AE"/>
    <w:rsid w:val="009D13FA"/>
    <w:rsid w:val="009D1761"/>
    <w:rsid w:val="009D17C0"/>
    <w:rsid w:val="009D1C81"/>
    <w:rsid w:val="009D2118"/>
    <w:rsid w:val="009D2677"/>
    <w:rsid w:val="009D309F"/>
    <w:rsid w:val="009D344F"/>
    <w:rsid w:val="009D3F6F"/>
    <w:rsid w:val="009D4034"/>
    <w:rsid w:val="009D420F"/>
    <w:rsid w:val="009D461C"/>
    <w:rsid w:val="009D4678"/>
    <w:rsid w:val="009D4959"/>
    <w:rsid w:val="009D5235"/>
    <w:rsid w:val="009D59B8"/>
    <w:rsid w:val="009D5AA8"/>
    <w:rsid w:val="009D5DE8"/>
    <w:rsid w:val="009D5EF1"/>
    <w:rsid w:val="009D6289"/>
    <w:rsid w:val="009D77C7"/>
    <w:rsid w:val="009D7800"/>
    <w:rsid w:val="009D784F"/>
    <w:rsid w:val="009D78AA"/>
    <w:rsid w:val="009D7A50"/>
    <w:rsid w:val="009D7B6E"/>
    <w:rsid w:val="009E0C65"/>
    <w:rsid w:val="009E0E25"/>
    <w:rsid w:val="009E1455"/>
    <w:rsid w:val="009E17C5"/>
    <w:rsid w:val="009E1AFD"/>
    <w:rsid w:val="009E2548"/>
    <w:rsid w:val="009E276C"/>
    <w:rsid w:val="009E2BF1"/>
    <w:rsid w:val="009E2D7E"/>
    <w:rsid w:val="009E3193"/>
    <w:rsid w:val="009E3945"/>
    <w:rsid w:val="009E39D9"/>
    <w:rsid w:val="009E464D"/>
    <w:rsid w:val="009E4EB2"/>
    <w:rsid w:val="009E5024"/>
    <w:rsid w:val="009E53F4"/>
    <w:rsid w:val="009E559A"/>
    <w:rsid w:val="009E565A"/>
    <w:rsid w:val="009E578E"/>
    <w:rsid w:val="009E5A0E"/>
    <w:rsid w:val="009E5A59"/>
    <w:rsid w:val="009E5FD1"/>
    <w:rsid w:val="009E6184"/>
    <w:rsid w:val="009E697B"/>
    <w:rsid w:val="009E6B23"/>
    <w:rsid w:val="009E6B5C"/>
    <w:rsid w:val="009E6C7F"/>
    <w:rsid w:val="009E6E6A"/>
    <w:rsid w:val="009E7AA9"/>
    <w:rsid w:val="009E7FD2"/>
    <w:rsid w:val="009F045D"/>
    <w:rsid w:val="009F0602"/>
    <w:rsid w:val="009F0B2E"/>
    <w:rsid w:val="009F0F2D"/>
    <w:rsid w:val="009F10E8"/>
    <w:rsid w:val="009F1188"/>
    <w:rsid w:val="009F11AF"/>
    <w:rsid w:val="009F163F"/>
    <w:rsid w:val="009F1770"/>
    <w:rsid w:val="009F17FE"/>
    <w:rsid w:val="009F208B"/>
    <w:rsid w:val="009F21D3"/>
    <w:rsid w:val="009F24F6"/>
    <w:rsid w:val="009F2586"/>
    <w:rsid w:val="009F2643"/>
    <w:rsid w:val="009F2C3D"/>
    <w:rsid w:val="009F2C95"/>
    <w:rsid w:val="009F3373"/>
    <w:rsid w:val="009F4268"/>
    <w:rsid w:val="009F4C88"/>
    <w:rsid w:val="009F4ED0"/>
    <w:rsid w:val="009F540B"/>
    <w:rsid w:val="009F57EA"/>
    <w:rsid w:val="009F69CD"/>
    <w:rsid w:val="009F6C14"/>
    <w:rsid w:val="009F6F60"/>
    <w:rsid w:val="009F7022"/>
    <w:rsid w:val="00A00317"/>
    <w:rsid w:val="00A00EE1"/>
    <w:rsid w:val="00A00F0D"/>
    <w:rsid w:val="00A01283"/>
    <w:rsid w:val="00A017E9"/>
    <w:rsid w:val="00A01C22"/>
    <w:rsid w:val="00A01D4D"/>
    <w:rsid w:val="00A02502"/>
    <w:rsid w:val="00A02584"/>
    <w:rsid w:val="00A025DC"/>
    <w:rsid w:val="00A02633"/>
    <w:rsid w:val="00A027CE"/>
    <w:rsid w:val="00A0298D"/>
    <w:rsid w:val="00A02C55"/>
    <w:rsid w:val="00A031DB"/>
    <w:rsid w:val="00A0342B"/>
    <w:rsid w:val="00A038FA"/>
    <w:rsid w:val="00A03968"/>
    <w:rsid w:val="00A03C42"/>
    <w:rsid w:val="00A03C5A"/>
    <w:rsid w:val="00A03D15"/>
    <w:rsid w:val="00A04851"/>
    <w:rsid w:val="00A04DBA"/>
    <w:rsid w:val="00A04F1F"/>
    <w:rsid w:val="00A0501C"/>
    <w:rsid w:val="00A052B0"/>
    <w:rsid w:val="00A05A70"/>
    <w:rsid w:val="00A0625B"/>
    <w:rsid w:val="00A0654E"/>
    <w:rsid w:val="00A06832"/>
    <w:rsid w:val="00A06D6E"/>
    <w:rsid w:val="00A06DB2"/>
    <w:rsid w:val="00A0700D"/>
    <w:rsid w:val="00A105A8"/>
    <w:rsid w:val="00A10E44"/>
    <w:rsid w:val="00A10FD1"/>
    <w:rsid w:val="00A1102C"/>
    <w:rsid w:val="00A1105F"/>
    <w:rsid w:val="00A1129D"/>
    <w:rsid w:val="00A119E2"/>
    <w:rsid w:val="00A11AE8"/>
    <w:rsid w:val="00A1207F"/>
    <w:rsid w:val="00A1217B"/>
    <w:rsid w:val="00A12744"/>
    <w:rsid w:val="00A1274B"/>
    <w:rsid w:val="00A12AA2"/>
    <w:rsid w:val="00A12D6A"/>
    <w:rsid w:val="00A12F67"/>
    <w:rsid w:val="00A14179"/>
    <w:rsid w:val="00A145DD"/>
    <w:rsid w:val="00A14B13"/>
    <w:rsid w:val="00A14FE3"/>
    <w:rsid w:val="00A1501C"/>
    <w:rsid w:val="00A16398"/>
    <w:rsid w:val="00A1640F"/>
    <w:rsid w:val="00A16680"/>
    <w:rsid w:val="00A1768D"/>
    <w:rsid w:val="00A176F8"/>
    <w:rsid w:val="00A17968"/>
    <w:rsid w:val="00A17F63"/>
    <w:rsid w:val="00A205DB"/>
    <w:rsid w:val="00A20EA2"/>
    <w:rsid w:val="00A21206"/>
    <w:rsid w:val="00A21310"/>
    <w:rsid w:val="00A21893"/>
    <w:rsid w:val="00A21B7F"/>
    <w:rsid w:val="00A22017"/>
    <w:rsid w:val="00A222D2"/>
    <w:rsid w:val="00A22406"/>
    <w:rsid w:val="00A226D4"/>
    <w:rsid w:val="00A22DBE"/>
    <w:rsid w:val="00A22FFC"/>
    <w:rsid w:val="00A23434"/>
    <w:rsid w:val="00A236B7"/>
    <w:rsid w:val="00A244BD"/>
    <w:rsid w:val="00A245A8"/>
    <w:rsid w:val="00A247F2"/>
    <w:rsid w:val="00A2499F"/>
    <w:rsid w:val="00A24A3C"/>
    <w:rsid w:val="00A24DB8"/>
    <w:rsid w:val="00A24F3E"/>
    <w:rsid w:val="00A25112"/>
    <w:rsid w:val="00A2597F"/>
    <w:rsid w:val="00A25A17"/>
    <w:rsid w:val="00A25D40"/>
    <w:rsid w:val="00A25E55"/>
    <w:rsid w:val="00A25F1F"/>
    <w:rsid w:val="00A25FD3"/>
    <w:rsid w:val="00A26CAF"/>
    <w:rsid w:val="00A27933"/>
    <w:rsid w:val="00A279AA"/>
    <w:rsid w:val="00A27AE2"/>
    <w:rsid w:val="00A300CB"/>
    <w:rsid w:val="00A3109A"/>
    <w:rsid w:val="00A31292"/>
    <w:rsid w:val="00A312A8"/>
    <w:rsid w:val="00A313B0"/>
    <w:rsid w:val="00A31827"/>
    <w:rsid w:val="00A319A9"/>
    <w:rsid w:val="00A3230C"/>
    <w:rsid w:val="00A32361"/>
    <w:rsid w:val="00A32866"/>
    <w:rsid w:val="00A328D2"/>
    <w:rsid w:val="00A32E7B"/>
    <w:rsid w:val="00A330AB"/>
    <w:rsid w:val="00A345D4"/>
    <w:rsid w:val="00A34752"/>
    <w:rsid w:val="00A3476A"/>
    <w:rsid w:val="00A3551A"/>
    <w:rsid w:val="00A35B58"/>
    <w:rsid w:val="00A35C80"/>
    <w:rsid w:val="00A35D73"/>
    <w:rsid w:val="00A360D6"/>
    <w:rsid w:val="00A36609"/>
    <w:rsid w:val="00A37784"/>
    <w:rsid w:val="00A3791E"/>
    <w:rsid w:val="00A37E88"/>
    <w:rsid w:val="00A400F3"/>
    <w:rsid w:val="00A40382"/>
    <w:rsid w:val="00A40683"/>
    <w:rsid w:val="00A407D8"/>
    <w:rsid w:val="00A413E9"/>
    <w:rsid w:val="00A417E8"/>
    <w:rsid w:val="00A4190F"/>
    <w:rsid w:val="00A41A18"/>
    <w:rsid w:val="00A41AA5"/>
    <w:rsid w:val="00A41B26"/>
    <w:rsid w:val="00A41FC4"/>
    <w:rsid w:val="00A42438"/>
    <w:rsid w:val="00A424BD"/>
    <w:rsid w:val="00A42DE4"/>
    <w:rsid w:val="00A43153"/>
    <w:rsid w:val="00A43E50"/>
    <w:rsid w:val="00A43EDB"/>
    <w:rsid w:val="00A43F3E"/>
    <w:rsid w:val="00A44031"/>
    <w:rsid w:val="00A442EF"/>
    <w:rsid w:val="00A4448B"/>
    <w:rsid w:val="00A449EF"/>
    <w:rsid w:val="00A44F45"/>
    <w:rsid w:val="00A452A2"/>
    <w:rsid w:val="00A4539E"/>
    <w:rsid w:val="00A460A6"/>
    <w:rsid w:val="00A4630E"/>
    <w:rsid w:val="00A46491"/>
    <w:rsid w:val="00A46976"/>
    <w:rsid w:val="00A469F8"/>
    <w:rsid w:val="00A46A60"/>
    <w:rsid w:val="00A46D7C"/>
    <w:rsid w:val="00A46EF3"/>
    <w:rsid w:val="00A47163"/>
    <w:rsid w:val="00A4716A"/>
    <w:rsid w:val="00A47326"/>
    <w:rsid w:val="00A4798C"/>
    <w:rsid w:val="00A502C7"/>
    <w:rsid w:val="00A5037F"/>
    <w:rsid w:val="00A50789"/>
    <w:rsid w:val="00A50C5B"/>
    <w:rsid w:val="00A50D93"/>
    <w:rsid w:val="00A50E28"/>
    <w:rsid w:val="00A50E7F"/>
    <w:rsid w:val="00A5112B"/>
    <w:rsid w:val="00A518D5"/>
    <w:rsid w:val="00A51ED3"/>
    <w:rsid w:val="00A521BE"/>
    <w:rsid w:val="00A52AD1"/>
    <w:rsid w:val="00A52C6A"/>
    <w:rsid w:val="00A52CF9"/>
    <w:rsid w:val="00A53259"/>
    <w:rsid w:val="00A534CB"/>
    <w:rsid w:val="00A53965"/>
    <w:rsid w:val="00A53D85"/>
    <w:rsid w:val="00A5436E"/>
    <w:rsid w:val="00A54685"/>
    <w:rsid w:val="00A548A7"/>
    <w:rsid w:val="00A549A3"/>
    <w:rsid w:val="00A54C36"/>
    <w:rsid w:val="00A54F29"/>
    <w:rsid w:val="00A55108"/>
    <w:rsid w:val="00A55275"/>
    <w:rsid w:val="00A55D6A"/>
    <w:rsid w:val="00A55EB1"/>
    <w:rsid w:val="00A563AE"/>
    <w:rsid w:val="00A56A32"/>
    <w:rsid w:val="00A571D1"/>
    <w:rsid w:val="00A57431"/>
    <w:rsid w:val="00A574D8"/>
    <w:rsid w:val="00A57591"/>
    <w:rsid w:val="00A57A4A"/>
    <w:rsid w:val="00A57B01"/>
    <w:rsid w:val="00A57DA1"/>
    <w:rsid w:val="00A603AF"/>
    <w:rsid w:val="00A60785"/>
    <w:rsid w:val="00A60B0B"/>
    <w:rsid w:val="00A61317"/>
    <w:rsid w:val="00A61674"/>
    <w:rsid w:val="00A61C34"/>
    <w:rsid w:val="00A61EE9"/>
    <w:rsid w:val="00A6212B"/>
    <w:rsid w:val="00A624D3"/>
    <w:rsid w:val="00A626F2"/>
    <w:rsid w:val="00A62AC5"/>
    <w:rsid w:val="00A62BBE"/>
    <w:rsid w:val="00A63045"/>
    <w:rsid w:val="00A63542"/>
    <w:rsid w:val="00A6384B"/>
    <w:rsid w:val="00A63A9E"/>
    <w:rsid w:val="00A63C95"/>
    <w:rsid w:val="00A63E72"/>
    <w:rsid w:val="00A6423C"/>
    <w:rsid w:val="00A64725"/>
    <w:rsid w:val="00A64E61"/>
    <w:rsid w:val="00A65561"/>
    <w:rsid w:val="00A655EE"/>
    <w:rsid w:val="00A659B8"/>
    <w:rsid w:val="00A65F23"/>
    <w:rsid w:val="00A661A4"/>
    <w:rsid w:val="00A6640F"/>
    <w:rsid w:val="00A6653E"/>
    <w:rsid w:val="00A66663"/>
    <w:rsid w:val="00A66A57"/>
    <w:rsid w:val="00A66EDF"/>
    <w:rsid w:val="00A6700D"/>
    <w:rsid w:val="00A671A1"/>
    <w:rsid w:val="00A67521"/>
    <w:rsid w:val="00A6758D"/>
    <w:rsid w:val="00A706F4"/>
    <w:rsid w:val="00A70839"/>
    <w:rsid w:val="00A70B0A"/>
    <w:rsid w:val="00A71B8A"/>
    <w:rsid w:val="00A71BB5"/>
    <w:rsid w:val="00A732B0"/>
    <w:rsid w:val="00A7347A"/>
    <w:rsid w:val="00A737A1"/>
    <w:rsid w:val="00A73B8A"/>
    <w:rsid w:val="00A73DB8"/>
    <w:rsid w:val="00A73FA8"/>
    <w:rsid w:val="00A740B0"/>
    <w:rsid w:val="00A740F4"/>
    <w:rsid w:val="00A74196"/>
    <w:rsid w:val="00A74340"/>
    <w:rsid w:val="00A7435B"/>
    <w:rsid w:val="00A74960"/>
    <w:rsid w:val="00A7551B"/>
    <w:rsid w:val="00A755E2"/>
    <w:rsid w:val="00A75BD7"/>
    <w:rsid w:val="00A75F14"/>
    <w:rsid w:val="00A75FBB"/>
    <w:rsid w:val="00A77020"/>
    <w:rsid w:val="00A7720F"/>
    <w:rsid w:val="00A7770C"/>
    <w:rsid w:val="00A778EA"/>
    <w:rsid w:val="00A77B93"/>
    <w:rsid w:val="00A80B3E"/>
    <w:rsid w:val="00A80DBE"/>
    <w:rsid w:val="00A80E1C"/>
    <w:rsid w:val="00A80EBE"/>
    <w:rsid w:val="00A8109F"/>
    <w:rsid w:val="00A8141A"/>
    <w:rsid w:val="00A81A0D"/>
    <w:rsid w:val="00A81D4F"/>
    <w:rsid w:val="00A827B4"/>
    <w:rsid w:val="00A828DE"/>
    <w:rsid w:val="00A82CB8"/>
    <w:rsid w:val="00A82EC6"/>
    <w:rsid w:val="00A83697"/>
    <w:rsid w:val="00A83E8B"/>
    <w:rsid w:val="00A844DE"/>
    <w:rsid w:val="00A847EE"/>
    <w:rsid w:val="00A852AD"/>
    <w:rsid w:val="00A8538D"/>
    <w:rsid w:val="00A8599F"/>
    <w:rsid w:val="00A86328"/>
    <w:rsid w:val="00A8645C"/>
    <w:rsid w:val="00A86489"/>
    <w:rsid w:val="00A86596"/>
    <w:rsid w:val="00A87021"/>
    <w:rsid w:val="00A87323"/>
    <w:rsid w:val="00A87D0E"/>
    <w:rsid w:val="00A900A7"/>
    <w:rsid w:val="00A90353"/>
    <w:rsid w:val="00A904D7"/>
    <w:rsid w:val="00A90AAF"/>
    <w:rsid w:val="00A9107F"/>
    <w:rsid w:val="00A912E4"/>
    <w:rsid w:val="00A91492"/>
    <w:rsid w:val="00A91997"/>
    <w:rsid w:val="00A920A0"/>
    <w:rsid w:val="00A9215D"/>
    <w:rsid w:val="00A92449"/>
    <w:rsid w:val="00A9270A"/>
    <w:rsid w:val="00A93101"/>
    <w:rsid w:val="00A9344D"/>
    <w:rsid w:val="00A935C1"/>
    <w:rsid w:val="00A93DFF"/>
    <w:rsid w:val="00A943E3"/>
    <w:rsid w:val="00A945B1"/>
    <w:rsid w:val="00A948D9"/>
    <w:rsid w:val="00A94C99"/>
    <w:rsid w:val="00A94F1A"/>
    <w:rsid w:val="00A95069"/>
    <w:rsid w:val="00A950F3"/>
    <w:rsid w:val="00A95A39"/>
    <w:rsid w:val="00A95CA3"/>
    <w:rsid w:val="00A9623E"/>
    <w:rsid w:val="00A96489"/>
    <w:rsid w:val="00A96DAE"/>
    <w:rsid w:val="00A96FB3"/>
    <w:rsid w:val="00A9777F"/>
    <w:rsid w:val="00A97A21"/>
    <w:rsid w:val="00A97D9B"/>
    <w:rsid w:val="00A97F72"/>
    <w:rsid w:val="00A97FEE"/>
    <w:rsid w:val="00AA01D3"/>
    <w:rsid w:val="00AA09AF"/>
    <w:rsid w:val="00AA0B7C"/>
    <w:rsid w:val="00AA144A"/>
    <w:rsid w:val="00AA145B"/>
    <w:rsid w:val="00AA17F2"/>
    <w:rsid w:val="00AA214C"/>
    <w:rsid w:val="00AA21AB"/>
    <w:rsid w:val="00AA2307"/>
    <w:rsid w:val="00AA32ED"/>
    <w:rsid w:val="00AA3510"/>
    <w:rsid w:val="00AA3F63"/>
    <w:rsid w:val="00AA4DDD"/>
    <w:rsid w:val="00AA5014"/>
    <w:rsid w:val="00AA5602"/>
    <w:rsid w:val="00AA5987"/>
    <w:rsid w:val="00AA6026"/>
    <w:rsid w:val="00AA6A62"/>
    <w:rsid w:val="00AA6EBB"/>
    <w:rsid w:val="00AA75F5"/>
    <w:rsid w:val="00AA7AF0"/>
    <w:rsid w:val="00AA7F10"/>
    <w:rsid w:val="00AB0129"/>
    <w:rsid w:val="00AB0AE7"/>
    <w:rsid w:val="00AB0DDD"/>
    <w:rsid w:val="00AB17FA"/>
    <w:rsid w:val="00AB1FA8"/>
    <w:rsid w:val="00AB2561"/>
    <w:rsid w:val="00AB2586"/>
    <w:rsid w:val="00AB2A5A"/>
    <w:rsid w:val="00AB2C30"/>
    <w:rsid w:val="00AB30B8"/>
    <w:rsid w:val="00AB33A5"/>
    <w:rsid w:val="00AB36FD"/>
    <w:rsid w:val="00AB3DAE"/>
    <w:rsid w:val="00AB493F"/>
    <w:rsid w:val="00AB4C95"/>
    <w:rsid w:val="00AB4E79"/>
    <w:rsid w:val="00AB5186"/>
    <w:rsid w:val="00AB5302"/>
    <w:rsid w:val="00AB5C4C"/>
    <w:rsid w:val="00AB603A"/>
    <w:rsid w:val="00AB641E"/>
    <w:rsid w:val="00AB699A"/>
    <w:rsid w:val="00AB6AF9"/>
    <w:rsid w:val="00AB6CB1"/>
    <w:rsid w:val="00AB6F64"/>
    <w:rsid w:val="00AB70A9"/>
    <w:rsid w:val="00AB7242"/>
    <w:rsid w:val="00AB74AD"/>
    <w:rsid w:val="00AB764A"/>
    <w:rsid w:val="00AB7B9B"/>
    <w:rsid w:val="00AB7CBF"/>
    <w:rsid w:val="00AC003B"/>
    <w:rsid w:val="00AC00B3"/>
    <w:rsid w:val="00AC03DB"/>
    <w:rsid w:val="00AC0565"/>
    <w:rsid w:val="00AC23B2"/>
    <w:rsid w:val="00AC2731"/>
    <w:rsid w:val="00AC2A51"/>
    <w:rsid w:val="00AC39C7"/>
    <w:rsid w:val="00AC3A2A"/>
    <w:rsid w:val="00AC3B27"/>
    <w:rsid w:val="00AC3CB7"/>
    <w:rsid w:val="00AC3D99"/>
    <w:rsid w:val="00AC3DB5"/>
    <w:rsid w:val="00AC3F71"/>
    <w:rsid w:val="00AC3FF0"/>
    <w:rsid w:val="00AC4055"/>
    <w:rsid w:val="00AC4730"/>
    <w:rsid w:val="00AC47AB"/>
    <w:rsid w:val="00AC4B1F"/>
    <w:rsid w:val="00AC5AE0"/>
    <w:rsid w:val="00AC5DE3"/>
    <w:rsid w:val="00AC62BD"/>
    <w:rsid w:val="00AC67B2"/>
    <w:rsid w:val="00AC6EC4"/>
    <w:rsid w:val="00AC7060"/>
    <w:rsid w:val="00AC7ECC"/>
    <w:rsid w:val="00AD0131"/>
    <w:rsid w:val="00AD01CF"/>
    <w:rsid w:val="00AD02C3"/>
    <w:rsid w:val="00AD0DA5"/>
    <w:rsid w:val="00AD1508"/>
    <w:rsid w:val="00AD21F0"/>
    <w:rsid w:val="00AD26B7"/>
    <w:rsid w:val="00AD2830"/>
    <w:rsid w:val="00AD2AD9"/>
    <w:rsid w:val="00AD2BAF"/>
    <w:rsid w:val="00AD348E"/>
    <w:rsid w:val="00AD3823"/>
    <w:rsid w:val="00AD3AC2"/>
    <w:rsid w:val="00AD3C7A"/>
    <w:rsid w:val="00AD401D"/>
    <w:rsid w:val="00AD4173"/>
    <w:rsid w:val="00AD427B"/>
    <w:rsid w:val="00AD43DB"/>
    <w:rsid w:val="00AD45B3"/>
    <w:rsid w:val="00AD4874"/>
    <w:rsid w:val="00AD51CF"/>
    <w:rsid w:val="00AD548F"/>
    <w:rsid w:val="00AD56ED"/>
    <w:rsid w:val="00AD5796"/>
    <w:rsid w:val="00AD5A84"/>
    <w:rsid w:val="00AD5B81"/>
    <w:rsid w:val="00AD5F2C"/>
    <w:rsid w:val="00AD61BB"/>
    <w:rsid w:val="00AD6417"/>
    <w:rsid w:val="00AD6C48"/>
    <w:rsid w:val="00AD7226"/>
    <w:rsid w:val="00AD7391"/>
    <w:rsid w:val="00AD73D9"/>
    <w:rsid w:val="00AD77D6"/>
    <w:rsid w:val="00AD7B3D"/>
    <w:rsid w:val="00AE0003"/>
    <w:rsid w:val="00AE08C8"/>
    <w:rsid w:val="00AE0AE0"/>
    <w:rsid w:val="00AE0B30"/>
    <w:rsid w:val="00AE14C1"/>
    <w:rsid w:val="00AE1E67"/>
    <w:rsid w:val="00AE1FFE"/>
    <w:rsid w:val="00AE2021"/>
    <w:rsid w:val="00AE219F"/>
    <w:rsid w:val="00AE2362"/>
    <w:rsid w:val="00AE268A"/>
    <w:rsid w:val="00AE2DDB"/>
    <w:rsid w:val="00AE2ED5"/>
    <w:rsid w:val="00AE332E"/>
    <w:rsid w:val="00AE3887"/>
    <w:rsid w:val="00AE450C"/>
    <w:rsid w:val="00AE4633"/>
    <w:rsid w:val="00AE4D6A"/>
    <w:rsid w:val="00AE58A1"/>
    <w:rsid w:val="00AE5922"/>
    <w:rsid w:val="00AE5FD1"/>
    <w:rsid w:val="00AE64DF"/>
    <w:rsid w:val="00AE7A91"/>
    <w:rsid w:val="00AE7DC2"/>
    <w:rsid w:val="00AF0450"/>
    <w:rsid w:val="00AF112C"/>
    <w:rsid w:val="00AF11FA"/>
    <w:rsid w:val="00AF22D3"/>
    <w:rsid w:val="00AF255D"/>
    <w:rsid w:val="00AF29AA"/>
    <w:rsid w:val="00AF2F5D"/>
    <w:rsid w:val="00AF38A1"/>
    <w:rsid w:val="00AF444D"/>
    <w:rsid w:val="00AF4568"/>
    <w:rsid w:val="00AF45EB"/>
    <w:rsid w:val="00AF46C9"/>
    <w:rsid w:val="00AF4917"/>
    <w:rsid w:val="00AF4ADE"/>
    <w:rsid w:val="00AF4B8D"/>
    <w:rsid w:val="00AF4EB7"/>
    <w:rsid w:val="00AF52DF"/>
    <w:rsid w:val="00AF5441"/>
    <w:rsid w:val="00AF5786"/>
    <w:rsid w:val="00AF5A6C"/>
    <w:rsid w:val="00AF5AB6"/>
    <w:rsid w:val="00AF60C3"/>
    <w:rsid w:val="00AF6318"/>
    <w:rsid w:val="00AF63AE"/>
    <w:rsid w:val="00AF68A4"/>
    <w:rsid w:val="00AF6AD6"/>
    <w:rsid w:val="00AF7182"/>
    <w:rsid w:val="00AF79C4"/>
    <w:rsid w:val="00AF7D69"/>
    <w:rsid w:val="00B00638"/>
    <w:rsid w:val="00B007B1"/>
    <w:rsid w:val="00B00A76"/>
    <w:rsid w:val="00B00DBF"/>
    <w:rsid w:val="00B01686"/>
    <w:rsid w:val="00B01857"/>
    <w:rsid w:val="00B01CE6"/>
    <w:rsid w:val="00B01D28"/>
    <w:rsid w:val="00B01F68"/>
    <w:rsid w:val="00B0239E"/>
    <w:rsid w:val="00B02502"/>
    <w:rsid w:val="00B02F92"/>
    <w:rsid w:val="00B03194"/>
    <w:rsid w:val="00B031FE"/>
    <w:rsid w:val="00B03A20"/>
    <w:rsid w:val="00B03ADB"/>
    <w:rsid w:val="00B03E6B"/>
    <w:rsid w:val="00B04433"/>
    <w:rsid w:val="00B0510B"/>
    <w:rsid w:val="00B054C2"/>
    <w:rsid w:val="00B05646"/>
    <w:rsid w:val="00B056B6"/>
    <w:rsid w:val="00B0573D"/>
    <w:rsid w:val="00B059F3"/>
    <w:rsid w:val="00B05A2F"/>
    <w:rsid w:val="00B0603D"/>
    <w:rsid w:val="00B06218"/>
    <w:rsid w:val="00B069F1"/>
    <w:rsid w:val="00B0707B"/>
    <w:rsid w:val="00B07112"/>
    <w:rsid w:val="00B1034C"/>
    <w:rsid w:val="00B10F06"/>
    <w:rsid w:val="00B10F0E"/>
    <w:rsid w:val="00B10F51"/>
    <w:rsid w:val="00B10FCB"/>
    <w:rsid w:val="00B11534"/>
    <w:rsid w:val="00B11BB0"/>
    <w:rsid w:val="00B11F72"/>
    <w:rsid w:val="00B12A5B"/>
    <w:rsid w:val="00B1308C"/>
    <w:rsid w:val="00B13511"/>
    <w:rsid w:val="00B13C00"/>
    <w:rsid w:val="00B1420E"/>
    <w:rsid w:val="00B142B8"/>
    <w:rsid w:val="00B15B3F"/>
    <w:rsid w:val="00B16015"/>
    <w:rsid w:val="00B16152"/>
    <w:rsid w:val="00B1689C"/>
    <w:rsid w:val="00B1706C"/>
    <w:rsid w:val="00B1712B"/>
    <w:rsid w:val="00B17715"/>
    <w:rsid w:val="00B17BA6"/>
    <w:rsid w:val="00B17BCC"/>
    <w:rsid w:val="00B17F26"/>
    <w:rsid w:val="00B201EF"/>
    <w:rsid w:val="00B202E1"/>
    <w:rsid w:val="00B203BB"/>
    <w:rsid w:val="00B208C9"/>
    <w:rsid w:val="00B20AB8"/>
    <w:rsid w:val="00B20B8F"/>
    <w:rsid w:val="00B20B95"/>
    <w:rsid w:val="00B20C8F"/>
    <w:rsid w:val="00B211FD"/>
    <w:rsid w:val="00B212B4"/>
    <w:rsid w:val="00B21306"/>
    <w:rsid w:val="00B21484"/>
    <w:rsid w:val="00B21603"/>
    <w:rsid w:val="00B2164B"/>
    <w:rsid w:val="00B21E9E"/>
    <w:rsid w:val="00B22264"/>
    <w:rsid w:val="00B22786"/>
    <w:rsid w:val="00B228EA"/>
    <w:rsid w:val="00B2324C"/>
    <w:rsid w:val="00B237AB"/>
    <w:rsid w:val="00B2381E"/>
    <w:rsid w:val="00B23D50"/>
    <w:rsid w:val="00B23F5A"/>
    <w:rsid w:val="00B24057"/>
    <w:rsid w:val="00B243C7"/>
    <w:rsid w:val="00B2453B"/>
    <w:rsid w:val="00B24926"/>
    <w:rsid w:val="00B24AEE"/>
    <w:rsid w:val="00B24AFC"/>
    <w:rsid w:val="00B251F0"/>
    <w:rsid w:val="00B25939"/>
    <w:rsid w:val="00B25A53"/>
    <w:rsid w:val="00B25BB0"/>
    <w:rsid w:val="00B26227"/>
    <w:rsid w:val="00B264B7"/>
    <w:rsid w:val="00B26A9C"/>
    <w:rsid w:val="00B26D31"/>
    <w:rsid w:val="00B2740E"/>
    <w:rsid w:val="00B27463"/>
    <w:rsid w:val="00B300F5"/>
    <w:rsid w:val="00B3031A"/>
    <w:rsid w:val="00B30608"/>
    <w:rsid w:val="00B3060F"/>
    <w:rsid w:val="00B30978"/>
    <w:rsid w:val="00B309D8"/>
    <w:rsid w:val="00B30D44"/>
    <w:rsid w:val="00B30EC4"/>
    <w:rsid w:val="00B312DF"/>
    <w:rsid w:val="00B31C82"/>
    <w:rsid w:val="00B31DB8"/>
    <w:rsid w:val="00B31F87"/>
    <w:rsid w:val="00B321A6"/>
    <w:rsid w:val="00B32585"/>
    <w:rsid w:val="00B32BA9"/>
    <w:rsid w:val="00B3318C"/>
    <w:rsid w:val="00B33403"/>
    <w:rsid w:val="00B336CA"/>
    <w:rsid w:val="00B341E6"/>
    <w:rsid w:val="00B34A4E"/>
    <w:rsid w:val="00B34B66"/>
    <w:rsid w:val="00B34C92"/>
    <w:rsid w:val="00B34ECA"/>
    <w:rsid w:val="00B34EEB"/>
    <w:rsid w:val="00B34F1F"/>
    <w:rsid w:val="00B35509"/>
    <w:rsid w:val="00B35984"/>
    <w:rsid w:val="00B35BC7"/>
    <w:rsid w:val="00B36535"/>
    <w:rsid w:val="00B3670F"/>
    <w:rsid w:val="00B36E47"/>
    <w:rsid w:val="00B37407"/>
    <w:rsid w:val="00B37711"/>
    <w:rsid w:val="00B4038F"/>
    <w:rsid w:val="00B40949"/>
    <w:rsid w:val="00B40F28"/>
    <w:rsid w:val="00B411BA"/>
    <w:rsid w:val="00B418E8"/>
    <w:rsid w:val="00B41A8E"/>
    <w:rsid w:val="00B42150"/>
    <w:rsid w:val="00B42885"/>
    <w:rsid w:val="00B42A42"/>
    <w:rsid w:val="00B4319F"/>
    <w:rsid w:val="00B433BE"/>
    <w:rsid w:val="00B437AA"/>
    <w:rsid w:val="00B43EFE"/>
    <w:rsid w:val="00B447F8"/>
    <w:rsid w:val="00B44822"/>
    <w:rsid w:val="00B44ED8"/>
    <w:rsid w:val="00B44F0F"/>
    <w:rsid w:val="00B44FEF"/>
    <w:rsid w:val="00B4542B"/>
    <w:rsid w:val="00B454CD"/>
    <w:rsid w:val="00B45A4C"/>
    <w:rsid w:val="00B45BB3"/>
    <w:rsid w:val="00B46042"/>
    <w:rsid w:val="00B46671"/>
    <w:rsid w:val="00B47004"/>
    <w:rsid w:val="00B47425"/>
    <w:rsid w:val="00B47500"/>
    <w:rsid w:val="00B50194"/>
    <w:rsid w:val="00B502B3"/>
    <w:rsid w:val="00B502E5"/>
    <w:rsid w:val="00B50495"/>
    <w:rsid w:val="00B5060E"/>
    <w:rsid w:val="00B506BC"/>
    <w:rsid w:val="00B50711"/>
    <w:rsid w:val="00B5075A"/>
    <w:rsid w:val="00B507DA"/>
    <w:rsid w:val="00B508A0"/>
    <w:rsid w:val="00B50989"/>
    <w:rsid w:val="00B50B08"/>
    <w:rsid w:val="00B50B8C"/>
    <w:rsid w:val="00B5163C"/>
    <w:rsid w:val="00B51A6B"/>
    <w:rsid w:val="00B51F85"/>
    <w:rsid w:val="00B528FC"/>
    <w:rsid w:val="00B53363"/>
    <w:rsid w:val="00B53698"/>
    <w:rsid w:val="00B53902"/>
    <w:rsid w:val="00B53A2C"/>
    <w:rsid w:val="00B53CEC"/>
    <w:rsid w:val="00B53F30"/>
    <w:rsid w:val="00B5450E"/>
    <w:rsid w:val="00B54B1D"/>
    <w:rsid w:val="00B54C88"/>
    <w:rsid w:val="00B54DCF"/>
    <w:rsid w:val="00B55F2E"/>
    <w:rsid w:val="00B55F5C"/>
    <w:rsid w:val="00B562E1"/>
    <w:rsid w:val="00B56935"/>
    <w:rsid w:val="00B56CC2"/>
    <w:rsid w:val="00B57350"/>
    <w:rsid w:val="00B5743D"/>
    <w:rsid w:val="00B57531"/>
    <w:rsid w:val="00B57B4C"/>
    <w:rsid w:val="00B57D72"/>
    <w:rsid w:val="00B600E4"/>
    <w:rsid w:val="00B606F1"/>
    <w:rsid w:val="00B60731"/>
    <w:rsid w:val="00B60952"/>
    <w:rsid w:val="00B60AC9"/>
    <w:rsid w:val="00B6119F"/>
    <w:rsid w:val="00B6192F"/>
    <w:rsid w:val="00B62218"/>
    <w:rsid w:val="00B622D0"/>
    <w:rsid w:val="00B62BDA"/>
    <w:rsid w:val="00B62E0B"/>
    <w:rsid w:val="00B632EE"/>
    <w:rsid w:val="00B635AC"/>
    <w:rsid w:val="00B635B1"/>
    <w:rsid w:val="00B63613"/>
    <w:rsid w:val="00B6442C"/>
    <w:rsid w:val="00B64444"/>
    <w:rsid w:val="00B645BC"/>
    <w:rsid w:val="00B6497E"/>
    <w:rsid w:val="00B64998"/>
    <w:rsid w:val="00B64CDF"/>
    <w:rsid w:val="00B65265"/>
    <w:rsid w:val="00B65A1C"/>
    <w:rsid w:val="00B65B4B"/>
    <w:rsid w:val="00B66485"/>
    <w:rsid w:val="00B66800"/>
    <w:rsid w:val="00B66A3F"/>
    <w:rsid w:val="00B66B7B"/>
    <w:rsid w:val="00B67005"/>
    <w:rsid w:val="00B671C5"/>
    <w:rsid w:val="00B67234"/>
    <w:rsid w:val="00B67529"/>
    <w:rsid w:val="00B675D3"/>
    <w:rsid w:val="00B678A7"/>
    <w:rsid w:val="00B70068"/>
    <w:rsid w:val="00B704A9"/>
    <w:rsid w:val="00B704B3"/>
    <w:rsid w:val="00B70D64"/>
    <w:rsid w:val="00B710D7"/>
    <w:rsid w:val="00B711D6"/>
    <w:rsid w:val="00B71D77"/>
    <w:rsid w:val="00B71D97"/>
    <w:rsid w:val="00B72048"/>
    <w:rsid w:val="00B729C1"/>
    <w:rsid w:val="00B72E15"/>
    <w:rsid w:val="00B73596"/>
    <w:rsid w:val="00B738B2"/>
    <w:rsid w:val="00B73D54"/>
    <w:rsid w:val="00B73FF0"/>
    <w:rsid w:val="00B74040"/>
    <w:rsid w:val="00B740E1"/>
    <w:rsid w:val="00B74A6F"/>
    <w:rsid w:val="00B74B46"/>
    <w:rsid w:val="00B74EA7"/>
    <w:rsid w:val="00B755B5"/>
    <w:rsid w:val="00B75DBC"/>
    <w:rsid w:val="00B75E96"/>
    <w:rsid w:val="00B7608A"/>
    <w:rsid w:val="00B76252"/>
    <w:rsid w:val="00B767FD"/>
    <w:rsid w:val="00B76854"/>
    <w:rsid w:val="00B76861"/>
    <w:rsid w:val="00B76C03"/>
    <w:rsid w:val="00B77118"/>
    <w:rsid w:val="00B772B4"/>
    <w:rsid w:val="00B7730F"/>
    <w:rsid w:val="00B774B5"/>
    <w:rsid w:val="00B7778F"/>
    <w:rsid w:val="00B777C1"/>
    <w:rsid w:val="00B7784A"/>
    <w:rsid w:val="00B77ED5"/>
    <w:rsid w:val="00B80401"/>
    <w:rsid w:val="00B804C0"/>
    <w:rsid w:val="00B80600"/>
    <w:rsid w:val="00B80700"/>
    <w:rsid w:val="00B80A74"/>
    <w:rsid w:val="00B80CDE"/>
    <w:rsid w:val="00B80E96"/>
    <w:rsid w:val="00B81523"/>
    <w:rsid w:val="00B81727"/>
    <w:rsid w:val="00B81C74"/>
    <w:rsid w:val="00B82159"/>
    <w:rsid w:val="00B821A3"/>
    <w:rsid w:val="00B82320"/>
    <w:rsid w:val="00B824C8"/>
    <w:rsid w:val="00B827CA"/>
    <w:rsid w:val="00B82AFE"/>
    <w:rsid w:val="00B82B3E"/>
    <w:rsid w:val="00B82B41"/>
    <w:rsid w:val="00B830F3"/>
    <w:rsid w:val="00B83B04"/>
    <w:rsid w:val="00B84943"/>
    <w:rsid w:val="00B84D0E"/>
    <w:rsid w:val="00B865DE"/>
    <w:rsid w:val="00B868B6"/>
    <w:rsid w:val="00B869EB"/>
    <w:rsid w:val="00B86B06"/>
    <w:rsid w:val="00B86F67"/>
    <w:rsid w:val="00B87BAA"/>
    <w:rsid w:val="00B87C4E"/>
    <w:rsid w:val="00B87DBE"/>
    <w:rsid w:val="00B87F09"/>
    <w:rsid w:val="00B87FE5"/>
    <w:rsid w:val="00B901F9"/>
    <w:rsid w:val="00B909E0"/>
    <w:rsid w:val="00B90A0C"/>
    <w:rsid w:val="00B90C27"/>
    <w:rsid w:val="00B911A3"/>
    <w:rsid w:val="00B917DD"/>
    <w:rsid w:val="00B9180D"/>
    <w:rsid w:val="00B91F70"/>
    <w:rsid w:val="00B92E68"/>
    <w:rsid w:val="00B934D6"/>
    <w:rsid w:val="00B9469E"/>
    <w:rsid w:val="00B946D1"/>
    <w:rsid w:val="00B94F0B"/>
    <w:rsid w:val="00B9540C"/>
    <w:rsid w:val="00B954AC"/>
    <w:rsid w:val="00B956BE"/>
    <w:rsid w:val="00B956F1"/>
    <w:rsid w:val="00B958D8"/>
    <w:rsid w:val="00B95955"/>
    <w:rsid w:val="00B95C5E"/>
    <w:rsid w:val="00B95E2C"/>
    <w:rsid w:val="00B95F44"/>
    <w:rsid w:val="00B963A9"/>
    <w:rsid w:val="00B96D50"/>
    <w:rsid w:val="00B979E1"/>
    <w:rsid w:val="00BA03EA"/>
    <w:rsid w:val="00BA0459"/>
    <w:rsid w:val="00BA0571"/>
    <w:rsid w:val="00BA07C5"/>
    <w:rsid w:val="00BA088E"/>
    <w:rsid w:val="00BA094A"/>
    <w:rsid w:val="00BA0E2E"/>
    <w:rsid w:val="00BA1187"/>
    <w:rsid w:val="00BA13A2"/>
    <w:rsid w:val="00BA15FE"/>
    <w:rsid w:val="00BA1C13"/>
    <w:rsid w:val="00BA253B"/>
    <w:rsid w:val="00BA2540"/>
    <w:rsid w:val="00BA2588"/>
    <w:rsid w:val="00BA2BB3"/>
    <w:rsid w:val="00BA3276"/>
    <w:rsid w:val="00BA39A0"/>
    <w:rsid w:val="00BA3B48"/>
    <w:rsid w:val="00BA4695"/>
    <w:rsid w:val="00BA530D"/>
    <w:rsid w:val="00BA56DE"/>
    <w:rsid w:val="00BA598D"/>
    <w:rsid w:val="00BA60CF"/>
    <w:rsid w:val="00BA64A8"/>
    <w:rsid w:val="00BA69FE"/>
    <w:rsid w:val="00BA6DC6"/>
    <w:rsid w:val="00BA75A1"/>
    <w:rsid w:val="00BB05FD"/>
    <w:rsid w:val="00BB0698"/>
    <w:rsid w:val="00BB078F"/>
    <w:rsid w:val="00BB07EE"/>
    <w:rsid w:val="00BB0A64"/>
    <w:rsid w:val="00BB1063"/>
    <w:rsid w:val="00BB1087"/>
    <w:rsid w:val="00BB1606"/>
    <w:rsid w:val="00BB1E96"/>
    <w:rsid w:val="00BB1FDB"/>
    <w:rsid w:val="00BB20D4"/>
    <w:rsid w:val="00BB22C9"/>
    <w:rsid w:val="00BB26CC"/>
    <w:rsid w:val="00BB28B8"/>
    <w:rsid w:val="00BB290A"/>
    <w:rsid w:val="00BB2DB7"/>
    <w:rsid w:val="00BB2EE1"/>
    <w:rsid w:val="00BB538B"/>
    <w:rsid w:val="00BB548A"/>
    <w:rsid w:val="00BB550E"/>
    <w:rsid w:val="00BB56AF"/>
    <w:rsid w:val="00BB5BB1"/>
    <w:rsid w:val="00BB63FF"/>
    <w:rsid w:val="00BB644E"/>
    <w:rsid w:val="00BB6711"/>
    <w:rsid w:val="00BB6A1A"/>
    <w:rsid w:val="00BB6B89"/>
    <w:rsid w:val="00BB6BE6"/>
    <w:rsid w:val="00BB70F2"/>
    <w:rsid w:val="00BB725F"/>
    <w:rsid w:val="00BB74ED"/>
    <w:rsid w:val="00BB7E1B"/>
    <w:rsid w:val="00BC01AE"/>
    <w:rsid w:val="00BC09DA"/>
    <w:rsid w:val="00BC0B26"/>
    <w:rsid w:val="00BC0BA2"/>
    <w:rsid w:val="00BC0D0D"/>
    <w:rsid w:val="00BC14B0"/>
    <w:rsid w:val="00BC14BE"/>
    <w:rsid w:val="00BC1BA4"/>
    <w:rsid w:val="00BC2621"/>
    <w:rsid w:val="00BC2874"/>
    <w:rsid w:val="00BC30BE"/>
    <w:rsid w:val="00BC3B64"/>
    <w:rsid w:val="00BC3F47"/>
    <w:rsid w:val="00BC4108"/>
    <w:rsid w:val="00BC4420"/>
    <w:rsid w:val="00BC468F"/>
    <w:rsid w:val="00BC4BA7"/>
    <w:rsid w:val="00BC4F0C"/>
    <w:rsid w:val="00BC5727"/>
    <w:rsid w:val="00BC5AF6"/>
    <w:rsid w:val="00BC6207"/>
    <w:rsid w:val="00BC633A"/>
    <w:rsid w:val="00BC68AD"/>
    <w:rsid w:val="00BC691C"/>
    <w:rsid w:val="00BC6C0B"/>
    <w:rsid w:val="00BC6DC0"/>
    <w:rsid w:val="00BC6F90"/>
    <w:rsid w:val="00BC7035"/>
    <w:rsid w:val="00BD0B5E"/>
    <w:rsid w:val="00BD0C00"/>
    <w:rsid w:val="00BD0C8D"/>
    <w:rsid w:val="00BD1CE3"/>
    <w:rsid w:val="00BD210E"/>
    <w:rsid w:val="00BD22E1"/>
    <w:rsid w:val="00BD2A8B"/>
    <w:rsid w:val="00BD2F99"/>
    <w:rsid w:val="00BD32DA"/>
    <w:rsid w:val="00BD3902"/>
    <w:rsid w:val="00BD3F9B"/>
    <w:rsid w:val="00BD4752"/>
    <w:rsid w:val="00BD481A"/>
    <w:rsid w:val="00BD4A9B"/>
    <w:rsid w:val="00BD4AA3"/>
    <w:rsid w:val="00BD4D6C"/>
    <w:rsid w:val="00BD5AFF"/>
    <w:rsid w:val="00BD5D13"/>
    <w:rsid w:val="00BD6063"/>
    <w:rsid w:val="00BD60B8"/>
    <w:rsid w:val="00BD661B"/>
    <w:rsid w:val="00BD6750"/>
    <w:rsid w:val="00BD69EA"/>
    <w:rsid w:val="00BD6C16"/>
    <w:rsid w:val="00BD6E9F"/>
    <w:rsid w:val="00BD7242"/>
    <w:rsid w:val="00BD7467"/>
    <w:rsid w:val="00BD75CD"/>
    <w:rsid w:val="00BE060C"/>
    <w:rsid w:val="00BE0610"/>
    <w:rsid w:val="00BE0C62"/>
    <w:rsid w:val="00BE0E79"/>
    <w:rsid w:val="00BE17F4"/>
    <w:rsid w:val="00BE1A15"/>
    <w:rsid w:val="00BE1BD7"/>
    <w:rsid w:val="00BE2137"/>
    <w:rsid w:val="00BE2814"/>
    <w:rsid w:val="00BE2B0D"/>
    <w:rsid w:val="00BE2E4C"/>
    <w:rsid w:val="00BE3212"/>
    <w:rsid w:val="00BE35A6"/>
    <w:rsid w:val="00BE3A68"/>
    <w:rsid w:val="00BE43DC"/>
    <w:rsid w:val="00BE43E5"/>
    <w:rsid w:val="00BE5259"/>
    <w:rsid w:val="00BE53A7"/>
    <w:rsid w:val="00BE563E"/>
    <w:rsid w:val="00BE5AE2"/>
    <w:rsid w:val="00BE5CE1"/>
    <w:rsid w:val="00BE6952"/>
    <w:rsid w:val="00BE6CF0"/>
    <w:rsid w:val="00BE6E5E"/>
    <w:rsid w:val="00BE6FD6"/>
    <w:rsid w:val="00BE71BA"/>
    <w:rsid w:val="00BE78DC"/>
    <w:rsid w:val="00BE7969"/>
    <w:rsid w:val="00BF082C"/>
    <w:rsid w:val="00BF08EF"/>
    <w:rsid w:val="00BF0B4A"/>
    <w:rsid w:val="00BF0C3E"/>
    <w:rsid w:val="00BF13D8"/>
    <w:rsid w:val="00BF214F"/>
    <w:rsid w:val="00BF2164"/>
    <w:rsid w:val="00BF2531"/>
    <w:rsid w:val="00BF270C"/>
    <w:rsid w:val="00BF28CD"/>
    <w:rsid w:val="00BF296D"/>
    <w:rsid w:val="00BF2D18"/>
    <w:rsid w:val="00BF2DB7"/>
    <w:rsid w:val="00BF2EB6"/>
    <w:rsid w:val="00BF2FAB"/>
    <w:rsid w:val="00BF32C5"/>
    <w:rsid w:val="00BF3BBA"/>
    <w:rsid w:val="00BF3FEB"/>
    <w:rsid w:val="00BF4487"/>
    <w:rsid w:val="00BF5158"/>
    <w:rsid w:val="00BF51CB"/>
    <w:rsid w:val="00BF5246"/>
    <w:rsid w:val="00BF5338"/>
    <w:rsid w:val="00BF583F"/>
    <w:rsid w:val="00BF5C53"/>
    <w:rsid w:val="00BF6756"/>
    <w:rsid w:val="00BF6812"/>
    <w:rsid w:val="00BF6930"/>
    <w:rsid w:val="00BF74FD"/>
    <w:rsid w:val="00BF7783"/>
    <w:rsid w:val="00BF7F3E"/>
    <w:rsid w:val="00C004FB"/>
    <w:rsid w:val="00C0057C"/>
    <w:rsid w:val="00C00672"/>
    <w:rsid w:val="00C009E0"/>
    <w:rsid w:val="00C00B6C"/>
    <w:rsid w:val="00C00C7A"/>
    <w:rsid w:val="00C01B54"/>
    <w:rsid w:val="00C01CD4"/>
    <w:rsid w:val="00C01E79"/>
    <w:rsid w:val="00C01F46"/>
    <w:rsid w:val="00C025F1"/>
    <w:rsid w:val="00C02871"/>
    <w:rsid w:val="00C0360B"/>
    <w:rsid w:val="00C037E1"/>
    <w:rsid w:val="00C03A11"/>
    <w:rsid w:val="00C03F09"/>
    <w:rsid w:val="00C047F7"/>
    <w:rsid w:val="00C04A16"/>
    <w:rsid w:val="00C04A31"/>
    <w:rsid w:val="00C04DB3"/>
    <w:rsid w:val="00C04E39"/>
    <w:rsid w:val="00C04F00"/>
    <w:rsid w:val="00C05F2A"/>
    <w:rsid w:val="00C05F46"/>
    <w:rsid w:val="00C064EA"/>
    <w:rsid w:val="00C067C1"/>
    <w:rsid w:val="00C06939"/>
    <w:rsid w:val="00C06C42"/>
    <w:rsid w:val="00C06E1E"/>
    <w:rsid w:val="00C0704B"/>
    <w:rsid w:val="00C07CDC"/>
    <w:rsid w:val="00C07D13"/>
    <w:rsid w:val="00C10AD4"/>
    <w:rsid w:val="00C10DEF"/>
    <w:rsid w:val="00C11414"/>
    <w:rsid w:val="00C11485"/>
    <w:rsid w:val="00C1175D"/>
    <w:rsid w:val="00C1178E"/>
    <w:rsid w:val="00C117E5"/>
    <w:rsid w:val="00C11DCC"/>
    <w:rsid w:val="00C122A2"/>
    <w:rsid w:val="00C12881"/>
    <w:rsid w:val="00C130F9"/>
    <w:rsid w:val="00C131C8"/>
    <w:rsid w:val="00C1366E"/>
    <w:rsid w:val="00C13957"/>
    <w:rsid w:val="00C13EC1"/>
    <w:rsid w:val="00C144BB"/>
    <w:rsid w:val="00C1557A"/>
    <w:rsid w:val="00C15665"/>
    <w:rsid w:val="00C15CE1"/>
    <w:rsid w:val="00C162C4"/>
    <w:rsid w:val="00C1643A"/>
    <w:rsid w:val="00C1660A"/>
    <w:rsid w:val="00C168E7"/>
    <w:rsid w:val="00C16913"/>
    <w:rsid w:val="00C169F9"/>
    <w:rsid w:val="00C17484"/>
    <w:rsid w:val="00C1766D"/>
    <w:rsid w:val="00C1781E"/>
    <w:rsid w:val="00C17978"/>
    <w:rsid w:val="00C17A76"/>
    <w:rsid w:val="00C17AEA"/>
    <w:rsid w:val="00C17BD1"/>
    <w:rsid w:val="00C17E74"/>
    <w:rsid w:val="00C20333"/>
    <w:rsid w:val="00C205D8"/>
    <w:rsid w:val="00C2090F"/>
    <w:rsid w:val="00C209DF"/>
    <w:rsid w:val="00C20DF6"/>
    <w:rsid w:val="00C20E48"/>
    <w:rsid w:val="00C21280"/>
    <w:rsid w:val="00C21322"/>
    <w:rsid w:val="00C2141C"/>
    <w:rsid w:val="00C21466"/>
    <w:rsid w:val="00C2189F"/>
    <w:rsid w:val="00C218DB"/>
    <w:rsid w:val="00C22166"/>
    <w:rsid w:val="00C22397"/>
    <w:rsid w:val="00C227FA"/>
    <w:rsid w:val="00C22CD5"/>
    <w:rsid w:val="00C23133"/>
    <w:rsid w:val="00C2348A"/>
    <w:rsid w:val="00C2379C"/>
    <w:rsid w:val="00C23861"/>
    <w:rsid w:val="00C2389E"/>
    <w:rsid w:val="00C2391B"/>
    <w:rsid w:val="00C24535"/>
    <w:rsid w:val="00C246CD"/>
    <w:rsid w:val="00C24C31"/>
    <w:rsid w:val="00C25064"/>
    <w:rsid w:val="00C258B5"/>
    <w:rsid w:val="00C25B98"/>
    <w:rsid w:val="00C26319"/>
    <w:rsid w:val="00C26564"/>
    <w:rsid w:val="00C26B32"/>
    <w:rsid w:val="00C26CF6"/>
    <w:rsid w:val="00C26E82"/>
    <w:rsid w:val="00C2716D"/>
    <w:rsid w:val="00C2797E"/>
    <w:rsid w:val="00C27988"/>
    <w:rsid w:val="00C27992"/>
    <w:rsid w:val="00C27ADA"/>
    <w:rsid w:val="00C27C27"/>
    <w:rsid w:val="00C302FE"/>
    <w:rsid w:val="00C30381"/>
    <w:rsid w:val="00C307E8"/>
    <w:rsid w:val="00C30E18"/>
    <w:rsid w:val="00C31844"/>
    <w:rsid w:val="00C318E7"/>
    <w:rsid w:val="00C31C2F"/>
    <w:rsid w:val="00C31CDC"/>
    <w:rsid w:val="00C3263D"/>
    <w:rsid w:val="00C3283C"/>
    <w:rsid w:val="00C32A33"/>
    <w:rsid w:val="00C32EA9"/>
    <w:rsid w:val="00C32F85"/>
    <w:rsid w:val="00C33152"/>
    <w:rsid w:val="00C3321E"/>
    <w:rsid w:val="00C33595"/>
    <w:rsid w:val="00C33656"/>
    <w:rsid w:val="00C3367C"/>
    <w:rsid w:val="00C3384B"/>
    <w:rsid w:val="00C343F5"/>
    <w:rsid w:val="00C34477"/>
    <w:rsid w:val="00C34FC7"/>
    <w:rsid w:val="00C35731"/>
    <w:rsid w:val="00C3576E"/>
    <w:rsid w:val="00C35CA6"/>
    <w:rsid w:val="00C35D22"/>
    <w:rsid w:val="00C36285"/>
    <w:rsid w:val="00C36624"/>
    <w:rsid w:val="00C37088"/>
    <w:rsid w:val="00C371E1"/>
    <w:rsid w:val="00C375E5"/>
    <w:rsid w:val="00C40618"/>
    <w:rsid w:val="00C406AC"/>
    <w:rsid w:val="00C40751"/>
    <w:rsid w:val="00C410E8"/>
    <w:rsid w:val="00C4125A"/>
    <w:rsid w:val="00C414C4"/>
    <w:rsid w:val="00C41C50"/>
    <w:rsid w:val="00C41CD4"/>
    <w:rsid w:val="00C41F1C"/>
    <w:rsid w:val="00C425E1"/>
    <w:rsid w:val="00C426E8"/>
    <w:rsid w:val="00C42955"/>
    <w:rsid w:val="00C42AFA"/>
    <w:rsid w:val="00C42D35"/>
    <w:rsid w:val="00C4336A"/>
    <w:rsid w:val="00C4337C"/>
    <w:rsid w:val="00C435FD"/>
    <w:rsid w:val="00C43AA1"/>
    <w:rsid w:val="00C43BDD"/>
    <w:rsid w:val="00C44930"/>
    <w:rsid w:val="00C44D05"/>
    <w:rsid w:val="00C44E71"/>
    <w:rsid w:val="00C453D9"/>
    <w:rsid w:val="00C454F3"/>
    <w:rsid w:val="00C45B99"/>
    <w:rsid w:val="00C46035"/>
    <w:rsid w:val="00C461D1"/>
    <w:rsid w:val="00C461DE"/>
    <w:rsid w:val="00C463BC"/>
    <w:rsid w:val="00C46746"/>
    <w:rsid w:val="00C46B42"/>
    <w:rsid w:val="00C46EF8"/>
    <w:rsid w:val="00C46FE5"/>
    <w:rsid w:val="00C47613"/>
    <w:rsid w:val="00C47649"/>
    <w:rsid w:val="00C47D84"/>
    <w:rsid w:val="00C47ECA"/>
    <w:rsid w:val="00C5010A"/>
    <w:rsid w:val="00C50283"/>
    <w:rsid w:val="00C5029F"/>
    <w:rsid w:val="00C50587"/>
    <w:rsid w:val="00C51C8D"/>
    <w:rsid w:val="00C521E5"/>
    <w:rsid w:val="00C524BD"/>
    <w:rsid w:val="00C526EF"/>
    <w:rsid w:val="00C52A88"/>
    <w:rsid w:val="00C531EE"/>
    <w:rsid w:val="00C534C4"/>
    <w:rsid w:val="00C53B80"/>
    <w:rsid w:val="00C540A3"/>
    <w:rsid w:val="00C54113"/>
    <w:rsid w:val="00C5426D"/>
    <w:rsid w:val="00C5431A"/>
    <w:rsid w:val="00C5452A"/>
    <w:rsid w:val="00C5472C"/>
    <w:rsid w:val="00C54DDE"/>
    <w:rsid w:val="00C55EA1"/>
    <w:rsid w:val="00C56017"/>
    <w:rsid w:val="00C56718"/>
    <w:rsid w:val="00C56820"/>
    <w:rsid w:val="00C56988"/>
    <w:rsid w:val="00C575D7"/>
    <w:rsid w:val="00C5772C"/>
    <w:rsid w:val="00C57A0B"/>
    <w:rsid w:val="00C57A39"/>
    <w:rsid w:val="00C57C86"/>
    <w:rsid w:val="00C605FE"/>
    <w:rsid w:val="00C60908"/>
    <w:rsid w:val="00C61834"/>
    <w:rsid w:val="00C61997"/>
    <w:rsid w:val="00C61D29"/>
    <w:rsid w:val="00C62B7A"/>
    <w:rsid w:val="00C62F2F"/>
    <w:rsid w:val="00C639DF"/>
    <w:rsid w:val="00C65308"/>
    <w:rsid w:val="00C654F5"/>
    <w:rsid w:val="00C6581C"/>
    <w:rsid w:val="00C65C6E"/>
    <w:rsid w:val="00C666C7"/>
    <w:rsid w:val="00C66A27"/>
    <w:rsid w:val="00C66A71"/>
    <w:rsid w:val="00C66DC1"/>
    <w:rsid w:val="00C6712C"/>
    <w:rsid w:val="00C67310"/>
    <w:rsid w:val="00C6749D"/>
    <w:rsid w:val="00C678A0"/>
    <w:rsid w:val="00C678AB"/>
    <w:rsid w:val="00C67D7D"/>
    <w:rsid w:val="00C70463"/>
    <w:rsid w:val="00C70E72"/>
    <w:rsid w:val="00C712E8"/>
    <w:rsid w:val="00C71F2E"/>
    <w:rsid w:val="00C720F3"/>
    <w:rsid w:val="00C72392"/>
    <w:rsid w:val="00C72603"/>
    <w:rsid w:val="00C73131"/>
    <w:rsid w:val="00C731CF"/>
    <w:rsid w:val="00C734D6"/>
    <w:rsid w:val="00C73A0E"/>
    <w:rsid w:val="00C73B97"/>
    <w:rsid w:val="00C74056"/>
    <w:rsid w:val="00C743BF"/>
    <w:rsid w:val="00C74C69"/>
    <w:rsid w:val="00C75071"/>
    <w:rsid w:val="00C75542"/>
    <w:rsid w:val="00C76AF8"/>
    <w:rsid w:val="00C77763"/>
    <w:rsid w:val="00C77AF5"/>
    <w:rsid w:val="00C77B07"/>
    <w:rsid w:val="00C77D54"/>
    <w:rsid w:val="00C77E37"/>
    <w:rsid w:val="00C806B7"/>
    <w:rsid w:val="00C80917"/>
    <w:rsid w:val="00C809C5"/>
    <w:rsid w:val="00C80CD0"/>
    <w:rsid w:val="00C81AE0"/>
    <w:rsid w:val="00C81F07"/>
    <w:rsid w:val="00C82188"/>
    <w:rsid w:val="00C82316"/>
    <w:rsid w:val="00C82338"/>
    <w:rsid w:val="00C824C6"/>
    <w:rsid w:val="00C825AA"/>
    <w:rsid w:val="00C827F7"/>
    <w:rsid w:val="00C828E4"/>
    <w:rsid w:val="00C83238"/>
    <w:rsid w:val="00C83311"/>
    <w:rsid w:val="00C8349F"/>
    <w:rsid w:val="00C8379D"/>
    <w:rsid w:val="00C8387B"/>
    <w:rsid w:val="00C84527"/>
    <w:rsid w:val="00C84E2B"/>
    <w:rsid w:val="00C85162"/>
    <w:rsid w:val="00C857FF"/>
    <w:rsid w:val="00C859C7"/>
    <w:rsid w:val="00C85B96"/>
    <w:rsid w:val="00C85D8F"/>
    <w:rsid w:val="00C877A9"/>
    <w:rsid w:val="00C87F5B"/>
    <w:rsid w:val="00C90AA8"/>
    <w:rsid w:val="00C90DF7"/>
    <w:rsid w:val="00C9123F"/>
    <w:rsid w:val="00C9180F"/>
    <w:rsid w:val="00C91864"/>
    <w:rsid w:val="00C91BD3"/>
    <w:rsid w:val="00C92A98"/>
    <w:rsid w:val="00C93B39"/>
    <w:rsid w:val="00C94275"/>
    <w:rsid w:val="00C948B2"/>
    <w:rsid w:val="00C94A38"/>
    <w:rsid w:val="00C94C42"/>
    <w:rsid w:val="00C94DCC"/>
    <w:rsid w:val="00C95113"/>
    <w:rsid w:val="00C95342"/>
    <w:rsid w:val="00C95347"/>
    <w:rsid w:val="00C958A0"/>
    <w:rsid w:val="00C959F7"/>
    <w:rsid w:val="00C95C03"/>
    <w:rsid w:val="00C96DEC"/>
    <w:rsid w:val="00C96DF3"/>
    <w:rsid w:val="00C96F36"/>
    <w:rsid w:val="00C96FA1"/>
    <w:rsid w:val="00C970CE"/>
    <w:rsid w:val="00C970E6"/>
    <w:rsid w:val="00C97705"/>
    <w:rsid w:val="00CA08AB"/>
    <w:rsid w:val="00CA0908"/>
    <w:rsid w:val="00CA0CFB"/>
    <w:rsid w:val="00CA1164"/>
    <w:rsid w:val="00CA1FDF"/>
    <w:rsid w:val="00CA2138"/>
    <w:rsid w:val="00CA2772"/>
    <w:rsid w:val="00CA2968"/>
    <w:rsid w:val="00CA328C"/>
    <w:rsid w:val="00CA3669"/>
    <w:rsid w:val="00CA38D3"/>
    <w:rsid w:val="00CA3CF9"/>
    <w:rsid w:val="00CA3DBF"/>
    <w:rsid w:val="00CA485E"/>
    <w:rsid w:val="00CA48D1"/>
    <w:rsid w:val="00CA511C"/>
    <w:rsid w:val="00CA5F69"/>
    <w:rsid w:val="00CA62DB"/>
    <w:rsid w:val="00CA6E60"/>
    <w:rsid w:val="00CA7527"/>
    <w:rsid w:val="00CA75F0"/>
    <w:rsid w:val="00CA75F9"/>
    <w:rsid w:val="00CB0F47"/>
    <w:rsid w:val="00CB0F84"/>
    <w:rsid w:val="00CB1392"/>
    <w:rsid w:val="00CB1593"/>
    <w:rsid w:val="00CB203F"/>
    <w:rsid w:val="00CB3102"/>
    <w:rsid w:val="00CB3719"/>
    <w:rsid w:val="00CB40AA"/>
    <w:rsid w:val="00CB4143"/>
    <w:rsid w:val="00CB478B"/>
    <w:rsid w:val="00CB48FC"/>
    <w:rsid w:val="00CB57CF"/>
    <w:rsid w:val="00CB5D63"/>
    <w:rsid w:val="00CB5DD2"/>
    <w:rsid w:val="00CB5F0B"/>
    <w:rsid w:val="00CB60B0"/>
    <w:rsid w:val="00CB64EA"/>
    <w:rsid w:val="00CB7831"/>
    <w:rsid w:val="00CB79D7"/>
    <w:rsid w:val="00CB7F49"/>
    <w:rsid w:val="00CB7F95"/>
    <w:rsid w:val="00CC0150"/>
    <w:rsid w:val="00CC0AE0"/>
    <w:rsid w:val="00CC1604"/>
    <w:rsid w:val="00CC19AC"/>
    <w:rsid w:val="00CC1E4C"/>
    <w:rsid w:val="00CC1E63"/>
    <w:rsid w:val="00CC22B6"/>
    <w:rsid w:val="00CC24F0"/>
    <w:rsid w:val="00CC2B0F"/>
    <w:rsid w:val="00CC2F3A"/>
    <w:rsid w:val="00CC2F93"/>
    <w:rsid w:val="00CC3317"/>
    <w:rsid w:val="00CC3B79"/>
    <w:rsid w:val="00CC3E5D"/>
    <w:rsid w:val="00CC4522"/>
    <w:rsid w:val="00CC4611"/>
    <w:rsid w:val="00CC4E3F"/>
    <w:rsid w:val="00CC4EAF"/>
    <w:rsid w:val="00CC511E"/>
    <w:rsid w:val="00CC5645"/>
    <w:rsid w:val="00CC6315"/>
    <w:rsid w:val="00CC697F"/>
    <w:rsid w:val="00CC6D6D"/>
    <w:rsid w:val="00CC71F0"/>
    <w:rsid w:val="00CC7467"/>
    <w:rsid w:val="00CC778D"/>
    <w:rsid w:val="00CC78CD"/>
    <w:rsid w:val="00CC7BAE"/>
    <w:rsid w:val="00CC7D67"/>
    <w:rsid w:val="00CD06C7"/>
    <w:rsid w:val="00CD0CE8"/>
    <w:rsid w:val="00CD2175"/>
    <w:rsid w:val="00CD2DED"/>
    <w:rsid w:val="00CD3064"/>
    <w:rsid w:val="00CD35EF"/>
    <w:rsid w:val="00CD3B3F"/>
    <w:rsid w:val="00CD4866"/>
    <w:rsid w:val="00CD4F0B"/>
    <w:rsid w:val="00CD50C2"/>
    <w:rsid w:val="00CD540C"/>
    <w:rsid w:val="00CD5623"/>
    <w:rsid w:val="00CD5826"/>
    <w:rsid w:val="00CD5855"/>
    <w:rsid w:val="00CD5A5B"/>
    <w:rsid w:val="00CD5BC4"/>
    <w:rsid w:val="00CD620B"/>
    <w:rsid w:val="00CD6714"/>
    <w:rsid w:val="00CD67E0"/>
    <w:rsid w:val="00CD6E0E"/>
    <w:rsid w:val="00CD72BC"/>
    <w:rsid w:val="00CD7B2F"/>
    <w:rsid w:val="00CE0229"/>
    <w:rsid w:val="00CE0813"/>
    <w:rsid w:val="00CE0DC4"/>
    <w:rsid w:val="00CE125F"/>
    <w:rsid w:val="00CE17AB"/>
    <w:rsid w:val="00CE1D25"/>
    <w:rsid w:val="00CE1F75"/>
    <w:rsid w:val="00CE1FA6"/>
    <w:rsid w:val="00CE2658"/>
    <w:rsid w:val="00CE2823"/>
    <w:rsid w:val="00CE2834"/>
    <w:rsid w:val="00CE28A8"/>
    <w:rsid w:val="00CE386C"/>
    <w:rsid w:val="00CE3B45"/>
    <w:rsid w:val="00CE3E93"/>
    <w:rsid w:val="00CE3F92"/>
    <w:rsid w:val="00CE4027"/>
    <w:rsid w:val="00CE4054"/>
    <w:rsid w:val="00CE4086"/>
    <w:rsid w:val="00CE49B5"/>
    <w:rsid w:val="00CE4BAA"/>
    <w:rsid w:val="00CE4E8B"/>
    <w:rsid w:val="00CE5016"/>
    <w:rsid w:val="00CE52A1"/>
    <w:rsid w:val="00CE62FA"/>
    <w:rsid w:val="00CE6307"/>
    <w:rsid w:val="00CE666E"/>
    <w:rsid w:val="00CE6C15"/>
    <w:rsid w:val="00CE6CE3"/>
    <w:rsid w:val="00CE758F"/>
    <w:rsid w:val="00CE77B6"/>
    <w:rsid w:val="00CE787D"/>
    <w:rsid w:val="00CE788E"/>
    <w:rsid w:val="00CE7AF8"/>
    <w:rsid w:val="00CE7F1E"/>
    <w:rsid w:val="00CF0409"/>
    <w:rsid w:val="00CF05BB"/>
    <w:rsid w:val="00CF063F"/>
    <w:rsid w:val="00CF0C17"/>
    <w:rsid w:val="00CF0F77"/>
    <w:rsid w:val="00CF277B"/>
    <w:rsid w:val="00CF2813"/>
    <w:rsid w:val="00CF2F9E"/>
    <w:rsid w:val="00CF3360"/>
    <w:rsid w:val="00CF3522"/>
    <w:rsid w:val="00CF3540"/>
    <w:rsid w:val="00CF3D63"/>
    <w:rsid w:val="00CF427F"/>
    <w:rsid w:val="00CF4B41"/>
    <w:rsid w:val="00CF4BDC"/>
    <w:rsid w:val="00CF4C89"/>
    <w:rsid w:val="00CF4DB0"/>
    <w:rsid w:val="00CF55FE"/>
    <w:rsid w:val="00CF5C7E"/>
    <w:rsid w:val="00CF5C9F"/>
    <w:rsid w:val="00CF6A9D"/>
    <w:rsid w:val="00CF6BF4"/>
    <w:rsid w:val="00CF6DC7"/>
    <w:rsid w:val="00CF6F46"/>
    <w:rsid w:val="00CF6F99"/>
    <w:rsid w:val="00CF7012"/>
    <w:rsid w:val="00CF7116"/>
    <w:rsid w:val="00CF72FF"/>
    <w:rsid w:val="00CF76E1"/>
    <w:rsid w:val="00CF7815"/>
    <w:rsid w:val="00CF797E"/>
    <w:rsid w:val="00CF7F5F"/>
    <w:rsid w:val="00D00186"/>
    <w:rsid w:val="00D005B4"/>
    <w:rsid w:val="00D0085B"/>
    <w:rsid w:val="00D00C67"/>
    <w:rsid w:val="00D012BD"/>
    <w:rsid w:val="00D01529"/>
    <w:rsid w:val="00D0231E"/>
    <w:rsid w:val="00D024EA"/>
    <w:rsid w:val="00D02658"/>
    <w:rsid w:val="00D02688"/>
    <w:rsid w:val="00D02863"/>
    <w:rsid w:val="00D028DF"/>
    <w:rsid w:val="00D02D07"/>
    <w:rsid w:val="00D02ECA"/>
    <w:rsid w:val="00D03607"/>
    <w:rsid w:val="00D0372F"/>
    <w:rsid w:val="00D03D01"/>
    <w:rsid w:val="00D0434C"/>
    <w:rsid w:val="00D04490"/>
    <w:rsid w:val="00D04539"/>
    <w:rsid w:val="00D04A91"/>
    <w:rsid w:val="00D04AE7"/>
    <w:rsid w:val="00D05329"/>
    <w:rsid w:val="00D054F1"/>
    <w:rsid w:val="00D05543"/>
    <w:rsid w:val="00D055BC"/>
    <w:rsid w:val="00D063E4"/>
    <w:rsid w:val="00D0670E"/>
    <w:rsid w:val="00D06885"/>
    <w:rsid w:val="00D069AF"/>
    <w:rsid w:val="00D06C34"/>
    <w:rsid w:val="00D06C81"/>
    <w:rsid w:val="00D06E45"/>
    <w:rsid w:val="00D06F5C"/>
    <w:rsid w:val="00D074A9"/>
    <w:rsid w:val="00D07EC9"/>
    <w:rsid w:val="00D104BF"/>
    <w:rsid w:val="00D1069F"/>
    <w:rsid w:val="00D106A6"/>
    <w:rsid w:val="00D1075F"/>
    <w:rsid w:val="00D107CD"/>
    <w:rsid w:val="00D10A71"/>
    <w:rsid w:val="00D114C0"/>
    <w:rsid w:val="00D11608"/>
    <w:rsid w:val="00D11DC3"/>
    <w:rsid w:val="00D11FAA"/>
    <w:rsid w:val="00D11FF7"/>
    <w:rsid w:val="00D1202C"/>
    <w:rsid w:val="00D12163"/>
    <w:rsid w:val="00D12683"/>
    <w:rsid w:val="00D129DE"/>
    <w:rsid w:val="00D12A84"/>
    <w:rsid w:val="00D12D19"/>
    <w:rsid w:val="00D12DFE"/>
    <w:rsid w:val="00D13439"/>
    <w:rsid w:val="00D137B9"/>
    <w:rsid w:val="00D13F25"/>
    <w:rsid w:val="00D1425B"/>
    <w:rsid w:val="00D1540F"/>
    <w:rsid w:val="00D15A3F"/>
    <w:rsid w:val="00D15B3B"/>
    <w:rsid w:val="00D15CBA"/>
    <w:rsid w:val="00D16021"/>
    <w:rsid w:val="00D1603D"/>
    <w:rsid w:val="00D160FF"/>
    <w:rsid w:val="00D1618A"/>
    <w:rsid w:val="00D16634"/>
    <w:rsid w:val="00D1692F"/>
    <w:rsid w:val="00D16D53"/>
    <w:rsid w:val="00D16E16"/>
    <w:rsid w:val="00D171E0"/>
    <w:rsid w:val="00D17444"/>
    <w:rsid w:val="00D20296"/>
    <w:rsid w:val="00D2084C"/>
    <w:rsid w:val="00D2112F"/>
    <w:rsid w:val="00D21B4F"/>
    <w:rsid w:val="00D21D99"/>
    <w:rsid w:val="00D21E68"/>
    <w:rsid w:val="00D21EE8"/>
    <w:rsid w:val="00D221CE"/>
    <w:rsid w:val="00D223F4"/>
    <w:rsid w:val="00D232F3"/>
    <w:rsid w:val="00D23472"/>
    <w:rsid w:val="00D2347B"/>
    <w:rsid w:val="00D2378E"/>
    <w:rsid w:val="00D24570"/>
    <w:rsid w:val="00D24917"/>
    <w:rsid w:val="00D2494D"/>
    <w:rsid w:val="00D2564F"/>
    <w:rsid w:val="00D25663"/>
    <w:rsid w:val="00D25B88"/>
    <w:rsid w:val="00D26116"/>
    <w:rsid w:val="00D2629A"/>
    <w:rsid w:val="00D264CC"/>
    <w:rsid w:val="00D264ED"/>
    <w:rsid w:val="00D26E1C"/>
    <w:rsid w:val="00D26EDC"/>
    <w:rsid w:val="00D27751"/>
    <w:rsid w:val="00D30DE3"/>
    <w:rsid w:val="00D3118A"/>
    <w:rsid w:val="00D313DB"/>
    <w:rsid w:val="00D31680"/>
    <w:rsid w:val="00D31782"/>
    <w:rsid w:val="00D3218D"/>
    <w:rsid w:val="00D32882"/>
    <w:rsid w:val="00D32FFD"/>
    <w:rsid w:val="00D330D8"/>
    <w:rsid w:val="00D33373"/>
    <w:rsid w:val="00D3368F"/>
    <w:rsid w:val="00D337BB"/>
    <w:rsid w:val="00D33E9B"/>
    <w:rsid w:val="00D347FA"/>
    <w:rsid w:val="00D34AA5"/>
    <w:rsid w:val="00D34AFA"/>
    <w:rsid w:val="00D34FF4"/>
    <w:rsid w:val="00D3519D"/>
    <w:rsid w:val="00D3594C"/>
    <w:rsid w:val="00D35B39"/>
    <w:rsid w:val="00D363E0"/>
    <w:rsid w:val="00D3669A"/>
    <w:rsid w:val="00D36BB2"/>
    <w:rsid w:val="00D36FB3"/>
    <w:rsid w:val="00D3719F"/>
    <w:rsid w:val="00D37C45"/>
    <w:rsid w:val="00D40166"/>
    <w:rsid w:val="00D4023C"/>
    <w:rsid w:val="00D40301"/>
    <w:rsid w:val="00D40415"/>
    <w:rsid w:val="00D4080A"/>
    <w:rsid w:val="00D409DA"/>
    <w:rsid w:val="00D41342"/>
    <w:rsid w:val="00D41770"/>
    <w:rsid w:val="00D41C85"/>
    <w:rsid w:val="00D41EF1"/>
    <w:rsid w:val="00D420EE"/>
    <w:rsid w:val="00D425F5"/>
    <w:rsid w:val="00D4280A"/>
    <w:rsid w:val="00D428B4"/>
    <w:rsid w:val="00D42999"/>
    <w:rsid w:val="00D42AB0"/>
    <w:rsid w:val="00D4305D"/>
    <w:rsid w:val="00D43334"/>
    <w:rsid w:val="00D433BC"/>
    <w:rsid w:val="00D43667"/>
    <w:rsid w:val="00D4379A"/>
    <w:rsid w:val="00D43A5C"/>
    <w:rsid w:val="00D43F65"/>
    <w:rsid w:val="00D440DE"/>
    <w:rsid w:val="00D44AE2"/>
    <w:rsid w:val="00D44B66"/>
    <w:rsid w:val="00D44EEA"/>
    <w:rsid w:val="00D44F53"/>
    <w:rsid w:val="00D44F90"/>
    <w:rsid w:val="00D4501D"/>
    <w:rsid w:val="00D4594B"/>
    <w:rsid w:val="00D46083"/>
    <w:rsid w:val="00D466AC"/>
    <w:rsid w:val="00D46B13"/>
    <w:rsid w:val="00D46D06"/>
    <w:rsid w:val="00D477E6"/>
    <w:rsid w:val="00D47B15"/>
    <w:rsid w:val="00D47C20"/>
    <w:rsid w:val="00D50A86"/>
    <w:rsid w:val="00D50D54"/>
    <w:rsid w:val="00D50FE3"/>
    <w:rsid w:val="00D50FED"/>
    <w:rsid w:val="00D51352"/>
    <w:rsid w:val="00D51A39"/>
    <w:rsid w:val="00D51AD1"/>
    <w:rsid w:val="00D52A34"/>
    <w:rsid w:val="00D52B9D"/>
    <w:rsid w:val="00D52CB2"/>
    <w:rsid w:val="00D52CC4"/>
    <w:rsid w:val="00D5313D"/>
    <w:rsid w:val="00D53723"/>
    <w:rsid w:val="00D53F64"/>
    <w:rsid w:val="00D54181"/>
    <w:rsid w:val="00D54ACC"/>
    <w:rsid w:val="00D557DE"/>
    <w:rsid w:val="00D5611E"/>
    <w:rsid w:val="00D5643E"/>
    <w:rsid w:val="00D5645F"/>
    <w:rsid w:val="00D5649C"/>
    <w:rsid w:val="00D5656B"/>
    <w:rsid w:val="00D56AA8"/>
    <w:rsid w:val="00D56F98"/>
    <w:rsid w:val="00D5710D"/>
    <w:rsid w:val="00D57312"/>
    <w:rsid w:val="00D60364"/>
    <w:rsid w:val="00D6099C"/>
    <w:rsid w:val="00D613FD"/>
    <w:rsid w:val="00D6205A"/>
    <w:rsid w:val="00D625D0"/>
    <w:rsid w:val="00D62628"/>
    <w:rsid w:val="00D62A58"/>
    <w:rsid w:val="00D62BCE"/>
    <w:rsid w:val="00D62E7D"/>
    <w:rsid w:val="00D63060"/>
    <w:rsid w:val="00D632D5"/>
    <w:rsid w:val="00D6354F"/>
    <w:rsid w:val="00D642A1"/>
    <w:rsid w:val="00D64444"/>
    <w:rsid w:val="00D64B1C"/>
    <w:rsid w:val="00D658CE"/>
    <w:rsid w:val="00D66359"/>
    <w:rsid w:val="00D6740A"/>
    <w:rsid w:val="00D67A79"/>
    <w:rsid w:val="00D67F2F"/>
    <w:rsid w:val="00D70519"/>
    <w:rsid w:val="00D70B1B"/>
    <w:rsid w:val="00D70EDD"/>
    <w:rsid w:val="00D70F2D"/>
    <w:rsid w:val="00D71091"/>
    <w:rsid w:val="00D710FF"/>
    <w:rsid w:val="00D71688"/>
    <w:rsid w:val="00D71701"/>
    <w:rsid w:val="00D71FC8"/>
    <w:rsid w:val="00D72AB7"/>
    <w:rsid w:val="00D72E77"/>
    <w:rsid w:val="00D72F19"/>
    <w:rsid w:val="00D732E5"/>
    <w:rsid w:val="00D734D3"/>
    <w:rsid w:val="00D73723"/>
    <w:rsid w:val="00D7386B"/>
    <w:rsid w:val="00D73FE3"/>
    <w:rsid w:val="00D74363"/>
    <w:rsid w:val="00D744F5"/>
    <w:rsid w:val="00D74B1C"/>
    <w:rsid w:val="00D74B49"/>
    <w:rsid w:val="00D74F95"/>
    <w:rsid w:val="00D750AB"/>
    <w:rsid w:val="00D75448"/>
    <w:rsid w:val="00D75BEC"/>
    <w:rsid w:val="00D7674F"/>
    <w:rsid w:val="00D76F3D"/>
    <w:rsid w:val="00D770DD"/>
    <w:rsid w:val="00D7718B"/>
    <w:rsid w:val="00D7779E"/>
    <w:rsid w:val="00D77908"/>
    <w:rsid w:val="00D77B04"/>
    <w:rsid w:val="00D77F02"/>
    <w:rsid w:val="00D800C1"/>
    <w:rsid w:val="00D80164"/>
    <w:rsid w:val="00D801EC"/>
    <w:rsid w:val="00D80299"/>
    <w:rsid w:val="00D805C4"/>
    <w:rsid w:val="00D80EFF"/>
    <w:rsid w:val="00D81218"/>
    <w:rsid w:val="00D81488"/>
    <w:rsid w:val="00D816B1"/>
    <w:rsid w:val="00D816EA"/>
    <w:rsid w:val="00D817CF"/>
    <w:rsid w:val="00D81E34"/>
    <w:rsid w:val="00D823DB"/>
    <w:rsid w:val="00D82F47"/>
    <w:rsid w:val="00D831A9"/>
    <w:rsid w:val="00D83DD4"/>
    <w:rsid w:val="00D83F8E"/>
    <w:rsid w:val="00D840A9"/>
    <w:rsid w:val="00D84592"/>
    <w:rsid w:val="00D84DAE"/>
    <w:rsid w:val="00D84EEF"/>
    <w:rsid w:val="00D85139"/>
    <w:rsid w:val="00D8516D"/>
    <w:rsid w:val="00D8544F"/>
    <w:rsid w:val="00D85521"/>
    <w:rsid w:val="00D861B1"/>
    <w:rsid w:val="00D86473"/>
    <w:rsid w:val="00D86576"/>
    <w:rsid w:val="00D868AF"/>
    <w:rsid w:val="00D86B2C"/>
    <w:rsid w:val="00D86B85"/>
    <w:rsid w:val="00D870DF"/>
    <w:rsid w:val="00D87294"/>
    <w:rsid w:val="00D8729A"/>
    <w:rsid w:val="00D87881"/>
    <w:rsid w:val="00D902D9"/>
    <w:rsid w:val="00D906C2"/>
    <w:rsid w:val="00D9084D"/>
    <w:rsid w:val="00D90861"/>
    <w:rsid w:val="00D911AC"/>
    <w:rsid w:val="00D919F9"/>
    <w:rsid w:val="00D91B57"/>
    <w:rsid w:val="00D91F41"/>
    <w:rsid w:val="00D9281C"/>
    <w:rsid w:val="00D92A91"/>
    <w:rsid w:val="00D92B4E"/>
    <w:rsid w:val="00D92D82"/>
    <w:rsid w:val="00D92F67"/>
    <w:rsid w:val="00D9364E"/>
    <w:rsid w:val="00D93C2C"/>
    <w:rsid w:val="00D947C5"/>
    <w:rsid w:val="00D9515D"/>
    <w:rsid w:val="00D95388"/>
    <w:rsid w:val="00D955AA"/>
    <w:rsid w:val="00D9577B"/>
    <w:rsid w:val="00D96351"/>
    <w:rsid w:val="00D9637A"/>
    <w:rsid w:val="00D9652A"/>
    <w:rsid w:val="00D9657B"/>
    <w:rsid w:val="00D96B78"/>
    <w:rsid w:val="00D97B33"/>
    <w:rsid w:val="00D97DB8"/>
    <w:rsid w:val="00D97DEB"/>
    <w:rsid w:val="00D97EEC"/>
    <w:rsid w:val="00DA0199"/>
    <w:rsid w:val="00DA01BD"/>
    <w:rsid w:val="00DA027B"/>
    <w:rsid w:val="00DA0384"/>
    <w:rsid w:val="00DA0388"/>
    <w:rsid w:val="00DA0745"/>
    <w:rsid w:val="00DA1574"/>
    <w:rsid w:val="00DA1764"/>
    <w:rsid w:val="00DA1C8D"/>
    <w:rsid w:val="00DA1D0F"/>
    <w:rsid w:val="00DA1F32"/>
    <w:rsid w:val="00DA21E9"/>
    <w:rsid w:val="00DA22A9"/>
    <w:rsid w:val="00DA3CE6"/>
    <w:rsid w:val="00DA4401"/>
    <w:rsid w:val="00DA4E92"/>
    <w:rsid w:val="00DA5478"/>
    <w:rsid w:val="00DA5511"/>
    <w:rsid w:val="00DA58CB"/>
    <w:rsid w:val="00DA592E"/>
    <w:rsid w:val="00DA5CEF"/>
    <w:rsid w:val="00DA62BA"/>
    <w:rsid w:val="00DA67C1"/>
    <w:rsid w:val="00DA6B83"/>
    <w:rsid w:val="00DA6D0A"/>
    <w:rsid w:val="00DA7865"/>
    <w:rsid w:val="00DA79DC"/>
    <w:rsid w:val="00DA7F11"/>
    <w:rsid w:val="00DB011C"/>
    <w:rsid w:val="00DB017B"/>
    <w:rsid w:val="00DB110B"/>
    <w:rsid w:val="00DB146F"/>
    <w:rsid w:val="00DB18BF"/>
    <w:rsid w:val="00DB18F2"/>
    <w:rsid w:val="00DB20F4"/>
    <w:rsid w:val="00DB240A"/>
    <w:rsid w:val="00DB2426"/>
    <w:rsid w:val="00DB26AC"/>
    <w:rsid w:val="00DB2FB2"/>
    <w:rsid w:val="00DB33EE"/>
    <w:rsid w:val="00DB3A58"/>
    <w:rsid w:val="00DB4095"/>
    <w:rsid w:val="00DB4323"/>
    <w:rsid w:val="00DB4421"/>
    <w:rsid w:val="00DB46EB"/>
    <w:rsid w:val="00DB49FD"/>
    <w:rsid w:val="00DB4DAD"/>
    <w:rsid w:val="00DB5088"/>
    <w:rsid w:val="00DB568A"/>
    <w:rsid w:val="00DB5DD2"/>
    <w:rsid w:val="00DB5EAF"/>
    <w:rsid w:val="00DB6215"/>
    <w:rsid w:val="00DB65E8"/>
    <w:rsid w:val="00DB6E26"/>
    <w:rsid w:val="00DB712C"/>
    <w:rsid w:val="00DB7867"/>
    <w:rsid w:val="00DB790E"/>
    <w:rsid w:val="00DB7B2E"/>
    <w:rsid w:val="00DB7FBA"/>
    <w:rsid w:val="00DC0AE8"/>
    <w:rsid w:val="00DC115F"/>
    <w:rsid w:val="00DC187F"/>
    <w:rsid w:val="00DC1A8F"/>
    <w:rsid w:val="00DC1D3A"/>
    <w:rsid w:val="00DC1D6B"/>
    <w:rsid w:val="00DC245A"/>
    <w:rsid w:val="00DC2635"/>
    <w:rsid w:val="00DC2911"/>
    <w:rsid w:val="00DC2C4A"/>
    <w:rsid w:val="00DC2D8C"/>
    <w:rsid w:val="00DC331B"/>
    <w:rsid w:val="00DC34F3"/>
    <w:rsid w:val="00DC3735"/>
    <w:rsid w:val="00DC3EAB"/>
    <w:rsid w:val="00DC3F80"/>
    <w:rsid w:val="00DC4145"/>
    <w:rsid w:val="00DC51BB"/>
    <w:rsid w:val="00DC621B"/>
    <w:rsid w:val="00DC62D3"/>
    <w:rsid w:val="00DC631C"/>
    <w:rsid w:val="00DC6328"/>
    <w:rsid w:val="00DC6BC4"/>
    <w:rsid w:val="00DC6D90"/>
    <w:rsid w:val="00DC6F7F"/>
    <w:rsid w:val="00DC7021"/>
    <w:rsid w:val="00DC705B"/>
    <w:rsid w:val="00DC7A53"/>
    <w:rsid w:val="00DD0304"/>
    <w:rsid w:val="00DD0AC6"/>
    <w:rsid w:val="00DD0CF4"/>
    <w:rsid w:val="00DD0F5C"/>
    <w:rsid w:val="00DD0FF9"/>
    <w:rsid w:val="00DD1100"/>
    <w:rsid w:val="00DD1264"/>
    <w:rsid w:val="00DD1679"/>
    <w:rsid w:val="00DD18E8"/>
    <w:rsid w:val="00DD19CB"/>
    <w:rsid w:val="00DD1D19"/>
    <w:rsid w:val="00DD1DED"/>
    <w:rsid w:val="00DD2059"/>
    <w:rsid w:val="00DD230B"/>
    <w:rsid w:val="00DD24A2"/>
    <w:rsid w:val="00DD2816"/>
    <w:rsid w:val="00DD2961"/>
    <w:rsid w:val="00DD4172"/>
    <w:rsid w:val="00DD452A"/>
    <w:rsid w:val="00DD455F"/>
    <w:rsid w:val="00DD4614"/>
    <w:rsid w:val="00DD4EF9"/>
    <w:rsid w:val="00DD4F92"/>
    <w:rsid w:val="00DD546B"/>
    <w:rsid w:val="00DD74AD"/>
    <w:rsid w:val="00DD774F"/>
    <w:rsid w:val="00DE0435"/>
    <w:rsid w:val="00DE0832"/>
    <w:rsid w:val="00DE0A2A"/>
    <w:rsid w:val="00DE0AAE"/>
    <w:rsid w:val="00DE0CEB"/>
    <w:rsid w:val="00DE1097"/>
    <w:rsid w:val="00DE245E"/>
    <w:rsid w:val="00DE2894"/>
    <w:rsid w:val="00DE2896"/>
    <w:rsid w:val="00DE2D2E"/>
    <w:rsid w:val="00DE2EAD"/>
    <w:rsid w:val="00DE3002"/>
    <w:rsid w:val="00DE3196"/>
    <w:rsid w:val="00DE3436"/>
    <w:rsid w:val="00DE3F70"/>
    <w:rsid w:val="00DE43AC"/>
    <w:rsid w:val="00DE52C6"/>
    <w:rsid w:val="00DE5A85"/>
    <w:rsid w:val="00DE5B3F"/>
    <w:rsid w:val="00DE5BC6"/>
    <w:rsid w:val="00DE654D"/>
    <w:rsid w:val="00DE6989"/>
    <w:rsid w:val="00DE7349"/>
    <w:rsid w:val="00DE7454"/>
    <w:rsid w:val="00DE74C4"/>
    <w:rsid w:val="00DE7935"/>
    <w:rsid w:val="00DE7E0B"/>
    <w:rsid w:val="00DE7E68"/>
    <w:rsid w:val="00DE7F3A"/>
    <w:rsid w:val="00DF008B"/>
    <w:rsid w:val="00DF0295"/>
    <w:rsid w:val="00DF0EF1"/>
    <w:rsid w:val="00DF11B0"/>
    <w:rsid w:val="00DF11EA"/>
    <w:rsid w:val="00DF188D"/>
    <w:rsid w:val="00DF1D66"/>
    <w:rsid w:val="00DF1F65"/>
    <w:rsid w:val="00DF282F"/>
    <w:rsid w:val="00DF2AD0"/>
    <w:rsid w:val="00DF3167"/>
    <w:rsid w:val="00DF3587"/>
    <w:rsid w:val="00DF4816"/>
    <w:rsid w:val="00DF4B52"/>
    <w:rsid w:val="00DF5042"/>
    <w:rsid w:val="00DF5065"/>
    <w:rsid w:val="00DF5F07"/>
    <w:rsid w:val="00DF628B"/>
    <w:rsid w:val="00DF6679"/>
    <w:rsid w:val="00DF68D9"/>
    <w:rsid w:val="00DF6AD2"/>
    <w:rsid w:val="00DF6C46"/>
    <w:rsid w:val="00DF6DD7"/>
    <w:rsid w:val="00DF6E9F"/>
    <w:rsid w:val="00DF712C"/>
    <w:rsid w:val="00DF75EA"/>
    <w:rsid w:val="00DF7702"/>
    <w:rsid w:val="00DF7FD2"/>
    <w:rsid w:val="00E005FC"/>
    <w:rsid w:val="00E00676"/>
    <w:rsid w:val="00E00742"/>
    <w:rsid w:val="00E00847"/>
    <w:rsid w:val="00E00ABB"/>
    <w:rsid w:val="00E00B08"/>
    <w:rsid w:val="00E01854"/>
    <w:rsid w:val="00E01DEA"/>
    <w:rsid w:val="00E02011"/>
    <w:rsid w:val="00E030F4"/>
    <w:rsid w:val="00E0442C"/>
    <w:rsid w:val="00E04484"/>
    <w:rsid w:val="00E048BF"/>
    <w:rsid w:val="00E049E5"/>
    <w:rsid w:val="00E04A0C"/>
    <w:rsid w:val="00E04AC2"/>
    <w:rsid w:val="00E0539C"/>
    <w:rsid w:val="00E0551B"/>
    <w:rsid w:val="00E05DCB"/>
    <w:rsid w:val="00E063DD"/>
    <w:rsid w:val="00E06AC8"/>
    <w:rsid w:val="00E07A12"/>
    <w:rsid w:val="00E07C32"/>
    <w:rsid w:val="00E07E70"/>
    <w:rsid w:val="00E10B3C"/>
    <w:rsid w:val="00E110F2"/>
    <w:rsid w:val="00E11171"/>
    <w:rsid w:val="00E11419"/>
    <w:rsid w:val="00E11479"/>
    <w:rsid w:val="00E11689"/>
    <w:rsid w:val="00E126E8"/>
    <w:rsid w:val="00E129C9"/>
    <w:rsid w:val="00E12C04"/>
    <w:rsid w:val="00E13BA7"/>
    <w:rsid w:val="00E141AD"/>
    <w:rsid w:val="00E1442B"/>
    <w:rsid w:val="00E146A1"/>
    <w:rsid w:val="00E147DD"/>
    <w:rsid w:val="00E14DAE"/>
    <w:rsid w:val="00E151EE"/>
    <w:rsid w:val="00E15349"/>
    <w:rsid w:val="00E15BBE"/>
    <w:rsid w:val="00E167A3"/>
    <w:rsid w:val="00E16925"/>
    <w:rsid w:val="00E172AA"/>
    <w:rsid w:val="00E174FC"/>
    <w:rsid w:val="00E17CDD"/>
    <w:rsid w:val="00E17F58"/>
    <w:rsid w:val="00E20172"/>
    <w:rsid w:val="00E201ED"/>
    <w:rsid w:val="00E20789"/>
    <w:rsid w:val="00E20D0D"/>
    <w:rsid w:val="00E20DFB"/>
    <w:rsid w:val="00E2114F"/>
    <w:rsid w:val="00E21173"/>
    <w:rsid w:val="00E212F4"/>
    <w:rsid w:val="00E2147C"/>
    <w:rsid w:val="00E21490"/>
    <w:rsid w:val="00E21816"/>
    <w:rsid w:val="00E21B40"/>
    <w:rsid w:val="00E21E33"/>
    <w:rsid w:val="00E220E5"/>
    <w:rsid w:val="00E2214E"/>
    <w:rsid w:val="00E22627"/>
    <w:rsid w:val="00E22762"/>
    <w:rsid w:val="00E22B66"/>
    <w:rsid w:val="00E22DF0"/>
    <w:rsid w:val="00E232FE"/>
    <w:rsid w:val="00E23CFB"/>
    <w:rsid w:val="00E23DA3"/>
    <w:rsid w:val="00E2417A"/>
    <w:rsid w:val="00E2458F"/>
    <w:rsid w:val="00E246F6"/>
    <w:rsid w:val="00E253F0"/>
    <w:rsid w:val="00E25508"/>
    <w:rsid w:val="00E25CC9"/>
    <w:rsid w:val="00E264DA"/>
    <w:rsid w:val="00E26662"/>
    <w:rsid w:val="00E27223"/>
    <w:rsid w:val="00E274D7"/>
    <w:rsid w:val="00E276F1"/>
    <w:rsid w:val="00E27BAD"/>
    <w:rsid w:val="00E300CD"/>
    <w:rsid w:val="00E314D8"/>
    <w:rsid w:val="00E31CAF"/>
    <w:rsid w:val="00E31D40"/>
    <w:rsid w:val="00E31D52"/>
    <w:rsid w:val="00E32684"/>
    <w:rsid w:val="00E32D61"/>
    <w:rsid w:val="00E331D3"/>
    <w:rsid w:val="00E33355"/>
    <w:rsid w:val="00E33714"/>
    <w:rsid w:val="00E33738"/>
    <w:rsid w:val="00E33808"/>
    <w:rsid w:val="00E33E78"/>
    <w:rsid w:val="00E34855"/>
    <w:rsid w:val="00E34A3F"/>
    <w:rsid w:val="00E34B50"/>
    <w:rsid w:val="00E3534B"/>
    <w:rsid w:val="00E35529"/>
    <w:rsid w:val="00E3559B"/>
    <w:rsid w:val="00E35C1C"/>
    <w:rsid w:val="00E360A6"/>
    <w:rsid w:val="00E3622D"/>
    <w:rsid w:val="00E36416"/>
    <w:rsid w:val="00E36545"/>
    <w:rsid w:val="00E37271"/>
    <w:rsid w:val="00E3746D"/>
    <w:rsid w:val="00E377BD"/>
    <w:rsid w:val="00E406E9"/>
    <w:rsid w:val="00E407BA"/>
    <w:rsid w:val="00E408A5"/>
    <w:rsid w:val="00E40A5D"/>
    <w:rsid w:val="00E40BF2"/>
    <w:rsid w:val="00E413E0"/>
    <w:rsid w:val="00E42CE2"/>
    <w:rsid w:val="00E43A8D"/>
    <w:rsid w:val="00E43B19"/>
    <w:rsid w:val="00E43EAE"/>
    <w:rsid w:val="00E44012"/>
    <w:rsid w:val="00E45046"/>
    <w:rsid w:val="00E45250"/>
    <w:rsid w:val="00E46197"/>
    <w:rsid w:val="00E462B0"/>
    <w:rsid w:val="00E46E3D"/>
    <w:rsid w:val="00E47829"/>
    <w:rsid w:val="00E47946"/>
    <w:rsid w:val="00E47F62"/>
    <w:rsid w:val="00E507C2"/>
    <w:rsid w:val="00E508B4"/>
    <w:rsid w:val="00E50A99"/>
    <w:rsid w:val="00E50DC4"/>
    <w:rsid w:val="00E50E7A"/>
    <w:rsid w:val="00E510B7"/>
    <w:rsid w:val="00E5130E"/>
    <w:rsid w:val="00E51779"/>
    <w:rsid w:val="00E522B1"/>
    <w:rsid w:val="00E52357"/>
    <w:rsid w:val="00E52D84"/>
    <w:rsid w:val="00E52E25"/>
    <w:rsid w:val="00E52F03"/>
    <w:rsid w:val="00E5369D"/>
    <w:rsid w:val="00E538C0"/>
    <w:rsid w:val="00E53D76"/>
    <w:rsid w:val="00E53FA9"/>
    <w:rsid w:val="00E545E1"/>
    <w:rsid w:val="00E545E7"/>
    <w:rsid w:val="00E54B17"/>
    <w:rsid w:val="00E54DC5"/>
    <w:rsid w:val="00E55658"/>
    <w:rsid w:val="00E558E4"/>
    <w:rsid w:val="00E563B1"/>
    <w:rsid w:val="00E56464"/>
    <w:rsid w:val="00E56C1B"/>
    <w:rsid w:val="00E56E45"/>
    <w:rsid w:val="00E571AD"/>
    <w:rsid w:val="00E573A4"/>
    <w:rsid w:val="00E5744A"/>
    <w:rsid w:val="00E5761C"/>
    <w:rsid w:val="00E5784A"/>
    <w:rsid w:val="00E57EA7"/>
    <w:rsid w:val="00E6013A"/>
    <w:rsid w:val="00E6033A"/>
    <w:rsid w:val="00E6095F"/>
    <w:rsid w:val="00E6194A"/>
    <w:rsid w:val="00E61E17"/>
    <w:rsid w:val="00E61EB7"/>
    <w:rsid w:val="00E62106"/>
    <w:rsid w:val="00E6218B"/>
    <w:rsid w:val="00E626B5"/>
    <w:rsid w:val="00E633C6"/>
    <w:rsid w:val="00E63682"/>
    <w:rsid w:val="00E639CE"/>
    <w:rsid w:val="00E63A41"/>
    <w:rsid w:val="00E63DAB"/>
    <w:rsid w:val="00E63F9F"/>
    <w:rsid w:val="00E64E27"/>
    <w:rsid w:val="00E65679"/>
    <w:rsid w:val="00E65762"/>
    <w:rsid w:val="00E65A78"/>
    <w:rsid w:val="00E65D7E"/>
    <w:rsid w:val="00E67138"/>
    <w:rsid w:val="00E673E3"/>
    <w:rsid w:val="00E676F8"/>
    <w:rsid w:val="00E67E7E"/>
    <w:rsid w:val="00E7008F"/>
    <w:rsid w:val="00E70139"/>
    <w:rsid w:val="00E7072A"/>
    <w:rsid w:val="00E710BA"/>
    <w:rsid w:val="00E71C51"/>
    <w:rsid w:val="00E71F3F"/>
    <w:rsid w:val="00E722E1"/>
    <w:rsid w:val="00E725EA"/>
    <w:rsid w:val="00E73477"/>
    <w:rsid w:val="00E73F55"/>
    <w:rsid w:val="00E74CAC"/>
    <w:rsid w:val="00E74D7E"/>
    <w:rsid w:val="00E74DC9"/>
    <w:rsid w:val="00E74EB0"/>
    <w:rsid w:val="00E750E5"/>
    <w:rsid w:val="00E75CDC"/>
    <w:rsid w:val="00E76014"/>
    <w:rsid w:val="00E7602C"/>
    <w:rsid w:val="00E7672E"/>
    <w:rsid w:val="00E77334"/>
    <w:rsid w:val="00E7736D"/>
    <w:rsid w:val="00E776C5"/>
    <w:rsid w:val="00E77C22"/>
    <w:rsid w:val="00E8014C"/>
    <w:rsid w:val="00E8078F"/>
    <w:rsid w:val="00E80A83"/>
    <w:rsid w:val="00E81CB4"/>
    <w:rsid w:val="00E81D9F"/>
    <w:rsid w:val="00E81FD8"/>
    <w:rsid w:val="00E82611"/>
    <w:rsid w:val="00E82616"/>
    <w:rsid w:val="00E8270A"/>
    <w:rsid w:val="00E82871"/>
    <w:rsid w:val="00E82895"/>
    <w:rsid w:val="00E82A59"/>
    <w:rsid w:val="00E82A86"/>
    <w:rsid w:val="00E82F07"/>
    <w:rsid w:val="00E82F43"/>
    <w:rsid w:val="00E833E3"/>
    <w:rsid w:val="00E83629"/>
    <w:rsid w:val="00E83AC3"/>
    <w:rsid w:val="00E83E18"/>
    <w:rsid w:val="00E83F4C"/>
    <w:rsid w:val="00E84139"/>
    <w:rsid w:val="00E84504"/>
    <w:rsid w:val="00E84558"/>
    <w:rsid w:val="00E8462C"/>
    <w:rsid w:val="00E85359"/>
    <w:rsid w:val="00E854C9"/>
    <w:rsid w:val="00E85CF7"/>
    <w:rsid w:val="00E862CA"/>
    <w:rsid w:val="00E8654F"/>
    <w:rsid w:val="00E866A5"/>
    <w:rsid w:val="00E8698D"/>
    <w:rsid w:val="00E8757C"/>
    <w:rsid w:val="00E8764A"/>
    <w:rsid w:val="00E876C0"/>
    <w:rsid w:val="00E909CF"/>
    <w:rsid w:val="00E9129C"/>
    <w:rsid w:val="00E91557"/>
    <w:rsid w:val="00E91585"/>
    <w:rsid w:val="00E91E1A"/>
    <w:rsid w:val="00E920D4"/>
    <w:rsid w:val="00E925F8"/>
    <w:rsid w:val="00E927DD"/>
    <w:rsid w:val="00E92A8B"/>
    <w:rsid w:val="00E92FAB"/>
    <w:rsid w:val="00E9306B"/>
    <w:rsid w:val="00E93459"/>
    <w:rsid w:val="00E94145"/>
    <w:rsid w:val="00E949C3"/>
    <w:rsid w:val="00E9520E"/>
    <w:rsid w:val="00E95464"/>
    <w:rsid w:val="00E95E92"/>
    <w:rsid w:val="00E96481"/>
    <w:rsid w:val="00E9660D"/>
    <w:rsid w:val="00E96723"/>
    <w:rsid w:val="00E96F82"/>
    <w:rsid w:val="00E9704A"/>
    <w:rsid w:val="00E97541"/>
    <w:rsid w:val="00E97CA0"/>
    <w:rsid w:val="00EA01B7"/>
    <w:rsid w:val="00EA0AFB"/>
    <w:rsid w:val="00EA103F"/>
    <w:rsid w:val="00EA1301"/>
    <w:rsid w:val="00EA154B"/>
    <w:rsid w:val="00EA189B"/>
    <w:rsid w:val="00EA19BF"/>
    <w:rsid w:val="00EA259A"/>
    <w:rsid w:val="00EA2B79"/>
    <w:rsid w:val="00EA2E49"/>
    <w:rsid w:val="00EA2F1D"/>
    <w:rsid w:val="00EA33CF"/>
    <w:rsid w:val="00EA340F"/>
    <w:rsid w:val="00EA4583"/>
    <w:rsid w:val="00EA4A63"/>
    <w:rsid w:val="00EA4D28"/>
    <w:rsid w:val="00EA5407"/>
    <w:rsid w:val="00EA5436"/>
    <w:rsid w:val="00EA55BD"/>
    <w:rsid w:val="00EA55E0"/>
    <w:rsid w:val="00EA57F6"/>
    <w:rsid w:val="00EA580E"/>
    <w:rsid w:val="00EA6352"/>
    <w:rsid w:val="00EA66E5"/>
    <w:rsid w:val="00EA6D21"/>
    <w:rsid w:val="00EA706A"/>
    <w:rsid w:val="00EA7276"/>
    <w:rsid w:val="00EA7396"/>
    <w:rsid w:val="00EA7819"/>
    <w:rsid w:val="00EA796B"/>
    <w:rsid w:val="00EA79E5"/>
    <w:rsid w:val="00EB0EC8"/>
    <w:rsid w:val="00EB1335"/>
    <w:rsid w:val="00EB148F"/>
    <w:rsid w:val="00EB18C8"/>
    <w:rsid w:val="00EB2041"/>
    <w:rsid w:val="00EB23EC"/>
    <w:rsid w:val="00EB2470"/>
    <w:rsid w:val="00EB2CF2"/>
    <w:rsid w:val="00EB2F0E"/>
    <w:rsid w:val="00EB3572"/>
    <w:rsid w:val="00EB39F9"/>
    <w:rsid w:val="00EB3B91"/>
    <w:rsid w:val="00EB4812"/>
    <w:rsid w:val="00EB49DF"/>
    <w:rsid w:val="00EB5986"/>
    <w:rsid w:val="00EB5B30"/>
    <w:rsid w:val="00EB5D46"/>
    <w:rsid w:val="00EB5FE5"/>
    <w:rsid w:val="00EB608A"/>
    <w:rsid w:val="00EB615F"/>
    <w:rsid w:val="00EB6A76"/>
    <w:rsid w:val="00EB6F1E"/>
    <w:rsid w:val="00EB72E1"/>
    <w:rsid w:val="00EB741D"/>
    <w:rsid w:val="00EB784B"/>
    <w:rsid w:val="00EB785D"/>
    <w:rsid w:val="00EC005A"/>
    <w:rsid w:val="00EC01F8"/>
    <w:rsid w:val="00EC0847"/>
    <w:rsid w:val="00EC0B10"/>
    <w:rsid w:val="00EC0C5F"/>
    <w:rsid w:val="00EC0F62"/>
    <w:rsid w:val="00EC19F3"/>
    <w:rsid w:val="00EC232E"/>
    <w:rsid w:val="00EC271E"/>
    <w:rsid w:val="00EC32BD"/>
    <w:rsid w:val="00EC3B51"/>
    <w:rsid w:val="00EC3E7C"/>
    <w:rsid w:val="00EC44C8"/>
    <w:rsid w:val="00EC4BA8"/>
    <w:rsid w:val="00EC4FC2"/>
    <w:rsid w:val="00EC5128"/>
    <w:rsid w:val="00EC5796"/>
    <w:rsid w:val="00EC6049"/>
    <w:rsid w:val="00EC6281"/>
    <w:rsid w:val="00EC6893"/>
    <w:rsid w:val="00EC6B8A"/>
    <w:rsid w:val="00EC6F68"/>
    <w:rsid w:val="00EC78C7"/>
    <w:rsid w:val="00EC7EA2"/>
    <w:rsid w:val="00EC7FD6"/>
    <w:rsid w:val="00ED0091"/>
    <w:rsid w:val="00ED07D4"/>
    <w:rsid w:val="00ED0ABB"/>
    <w:rsid w:val="00ED1C36"/>
    <w:rsid w:val="00ED22FC"/>
    <w:rsid w:val="00ED27EC"/>
    <w:rsid w:val="00ED2899"/>
    <w:rsid w:val="00ED28AE"/>
    <w:rsid w:val="00ED2A2B"/>
    <w:rsid w:val="00ED3467"/>
    <w:rsid w:val="00ED34AF"/>
    <w:rsid w:val="00ED3764"/>
    <w:rsid w:val="00ED3CB5"/>
    <w:rsid w:val="00ED3ECB"/>
    <w:rsid w:val="00ED4185"/>
    <w:rsid w:val="00ED46D7"/>
    <w:rsid w:val="00ED4C1C"/>
    <w:rsid w:val="00ED4E99"/>
    <w:rsid w:val="00ED4FBB"/>
    <w:rsid w:val="00ED55F8"/>
    <w:rsid w:val="00ED56D0"/>
    <w:rsid w:val="00ED5A76"/>
    <w:rsid w:val="00ED5BE4"/>
    <w:rsid w:val="00ED5C99"/>
    <w:rsid w:val="00ED5D60"/>
    <w:rsid w:val="00ED6010"/>
    <w:rsid w:val="00ED62A9"/>
    <w:rsid w:val="00ED6862"/>
    <w:rsid w:val="00ED7674"/>
    <w:rsid w:val="00ED7812"/>
    <w:rsid w:val="00ED7C64"/>
    <w:rsid w:val="00ED7E3C"/>
    <w:rsid w:val="00ED7F21"/>
    <w:rsid w:val="00EE074C"/>
    <w:rsid w:val="00EE15ED"/>
    <w:rsid w:val="00EE1A6F"/>
    <w:rsid w:val="00EE2317"/>
    <w:rsid w:val="00EE2555"/>
    <w:rsid w:val="00EE34A8"/>
    <w:rsid w:val="00EE34ED"/>
    <w:rsid w:val="00EE3570"/>
    <w:rsid w:val="00EE3B8F"/>
    <w:rsid w:val="00EE3EF0"/>
    <w:rsid w:val="00EE50A8"/>
    <w:rsid w:val="00EE5308"/>
    <w:rsid w:val="00EE5539"/>
    <w:rsid w:val="00EE5903"/>
    <w:rsid w:val="00EE5E7B"/>
    <w:rsid w:val="00EE68FF"/>
    <w:rsid w:val="00EE6D85"/>
    <w:rsid w:val="00EE6EFA"/>
    <w:rsid w:val="00EE722E"/>
    <w:rsid w:val="00EE7824"/>
    <w:rsid w:val="00EE78A1"/>
    <w:rsid w:val="00EF06D9"/>
    <w:rsid w:val="00EF0971"/>
    <w:rsid w:val="00EF0D97"/>
    <w:rsid w:val="00EF0FA2"/>
    <w:rsid w:val="00EF1D57"/>
    <w:rsid w:val="00EF1FDE"/>
    <w:rsid w:val="00EF2366"/>
    <w:rsid w:val="00EF23BA"/>
    <w:rsid w:val="00EF3297"/>
    <w:rsid w:val="00EF34E3"/>
    <w:rsid w:val="00EF3543"/>
    <w:rsid w:val="00EF35AD"/>
    <w:rsid w:val="00EF39DE"/>
    <w:rsid w:val="00EF3D9C"/>
    <w:rsid w:val="00EF42DF"/>
    <w:rsid w:val="00EF435A"/>
    <w:rsid w:val="00EF44E5"/>
    <w:rsid w:val="00EF453D"/>
    <w:rsid w:val="00EF462D"/>
    <w:rsid w:val="00EF4857"/>
    <w:rsid w:val="00EF4D48"/>
    <w:rsid w:val="00EF5057"/>
    <w:rsid w:val="00EF54A8"/>
    <w:rsid w:val="00EF5628"/>
    <w:rsid w:val="00EF5779"/>
    <w:rsid w:val="00EF5E2D"/>
    <w:rsid w:val="00EF604F"/>
    <w:rsid w:val="00EF6162"/>
    <w:rsid w:val="00EF675E"/>
    <w:rsid w:val="00EF6BFD"/>
    <w:rsid w:val="00EF6F5A"/>
    <w:rsid w:val="00EF72D2"/>
    <w:rsid w:val="00EF7463"/>
    <w:rsid w:val="00EF7A11"/>
    <w:rsid w:val="00F00269"/>
    <w:rsid w:val="00F0043D"/>
    <w:rsid w:val="00F005DF"/>
    <w:rsid w:val="00F00B20"/>
    <w:rsid w:val="00F010C3"/>
    <w:rsid w:val="00F013A6"/>
    <w:rsid w:val="00F01673"/>
    <w:rsid w:val="00F01710"/>
    <w:rsid w:val="00F01B3B"/>
    <w:rsid w:val="00F02076"/>
    <w:rsid w:val="00F021B6"/>
    <w:rsid w:val="00F0241A"/>
    <w:rsid w:val="00F02CE0"/>
    <w:rsid w:val="00F03086"/>
    <w:rsid w:val="00F03B7B"/>
    <w:rsid w:val="00F03C46"/>
    <w:rsid w:val="00F03E95"/>
    <w:rsid w:val="00F04750"/>
    <w:rsid w:val="00F04AF9"/>
    <w:rsid w:val="00F04EFC"/>
    <w:rsid w:val="00F05B01"/>
    <w:rsid w:val="00F061D6"/>
    <w:rsid w:val="00F06636"/>
    <w:rsid w:val="00F0671A"/>
    <w:rsid w:val="00F0739E"/>
    <w:rsid w:val="00F075B7"/>
    <w:rsid w:val="00F07AB2"/>
    <w:rsid w:val="00F10080"/>
    <w:rsid w:val="00F10F7A"/>
    <w:rsid w:val="00F116EA"/>
    <w:rsid w:val="00F11D64"/>
    <w:rsid w:val="00F11D66"/>
    <w:rsid w:val="00F12FFF"/>
    <w:rsid w:val="00F1301B"/>
    <w:rsid w:val="00F1312D"/>
    <w:rsid w:val="00F138F7"/>
    <w:rsid w:val="00F13D18"/>
    <w:rsid w:val="00F13F8D"/>
    <w:rsid w:val="00F13FAC"/>
    <w:rsid w:val="00F1437D"/>
    <w:rsid w:val="00F144FA"/>
    <w:rsid w:val="00F145CF"/>
    <w:rsid w:val="00F14F6E"/>
    <w:rsid w:val="00F15237"/>
    <w:rsid w:val="00F15678"/>
    <w:rsid w:val="00F1569F"/>
    <w:rsid w:val="00F15E73"/>
    <w:rsid w:val="00F1632C"/>
    <w:rsid w:val="00F1648D"/>
    <w:rsid w:val="00F16AC4"/>
    <w:rsid w:val="00F178EB"/>
    <w:rsid w:val="00F17B13"/>
    <w:rsid w:val="00F17DCC"/>
    <w:rsid w:val="00F17EA3"/>
    <w:rsid w:val="00F20181"/>
    <w:rsid w:val="00F203A2"/>
    <w:rsid w:val="00F20467"/>
    <w:rsid w:val="00F2068F"/>
    <w:rsid w:val="00F21070"/>
    <w:rsid w:val="00F213AD"/>
    <w:rsid w:val="00F214BB"/>
    <w:rsid w:val="00F214DB"/>
    <w:rsid w:val="00F2152D"/>
    <w:rsid w:val="00F21F17"/>
    <w:rsid w:val="00F220D3"/>
    <w:rsid w:val="00F222A6"/>
    <w:rsid w:val="00F22C68"/>
    <w:rsid w:val="00F23042"/>
    <w:rsid w:val="00F231F7"/>
    <w:rsid w:val="00F23267"/>
    <w:rsid w:val="00F234C8"/>
    <w:rsid w:val="00F23D44"/>
    <w:rsid w:val="00F23E74"/>
    <w:rsid w:val="00F23F01"/>
    <w:rsid w:val="00F249D0"/>
    <w:rsid w:val="00F24E65"/>
    <w:rsid w:val="00F257AB"/>
    <w:rsid w:val="00F26872"/>
    <w:rsid w:val="00F26AF2"/>
    <w:rsid w:val="00F26FC6"/>
    <w:rsid w:val="00F273DE"/>
    <w:rsid w:val="00F2763D"/>
    <w:rsid w:val="00F27C4D"/>
    <w:rsid w:val="00F27C69"/>
    <w:rsid w:val="00F3036F"/>
    <w:rsid w:val="00F3079C"/>
    <w:rsid w:val="00F30E8E"/>
    <w:rsid w:val="00F310F2"/>
    <w:rsid w:val="00F31369"/>
    <w:rsid w:val="00F314E6"/>
    <w:rsid w:val="00F31BBF"/>
    <w:rsid w:val="00F320B9"/>
    <w:rsid w:val="00F320BF"/>
    <w:rsid w:val="00F3218F"/>
    <w:rsid w:val="00F32F60"/>
    <w:rsid w:val="00F3312F"/>
    <w:rsid w:val="00F332B9"/>
    <w:rsid w:val="00F333DD"/>
    <w:rsid w:val="00F33835"/>
    <w:rsid w:val="00F33AEE"/>
    <w:rsid w:val="00F33E6D"/>
    <w:rsid w:val="00F33F4C"/>
    <w:rsid w:val="00F34086"/>
    <w:rsid w:val="00F340B5"/>
    <w:rsid w:val="00F34155"/>
    <w:rsid w:val="00F3422D"/>
    <w:rsid w:val="00F34E59"/>
    <w:rsid w:val="00F357FF"/>
    <w:rsid w:val="00F358AC"/>
    <w:rsid w:val="00F35951"/>
    <w:rsid w:val="00F35AEA"/>
    <w:rsid w:val="00F35D12"/>
    <w:rsid w:val="00F35DEE"/>
    <w:rsid w:val="00F36740"/>
    <w:rsid w:val="00F37371"/>
    <w:rsid w:val="00F375C9"/>
    <w:rsid w:val="00F37939"/>
    <w:rsid w:val="00F37E08"/>
    <w:rsid w:val="00F37E9C"/>
    <w:rsid w:val="00F418B2"/>
    <w:rsid w:val="00F41B35"/>
    <w:rsid w:val="00F4264F"/>
    <w:rsid w:val="00F42889"/>
    <w:rsid w:val="00F42898"/>
    <w:rsid w:val="00F42C49"/>
    <w:rsid w:val="00F42EDA"/>
    <w:rsid w:val="00F43AC3"/>
    <w:rsid w:val="00F4430B"/>
    <w:rsid w:val="00F44470"/>
    <w:rsid w:val="00F44846"/>
    <w:rsid w:val="00F44D9D"/>
    <w:rsid w:val="00F44FAF"/>
    <w:rsid w:val="00F453B0"/>
    <w:rsid w:val="00F45CB5"/>
    <w:rsid w:val="00F45F94"/>
    <w:rsid w:val="00F4614C"/>
    <w:rsid w:val="00F46B90"/>
    <w:rsid w:val="00F46EC7"/>
    <w:rsid w:val="00F4757A"/>
    <w:rsid w:val="00F5022B"/>
    <w:rsid w:val="00F50682"/>
    <w:rsid w:val="00F506C3"/>
    <w:rsid w:val="00F51255"/>
    <w:rsid w:val="00F5161D"/>
    <w:rsid w:val="00F51823"/>
    <w:rsid w:val="00F51A13"/>
    <w:rsid w:val="00F51F3A"/>
    <w:rsid w:val="00F5212D"/>
    <w:rsid w:val="00F52245"/>
    <w:rsid w:val="00F5264B"/>
    <w:rsid w:val="00F529E7"/>
    <w:rsid w:val="00F52D87"/>
    <w:rsid w:val="00F534E3"/>
    <w:rsid w:val="00F53AA5"/>
    <w:rsid w:val="00F540D5"/>
    <w:rsid w:val="00F54276"/>
    <w:rsid w:val="00F54342"/>
    <w:rsid w:val="00F545EF"/>
    <w:rsid w:val="00F547EF"/>
    <w:rsid w:val="00F55CCD"/>
    <w:rsid w:val="00F55F13"/>
    <w:rsid w:val="00F55FAD"/>
    <w:rsid w:val="00F56039"/>
    <w:rsid w:val="00F562EF"/>
    <w:rsid w:val="00F56EAE"/>
    <w:rsid w:val="00F57642"/>
    <w:rsid w:val="00F5767A"/>
    <w:rsid w:val="00F57A3E"/>
    <w:rsid w:val="00F602E8"/>
    <w:rsid w:val="00F6059F"/>
    <w:rsid w:val="00F60F0E"/>
    <w:rsid w:val="00F61088"/>
    <w:rsid w:val="00F61103"/>
    <w:rsid w:val="00F61541"/>
    <w:rsid w:val="00F6197D"/>
    <w:rsid w:val="00F6250E"/>
    <w:rsid w:val="00F62614"/>
    <w:rsid w:val="00F62700"/>
    <w:rsid w:val="00F62934"/>
    <w:rsid w:val="00F629B2"/>
    <w:rsid w:val="00F62B8A"/>
    <w:rsid w:val="00F639C3"/>
    <w:rsid w:val="00F63CB1"/>
    <w:rsid w:val="00F6409E"/>
    <w:rsid w:val="00F641FA"/>
    <w:rsid w:val="00F649C0"/>
    <w:rsid w:val="00F64A1F"/>
    <w:rsid w:val="00F64B3D"/>
    <w:rsid w:val="00F64DF6"/>
    <w:rsid w:val="00F64F91"/>
    <w:rsid w:val="00F64FA4"/>
    <w:rsid w:val="00F65403"/>
    <w:rsid w:val="00F657A7"/>
    <w:rsid w:val="00F65B95"/>
    <w:rsid w:val="00F65C48"/>
    <w:rsid w:val="00F65C6F"/>
    <w:rsid w:val="00F66136"/>
    <w:rsid w:val="00F66718"/>
    <w:rsid w:val="00F66A49"/>
    <w:rsid w:val="00F66C15"/>
    <w:rsid w:val="00F6747D"/>
    <w:rsid w:val="00F67F24"/>
    <w:rsid w:val="00F7083E"/>
    <w:rsid w:val="00F70A31"/>
    <w:rsid w:val="00F71022"/>
    <w:rsid w:val="00F711F6"/>
    <w:rsid w:val="00F712F5"/>
    <w:rsid w:val="00F7178F"/>
    <w:rsid w:val="00F7193A"/>
    <w:rsid w:val="00F71B7C"/>
    <w:rsid w:val="00F71C32"/>
    <w:rsid w:val="00F71D13"/>
    <w:rsid w:val="00F72C7D"/>
    <w:rsid w:val="00F72EBA"/>
    <w:rsid w:val="00F73124"/>
    <w:rsid w:val="00F732B3"/>
    <w:rsid w:val="00F73353"/>
    <w:rsid w:val="00F733C0"/>
    <w:rsid w:val="00F7352F"/>
    <w:rsid w:val="00F73946"/>
    <w:rsid w:val="00F74291"/>
    <w:rsid w:val="00F74878"/>
    <w:rsid w:val="00F74925"/>
    <w:rsid w:val="00F753D7"/>
    <w:rsid w:val="00F75BC0"/>
    <w:rsid w:val="00F75C2A"/>
    <w:rsid w:val="00F761C2"/>
    <w:rsid w:val="00F76331"/>
    <w:rsid w:val="00F767C1"/>
    <w:rsid w:val="00F767EB"/>
    <w:rsid w:val="00F76A89"/>
    <w:rsid w:val="00F76DC6"/>
    <w:rsid w:val="00F770B9"/>
    <w:rsid w:val="00F772CE"/>
    <w:rsid w:val="00F779AA"/>
    <w:rsid w:val="00F77C6A"/>
    <w:rsid w:val="00F77E81"/>
    <w:rsid w:val="00F8000F"/>
    <w:rsid w:val="00F80093"/>
    <w:rsid w:val="00F802D3"/>
    <w:rsid w:val="00F80584"/>
    <w:rsid w:val="00F816F9"/>
    <w:rsid w:val="00F817A6"/>
    <w:rsid w:val="00F8189B"/>
    <w:rsid w:val="00F81E9F"/>
    <w:rsid w:val="00F81F4C"/>
    <w:rsid w:val="00F825C0"/>
    <w:rsid w:val="00F82D92"/>
    <w:rsid w:val="00F8319B"/>
    <w:rsid w:val="00F8327F"/>
    <w:rsid w:val="00F83466"/>
    <w:rsid w:val="00F835DA"/>
    <w:rsid w:val="00F83794"/>
    <w:rsid w:val="00F838A8"/>
    <w:rsid w:val="00F83939"/>
    <w:rsid w:val="00F83DDC"/>
    <w:rsid w:val="00F83EFD"/>
    <w:rsid w:val="00F8416E"/>
    <w:rsid w:val="00F846DC"/>
    <w:rsid w:val="00F84937"/>
    <w:rsid w:val="00F84FC2"/>
    <w:rsid w:val="00F84FF5"/>
    <w:rsid w:val="00F852F0"/>
    <w:rsid w:val="00F8542D"/>
    <w:rsid w:val="00F85771"/>
    <w:rsid w:val="00F85FBF"/>
    <w:rsid w:val="00F86290"/>
    <w:rsid w:val="00F86472"/>
    <w:rsid w:val="00F8654C"/>
    <w:rsid w:val="00F86F84"/>
    <w:rsid w:val="00F87085"/>
    <w:rsid w:val="00F8743E"/>
    <w:rsid w:val="00F8754D"/>
    <w:rsid w:val="00F8786E"/>
    <w:rsid w:val="00F87FC5"/>
    <w:rsid w:val="00F90DC6"/>
    <w:rsid w:val="00F90E0E"/>
    <w:rsid w:val="00F9106D"/>
    <w:rsid w:val="00F916DD"/>
    <w:rsid w:val="00F918A9"/>
    <w:rsid w:val="00F91A59"/>
    <w:rsid w:val="00F91F33"/>
    <w:rsid w:val="00F93285"/>
    <w:rsid w:val="00F93340"/>
    <w:rsid w:val="00F9382C"/>
    <w:rsid w:val="00F94406"/>
    <w:rsid w:val="00F946A8"/>
    <w:rsid w:val="00F94B87"/>
    <w:rsid w:val="00F9519E"/>
    <w:rsid w:val="00F956C2"/>
    <w:rsid w:val="00F96125"/>
    <w:rsid w:val="00F961AD"/>
    <w:rsid w:val="00F963BA"/>
    <w:rsid w:val="00F965C8"/>
    <w:rsid w:val="00F9669B"/>
    <w:rsid w:val="00F97249"/>
    <w:rsid w:val="00F97714"/>
    <w:rsid w:val="00F97813"/>
    <w:rsid w:val="00F97B59"/>
    <w:rsid w:val="00F97DCC"/>
    <w:rsid w:val="00FA0916"/>
    <w:rsid w:val="00FA0B02"/>
    <w:rsid w:val="00FA0B4A"/>
    <w:rsid w:val="00FA0C01"/>
    <w:rsid w:val="00FA0D88"/>
    <w:rsid w:val="00FA1421"/>
    <w:rsid w:val="00FA14A2"/>
    <w:rsid w:val="00FA1711"/>
    <w:rsid w:val="00FA1715"/>
    <w:rsid w:val="00FA27F6"/>
    <w:rsid w:val="00FA2839"/>
    <w:rsid w:val="00FA3DC0"/>
    <w:rsid w:val="00FA3F7D"/>
    <w:rsid w:val="00FA4625"/>
    <w:rsid w:val="00FA4B8C"/>
    <w:rsid w:val="00FA5019"/>
    <w:rsid w:val="00FA515E"/>
    <w:rsid w:val="00FA5504"/>
    <w:rsid w:val="00FA57A7"/>
    <w:rsid w:val="00FA5F94"/>
    <w:rsid w:val="00FA607B"/>
    <w:rsid w:val="00FA630D"/>
    <w:rsid w:val="00FA630F"/>
    <w:rsid w:val="00FA65E0"/>
    <w:rsid w:val="00FA6A48"/>
    <w:rsid w:val="00FA6E56"/>
    <w:rsid w:val="00FA6F8A"/>
    <w:rsid w:val="00FA7127"/>
    <w:rsid w:val="00FA7595"/>
    <w:rsid w:val="00FA7A5E"/>
    <w:rsid w:val="00FB00BD"/>
    <w:rsid w:val="00FB00E7"/>
    <w:rsid w:val="00FB0A36"/>
    <w:rsid w:val="00FB0C7C"/>
    <w:rsid w:val="00FB1209"/>
    <w:rsid w:val="00FB1337"/>
    <w:rsid w:val="00FB134C"/>
    <w:rsid w:val="00FB138C"/>
    <w:rsid w:val="00FB15E4"/>
    <w:rsid w:val="00FB1E15"/>
    <w:rsid w:val="00FB1E17"/>
    <w:rsid w:val="00FB1FEA"/>
    <w:rsid w:val="00FB2303"/>
    <w:rsid w:val="00FB25BD"/>
    <w:rsid w:val="00FB28B2"/>
    <w:rsid w:val="00FB3273"/>
    <w:rsid w:val="00FB3E12"/>
    <w:rsid w:val="00FB452C"/>
    <w:rsid w:val="00FB4702"/>
    <w:rsid w:val="00FB4D07"/>
    <w:rsid w:val="00FB4DD5"/>
    <w:rsid w:val="00FB4EAC"/>
    <w:rsid w:val="00FB4F44"/>
    <w:rsid w:val="00FB514C"/>
    <w:rsid w:val="00FB5695"/>
    <w:rsid w:val="00FB5844"/>
    <w:rsid w:val="00FB5A50"/>
    <w:rsid w:val="00FB5D66"/>
    <w:rsid w:val="00FB64A6"/>
    <w:rsid w:val="00FB6526"/>
    <w:rsid w:val="00FB67C3"/>
    <w:rsid w:val="00FB6E05"/>
    <w:rsid w:val="00FB70D9"/>
    <w:rsid w:val="00FB73C5"/>
    <w:rsid w:val="00FB7402"/>
    <w:rsid w:val="00FB740B"/>
    <w:rsid w:val="00FB74E6"/>
    <w:rsid w:val="00FB7588"/>
    <w:rsid w:val="00FB7CB0"/>
    <w:rsid w:val="00FB7F60"/>
    <w:rsid w:val="00FC044F"/>
    <w:rsid w:val="00FC0C30"/>
    <w:rsid w:val="00FC0E59"/>
    <w:rsid w:val="00FC0EA5"/>
    <w:rsid w:val="00FC0F39"/>
    <w:rsid w:val="00FC17B8"/>
    <w:rsid w:val="00FC186D"/>
    <w:rsid w:val="00FC2597"/>
    <w:rsid w:val="00FC3320"/>
    <w:rsid w:val="00FC366D"/>
    <w:rsid w:val="00FC3B61"/>
    <w:rsid w:val="00FC411F"/>
    <w:rsid w:val="00FC45BA"/>
    <w:rsid w:val="00FC4716"/>
    <w:rsid w:val="00FC49F9"/>
    <w:rsid w:val="00FC4B66"/>
    <w:rsid w:val="00FC54A1"/>
    <w:rsid w:val="00FC5A3C"/>
    <w:rsid w:val="00FC5C1F"/>
    <w:rsid w:val="00FC6331"/>
    <w:rsid w:val="00FC647F"/>
    <w:rsid w:val="00FC64C8"/>
    <w:rsid w:val="00FC67B3"/>
    <w:rsid w:val="00FC6883"/>
    <w:rsid w:val="00FC6A5E"/>
    <w:rsid w:val="00FC6CFB"/>
    <w:rsid w:val="00FC6E13"/>
    <w:rsid w:val="00FC6F77"/>
    <w:rsid w:val="00FC75FC"/>
    <w:rsid w:val="00FC76BD"/>
    <w:rsid w:val="00FC7745"/>
    <w:rsid w:val="00FC7932"/>
    <w:rsid w:val="00FC7C4D"/>
    <w:rsid w:val="00FC7E57"/>
    <w:rsid w:val="00FC7F9B"/>
    <w:rsid w:val="00FD00B7"/>
    <w:rsid w:val="00FD038D"/>
    <w:rsid w:val="00FD0823"/>
    <w:rsid w:val="00FD0B02"/>
    <w:rsid w:val="00FD0CB2"/>
    <w:rsid w:val="00FD0CE9"/>
    <w:rsid w:val="00FD133E"/>
    <w:rsid w:val="00FD1639"/>
    <w:rsid w:val="00FD181A"/>
    <w:rsid w:val="00FD1BFA"/>
    <w:rsid w:val="00FD1C49"/>
    <w:rsid w:val="00FD1D1C"/>
    <w:rsid w:val="00FD1E44"/>
    <w:rsid w:val="00FD21E0"/>
    <w:rsid w:val="00FD2463"/>
    <w:rsid w:val="00FD27E8"/>
    <w:rsid w:val="00FD2A6D"/>
    <w:rsid w:val="00FD2A8A"/>
    <w:rsid w:val="00FD2E1E"/>
    <w:rsid w:val="00FD300C"/>
    <w:rsid w:val="00FD34E8"/>
    <w:rsid w:val="00FD3A66"/>
    <w:rsid w:val="00FD42C1"/>
    <w:rsid w:val="00FD4406"/>
    <w:rsid w:val="00FD4412"/>
    <w:rsid w:val="00FD4498"/>
    <w:rsid w:val="00FD4D5C"/>
    <w:rsid w:val="00FD56B3"/>
    <w:rsid w:val="00FD5AF1"/>
    <w:rsid w:val="00FD5C97"/>
    <w:rsid w:val="00FD5F1E"/>
    <w:rsid w:val="00FD5F82"/>
    <w:rsid w:val="00FD642B"/>
    <w:rsid w:val="00FD64B3"/>
    <w:rsid w:val="00FD65EF"/>
    <w:rsid w:val="00FD67BC"/>
    <w:rsid w:val="00FD67F1"/>
    <w:rsid w:val="00FD6BE2"/>
    <w:rsid w:val="00FD6E8D"/>
    <w:rsid w:val="00FD7145"/>
    <w:rsid w:val="00FD74F9"/>
    <w:rsid w:val="00FE0137"/>
    <w:rsid w:val="00FE0CA4"/>
    <w:rsid w:val="00FE0DA5"/>
    <w:rsid w:val="00FE0E52"/>
    <w:rsid w:val="00FE0F48"/>
    <w:rsid w:val="00FE1E27"/>
    <w:rsid w:val="00FE242C"/>
    <w:rsid w:val="00FE24CA"/>
    <w:rsid w:val="00FE2969"/>
    <w:rsid w:val="00FE2F0C"/>
    <w:rsid w:val="00FE3843"/>
    <w:rsid w:val="00FE3F3C"/>
    <w:rsid w:val="00FE4EF5"/>
    <w:rsid w:val="00FE54EC"/>
    <w:rsid w:val="00FE5512"/>
    <w:rsid w:val="00FE5802"/>
    <w:rsid w:val="00FE5E1C"/>
    <w:rsid w:val="00FE6C64"/>
    <w:rsid w:val="00FE6CAC"/>
    <w:rsid w:val="00FE6D42"/>
    <w:rsid w:val="00FE7133"/>
    <w:rsid w:val="00FE7174"/>
    <w:rsid w:val="00FF00C7"/>
    <w:rsid w:val="00FF022E"/>
    <w:rsid w:val="00FF047E"/>
    <w:rsid w:val="00FF05E5"/>
    <w:rsid w:val="00FF119E"/>
    <w:rsid w:val="00FF1316"/>
    <w:rsid w:val="00FF1C13"/>
    <w:rsid w:val="00FF1CA7"/>
    <w:rsid w:val="00FF22A0"/>
    <w:rsid w:val="00FF27E3"/>
    <w:rsid w:val="00FF2F6C"/>
    <w:rsid w:val="00FF307D"/>
    <w:rsid w:val="00FF30DC"/>
    <w:rsid w:val="00FF3133"/>
    <w:rsid w:val="00FF348E"/>
    <w:rsid w:val="00FF3572"/>
    <w:rsid w:val="00FF35D4"/>
    <w:rsid w:val="00FF36FF"/>
    <w:rsid w:val="00FF3AB0"/>
    <w:rsid w:val="00FF3B07"/>
    <w:rsid w:val="00FF3C45"/>
    <w:rsid w:val="00FF44D8"/>
    <w:rsid w:val="00FF456C"/>
    <w:rsid w:val="00FF4648"/>
    <w:rsid w:val="00FF4674"/>
    <w:rsid w:val="00FF4B07"/>
    <w:rsid w:val="00FF5296"/>
    <w:rsid w:val="00FF5917"/>
    <w:rsid w:val="00FF6083"/>
    <w:rsid w:val="00FF65AE"/>
    <w:rsid w:val="00FF6934"/>
    <w:rsid w:val="00FF6C2B"/>
    <w:rsid w:val="00FF7155"/>
    <w:rsid w:val="00FF7946"/>
    <w:rsid w:val="00FF7995"/>
    <w:rsid w:val="00FF7CDE"/>
    <w:rsid w:val="00FF7D64"/>
  </w:rsids>
  <m:mathPr>
    <m:mathFont m:val="Cambria Math"/>
    <m:brkBin m:val="before"/>
    <m:brkBinSub m:val="--"/>
    <m:smallFrac m:val="0"/>
    <m:dispDef/>
    <m:lMargin m:val="0"/>
    <m:rMargin m:val="0"/>
    <m:defJc m:val="centerGroup"/>
    <m:wrapIndent m:val="1440"/>
    <m:intLim m:val="subSup"/>
    <m:naryLim m:val="undOvr"/>
  </m:mathPr>
  <w:themeFontLang w:val="hy-AM"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ff9"/>
    </o:shapedefaults>
    <o:shapelayout v:ext="edit">
      <o:idmap v:ext="edit" data="1"/>
    </o:shapelayout>
  </w:shapeDefaults>
  <w:decimalSymbol w:val="."/>
  <w:listSeparator w:val=","/>
  <w14:docId w14:val="22734F5B"/>
  <w15:docId w15:val="{67AEAC04-EBAF-4BA4-87CE-415B8976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y-AM" w:eastAsia="hy-AM"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4B"/>
    <w:pPr>
      <w:spacing w:line="360" w:lineRule="auto"/>
      <w:ind w:firstLine="567"/>
      <w:jc w:val="both"/>
    </w:pPr>
    <w:rPr>
      <w:rFonts w:ascii="GHEA Grapalat" w:hAnsi="GHEA Grapalat" w:cs="Times Unicode"/>
      <w:sz w:val="22"/>
      <w:szCs w:val="22"/>
      <w:lang w:val="en-GB" w:eastAsia="en-US"/>
    </w:rPr>
  </w:style>
  <w:style w:type="paragraph" w:styleId="Heading1">
    <w:name w:val="heading 1"/>
    <w:basedOn w:val="Normal"/>
    <w:next w:val="Normal"/>
    <w:link w:val="Heading1Char"/>
    <w:uiPriority w:val="99"/>
    <w:qFormat/>
    <w:rsid w:val="005D2662"/>
    <w:pPr>
      <w:keepNext/>
      <w:numPr>
        <w:numId w:val="24"/>
      </w:numPr>
      <w:spacing w:before="120" w:after="240"/>
      <w:outlineLvl w:val="0"/>
    </w:pPr>
    <w:rPr>
      <w:b/>
      <w:bCs/>
      <w:color w:val="002060"/>
      <w:kern w:val="32"/>
      <w:sz w:val="28"/>
    </w:rPr>
  </w:style>
  <w:style w:type="paragraph" w:styleId="Heading2">
    <w:name w:val="heading 2"/>
    <w:aliases w:val="(Chapter),Paranum,Text"/>
    <w:basedOn w:val="Normal"/>
    <w:next w:val="BodyText"/>
    <w:link w:val="Heading2Char"/>
    <w:autoRedefine/>
    <w:qFormat/>
    <w:rsid w:val="001173A4"/>
    <w:pPr>
      <w:keepNext/>
      <w:widowControl w:val="0"/>
      <w:numPr>
        <w:ilvl w:val="1"/>
        <w:numId w:val="24"/>
      </w:numPr>
      <w:tabs>
        <w:tab w:val="left" w:pos="993"/>
        <w:tab w:val="right" w:pos="10208"/>
      </w:tabs>
      <w:spacing w:after="240" w:line="240" w:lineRule="auto"/>
      <w:contextualSpacing/>
      <w:jc w:val="left"/>
      <w:outlineLvl w:val="1"/>
    </w:pPr>
    <w:rPr>
      <w:b/>
      <w:color w:val="002060"/>
      <w:kern w:val="16"/>
      <w:sz w:val="26"/>
      <w:lang w:val="af-ZA" w:eastAsia="x-none"/>
    </w:rPr>
  </w:style>
  <w:style w:type="paragraph" w:styleId="Heading3">
    <w:name w:val="heading 3"/>
    <w:aliases w:val="(Sub-Chapter),Centered,(text),Heading 3 Char Char Char Char Char Char"/>
    <w:basedOn w:val="Normal"/>
    <w:next w:val="BodyText"/>
    <w:link w:val="Heading3Char1"/>
    <w:autoRedefine/>
    <w:uiPriority w:val="9"/>
    <w:qFormat/>
    <w:rsid w:val="00E9129C"/>
    <w:pPr>
      <w:keepNext/>
      <w:widowControl w:val="0"/>
      <w:numPr>
        <w:ilvl w:val="1"/>
        <w:numId w:val="21"/>
      </w:numPr>
      <w:tabs>
        <w:tab w:val="left" w:pos="624"/>
      </w:tabs>
      <w:spacing w:before="120"/>
      <w:ind w:right="301"/>
      <w:outlineLvl w:val="2"/>
    </w:pPr>
    <w:rPr>
      <w:b/>
      <w:bCs/>
      <w:color w:val="000000"/>
      <w:lang w:val="es-ES" w:eastAsia="x-none"/>
    </w:rPr>
  </w:style>
  <w:style w:type="paragraph" w:styleId="Heading4">
    <w:name w:val="heading 4"/>
    <w:aliases w:val="Centred"/>
    <w:basedOn w:val="Normal"/>
    <w:next w:val="Normal"/>
    <w:link w:val="Heading4Char2"/>
    <w:autoRedefine/>
    <w:qFormat/>
    <w:rsid w:val="009027D1"/>
    <w:pPr>
      <w:keepNext/>
      <w:numPr>
        <w:ilvl w:val="2"/>
        <w:numId w:val="21"/>
      </w:numPr>
      <w:spacing w:before="240" w:after="60"/>
      <w:outlineLvl w:val="3"/>
    </w:pPr>
    <w:rPr>
      <w:b/>
      <w:bCs/>
      <w:lang w:val="af-ZA" w:eastAsia="x-none"/>
    </w:rPr>
  </w:style>
  <w:style w:type="paragraph" w:styleId="Heading5">
    <w:name w:val="heading 5"/>
    <w:aliases w:val="Side"/>
    <w:basedOn w:val="Normal"/>
    <w:next w:val="Normal"/>
    <w:link w:val="Heading5Char1"/>
    <w:qFormat/>
    <w:rsid w:val="00C9180F"/>
    <w:pPr>
      <w:spacing w:before="240" w:after="60"/>
      <w:outlineLvl w:val="4"/>
    </w:pPr>
    <w:rPr>
      <w:b/>
      <w:bCs/>
      <w:i/>
      <w:iCs/>
      <w:sz w:val="26"/>
      <w:szCs w:val="26"/>
    </w:rPr>
  </w:style>
  <w:style w:type="paragraph" w:styleId="Heading6">
    <w:name w:val="heading 6"/>
    <w:basedOn w:val="Normal"/>
    <w:next w:val="BodyText"/>
    <w:link w:val="Heading6Char1"/>
    <w:qFormat/>
    <w:rsid w:val="00C9180F"/>
    <w:pPr>
      <w:keepNext/>
      <w:widowControl w:val="0"/>
      <w:numPr>
        <w:ilvl w:val="5"/>
        <w:numId w:val="2"/>
      </w:numPr>
      <w:tabs>
        <w:tab w:val="left" w:pos="1247"/>
      </w:tabs>
      <w:spacing w:before="120" w:after="120"/>
      <w:outlineLvl w:val="5"/>
    </w:pPr>
    <w:rPr>
      <w:rFonts w:ascii="Arial Armenian" w:hAnsi="Arial Armenian"/>
      <w:i/>
      <w:szCs w:val="20"/>
      <w:u w:val="single"/>
      <w:lang w:eastAsia="x-none"/>
    </w:rPr>
  </w:style>
  <w:style w:type="paragraph" w:styleId="Heading7">
    <w:name w:val="heading 7"/>
    <w:basedOn w:val="Normal"/>
    <w:next w:val="BodyText"/>
    <w:link w:val="Heading7Char1"/>
    <w:qFormat/>
    <w:rsid w:val="00C9180F"/>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szCs w:val="20"/>
      <w:lang w:eastAsia="x-none"/>
    </w:rPr>
  </w:style>
  <w:style w:type="paragraph" w:styleId="Heading8">
    <w:name w:val="heading 8"/>
    <w:basedOn w:val="Normal"/>
    <w:next w:val="BodyText"/>
    <w:link w:val="Heading8Char1"/>
    <w:qFormat/>
    <w:rsid w:val="00C9180F"/>
    <w:pPr>
      <w:keepNext/>
      <w:framePr w:w="1860" w:wrap="auto" w:vAnchor="text" w:hAnchor="page" w:x="1201" w:y="1"/>
      <w:widowControl w:val="0"/>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position w:val="4"/>
      <w:sz w:val="14"/>
      <w:szCs w:val="20"/>
      <w:lang w:eastAsia="x-none"/>
    </w:rPr>
  </w:style>
  <w:style w:type="paragraph" w:styleId="Heading9">
    <w:name w:val="heading 9"/>
    <w:basedOn w:val="Normal"/>
    <w:next w:val="BodyText"/>
    <w:link w:val="Heading9Char1"/>
    <w:qFormat/>
    <w:rsid w:val="00C9180F"/>
    <w:pPr>
      <w:keepNext/>
      <w:widowControl w:val="0"/>
      <w:numPr>
        <w:ilvl w:val="8"/>
        <w:numId w:val="2"/>
      </w:numPr>
      <w:spacing w:before="80" w:after="60"/>
      <w:outlineLvl w:val="8"/>
    </w:pPr>
    <w:rPr>
      <w:rFonts w:ascii="Garamond" w:hAnsi="Garamond"/>
      <w:b/>
      <w:i/>
      <w:kern w:val="28"/>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D2662"/>
    <w:rPr>
      <w:rFonts w:ascii="GHEA Grapalat" w:hAnsi="GHEA Grapalat" w:cs="Times Unicode"/>
      <w:b/>
      <w:bCs/>
      <w:color w:val="002060"/>
      <w:kern w:val="32"/>
      <w:sz w:val="28"/>
      <w:szCs w:val="22"/>
      <w:lang w:val="hy-AM"/>
    </w:rPr>
  </w:style>
  <w:style w:type="paragraph" w:styleId="BodyText">
    <w:name w:val="Body Text"/>
    <w:aliases w:val="(Main Text),date,Body Text (Main text)"/>
    <w:basedOn w:val="Normal"/>
    <w:link w:val="BodyTextChar1"/>
    <w:rsid w:val="00D40301"/>
    <w:pPr>
      <w:spacing w:after="120"/>
    </w:pPr>
    <w:rPr>
      <w:lang w:val="x-none" w:eastAsia="x-none"/>
    </w:rPr>
  </w:style>
  <w:style w:type="character" w:customStyle="1" w:styleId="BodyTextChar1">
    <w:name w:val="Body Text Char1"/>
    <w:aliases w:val="(Main Text) Char,date Char,Body Text (Main text) Char1"/>
    <w:link w:val="BodyText"/>
    <w:rsid w:val="00CC2B0F"/>
    <w:rPr>
      <w:sz w:val="24"/>
      <w:szCs w:val="24"/>
    </w:rPr>
  </w:style>
  <w:style w:type="character" w:customStyle="1" w:styleId="Heading2Char">
    <w:name w:val="Heading 2 Char"/>
    <w:aliases w:val="(Chapter) Char,Paranum Char,Text Char"/>
    <w:link w:val="Heading2"/>
    <w:rsid w:val="001173A4"/>
    <w:rPr>
      <w:rFonts w:ascii="GHEA Grapalat" w:hAnsi="GHEA Grapalat" w:cs="Times Unicode"/>
      <w:b/>
      <w:color w:val="002060"/>
      <w:kern w:val="16"/>
      <w:sz w:val="26"/>
      <w:szCs w:val="22"/>
      <w:lang w:val="af-ZA" w:eastAsia="x-none"/>
    </w:rPr>
  </w:style>
  <w:style w:type="character" w:customStyle="1" w:styleId="Heading3Char1">
    <w:name w:val="Heading 3 Char1"/>
    <w:aliases w:val="(Sub-Chapter) Char,Centered Char,(text) Char,Heading 3 Char Char Char Char Char Char Char1"/>
    <w:link w:val="Heading3"/>
    <w:uiPriority w:val="9"/>
    <w:rsid w:val="00E9129C"/>
    <w:rPr>
      <w:rFonts w:ascii="GHEA Grapalat" w:hAnsi="GHEA Grapalat"/>
      <w:b/>
      <w:bCs/>
      <w:color w:val="000000"/>
      <w:sz w:val="22"/>
      <w:szCs w:val="22"/>
      <w:lang w:val="es-ES" w:eastAsia="x-none"/>
    </w:rPr>
  </w:style>
  <w:style w:type="character" w:customStyle="1" w:styleId="Heading4Char2">
    <w:name w:val="Heading 4 Char2"/>
    <w:aliases w:val="Centred Char1"/>
    <w:link w:val="Heading4"/>
    <w:rsid w:val="009027D1"/>
    <w:rPr>
      <w:rFonts w:ascii="GHEA Grapalat" w:hAnsi="GHEA Grapalat"/>
      <w:b/>
      <w:bCs/>
      <w:sz w:val="22"/>
      <w:szCs w:val="22"/>
      <w:lang w:val="af-ZA"/>
    </w:rPr>
  </w:style>
  <w:style w:type="character" w:customStyle="1" w:styleId="Heading5Char1">
    <w:name w:val="Heading 5 Char1"/>
    <w:aliases w:val="Side Char1"/>
    <w:link w:val="Heading5"/>
    <w:rsid w:val="0029274A"/>
    <w:rPr>
      <w:b/>
      <w:bCs/>
      <w:i/>
      <w:iCs/>
      <w:sz w:val="26"/>
      <w:szCs w:val="26"/>
      <w:lang w:val="en-US" w:eastAsia="en-US" w:bidi="ar-SA"/>
    </w:rPr>
  </w:style>
  <w:style w:type="character" w:customStyle="1" w:styleId="Heading6Char1">
    <w:name w:val="Heading 6 Char1"/>
    <w:link w:val="Heading6"/>
    <w:rsid w:val="0029274A"/>
    <w:rPr>
      <w:rFonts w:ascii="Arial Armenian" w:hAnsi="Arial Armenian"/>
      <w:i/>
      <w:sz w:val="22"/>
      <w:u w:val="single"/>
      <w:lang w:val="en-GB" w:eastAsia="x-none"/>
    </w:rPr>
  </w:style>
  <w:style w:type="character" w:customStyle="1" w:styleId="Heading7Char1">
    <w:name w:val="Heading 7 Char1"/>
    <w:link w:val="Heading7"/>
    <w:rsid w:val="0029274A"/>
    <w:rPr>
      <w:rFonts w:ascii="Garamond" w:hAnsi="Garamond"/>
      <w:i/>
      <w:spacing w:val="-5"/>
      <w:sz w:val="28"/>
      <w:shd w:val="pct5" w:color="auto" w:fill="auto"/>
      <w:lang w:val="en-GB" w:eastAsia="x-none"/>
    </w:rPr>
  </w:style>
  <w:style w:type="character" w:customStyle="1" w:styleId="Heading8Char1">
    <w:name w:val="Heading 8 Char1"/>
    <w:link w:val="Heading8"/>
    <w:rsid w:val="0029274A"/>
    <w:rPr>
      <w:rFonts w:ascii="Arial Black" w:hAnsi="Arial Black"/>
      <w:caps/>
      <w:spacing w:val="60"/>
      <w:position w:val="4"/>
      <w:sz w:val="14"/>
      <w:lang w:val="en-GB" w:eastAsia="x-none"/>
    </w:rPr>
  </w:style>
  <w:style w:type="character" w:customStyle="1" w:styleId="Heading9Char1">
    <w:name w:val="Heading 9 Char1"/>
    <w:link w:val="Heading9"/>
    <w:rsid w:val="0029274A"/>
    <w:rPr>
      <w:rFonts w:ascii="Garamond" w:hAnsi="Garamond"/>
      <w:b/>
      <w:i/>
      <w:kern w:val="28"/>
      <w:lang w:val="en-GB" w:eastAsia="x-none"/>
    </w:rPr>
  </w:style>
  <w:style w:type="paragraph" w:customStyle="1" w:styleId="Head4">
    <w:name w:val="Head 4"/>
    <w:basedOn w:val="Heading4"/>
    <w:autoRedefine/>
    <w:rsid w:val="007B4E6F"/>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uiPriority w:val="35"/>
    <w:qFormat/>
    <w:rsid w:val="008912F5"/>
    <w:pPr>
      <w:keepNext/>
      <w:keepLines/>
      <w:widowControl w:val="0"/>
    </w:pPr>
    <w:rPr>
      <w:rFonts w:cs="Arial"/>
      <w:sz w:val="20"/>
      <w:szCs w:val="20"/>
      <w:lang w:val="fr-FR"/>
    </w:rPr>
  </w:style>
  <w:style w:type="paragraph" w:styleId="BodyTextIndent3">
    <w:name w:val="Body Text Indent 3"/>
    <w:basedOn w:val="Normal"/>
    <w:link w:val="BodyTextIndent3Char"/>
    <w:rsid w:val="00D40301"/>
    <w:rPr>
      <w:rFonts w:ascii="Arial Armenian" w:hAnsi="Arial Armenian"/>
      <w:noProof/>
      <w:sz w:val="20"/>
      <w:szCs w:val="20"/>
    </w:rPr>
  </w:style>
  <w:style w:type="character" w:customStyle="1" w:styleId="BodyTextIndent3Char">
    <w:name w:val="Body Text Indent 3 Char"/>
    <w:link w:val="BodyTextIndent3"/>
    <w:rsid w:val="0029274A"/>
    <w:rPr>
      <w:rFonts w:ascii="Arial Armenian" w:hAnsi="Arial Armenian"/>
      <w:noProof/>
      <w:lang w:val="en-US" w:eastAsia="en-US" w:bidi="ar-SA"/>
    </w:rPr>
  </w:style>
  <w:style w:type="paragraph" w:customStyle="1" w:styleId="xl24">
    <w:name w:val="xl24"/>
    <w:basedOn w:val="Normal"/>
    <w:rsid w:val="00D40301"/>
    <w:pPr>
      <w:spacing w:before="100" w:beforeAutospacing="1" w:after="100" w:afterAutospacing="1"/>
    </w:pPr>
    <w:rPr>
      <w:rFonts w:ascii="Arial Armenian" w:eastAsia="Arial Unicode MS" w:hAnsi="Arial Armenian" w:cs="Arial Unicode MS"/>
      <w:sz w:val="18"/>
      <w:szCs w:val="18"/>
    </w:rPr>
  </w:style>
  <w:style w:type="paragraph" w:customStyle="1" w:styleId="Tablefigure">
    <w:name w:val="Table_figure"/>
    <w:basedOn w:val="Normal"/>
    <w:rsid w:val="00D40301"/>
    <w:pPr>
      <w:spacing w:before="60" w:after="60"/>
      <w:jc w:val="right"/>
    </w:pPr>
    <w:rPr>
      <w:rFonts w:ascii="Arial Armenian" w:hAnsi="Arial Armenian"/>
      <w:sz w:val="16"/>
      <w:szCs w:val="20"/>
    </w:rPr>
  </w:style>
  <w:style w:type="paragraph" w:styleId="BodyTextIndent2">
    <w:name w:val="Body Text Indent 2"/>
    <w:basedOn w:val="Normal"/>
    <w:link w:val="BodyTextIndent2Char1"/>
    <w:rsid w:val="00D40301"/>
    <w:pPr>
      <w:widowControl w:val="0"/>
      <w:spacing w:after="120" w:line="312" w:lineRule="auto"/>
      <w:ind w:left="720" w:firstLine="720"/>
    </w:pPr>
    <w:rPr>
      <w:rFonts w:ascii="Arial Armenian" w:hAnsi="Arial Armenian"/>
      <w:sz w:val="20"/>
      <w:szCs w:val="20"/>
    </w:rPr>
  </w:style>
  <w:style w:type="character" w:customStyle="1" w:styleId="BodyTextIndent2Char1">
    <w:name w:val="Body Text Indent 2 Char1"/>
    <w:link w:val="BodyTextIndent2"/>
    <w:rsid w:val="0029274A"/>
    <w:rPr>
      <w:rFonts w:ascii="Arial Armenian" w:hAnsi="Arial Armenian"/>
      <w:lang w:val="en-GB" w:eastAsia="en-US" w:bidi="ar-SA"/>
    </w:rPr>
  </w:style>
  <w:style w:type="paragraph" w:styleId="BodyTextIndent">
    <w:name w:val="Body Text Indent"/>
    <w:aliases w:val="(Table Source), (Table Source),(Table Source) Char,Body Text Indent Char,(Table Source)1"/>
    <w:basedOn w:val="BodyText"/>
    <w:next w:val="Normal"/>
    <w:link w:val="BodyTextIndentChar1"/>
    <w:rsid w:val="00D40301"/>
    <w:pPr>
      <w:widowControl w:val="0"/>
      <w:spacing w:before="60" w:after="60"/>
      <w:ind w:firstLine="652"/>
    </w:pPr>
    <w:rPr>
      <w:rFonts w:ascii="Arial Armenian" w:hAnsi="Arial Armenian"/>
      <w:i/>
      <w:sz w:val="16"/>
      <w:szCs w:val="20"/>
      <w:lang w:val="en-GB" w:eastAsia="en-US"/>
    </w:rPr>
  </w:style>
  <w:style w:type="character" w:customStyle="1" w:styleId="BodyTextIndentChar1">
    <w:name w:val="Body Text Indent Char1"/>
    <w:aliases w:val="(Table Source) Char1, (Table Source) Char,(Table Source) Char Char,Body Text Indent Char Char,(Table Source)1 Char"/>
    <w:link w:val="BodyTextIndent"/>
    <w:rsid w:val="0029274A"/>
    <w:rPr>
      <w:rFonts w:ascii="Arial Armenian" w:hAnsi="Arial Armenian"/>
      <w:i/>
      <w:sz w:val="16"/>
      <w:lang w:val="en-GB" w:eastAsia="en-US" w:bidi="ar-SA"/>
    </w:rPr>
  </w:style>
  <w:style w:type="paragraph" w:customStyle="1" w:styleId="Specialnormal">
    <w:name w:val="Special normal"/>
    <w:basedOn w:val="Normal"/>
    <w:rsid w:val="00D40301"/>
    <w:pPr>
      <w:overflowPunct w:val="0"/>
      <w:autoSpaceDE w:val="0"/>
      <w:autoSpaceDN w:val="0"/>
      <w:adjustRightInd w:val="0"/>
      <w:jc w:val="center"/>
      <w:textAlignment w:val="baseline"/>
    </w:pPr>
    <w:rPr>
      <w:sz w:val="20"/>
      <w:szCs w:val="20"/>
    </w:rPr>
  </w:style>
  <w:style w:type="paragraph" w:styleId="CommentText">
    <w:name w:val="annotation text"/>
    <w:basedOn w:val="Normal"/>
    <w:link w:val="CommentTextChar"/>
    <w:uiPriority w:val="99"/>
    <w:rsid w:val="003F3353"/>
    <w:rPr>
      <w:color w:val="0070C0"/>
      <w:sz w:val="28"/>
      <w:szCs w:val="20"/>
      <w:lang w:val="ru-RU" w:eastAsia="ru-RU"/>
    </w:rPr>
  </w:style>
  <w:style w:type="character" w:customStyle="1" w:styleId="CommentTextChar">
    <w:name w:val="Comment Text Char"/>
    <w:link w:val="CommentText"/>
    <w:uiPriority w:val="99"/>
    <w:rsid w:val="003F3353"/>
    <w:rPr>
      <w:rFonts w:ascii="GHEA Grapalat" w:hAnsi="GHEA Grapalat" w:cs="Times Unicode"/>
      <w:color w:val="0070C0"/>
      <w:sz w:val="28"/>
      <w:lang w:val="ru-RU" w:eastAsia="ru-RU"/>
    </w:rPr>
  </w:style>
  <w:style w:type="paragraph" w:customStyle="1" w:styleId="a0">
    <w:name w:val="???????? ????? ? ????????"/>
    <w:basedOn w:val="Normal"/>
    <w:rsid w:val="00D40301"/>
    <w:pPr>
      <w:ind w:left="360" w:hanging="360"/>
    </w:pPr>
    <w:rPr>
      <w:rFonts w:ascii="Times Armenian" w:hAnsi="Times Armenian"/>
      <w:szCs w:val="20"/>
      <w:lang w:eastAsia="ru-RU"/>
    </w:rPr>
  </w:style>
  <w:style w:type="paragraph" w:customStyle="1" w:styleId="a1">
    <w:name w:val="???????"/>
    <w:link w:val="Char"/>
    <w:rsid w:val="00D40301"/>
    <w:rPr>
      <w:lang w:val="ru-RU" w:eastAsia="ru-RU"/>
    </w:rPr>
  </w:style>
  <w:style w:type="character" w:customStyle="1" w:styleId="Char">
    <w:name w:val="??????? Char"/>
    <w:link w:val="a1"/>
    <w:rsid w:val="00644ED9"/>
    <w:rPr>
      <w:lang w:val="ru-RU" w:eastAsia="ru-RU" w:bidi="ar-SA"/>
    </w:rPr>
  </w:style>
  <w:style w:type="paragraph" w:customStyle="1" w:styleId="2">
    <w:name w:val="???????2"/>
    <w:rsid w:val="00D40301"/>
    <w:rPr>
      <w:rFonts w:ascii="Times Armenian" w:hAnsi="Times Armenian"/>
      <w:sz w:val="24"/>
      <w:lang w:val="en-US" w:eastAsia="ru-RU"/>
    </w:rPr>
  </w:style>
  <w:style w:type="paragraph" w:customStyle="1" w:styleId="a2">
    <w:name w:val="???????? ?????"/>
    <w:basedOn w:val="a1"/>
    <w:rsid w:val="00D40301"/>
    <w:pPr>
      <w:jc w:val="center"/>
    </w:pPr>
    <w:rPr>
      <w:rFonts w:ascii="Times Armenian" w:hAnsi="Times Armenian"/>
      <w:i/>
      <w:sz w:val="32"/>
      <w:lang w:val="en-US"/>
    </w:rPr>
  </w:style>
  <w:style w:type="paragraph" w:customStyle="1" w:styleId="31">
    <w:name w:val="???????? ????? ? ???????? 31"/>
    <w:basedOn w:val="2"/>
    <w:rsid w:val="00D40301"/>
    <w:pPr>
      <w:spacing w:line="360" w:lineRule="auto"/>
      <w:ind w:firstLine="360"/>
      <w:jc w:val="both"/>
    </w:pPr>
  </w:style>
  <w:style w:type="paragraph" w:customStyle="1" w:styleId="a3">
    <w:name w:val="??????"/>
    <w:basedOn w:val="2"/>
    <w:rsid w:val="00D40301"/>
    <w:pPr>
      <w:spacing w:line="360" w:lineRule="auto"/>
      <w:ind w:left="-426" w:right="-619" w:firstLine="710"/>
      <w:jc w:val="both"/>
    </w:pPr>
    <w:rPr>
      <w:rFonts w:ascii="Arial LatArm" w:hAnsi="Arial LatArm"/>
      <w:i/>
      <w:lang w:val="en-AU"/>
    </w:rPr>
  </w:style>
  <w:style w:type="paragraph" w:customStyle="1" w:styleId="3">
    <w:name w:val="???????? ????? 3"/>
    <w:basedOn w:val="Normal"/>
    <w:rsid w:val="00D40301"/>
    <w:rPr>
      <w:rFonts w:ascii="Times Armenian" w:hAnsi="Times Armenian"/>
      <w:szCs w:val="20"/>
      <w:lang w:val="ru-RU" w:eastAsia="ru-RU"/>
    </w:rPr>
  </w:style>
  <w:style w:type="paragraph" w:customStyle="1" w:styleId="20">
    <w:name w:val="???????? ????? ? ????????2"/>
    <w:basedOn w:val="2"/>
    <w:rsid w:val="00D40301"/>
    <w:pPr>
      <w:spacing w:line="360" w:lineRule="auto"/>
      <w:ind w:firstLine="720"/>
      <w:jc w:val="both"/>
    </w:pPr>
    <w:rPr>
      <w:sz w:val="28"/>
    </w:rPr>
  </w:style>
  <w:style w:type="paragraph" w:customStyle="1" w:styleId="11">
    <w:name w:val="????????? 11"/>
    <w:basedOn w:val="2"/>
    <w:next w:val="2"/>
    <w:rsid w:val="00D40301"/>
    <w:pPr>
      <w:keepNext/>
      <w:spacing w:line="360" w:lineRule="auto"/>
      <w:outlineLvl w:val="0"/>
    </w:pPr>
    <w:rPr>
      <w:rFonts w:ascii="Times LatArm" w:hAnsi="Times LatArm"/>
    </w:rPr>
  </w:style>
  <w:style w:type="paragraph" w:customStyle="1" w:styleId="1">
    <w:name w:val="????????1"/>
    <w:basedOn w:val="a1"/>
    <w:rsid w:val="00CC19AC"/>
    <w:pPr>
      <w:jc w:val="center"/>
    </w:pPr>
    <w:rPr>
      <w:rFonts w:ascii="Times Armenian" w:hAnsi="Times Armenian"/>
      <w:i/>
      <w:sz w:val="28"/>
      <w:lang w:val="en-US"/>
    </w:rPr>
  </w:style>
  <w:style w:type="paragraph" w:customStyle="1" w:styleId="21">
    <w:name w:val="???????? ????? ? ???????? 2"/>
    <w:basedOn w:val="a1"/>
    <w:rsid w:val="00CC19AC"/>
    <w:pPr>
      <w:ind w:right="-141" w:firstLine="567"/>
      <w:jc w:val="both"/>
    </w:pPr>
    <w:rPr>
      <w:rFonts w:ascii="Times Armenian" w:hAnsi="Times Armenian"/>
      <w:sz w:val="24"/>
    </w:rPr>
  </w:style>
  <w:style w:type="paragraph" w:customStyle="1" w:styleId="22">
    <w:name w:val="???????? ????? 2"/>
    <w:basedOn w:val="a1"/>
    <w:rsid w:val="00D74B1C"/>
    <w:pPr>
      <w:spacing w:line="360" w:lineRule="auto"/>
      <w:jc w:val="both"/>
    </w:pPr>
    <w:rPr>
      <w:rFonts w:ascii="Times LatArm" w:hAnsi="Times LatArm"/>
      <w:b/>
      <w:i/>
      <w:sz w:val="28"/>
      <w:lang w:val="en-US"/>
    </w:rPr>
  </w:style>
  <w:style w:type="paragraph" w:customStyle="1" w:styleId="10">
    <w:name w:val="???????1"/>
    <w:rsid w:val="00D15CBA"/>
    <w:rPr>
      <w:lang w:val="ru-RU" w:eastAsia="ru-RU"/>
    </w:rPr>
  </w:style>
  <w:style w:type="paragraph" w:customStyle="1" w:styleId="30">
    <w:name w:val="???????? ????? ? ????????3"/>
    <w:basedOn w:val="a1"/>
    <w:rsid w:val="006C08D3"/>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7A59F7"/>
    <w:pPr>
      <w:spacing w:before="240" w:after="120" w:line="276" w:lineRule="auto"/>
    </w:pPr>
    <w:rPr>
      <w:rFonts w:ascii="GHEA Grapalat" w:hAnsi="GHEA Grapalat"/>
      <w:iCs/>
      <w:spacing w:val="0"/>
      <w:kern w:val="0"/>
      <w:lang w:val="af-ZA" w:eastAsia="ru-RU"/>
    </w:rPr>
  </w:style>
  <w:style w:type="paragraph" w:customStyle="1" w:styleId="Heading2ChapterParanumText">
    <w:name w:val="Heading 2.(Chapter).Paranum.Text"/>
    <w:basedOn w:val="Normal"/>
    <w:next w:val="BodyTextMainTextdateBodyTextMaintext"/>
    <w:link w:val="Heading2ChapterParanumTextChar"/>
    <w:rsid w:val="005531A9"/>
    <w:pPr>
      <w:keepNext/>
      <w:widowControl w:val="0"/>
      <w:spacing w:after="240"/>
      <w:outlineLvl w:val="1"/>
    </w:pPr>
    <w:rPr>
      <w:rFonts w:ascii="Times Armenian" w:hAnsi="Times Armenian"/>
      <w:b/>
      <w:spacing w:val="24"/>
      <w:kern w:val="28"/>
      <w:lang w:val="it-IT"/>
    </w:rPr>
  </w:style>
  <w:style w:type="paragraph" w:customStyle="1" w:styleId="BodyTextMainTextdateBodyTextMaintext">
    <w:name w:val="Body Text.(Main Text).date.Body Text (Main text)"/>
    <w:basedOn w:val="Normal"/>
    <w:rsid w:val="005531A9"/>
    <w:pPr>
      <w:widowControl w:val="0"/>
      <w:spacing w:after="120"/>
      <w:ind w:firstLine="652"/>
    </w:pPr>
    <w:rPr>
      <w:rFonts w:ascii="Arial Armenian" w:hAnsi="Arial Armenian"/>
      <w:sz w:val="20"/>
    </w:rPr>
  </w:style>
  <w:style w:type="character" w:customStyle="1" w:styleId="Heading2ChapterParanumTextChar">
    <w:name w:val="Heading 2.(Chapter).Paranum.Text Char"/>
    <w:link w:val="Heading2ChapterParanumText"/>
    <w:rsid w:val="00FC67B3"/>
    <w:rPr>
      <w:rFonts w:ascii="Times Armenian" w:hAnsi="Times Armenian"/>
      <w:b/>
      <w:spacing w:val="24"/>
      <w:kern w:val="28"/>
      <w:sz w:val="24"/>
      <w:szCs w:val="24"/>
      <w:lang w:val="it-IT" w:eastAsia="en-US" w:bidi="ar-SA"/>
    </w:rPr>
  </w:style>
  <w:style w:type="character" w:customStyle="1" w:styleId="StyleHeading2ChapterParanumTextSylfaen1Char">
    <w:name w:val="Style Heading 2.(Chapter).Paranum.Text + Sylfaen1 Char"/>
    <w:link w:val="StyleHeading2ChapterParanumTextSylfaen1"/>
    <w:rsid w:val="007A59F7"/>
    <w:rPr>
      <w:rFonts w:ascii="GHEA Grapalat" w:hAnsi="GHEA Grapalat" w:cs="Arial"/>
      <w:b/>
      <w:iCs/>
      <w:sz w:val="22"/>
      <w:szCs w:val="22"/>
      <w:lang w:val="af-ZA" w:eastAsia="ru-RU"/>
    </w:rPr>
  </w:style>
  <w:style w:type="paragraph" w:customStyle="1" w:styleId="8">
    <w:name w:val="????????? 8"/>
    <w:basedOn w:val="a1"/>
    <w:next w:val="a1"/>
    <w:rsid w:val="0089375B"/>
    <w:pPr>
      <w:keepNext/>
      <w:ind w:firstLine="426"/>
      <w:outlineLvl w:val="7"/>
    </w:pPr>
    <w:rPr>
      <w:rFonts w:ascii="Times Armenian" w:hAnsi="Times Armenian"/>
      <w:b/>
      <w:sz w:val="24"/>
      <w:lang w:val="en-US"/>
    </w:rPr>
  </w:style>
  <w:style w:type="paragraph" w:customStyle="1" w:styleId="210">
    <w:name w:val="???????? ????? ? ???????? 21"/>
    <w:basedOn w:val="2"/>
    <w:rsid w:val="00077B04"/>
    <w:pPr>
      <w:spacing w:line="360" w:lineRule="auto"/>
      <w:ind w:firstLine="840"/>
      <w:jc w:val="both"/>
    </w:pPr>
    <w:rPr>
      <w:rFonts w:ascii="Arial LatArm" w:hAnsi="Arial LatArm"/>
    </w:rPr>
  </w:style>
  <w:style w:type="paragraph" w:styleId="BodyText2">
    <w:name w:val="Body Text 2"/>
    <w:basedOn w:val="Normal"/>
    <w:link w:val="BodyText2Char1"/>
    <w:rsid w:val="003B57EA"/>
    <w:pPr>
      <w:spacing w:after="120" w:line="480" w:lineRule="auto"/>
    </w:pPr>
    <w:rPr>
      <w:sz w:val="20"/>
      <w:szCs w:val="20"/>
      <w:lang w:val="ru-RU" w:eastAsia="ru-RU"/>
    </w:rPr>
  </w:style>
  <w:style w:type="character" w:customStyle="1" w:styleId="BodyText2Char1">
    <w:name w:val="Body Text 2 Char1"/>
    <w:link w:val="BodyText2"/>
    <w:rsid w:val="0029274A"/>
    <w:rPr>
      <w:lang w:val="ru-RU" w:eastAsia="ru-RU" w:bidi="ar-SA"/>
    </w:rPr>
  </w:style>
  <w:style w:type="paragraph" w:styleId="BodyText3">
    <w:name w:val="Body Text 3"/>
    <w:basedOn w:val="Normal"/>
    <w:link w:val="BodyText3Char1"/>
    <w:rsid w:val="006732F2"/>
    <w:pPr>
      <w:spacing w:after="120"/>
    </w:pPr>
    <w:rPr>
      <w:sz w:val="16"/>
      <w:szCs w:val="16"/>
      <w:lang w:val="ru-RU" w:eastAsia="ru-RU"/>
    </w:rPr>
  </w:style>
  <w:style w:type="character" w:customStyle="1" w:styleId="BodyText3Char1">
    <w:name w:val="Body Text 3 Char1"/>
    <w:link w:val="BodyText3"/>
    <w:rsid w:val="0029274A"/>
    <w:rPr>
      <w:sz w:val="16"/>
      <w:szCs w:val="16"/>
      <w:lang w:val="ru-RU" w:eastAsia="ru-RU" w:bidi="ar-SA"/>
    </w:rPr>
  </w:style>
  <w:style w:type="paragraph" w:customStyle="1" w:styleId="Bullet">
    <w:name w:val="Bullet"/>
    <w:aliases w:val="bl,Bullet L1,bl1"/>
    <w:basedOn w:val="Normal"/>
    <w:rsid w:val="00C9180F"/>
    <w:pPr>
      <w:numPr>
        <w:numId w:val="1"/>
      </w:numPr>
      <w:tabs>
        <w:tab w:val="clear" w:pos="720"/>
        <w:tab w:val="num" w:pos="360"/>
      </w:tabs>
      <w:overflowPunct w:val="0"/>
      <w:autoSpaceDE w:val="0"/>
      <w:autoSpaceDN w:val="0"/>
      <w:adjustRightInd w:val="0"/>
      <w:spacing w:after="130"/>
      <w:ind w:left="360"/>
      <w:textAlignment w:val="baseline"/>
    </w:pPr>
  </w:style>
  <w:style w:type="paragraph" w:styleId="ListBullet">
    <w:name w:val="List Bullet"/>
    <w:basedOn w:val="Normal"/>
    <w:autoRedefine/>
    <w:qFormat/>
    <w:rsid w:val="00C9180F"/>
    <w:pPr>
      <w:tabs>
        <w:tab w:val="num" w:pos="360"/>
      </w:tabs>
      <w:overflowPunct w:val="0"/>
      <w:autoSpaceDE w:val="0"/>
      <w:autoSpaceDN w:val="0"/>
      <w:adjustRightInd w:val="0"/>
      <w:spacing w:before="130"/>
      <w:ind w:left="360" w:hanging="360"/>
      <w:textAlignment w:val="baseline"/>
    </w:pPr>
  </w:style>
  <w:style w:type="paragraph" w:customStyle="1" w:styleId="BSAPtext">
    <w:name w:val="BSAP text"/>
    <w:basedOn w:val="Normal"/>
    <w:rsid w:val="00C9180F"/>
    <w:pPr>
      <w:spacing w:line="312" w:lineRule="auto"/>
    </w:pPr>
    <w:rPr>
      <w:rFonts w:ascii="Bookman Old Style" w:hAnsi="Bookman Old Style"/>
    </w:rPr>
  </w:style>
  <w:style w:type="paragraph" w:styleId="EndnoteText">
    <w:name w:val="endnote text"/>
    <w:basedOn w:val="Normal"/>
    <w:link w:val="EndnoteTextChar"/>
    <w:rsid w:val="00C9180F"/>
    <w:rPr>
      <w:sz w:val="20"/>
      <w:szCs w:val="20"/>
    </w:rPr>
  </w:style>
  <w:style w:type="character" w:customStyle="1" w:styleId="EndnoteTextChar">
    <w:name w:val="Endnote Text Char"/>
    <w:link w:val="EndnoteText"/>
    <w:rsid w:val="0029274A"/>
    <w:rPr>
      <w:lang w:val="en-GB" w:eastAsia="en-US" w:bidi="ar-SA"/>
    </w:rPr>
  </w:style>
  <w:style w:type="character" w:styleId="PageNumber">
    <w:name w:val="page number"/>
    <w:basedOn w:val="DefaultParagraphFont"/>
    <w:rsid w:val="00C9180F"/>
  </w:style>
  <w:style w:type="paragraph" w:styleId="Footer">
    <w:name w:val="footer"/>
    <w:basedOn w:val="Normal"/>
    <w:next w:val="Normal"/>
    <w:link w:val="FooterChar2"/>
    <w:uiPriority w:val="99"/>
    <w:rsid w:val="00C9180F"/>
    <w:pPr>
      <w:tabs>
        <w:tab w:val="center" w:pos="4819"/>
        <w:tab w:val="right" w:pos="9071"/>
      </w:tabs>
      <w:overflowPunct w:val="0"/>
      <w:autoSpaceDE w:val="0"/>
      <w:autoSpaceDN w:val="0"/>
      <w:adjustRightInd w:val="0"/>
      <w:textAlignment w:val="baseline"/>
    </w:pPr>
    <w:rPr>
      <w:lang w:eastAsia="x-none"/>
    </w:rPr>
  </w:style>
  <w:style w:type="character" w:customStyle="1" w:styleId="FooterChar2">
    <w:name w:val="Footer Char2"/>
    <w:link w:val="Footer"/>
    <w:rsid w:val="003E5F3D"/>
    <w:rPr>
      <w:sz w:val="22"/>
      <w:szCs w:val="22"/>
      <w:lang w:val="en-GB"/>
    </w:rPr>
  </w:style>
  <w:style w:type="paragraph" w:customStyle="1" w:styleId="xl32">
    <w:name w:val="xl32"/>
    <w:basedOn w:val="Normal"/>
    <w:rsid w:val="00C918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Armenian" w:hAnsi="Times Armenian"/>
      <w:sz w:val="16"/>
      <w:szCs w:val="16"/>
      <w:lang w:val="ru-RU" w:eastAsia="ru-RU"/>
    </w:rPr>
  </w:style>
  <w:style w:type="character" w:styleId="Hyperlink">
    <w:name w:val="Hyperlink"/>
    <w:uiPriority w:val="99"/>
    <w:rsid w:val="00C9180F"/>
    <w:rPr>
      <w:color w:val="0000FF"/>
      <w:u w:val="single"/>
    </w:rPr>
  </w:style>
  <w:style w:type="character" w:styleId="FollowedHyperlink">
    <w:name w:val="FollowedHyperlink"/>
    <w:rsid w:val="00C9180F"/>
    <w:rPr>
      <w:color w:val="800080"/>
      <w:u w:val="single"/>
    </w:rPr>
  </w:style>
  <w:style w:type="paragraph" w:customStyle="1" w:styleId="CaptionSubtitle">
    <w:name w:val="Caption: Subtitle"/>
    <w:rsid w:val="008E4C9D"/>
    <w:rPr>
      <w:rFonts w:ascii="Arial" w:hAnsi="Arial"/>
      <w:noProof/>
      <w:sz w:val="18"/>
      <w:lang w:val="en-US" w:eastAsia="en-U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WB-Fußnotentext,ft"/>
    <w:basedOn w:val="Normal"/>
    <w:link w:val="FootnoteTextChar1"/>
    <w:autoRedefine/>
    <w:rsid w:val="006812E8"/>
    <w:pPr>
      <w:spacing w:line="240" w:lineRule="auto"/>
    </w:pPr>
    <w:rPr>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rsid w:val="006812E8"/>
    <w:rPr>
      <w:rFonts w:ascii="GHEA Grapalat" w:hAnsi="GHEA Grapalat" w:cs="Times Unicode"/>
      <w:sz w:val="16"/>
      <w:lang w:val="hy-AM"/>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600144"/>
    <w:rPr>
      <w:vertAlign w:val="superscript"/>
    </w:rPr>
  </w:style>
  <w:style w:type="table" w:styleId="TableGrid">
    <w:name w:val="Table Grid"/>
    <w:basedOn w:val="TableNormal"/>
    <w:uiPriority w:val="39"/>
    <w:rsid w:val="0060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602C73"/>
    <w:pPr>
      <w:overflowPunct w:val="0"/>
      <w:autoSpaceDE w:val="0"/>
      <w:autoSpaceDN w:val="0"/>
      <w:adjustRightInd w:val="0"/>
      <w:ind w:left="153" w:hanging="153"/>
      <w:textAlignment w:val="baseline"/>
    </w:pPr>
    <w:rPr>
      <w:sz w:val="18"/>
      <w:szCs w:val="20"/>
    </w:rPr>
  </w:style>
  <w:style w:type="paragraph" w:styleId="BlockText">
    <w:name w:val="Block Text"/>
    <w:basedOn w:val="Normal"/>
    <w:rsid w:val="00602C73"/>
    <w:pPr>
      <w:ind w:left="-709" w:right="-483"/>
    </w:pPr>
    <w:rPr>
      <w:rFonts w:ascii="Times Armenian" w:hAnsi="Times Armenian"/>
      <w:szCs w:val="20"/>
    </w:rPr>
  </w:style>
  <w:style w:type="paragraph" w:customStyle="1" w:styleId="CaptionTable">
    <w:name w:val="Caption_Table"/>
    <w:basedOn w:val="Caption"/>
    <w:rsid w:val="005531A9"/>
    <w:pPr>
      <w:keepLines w:val="0"/>
      <w:ind w:left="1325" w:hanging="1325"/>
      <w:jc w:val="left"/>
    </w:pPr>
    <w:rPr>
      <w:rFonts w:ascii="Arial Armenian" w:hAnsi="Arial Armenian"/>
      <w:bCs/>
      <w:lang w:val="en-GB"/>
    </w:rPr>
  </w:style>
  <w:style w:type="paragraph" w:customStyle="1" w:styleId="xl34">
    <w:name w:val="xl34"/>
    <w:basedOn w:val="Normal"/>
    <w:rsid w:val="005531A9"/>
    <w:pPr>
      <w:spacing w:before="100" w:beforeAutospacing="1" w:after="100" w:afterAutospacing="1"/>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5531A9"/>
    <w:pPr>
      <w:spacing w:before="60" w:after="60"/>
    </w:pPr>
    <w:rPr>
      <w:rFonts w:ascii="Arial Armenian" w:hAnsi="Arial Armenian"/>
      <w:sz w:val="16"/>
      <w:szCs w:val="20"/>
    </w:rPr>
  </w:style>
  <w:style w:type="paragraph" w:customStyle="1" w:styleId="xl25">
    <w:name w:val="xl25"/>
    <w:basedOn w:val="Normal"/>
    <w:rsid w:val="005531A9"/>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5531A9"/>
    <w:pPr>
      <w:spacing w:before="60" w:after="60" w:line="240" w:lineRule="auto"/>
    </w:pPr>
    <w:rPr>
      <w:i/>
      <w:sz w:val="16"/>
    </w:rPr>
  </w:style>
  <w:style w:type="paragraph" w:customStyle="1" w:styleId="Tablefirstrow">
    <w:name w:val="Table_first row"/>
    <w:basedOn w:val="Normal"/>
    <w:rsid w:val="005531A9"/>
    <w:pPr>
      <w:widowControl w:val="0"/>
      <w:spacing w:before="60" w:after="60"/>
      <w:jc w:val="right"/>
    </w:pPr>
    <w:rPr>
      <w:rFonts w:ascii="Arial Armenian" w:hAnsi="Arial Armenian"/>
      <w:b/>
      <w:sz w:val="16"/>
      <w:szCs w:val="20"/>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5531A9"/>
    <w:pPr>
      <w:spacing w:after="60"/>
    </w:pPr>
    <w:rPr>
      <w:rFonts w:ascii="Arial Armenian" w:hAnsi="Arial Armenian"/>
      <w:i/>
      <w:sz w:val="18"/>
    </w:rPr>
  </w:style>
  <w:style w:type="paragraph" w:styleId="BalloonText">
    <w:name w:val="Balloon Text"/>
    <w:basedOn w:val="Normal"/>
    <w:link w:val="BalloonTextChar"/>
    <w:uiPriority w:val="99"/>
    <w:rsid w:val="004C4D8B"/>
    <w:rPr>
      <w:rFonts w:ascii="Tahoma" w:hAnsi="Tahoma"/>
      <w:sz w:val="16"/>
      <w:szCs w:val="16"/>
      <w:lang w:val="x-none" w:eastAsia="x-none"/>
    </w:rPr>
  </w:style>
  <w:style w:type="character" w:customStyle="1" w:styleId="BalloonTextChar">
    <w:name w:val="Balloon Text Char"/>
    <w:link w:val="BalloonText"/>
    <w:uiPriority w:val="99"/>
    <w:rsid w:val="004C4D8B"/>
    <w:rPr>
      <w:rFonts w:ascii="Tahoma" w:hAnsi="Tahoma" w:cs="Tahoma"/>
      <w:sz w:val="16"/>
      <w:szCs w:val="16"/>
    </w:rPr>
  </w:style>
  <w:style w:type="paragraph" w:customStyle="1" w:styleId="ListParagraph1">
    <w:name w:val="List Paragraph1"/>
    <w:aliases w:val="Akapit z listą BS,List Paragraph 1,List_Paragraph,Multilevel para_II,Bullet1,Bullets,References,List Paragraph (numbered (a)),IBL List Paragraph,List Paragraph nowy,Numbered List Paragraph,List Paragraph-ExecSummary,List Paragraph3,Ha"/>
    <w:basedOn w:val="Normal"/>
    <w:link w:val="ListParagraphChar"/>
    <w:uiPriority w:val="34"/>
    <w:qFormat/>
    <w:rsid w:val="00CC1E4C"/>
    <w:pPr>
      <w:ind w:left="720"/>
      <w:contextualSpacing/>
    </w:pPr>
  </w:style>
  <w:style w:type="paragraph" w:styleId="TOC2">
    <w:name w:val="toc 2"/>
    <w:basedOn w:val="Normal"/>
    <w:next w:val="Normal"/>
    <w:autoRedefine/>
    <w:uiPriority w:val="39"/>
    <w:qFormat/>
    <w:rsid w:val="003D28DA"/>
    <w:pPr>
      <w:tabs>
        <w:tab w:val="left" w:pos="426"/>
        <w:tab w:val="right" w:leader="dot" w:pos="10206"/>
      </w:tabs>
      <w:spacing w:after="100" w:line="240" w:lineRule="auto"/>
      <w:ind w:left="851" w:hanging="567"/>
      <w:jc w:val="left"/>
    </w:pPr>
    <w:rPr>
      <w:b/>
      <w:noProof/>
      <w:color w:val="0070C0"/>
    </w:rPr>
  </w:style>
  <w:style w:type="paragraph" w:styleId="TOC3">
    <w:name w:val="toc 3"/>
    <w:basedOn w:val="Normal"/>
    <w:next w:val="Normal"/>
    <w:autoRedefine/>
    <w:uiPriority w:val="39"/>
    <w:qFormat/>
    <w:rsid w:val="00957E4C"/>
    <w:pPr>
      <w:tabs>
        <w:tab w:val="right" w:leader="dot" w:pos="10200"/>
      </w:tabs>
      <w:spacing w:after="100"/>
      <w:ind w:left="142"/>
    </w:pPr>
    <w:rPr>
      <w:b/>
      <w:sz w:val="20"/>
    </w:rPr>
  </w:style>
  <w:style w:type="paragraph" w:styleId="TOC4">
    <w:name w:val="toc 4"/>
    <w:basedOn w:val="Normal"/>
    <w:next w:val="Normal"/>
    <w:autoRedefine/>
    <w:uiPriority w:val="39"/>
    <w:rsid w:val="00503895"/>
    <w:pPr>
      <w:tabs>
        <w:tab w:val="right" w:leader="dot" w:pos="9072"/>
      </w:tabs>
      <w:spacing w:after="100"/>
      <w:ind w:left="284"/>
    </w:pPr>
    <w:rPr>
      <w:rFonts w:ascii="Times Armenian" w:hAnsi="Times Armenian"/>
      <w:sz w:val="18"/>
    </w:rPr>
  </w:style>
  <w:style w:type="paragraph" w:styleId="Header">
    <w:name w:val="header"/>
    <w:aliases w:val="Header Char Char Char Char Char Char Char Char Char Char,Header Char Char Char Char Char Char Char Char Char Char Char Char,h"/>
    <w:basedOn w:val="Normal"/>
    <w:link w:val="HeaderChar1"/>
    <w:uiPriority w:val="99"/>
    <w:rsid w:val="00D92D82"/>
    <w:pPr>
      <w:tabs>
        <w:tab w:val="center" w:pos="4844"/>
        <w:tab w:val="right" w:pos="9689"/>
      </w:tabs>
    </w:pPr>
    <w:rPr>
      <w:lang w:val="x-none" w:eastAsia="x-none"/>
    </w:rPr>
  </w:style>
  <w:style w:type="character" w:customStyle="1" w:styleId="HeaderChar1">
    <w:name w:val="Header Char1"/>
    <w:aliases w:val="Header Char Char Char Char Char Char Char Char Char Char Char,Header Char Char Char Char Char Char Char Char Char Char Char Char Char,h Char"/>
    <w:link w:val="Header"/>
    <w:uiPriority w:val="99"/>
    <w:rsid w:val="00D92D82"/>
    <w:rPr>
      <w:sz w:val="24"/>
      <w:szCs w:val="24"/>
    </w:rPr>
  </w:style>
  <w:style w:type="paragraph" w:styleId="TOC1">
    <w:name w:val="toc 1"/>
    <w:basedOn w:val="Normal"/>
    <w:next w:val="Normal"/>
    <w:autoRedefine/>
    <w:uiPriority w:val="39"/>
    <w:qFormat/>
    <w:rsid w:val="003D28DA"/>
    <w:pPr>
      <w:tabs>
        <w:tab w:val="left" w:pos="284"/>
        <w:tab w:val="right" w:leader="dot" w:pos="10200"/>
      </w:tabs>
      <w:spacing w:before="240" w:after="120" w:line="240" w:lineRule="auto"/>
      <w:ind w:left="284" w:hanging="284"/>
      <w:jc w:val="left"/>
    </w:pPr>
    <w:rPr>
      <w:b/>
      <w:noProof/>
      <w:color w:val="0070C0"/>
    </w:rPr>
  </w:style>
  <w:style w:type="paragraph" w:styleId="TOC5">
    <w:name w:val="toc 5"/>
    <w:basedOn w:val="Normal"/>
    <w:next w:val="Normal"/>
    <w:autoRedefine/>
    <w:uiPriority w:val="39"/>
    <w:rsid w:val="0093413C"/>
    <w:pPr>
      <w:tabs>
        <w:tab w:val="right" w:leader="dot" w:pos="9072"/>
      </w:tabs>
      <w:spacing w:after="100"/>
      <w:ind w:left="851"/>
    </w:pPr>
    <w:rPr>
      <w:rFonts w:ascii="Times Armenian" w:hAnsi="Times Armenian"/>
      <w:b/>
      <w:sz w:val="18"/>
    </w:rPr>
  </w:style>
  <w:style w:type="paragraph" w:customStyle="1" w:styleId="H1-intro">
    <w:name w:val="H1-intro"/>
    <w:basedOn w:val="Heading1"/>
    <w:autoRedefine/>
    <w:rsid w:val="00A844DE"/>
    <w:pPr>
      <w:widowControl w:val="0"/>
      <w:tabs>
        <w:tab w:val="left" w:pos="-284"/>
      </w:tabs>
      <w:spacing w:before="0" w:after="0"/>
      <w:ind w:right="-51"/>
      <w:jc w:val="center"/>
    </w:pPr>
    <w:rPr>
      <w:rFonts w:ascii="Times Armenian" w:hAnsi="Times Armenian" w:cs="Times New Roman"/>
      <w:bCs w:val="0"/>
      <w:iCs/>
      <w:spacing w:val="60"/>
      <w:kern w:val="28"/>
      <w:szCs w:val="28"/>
      <w:lang w:val="es-ES"/>
    </w:rPr>
  </w:style>
  <w:style w:type="paragraph" w:styleId="Title">
    <w:name w:val="Title"/>
    <w:basedOn w:val="Normal"/>
    <w:link w:val="TitleChar1"/>
    <w:qFormat/>
    <w:rsid w:val="00C41C50"/>
    <w:pPr>
      <w:jc w:val="center"/>
    </w:pPr>
    <w:rPr>
      <w:rFonts w:ascii="Arial Armenian" w:hAnsi="Arial Armenian"/>
      <w:b/>
      <w:color w:val="1F497D"/>
      <w:sz w:val="32"/>
      <w:szCs w:val="32"/>
    </w:rPr>
  </w:style>
  <w:style w:type="character" w:customStyle="1" w:styleId="TitleChar1">
    <w:name w:val="Title Char1"/>
    <w:link w:val="Title"/>
    <w:rsid w:val="00C41C50"/>
    <w:rPr>
      <w:rFonts w:ascii="Arial Armenian" w:hAnsi="Arial Armenian"/>
      <w:b/>
      <w:color w:val="1F497D"/>
      <w:sz w:val="32"/>
      <w:szCs w:val="32"/>
      <w:lang w:val="hy-AM"/>
    </w:rPr>
  </w:style>
  <w:style w:type="paragraph" w:customStyle="1" w:styleId="CaptionGraph">
    <w:name w:val="Caption_Graph"/>
    <w:basedOn w:val="Caption"/>
    <w:rsid w:val="00AF5441"/>
    <w:pPr>
      <w:spacing w:before="120"/>
      <w:ind w:left="1325" w:hanging="1325"/>
    </w:pPr>
    <w:rPr>
      <w:lang w:val="it-IT"/>
    </w:rPr>
  </w:style>
  <w:style w:type="paragraph" w:customStyle="1" w:styleId="graphtable">
    <w:name w:val="graph&amp;table"/>
    <w:basedOn w:val="BodyText"/>
    <w:next w:val="BodyTextIndent"/>
    <w:rsid w:val="00AF5441"/>
    <w:pPr>
      <w:widowControl w:val="0"/>
      <w:spacing w:before="60" w:after="60"/>
    </w:pPr>
    <w:rPr>
      <w:rFonts w:ascii="Arial Armenian" w:hAnsi="Arial Armenian"/>
      <w:sz w:val="20"/>
      <w:szCs w:val="20"/>
      <w:lang w:val="en-GB"/>
    </w:rPr>
  </w:style>
  <w:style w:type="paragraph" w:customStyle="1" w:styleId="BodyTextdate">
    <w:name w:val="Body Text.date"/>
    <w:basedOn w:val="Normal"/>
    <w:rsid w:val="00AF5441"/>
    <w:pPr>
      <w:widowControl w:val="0"/>
      <w:spacing w:after="120"/>
    </w:pPr>
    <w:rPr>
      <w:rFonts w:ascii="Arial Armenian" w:hAnsi="Arial Armenian"/>
      <w:spacing w:val="-5"/>
      <w:sz w:val="20"/>
      <w:szCs w:val="20"/>
    </w:rPr>
  </w:style>
  <w:style w:type="character" w:customStyle="1" w:styleId="CaptionGraphChar">
    <w:name w:val="Caption_Graph Char"/>
    <w:rsid w:val="00AF5441"/>
    <w:rPr>
      <w:rFonts w:ascii="Arial Armenian" w:hAnsi="Arial Armenian"/>
      <w:b/>
      <w:sz w:val="20"/>
    </w:rPr>
  </w:style>
  <w:style w:type="paragraph" w:customStyle="1" w:styleId="CoverSubTitle">
    <w:name w:val="Cover SubTitle"/>
    <w:basedOn w:val="Normal"/>
    <w:rsid w:val="00AF5441"/>
    <w:pPr>
      <w:widowControl w:val="0"/>
      <w:overflowPunct w:val="0"/>
      <w:autoSpaceDE w:val="0"/>
      <w:autoSpaceDN w:val="0"/>
      <w:adjustRightInd w:val="0"/>
      <w:spacing w:line="440" w:lineRule="exact"/>
      <w:jc w:val="center"/>
      <w:textAlignment w:val="baseline"/>
    </w:pPr>
    <w:rPr>
      <w:sz w:val="32"/>
      <w:szCs w:val="20"/>
    </w:rPr>
  </w:style>
  <w:style w:type="paragraph" w:customStyle="1" w:styleId="Heading5Side">
    <w:name w:val="Heading 5.Side"/>
    <w:basedOn w:val="Normal"/>
    <w:next w:val="Normal"/>
    <w:rsid w:val="00AF5441"/>
    <w:pPr>
      <w:keepNext/>
      <w:outlineLvl w:val="4"/>
    </w:pPr>
    <w:rPr>
      <w:rFonts w:ascii="Times LatArm" w:hAnsi="Times LatArm"/>
      <w:szCs w:val="20"/>
      <w:lang w:val="en-NZ"/>
    </w:rPr>
  </w:style>
  <w:style w:type="paragraph" w:customStyle="1" w:styleId="23">
    <w:name w:val="çàãîëîâîê 2"/>
    <w:basedOn w:val="Normal"/>
    <w:next w:val="Normal"/>
    <w:rsid w:val="00AF5441"/>
    <w:pPr>
      <w:keepNext/>
      <w:overflowPunct w:val="0"/>
      <w:autoSpaceDE w:val="0"/>
      <w:autoSpaceDN w:val="0"/>
      <w:adjustRightInd w:val="0"/>
    </w:pPr>
    <w:rPr>
      <w:rFonts w:ascii="Arial Armenian" w:hAnsi="Arial Armenian"/>
      <w:szCs w:val="20"/>
    </w:rPr>
  </w:style>
  <w:style w:type="paragraph" w:customStyle="1" w:styleId="BodyTextMainTextdate">
    <w:name w:val="Body Text.(Main Text).date"/>
    <w:basedOn w:val="Normal"/>
    <w:rsid w:val="00AF5441"/>
    <w:pPr>
      <w:jc w:val="center"/>
    </w:pPr>
    <w:rPr>
      <w:rFonts w:ascii="Times LatArm" w:hAnsi="Times LatArm"/>
      <w:b/>
      <w:i/>
      <w:sz w:val="28"/>
      <w:szCs w:val="20"/>
    </w:rPr>
  </w:style>
  <w:style w:type="paragraph" w:customStyle="1" w:styleId="CaptionAnnexedTable">
    <w:name w:val="Caption_Annexed Table"/>
    <w:basedOn w:val="Caption"/>
    <w:rsid w:val="00AF5441"/>
    <w:pPr>
      <w:spacing w:before="120"/>
      <w:ind w:left="1325" w:hanging="1325"/>
    </w:pPr>
    <w:rPr>
      <w:lang w:val="en-US"/>
    </w:rPr>
  </w:style>
  <w:style w:type="paragraph" w:customStyle="1" w:styleId="xl28">
    <w:name w:val="xl28"/>
    <w:basedOn w:val="Normal"/>
    <w:rsid w:val="00AF5441"/>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57">
    <w:name w:val="xl57"/>
    <w:basedOn w:val="Normal"/>
    <w:rsid w:val="00AF5441"/>
    <w:pPr>
      <w:pBdr>
        <w:bottom w:val="single" w:sz="4" w:space="0" w:color="auto"/>
        <w:right w:val="single" w:sz="4" w:space="0" w:color="auto"/>
      </w:pBdr>
      <w:spacing w:before="100" w:after="100"/>
    </w:pPr>
    <w:rPr>
      <w:rFonts w:ascii="Times Armenian" w:eastAsia="Arial Unicode MS" w:hAnsi="Times Armenian"/>
      <w:sz w:val="16"/>
      <w:szCs w:val="20"/>
    </w:rPr>
  </w:style>
  <w:style w:type="paragraph" w:styleId="PlainText">
    <w:name w:val="Plain Text"/>
    <w:basedOn w:val="Normal"/>
    <w:link w:val="PlainTextChar"/>
    <w:rsid w:val="00AF5441"/>
    <w:pPr>
      <w:spacing w:before="120"/>
    </w:pPr>
    <w:rPr>
      <w:rFonts w:ascii="Courier New" w:hAnsi="Courier New"/>
      <w:sz w:val="20"/>
      <w:szCs w:val="20"/>
      <w:lang w:val="x-none" w:eastAsia="x-none"/>
    </w:rPr>
  </w:style>
  <w:style w:type="character" w:customStyle="1" w:styleId="PlainTextChar">
    <w:name w:val="Plain Text Char"/>
    <w:link w:val="PlainText"/>
    <w:rsid w:val="00AF5441"/>
    <w:rPr>
      <w:rFonts w:ascii="Courier New" w:hAnsi="Courier New"/>
    </w:rPr>
  </w:style>
  <w:style w:type="paragraph" w:customStyle="1" w:styleId="Armenian">
    <w:name w:val="Armenian"/>
    <w:basedOn w:val="Normal"/>
    <w:rsid w:val="00AF5441"/>
    <w:pPr>
      <w:autoSpaceDE w:val="0"/>
      <w:autoSpaceDN w:val="0"/>
    </w:pPr>
    <w:rPr>
      <w:rFonts w:ascii="Times LatArm" w:hAnsi="Times LatArm"/>
      <w:sz w:val="20"/>
    </w:rPr>
  </w:style>
  <w:style w:type="paragraph" w:customStyle="1" w:styleId="Vernagir">
    <w:name w:val="Vernagir"/>
    <w:basedOn w:val="Normal"/>
    <w:next w:val="Normal"/>
    <w:rsid w:val="00AF5441"/>
    <w:pPr>
      <w:autoSpaceDE w:val="0"/>
      <w:autoSpaceDN w:val="0"/>
      <w:spacing w:before="240" w:after="120"/>
      <w:jc w:val="center"/>
    </w:pPr>
    <w:rPr>
      <w:rFonts w:ascii="Times Armenian" w:hAnsi="Times Armenian"/>
      <w:b/>
      <w:bCs/>
      <w:sz w:val="20"/>
    </w:rPr>
  </w:style>
  <w:style w:type="paragraph" w:customStyle="1" w:styleId="xl44">
    <w:name w:val="xl44"/>
    <w:basedOn w:val="Normal"/>
    <w:rsid w:val="00AF5441"/>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sz w:val="16"/>
      <w:szCs w:val="20"/>
    </w:rPr>
  </w:style>
  <w:style w:type="paragraph" w:customStyle="1" w:styleId="Heading3Sub-ChapterCenteredtext">
    <w:name w:val="Heading 3.(Sub-Chapter).Centered.(text)"/>
    <w:basedOn w:val="Normal"/>
    <w:next w:val="BodyTextMainTextdateBodyTextMaintext"/>
    <w:rsid w:val="00AF5441"/>
    <w:pPr>
      <w:keepNext/>
      <w:widowControl w:val="0"/>
      <w:tabs>
        <w:tab w:val="left" w:pos="624"/>
      </w:tabs>
      <w:spacing w:before="240" w:after="240"/>
      <w:outlineLvl w:val="2"/>
    </w:pPr>
    <w:rPr>
      <w:rFonts w:ascii="Times Armenian" w:hAnsi="Times Armenian"/>
      <w:b/>
      <w:lang w:val="af-ZA"/>
    </w:rPr>
  </w:style>
  <w:style w:type="paragraph" w:customStyle="1" w:styleId="BoxTitle">
    <w:name w:val="Box_Title"/>
    <w:basedOn w:val="Caption"/>
    <w:rsid w:val="00AF5441"/>
    <w:pPr>
      <w:spacing w:before="60" w:after="120"/>
      <w:ind w:left="1325" w:hanging="1325"/>
    </w:pPr>
  </w:style>
  <w:style w:type="paragraph" w:styleId="TOC6">
    <w:name w:val="toc 6"/>
    <w:basedOn w:val="Normal"/>
    <w:next w:val="Normal"/>
    <w:autoRedefine/>
    <w:uiPriority w:val="39"/>
    <w:rsid w:val="00AF5441"/>
    <w:pPr>
      <w:ind w:left="1200"/>
    </w:pPr>
  </w:style>
  <w:style w:type="paragraph" w:styleId="TOC7">
    <w:name w:val="toc 7"/>
    <w:basedOn w:val="Normal"/>
    <w:next w:val="Normal"/>
    <w:autoRedefine/>
    <w:uiPriority w:val="39"/>
    <w:rsid w:val="00AF5441"/>
    <w:pPr>
      <w:ind w:left="1440"/>
    </w:pPr>
  </w:style>
  <w:style w:type="paragraph" w:styleId="TOC8">
    <w:name w:val="toc 8"/>
    <w:basedOn w:val="Normal"/>
    <w:next w:val="Normal"/>
    <w:autoRedefine/>
    <w:uiPriority w:val="39"/>
    <w:rsid w:val="00AF5441"/>
    <w:pPr>
      <w:ind w:left="1680"/>
    </w:pPr>
  </w:style>
  <w:style w:type="paragraph" w:styleId="TOC9">
    <w:name w:val="toc 9"/>
    <w:basedOn w:val="Normal"/>
    <w:next w:val="Normal"/>
    <w:autoRedefine/>
    <w:uiPriority w:val="39"/>
    <w:rsid w:val="00AF5441"/>
    <w:pPr>
      <w:ind w:left="1920"/>
    </w:pPr>
  </w:style>
  <w:style w:type="table" w:styleId="TableList7">
    <w:name w:val="Table List 7"/>
    <w:basedOn w:val="TableNormal"/>
    <w:rsid w:val="00AF54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AF54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AF54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0F0242"/>
    <w:pPr>
      <w:ind w:left="480" w:hanging="480"/>
    </w:pPr>
    <w:rPr>
      <w:sz w:val="20"/>
    </w:rPr>
  </w:style>
  <w:style w:type="paragraph" w:customStyle="1" w:styleId="TOCBase">
    <w:name w:val="TOC Base"/>
    <w:basedOn w:val="Normal"/>
    <w:rsid w:val="000F0242"/>
    <w:pPr>
      <w:tabs>
        <w:tab w:val="right" w:leader="dot" w:pos="8505"/>
      </w:tabs>
      <w:overflowPunct w:val="0"/>
      <w:autoSpaceDE w:val="0"/>
      <w:autoSpaceDN w:val="0"/>
      <w:adjustRightInd w:val="0"/>
      <w:textAlignment w:val="baseline"/>
    </w:pPr>
    <w:rPr>
      <w:rFonts w:ascii="Gill Sans" w:hAnsi="Gill Sans"/>
      <w:szCs w:val="20"/>
    </w:rPr>
  </w:style>
  <w:style w:type="paragraph" w:customStyle="1" w:styleId="Bulets">
    <w:name w:val="Bulets"/>
    <w:basedOn w:val="Normal"/>
    <w:next w:val="Normal"/>
    <w:rsid w:val="000F0242"/>
    <w:pPr>
      <w:tabs>
        <w:tab w:val="num" w:pos="360"/>
      </w:tabs>
      <w:ind w:left="357" w:hanging="357"/>
    </w:pPr>
    <w:rPr>
      <w:rFonts w:ascii="Times Armenian" w:hAnsi="Times Armenian"/>
      <w:sz w:val="20"/>
      <w:szCs w:val="20"/>
    </w:rPr>
  </w:style>
  <w:style w:type="paragraph" w:customStyle="1" w:styleId="Numbering">
    <w:name w:val="Numbering"/>
    <w:basedOn w:val="Normal"/>
    <w:next w:val="Normal"/>
    <w:rsid w:val="000F0242"/>
    <w:pPr>
      <w:tabs>
        <w:tab w:val="num" w:pos="360"/>
      </w:tabs>
      <w:ind w:left="360" w:hanging="360"/>
    </w:pPr>
    <w:rPr>
      <w:rFonts w:ascii="Times Armenian" w:hAnsi="Times Armenian"/>
      <w:sz w:val="20"/>
      <w:szCs w:val="20"/>
    </w:rPr>
  </w:style>
  <w:style w:type="paragraph" w:customStyle="1" w:styleId="Bulet-2">
    <w:name w:val="Bulet-2"/>
    <w:basedOn w:val="Normal"/>
    <w:rsid w:val="000F0242"/>
    <w:pPr>
      <w:tabs>
        <w:tab w:val="num" w:pos="454"/>
      </w:tabs>
      <w:ind w:left="454" w:hanging="454"/>
    </w:pPr>
    <w:rPr>
      <w:rFonts w:ascii="Times Armenian" w:hAnsi="Times Armenian"/>
    </w:rPr>
  </w:style>
  <w:style w:type="character" w:styleId="Strong">
    <w:name w:val="Strong"/>
    <w:qFormat/>
    <w:rsid w:val="000F0242"/>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F0242"/>
    <w:pPr>
      <w:spacing w:after="120"/>
      <w:ind w:left="360"/>
    </w:pPr>
    <w:rPr>
      <w:sz w:val="20"/>
    </w:rPr>
  </w:style>
  <w:style w:type="paragraph" w:customStyle="1" w:styleId="StyleHeading120pt">
    <w:name w:val="Style Heading 1 + 20 pt"/>
    <w:basedOn w:val="Heading1"/>
    <w:rsid w:val="00CE0229"/>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CE0229"/>
    <w:pPr>
      <w:widowControl/>
      <w:ind w:left="360"/>
    </w:pPr>
    <w:rPr>
      <w:color w:val="3366FF"/>
      <w:spacing w:val="24"/>
      <w:sz w:val="32"/>
      <w:lang w:val="en-US"/>
    </w:rPr>
  </w:style>
  <w:style w:type="paragraph" w:styleId="Subtitle">
    <w:name w:val="Subtitle"/>
    <w:basedOn w:val="Normal"/>
    <w:link w:val="SubtitleChar"/>
    <w:qFormat/>
    <w:rsid w:val="005D2662"/>
    <w:pPr>
      <w:spacing w:before="120" w:after="240"/>
    </w:pPr>
    <w:rPr>
      <w:b/>
      <w:color w:val="002060"/>
      <w:sz w:val="28"/>
      <w:lang w:val="x-none" w:eastAsia="ru-RU"/>
    </w:rPr>
  </w:style>
  <w:style w:type="character" w:customStyle="1" w:styleId="SubtitleChar">
    <w:name w:val="Subtitle Char"/>
    <w:link w:val="Subtitle"/>
    <w:rsid w:val="005D2662"/>
    <w:rPr>
      <w:rFonts w:ascii="GHEA Grapalat" w:hAnsi="GHEA Grapalat"/>
      <w:b/>
      <w:color w:val="002060"/>
      <w:sz w:val="28"/>
      <w:szCs w:val="24"/>
      <w:lang w:val="x-none" w:eastAsia="ru-RU"/>
    </w:rPr>
  </w:style>
  <w:style w:type="character" w:styleId="EndnoteReference">
    <w:name w:val="endnote reference"/>
    <w:rsid w:val="00CE0229"/>
    <w:rPr>
      <w:vertAlign w:val="superscript"/>
    </w:rPr>
  </w:style>
  <w:style w:type="paragraph" w:styleId="Index1">
    <w:name w:val="index 1"/>
    <w:basedOn w:val="Normal"/>
    <w:next w:val="Normal"/>
    <w:autoRedefine/>
    <w:rsid w:val="00CE0229"/>
    <w:pPr>
      <w:ind w:left="240" w:hanging="240"/>
    </w:pPr>
  </w:style>
  <w:style w:type="paragraph" w:styleId="Index2">
    <w:name w:val="index 2"/>
    <w:basedOn w:val="Normal"/>
    <w:next w:val="Normal"/>
    <w:autoRedefine/>
    <w:rsid w:val="00CE0229"/>
    <w:pPr>
      <w:ind w:left="480" w:hanging="240"/>
    </w:pPr>
  </w:style>
  <w:style w:type="paragraph" w:styleId="Index3">
    <w:name w:val="index 3"/>
    <w:basedOn w:val="Normal"/>
    <w:next w:val="Normal"/>
    <w:autoRedefine/>
    <w:rsid w:val="00CE0229"/>
    <w:pPr>
      <w:ind w:left="720" w:hanging="240"/>
    </w:pPr>
  </w:style>
  <w:style w:type="paragraph" w:styleId="Index4">
    <w:name w:val="index 4"/>
    <w:basedOn w:val="Normal"/>
    <w:next w:val="Normal"/>
    <w:autoRedefine/>
    <w:rsid w:val="00CE0229"/>
    <w:pPr>
      <w:ind w:left="960" w:hanging="240"/>
    </w:pPr>
  </w:style>
  <w:style w:type="paragraph" w:styleId="Index5">
    <w:name w:val="index 5"/>
    <w:basedOn w:val="Normal"/>
    <w:next w:val="Normal"/>
    <w:autoRedefine/>
    <w:rsid w:val="00CE0229"/>
    <w:pPr>
      <w:ind w:left="1200" w:hanging="240"/>
    </w:pPr>
  </w:style>
  <w:style w:type="paragraph" w:styleId="Index6">
    <w:name w:val="index 6"/>
    <w:basedOn w:val="Normal"/>
    <w:next w:val="Normal"/>
    <w:autoRedefine/>
    <w:rsid w:val="00CE0229"/>
    <w:pPr>
      <w:ind w:left="1440" w:hanging="240"/>
    </w:pPr>
  </w:style>
  <w:style w:type="paragraph" w:styleId="Index7">
    <w:name w:val="index 7"/>
    <w:basedOn w:val="Normal"/>
    <w:next w:val="Normal"/>
    <w:autoRedefine/>
    <w:rsid w:val="00CE0229"/>
    <w:pPr>
      <w:ind w:left="1680" w:hanging="240"/>
    </w:pPr>
  </w:style>
  <w:style w:type="paragraph" w:styleId="Index8">
    <w:name w:val="index 8"/>
    <w:basedOn w:val="Normal"/>
    <w:next w:val="Normal"/>
    <w:autoRedefine/>
    <w:rsid w:val="00CE0229"/>
    <w:pPr>
      <w:ind w:left="1920" w:hanging="240"/>
    </w:pPr>
  </w:style>
  <w:style w:type="paragraph" w:styleId="Index9">
    <w:name w:val="index 9"/>
    <w:basedOn w:val="Normal"/>
    <w:next w:val="Normal"/>
    <w:autoRedefine/>
    <w:rsid w:val="00CE0229"/>
    <w:pPr>
      <w:ind w:left="2160" w:hanging="240"/>
    </w:pPr>
  </w:style>
  <w:style w:type="paragraph" w:styleId="IndexHeading">
    <w:name w:val="index heading"/>
    <w:basedOn w:val="Normal"/>
    <w:next w:val="Index1"/>
    <w:rsid w:val="00CE0229"/>
  </w:style>
  <w:style w:type="paragraph" w:customStyle="1" w:styleId="BodyTextIndentTableSource">
    <w:name w:val="Body Text Indent.(Table Source)"/>
    <w:basedOn w:val="Normal"/>
    <w:rsid w:val="00CE0229"/>
    <w:pPr>
      <w:ind w:firstLine="540"/>
    </w:pPr>
    <w:rPr>
      <w:rFonts w:ascii="Times LatArm" w:hAnsi="Times LatArm"/>
      <w:szCs w:val="20"/>
    </w:rPr>
  </w:style>
  <w:style w:type="character" w:customStyle="1" w:styleId="TableTitleCharCharCharCharCharCharCharCharCharCharChar">
    <w:name w:val="(Table Title) Char Char Char Char Char Char Char Char Char Char Char"/>
    <w:aliases w:val="Caption1,(Table Title)1"/>
    <w:rsid w:val="00CE0229"/>
    <w:rPr>
      <w:rFonts w:ascii="Arial Armenian" w:hAnsi="Arial Armenian"/>
      <w:b/>
      <w:noProof w:val="0"/>
      <w:lang w:val="en-GB" w:eastAsia="en-US" w:bidi="ar-SA"/>
    </w:rPr>
  </w:style>
  <w:style w:type="paragraph" w:customStyle="1" w:styleId="xl26">
    <w:name w:val="xl26"/>
    <w:basedOn w:val="Normal"/>
    <w:rsid w:val="00CE0229"/>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7">
    <w:name w:val="xl27"/>
    <w:basedOn w:val="Normal"/>
    <w:rsid w:val="00CE0229"/>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9">
    <w:name w:val="xl29"/>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30">
    <w:name w:val="xl30"/>
    <w:basedOn w:val="Normal"/>
    <w:rsid w:val="00CE022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eastAsia="Arial Unicode MS" w:hAnsi="Times Armenian" w:cs="Arial Unicode MS"/>
      <w:sz w:val="16"/>
      <w:szCs w:val="16"/>
    </w:rPr>
  </w:style>
  <w:style w:type="paragraph" w:customStyle="1" w:styleId="xl43">
    <w:name w:val="xl43"/>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16"/>
      <w:szCs w:val="16"/>
    </w:rPr>
  </w:style>
  <w:style w:type="paragraph" w:customStyle="1" w:styleId="BoxText">
    <w:name w:val="Box Text"/>
    <w:basedOn w:val="BodyText"/>
    <w:rsid w:val="00CE0229"/>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ind w:firstLine="652"/>
      <w:suppressOverlap/>
    </w:pPr>
    <w:rPr>
      <w:rFonts w:ascii="Arial Armenian" w:hAnsi="Arial Armenian"/>
      <w:noProof/>
      <w:sz w:val="20"/>
      <w:szCs w:val="20"/>
      <w:lang w:val="it-IT"/>
    </w:rPr>
  </w:style>
  <w:style w:type="paragraph" w:customStyle="1" w:styleId="BulletAB1">
    <w:name w:val="Bullet AB1"/>
    <w:basedOn w:val="Normal"/>
    <w:rsid w:val="00CE0229"/>
    <w:pPr>
      <w:tabs>
        <w:tab w:val="num" w:pos="360"/>
        <w:tab w:val="left" w:pos="1008"/>
      </w:tabs>
      <w:spacing w:after="60"/>
      <w:ind w:left="360" w:hanging="360"/>
    </w:pPr>
    <w:rPr>
      <w:sz w:val="21"/>
      <w:szCs w:val="20"/>
    </w:rPr>
  </w:style>
  <w:style w:type="paragraph" w:customStyle="1" w:styleId="Style1">
    <w:name w:val="Style1"/>
    <w:basedOn w:val="BodyText"/>
    <w:rsid w:val="00CE0229"/>
    <w:pPr>
      <w:tabs>
        <w:tab w:val="left" w:pos="360"/>
        <w:tab w:val="num" w:pos="720"/>
        <w:tab w:val="left" w:pos="900"/>
        <w:tab w:val="left" w:pos="9029"/>
      </w:tabs>
      <w:spacing w:after="0"/>
      <w:ind w:left="720" w:hanging="360"/>
    </w:pPr>
    <w:rPr>
      <w:rFonts w:ascii="Arial Armenian" w:hAnsi="Arial Armenian"/>
      <w:i/>
      <w:szCs w:val="20"/>
      <w:lang w:val="af-ZA"/>
    </w:rPr>
  </w:style>
  <w:style w:type="paragraph" w:customStyle="1" w:styleId="Tables">
    <w:name w:val="Tables"/>
    <w:basedOn w:val="BodyText2"/>
    <w:rsid w:val="00CE0229"/>
    <w:pPr>
      <w:spacing w:after="0" w:line="240" w:lineRule="auto"/>
    </w:pPr>
    <w:rPr>
      <w:b/>
      <w:bCs/>
      <w:iCs/>
      <w:sz w:val="22"/>
      <w:szCs w:val="24"/>
      <w:lang w:val="en-US" w:eastAsia="en-US"/>
    </w:rPr>
  </w:style>
  <w:style w:type="paragraph" w:customStyle="1" w:styleId="wolort">
    <w:name w:val="wolort"/>
    <w:basedOn w:val="Normal"/>
    <w:rsid w:val="00CE0229"/>
    <w:pPr>
      <w:jc w:val="center"/>
    </w:pPr>
    <w:rPr>
      <w:rFonts w:ascii="Arial Armenian" w:hAnsi="Arial Armenian"/>
      <w:b/>
    </w:rPr>
  </w:style>
  <w:style w:type="character" w:customStyle="1" w:styleId="CentredChar">
    <w:name w:val="Centred Char"/>
    <w:aliases w:val="Heading 42,Heading 4 Char1,Heading 4 Char"/>
    <w:rsid w:val="00CE0229"/>
    <w:rPr>
      <w:rFonts w:ascii="Times Armenian" w:hAnsi="Times Armenian"/>
      <w:b/>
      <w:noProof w:val="0"/>
      <w:spacing w:val="-5"/>
      <w:sz w:val="22"/>
      <w:lang w:val="en-GB" w:eastAsia="en-US" w:bidi="ar-SA"/>
    </w:rPr>
  </w:style>
  <w:style w:type="paragraph" w:customStyle="1" w:styleId="Tabletext0">
    <w:name w:val="Table text"/>
    <w:basedOn w:val="Normal"/>
    <w:rsid w:val="00CE0229"/>
    <w:pPr>
      <w:overflowPunct w:val="0"/>
      <w:autoSpaceDE w:val="0"/>
      <w:autoSpaceDN w:val="0"/>
      <w:adjustRightInd w:val="0"/>
      <w:spacing w:before="60" w:after="60" w:line="240" w:lineRule="atLeast"/>
      <w:textAlignment w:val="baseline"/>
    </w:pPr>
    <w:rPr>
      <w:sz w:val="18"/>
      <w:szCs w:val="20"/>
    </w:rPr>
  </w:style>
  <w:style w:type="paragraph" w:customStyle="1" w:styleId="MessageText">
    <w:name w:val="Message Text"/>
    <w:basedOn w:val="BodyText"/>
    <w:rsid w:val="00CE0229"/>
    <w:pPr>
      <w:widowControl w:val="0"/>
      <w:ind w:firstLine="652"/>
    </w:pPr>
    <w:rPr>
      <w:rFonts w:ascii="Arial Armenian" w:hAnsi="Arial Armenian"/>
      <w:szCs w:val="20"/>
      <w:lang w:val="en-GB"/>
    </w:rPr>
  </w:style>
  <w:style w:type="paragraph" w:customStyle="1" w:styleId="Heading41">
    <w:name w:val="Heading 41"/>
    <w:aliases w:val="Centred1"/>
    <w:basedOn w:val="Normal"/>
    <w:rsid w:val="00CE0229"/>
    <w:pPr>
      <w:widowControl w:val="0"/>
      <w:tabs>
        <w:tab w:val="num" w:pos="1080"/>
      </w:tabs>
      <w:ind w:left="737" w:hanging="737"/>
    </w:pPr>
    <w:rPr>
      <w:rFonts w:ascii="Arial Armenian" w:hAnsi="Arial Armenian"/>
      <w:sz w:val="20"/>
      <w:szCs w:val="20"/>
    </w:rPr>
  </w:style>
  <w:style w:type="paragraph" w:customStyle="1" w:styleId="PRAMO">
    <w:name w:val="PRAMO"/>
    <w:basedOn w:val="Normal"/>
    <w:rsid w:val="00CE0229"/>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pPr>
    <w:rPr>
      <w:rFonts w:ascii="Arial" w:hAnsi="Arial"/>
    </w:rPr>
  </w:style>
  <w:style w:type="paragraph" w:customStyle="1" w:styleId="bullet1">
    <w:name w:val="bullet1"/>
    <w:basedOn w:val="NormalIndent"/>
    <w:rsid w:val="00CE0229"/>
    <w:pPr>
      <w:tabs>
        <w:tab w:val="clear" w:pos="1134"/>
        <w:tab w:val="clear" w:pos="1701"/>
        <w:tab w:val="left" w:pos="1418"/>
      </w:tabs>
      <w:ind w:left="0"/>
      <w:jc w:val="left"/>
    </w:pPr>
  </w:style>
  <w:style w:type="paragraph" w:styleId="NormalIndent">
    <w:name w:val="Normal Indent"/>
    <w:basedOn w:val="Normal"/>
    <w:rsid w:val="00CE0229"/>
    <w:pPr>
      <w:tabs>
        <w:tab w:val="left" w:pos="1134"/>
        <w:tab w:val="left" w:pos="1701"/>
        <w:tab w:val="left" w:pos="2835"/>
        <w:tab w:val="left" w:pos="5103"/>
        <w:tab w:val="left" w:pos="7371"/>
        <w:tab w:val="right" w:pos="9639"/>
      </w:tabs>
      <w:ind w:left="1134"/>
    </w:pPr>
  </w:style>
  <w:style w:type="paragraph" w:customStyle="1" w:styleId="a4">
    <w:name w:val="????????"/>
    <w:basedOn w:val="Normal"/>
    <w:rsid w:val="00CE0229"/>
    <w:pPr>
      <w:jc w:val="center"/>
    </w:pPr>
    <w:rPr>
      <w:rFonts w:ascii="Times Armenian" w:hAnsi="Times Armenian"/>
      <w:i/>
      <w:sz w:val="28"/>
      <w:szCs w:val="20"/>
      <w:lang w:eastAsia="ru-RU"/>
    </w:rPr>
  </w:style>
  <w:style w:type="paragraph" w:customStyle="1" w:styleId="12">
    <w:name w:val="???????? ????? ? ????????1"/>
    <w:basedOn w:val="2"/>
    <w:rsid w:val="00CE0229"/>
    <w:pPr>
      <w:spacing w:line="360" w:lineRule="auto"/>
      <w:ind w:firstLine="720"/>
      <w:jc w:val="both"/>
    </w:pPr>
    <w:rPr>
      <w:sz w:val="28"/>
    </w:rPr>
  </w:style>
  <w:style w:type="paragraph" w:customStyle="1" w:styleId="BodyTextIndentTableSource1">
    <w:name w:val="Body Text Indent.(Table Source)1"/>
    <w:basedOn w:val="Normal"/>
    <w:rsid w:val="00CE0229"/>
    <w:pPr>
      <w:ind w:firstLine="3"/>
    </w:pPr>
    <w:rPr>
      <w:rFonts w:ascii="Times Armenian" w:hAnsi="Times Armenian"/>
      <w:szCs w:val="20"/>
      <w:lang w:val="fr-FR"/>
    </w:rPr>
  </w:style>
  <w:style w:type="paragraph" w:customStyle="1" w:styleId="xl33">
    <w:name w:val="xl33"/>
    <w:basedOn w:val="Normal"/>
    <w:rsid w:val="00CE0229"/>
    <w:pPr>
      <w:pBdr>
        <w:top w:val="single" w:sz="4" w:space="0" w:color="auto"/>
        <w:left w:val="single" w:sz="4" w:space="0" w:color="auto"/>
        <w:bottom w:val="single" w:sz="4" w:space="0" w:color="auto"/>
        <w:right w:val="single" w:sz="4" w:space="0" w:color="auto"/>
      </w:pBdr>
      <w:spacing w:before="100" w:after="100"/>
    </w:pPr>
    <w:rPr>
      <w:rFonts w:ascii="Arial Armenian" w:eastAsia="Arial Unicode MS" w:hAnsi="Arial Armenian"/>
      <w:b/>
      <w:i/>
      <w:sz w:val="16"/>
      <w:szCs w:val="20"/>
    </w:rPr>
  </w:style>
  <w:style w:type="paragraph" w:customStyle="1" w:styleId="xl35">
    <w:name w:val="xl35"/>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i/>
      <w:sz w:val="16"/>
      <w:szCs w:val="20"/>
    </w:rPr>
  </w:style>
  <w:style w:type="paragraph" w:customStyle="1" w:styleId="xl36">
    <w:name w:val="xl36"/>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37">
    <w:name w:val="xl37"/>
    <w:basedOn w:val="Normal"/>
    <w:rsid w:val="00CE0229"/>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b/>
      <w:sz w:val="16"/>
      <w:szCs w:val="20"/>
    </w:rPr>
  </w:style>
  <w:style w:type="paragraph" w:customStyle="1" w:styleId="xl38">
    <w:name w:val="xl38"/>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b/>
      <w:sz w:val="16"/>
      <w:szCs w:val="20"/>
    </w:rPr>
  </w:style>
  <w:style w:type="paragraph" w:customStyle="1" w:styleId="xl39">
    <w:name w:val="xl39"/>
    <w:basedOn w:val="Normal"/>
    <w:rsid w:val="00CE022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0">
    <w:name w:val="xl40"/>
    <w:basedOn w:val="Normal"/>
    <w:rsid w:val="00CE022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1">
    <w:name w:val="xl41"/>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42">
    <w:name w:val="xl42"/>
    <w:basedOn w:val="Normal"/>
    <w:rsid w:val="00CE0229"/>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i/>
      <w:sz w:val="16"/>
      <w:szCs w:val="20"/>
    </w:rPr>
  </w:style>
  <w:style w:type="paragraph" w:customStyle="1" w:styleId="xl45">
    <w:name w:val="xl45"/>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6">
    <w:name w:val="xl46"/>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7">
    <w:name w:val="xl47"/>
    <w:basedOn w:val="Normal"/>
    <w:rsid w:val="00CE0229"/>
    <w:pPr>
      <w:pBdr>
        <w:bottom w:val="single" w:sz="4" w:space="0" w:color="auto"/>
        <w:right w:val="single" w:sz="4" w:space="0" w:color="auto"/>
      </w:pBdr>
      <w:shd w:val="clear" w:color="auto" w:fill="FFFFFF"/>
      <w:spacing w:before="100" w:after="100"/>
      <w:textAlignment w:val="top"/>
    </w:pPr>
    <w:rPr>
      <w:rFonts w:ascii="Arial Armenian" w:eastAsia="Arial Unicode MS" w:hAnsi="Arial Armenian"/>
      <w:i/>
      <w:sz w:val="16"/>
      <w:szCs w:val="20"/>
    </w:rPr>
  </w:style>
  <w:style w:type="paragraph" w:customStyle="1" w:styleId="xl48">
    <w:name w:val="xl48"/>
    <w:basedOn w:val="Normal"/>
    <w:rsid w:val="00CE0229"/>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6"/>
      <w:szCs w:val="20"/>
    </w:rPr>
  </w:style>
  <w:style w:type="paragraph" w:customStyle="1" w:styleId="xl49">
    <w:name w:val="xl49"/>
    <w:basedOn w:val="Normal"/>
    <w:rsid w:val="00CE0229"/>
    <w:pPr>
      <w:pBdr>
        <w:top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50">
    <w:name w:val="xl50"/>
    <w:basedOn w:val="Normal"/>
    <w:rsid w:val="00CE0229"/>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1">
    <w:name w:val="xl51"/>
    <w:basedOn w:val="Normal"/>
    <w:rsid w:val="00CE0229"/>
    <w:pPr>
      <w:pBdr>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2">
    <w:name w:val="xl52"/>
    <w:basedOn w:val="Normal"/>
    <w:rsid w:val="00CE0229"/>
    <w:pPr>
      <w:pBdr>
        <w:top w:val="single" w:sz="4" w:space="0" w:color="auto"/>
        <w:lef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3">
    <w:name w:val="xl53"/>
    <w:basedOn w:val="Normal"/>
    <w:rsid w:val="00CE0229"/>
    <w:pPr>
      <w:pBdr>
        <w:top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4">
    <w:name w:val="xl54"/>
    <w:basedOn w:val="Normal"/>
    <w:rsid w:val="00CE0229"/>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55">
    <w:name w:val="xl55"/>
    <w:basedOn w:val="Normal"/>
    <w:rsid w:val="00CE0229"/>
    <w:pPr>
      <w:pBdr>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6">
    <w:name w:val="xl56"/>
    <w:basedOn w:val="Normal"/>
    <w:rsid w:val="00CE0229"/>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8">
    <w:name w:val="xl58"/>
    <w:basedOn w:val="Normal"/>
    <w:rsid w:val="00CE0229"/>
    <w:pPr>
      <w:pBdr>
        <w:left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59">
    <w:name w:val="xl59"/>
    <w:basedOn w:val="Normal"/>
    <w:rsid w:val="00CE0229"/>
    <w:pPr>
      <w:pBdr>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60">
    <w:name w:val="xl60"/>
    <w:basedOn w:val="Normal"/>
    <w:rsid w:val="00CE0229"/>
    <w:pPr>
      <w:pBdr>
        <w:top w:val="single" w:sz="4" w:space="0" w:color="auto"/>
        <w:lef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1">
    <w:name w:val="xl61"/>
    <w:basedOn w:val="Normal"/>
    <w:rsid w:val="00CE0229"/>
    <w:pPr>
      <w:pBdr>
        <w:top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2">
    <w:name w:val="xl62"/>
    <w:basedOn w:val="Normal"/>
    <w:rsid w:val="00CE0229"/>
    <w:pPr>
      <w:pBdr>
        <w:left w:val="single" w:sz="4" w:space="0" w:color="auto"/>
        <w:bottom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3">
    <w:name w:val="xl63"/>
    <w:basedOn w:val="Normal"/>
    <w:rsid w:val="00CE0229"/>
    <w:pPr>
      <w:pBdr>
        <w:bottom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4">
    <w:name w:val="xl64"/>
    <w:basedOn w:val="Normal"/>
    <w:rsid w:val="00CE0229"/>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sz w:val="14"/>
      <w:szCs w:val="20"/>
    </w:rPr>
  </w:style>
  <w:style w:type="paragraph" w:customStyle="1" w:styleId="xl65">
    <w:name w:val="xl65"/>
    <w:basedOn w:val="Normal"/>
    <w:rsid w:val="00CE0229"/>
    <w:pPr>
      <w:pBdr>
        <w:left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6">
    <w:name w:val="xl66"/>
    <w:basedOn w:val="Normal"/>
    <w:rsid w:val="00CE0229"/>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7">
    <w:name w:val="xl67"/>
    <w:basedOn w:val="Normal"/>
    <w:rsid w:val="00CE0229"/>
    <w:pPr>
      <w:pBdr>
        <w:top w:val="single" w:sz="4" w:space="0" w:color="auto"/>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68">
    <w:name w:val="xl68"/>
    <w:basedOn w:val="Normal"/>
    <w:rsid w:val="00CE0229"/>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i/>
      <w:sz w:val="14"/>
      <w:szCs w:val="20"/>
    </w:rPr>
  </w:style>
  <w:style w:type="paragraph" w:customStyle="1" w:styleId="xl69">
    <w:name w:val="xl69"/>
    <w:basedOn w:val="Normal"/>
    <w:rsid w:val="00CE02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Armenian" w:eastAsia="Arial Unicode MS" w:hAnsi="Arial Armenian" w:cs="Arial Unicode MS"/>
    </w:rPr>
  </w:style>
  <w:style w:type="paragraph" w:customStyle="1" w:styleId="xl70">
    <w:name w:val="xl70"/>
    <w:basedOn w:val="Normal"/>
    <w:rsid w:val="00CE022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1">
    <w:name w:val="xl71"/>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2">
    <w:name w:val="xl72"/>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Armenian" w:eastAsia="Arial Unicode MS" w:hAnsi="Arial Armenian" w:cs="Arial Unicode MS"/>
      <w:i/>
      <w:iCs/>
    </w:rPr>
  </w:style>
  <w:style w:type="paragraph" w:customStyle="1" w:styleId="xl73">
    <w:name w:val="xl73"/>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74">
    <w:name w:val="xl74"/>
    <w:basedOn w:val="Normal"/>
    <w:rsid w:val="00CE0229"/>
    <w:pPr>
      <w:pBdr>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5">
    <w:name w:val="xl75"/>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76">
    <w:name w:val="xl76"/>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7">
    <w:name w:val="xl77"/>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rPr>
  </w:style>
  <w:style w:type="paragraph" w:customStyle="1" w:styleId="xl78">
    <w:name w:val="xl78"/>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79">
    <w:name w:val="xl79"/>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80">
    <w:name w:val="xl80"/>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81">
    <w:name w:val="xl81"/>
    <w:basedOn w:val="Normal"/>
    <w:rsid w:val="00CE0229"/>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82">
    <w:name w:val="xl82"/>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83">
    <w:name w:val="xl83"/>
    <w:basedOn w:val="Normal"/>
    <w:rsid w:val="00CE0229"/>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4">
    <w:name w:val="xl84"/>
    <w:basedOn w:val="Normal"/>
    <w:rsid w:val="00CE0229"/>
    <w:pPr>
      <w:pBdr>
        <w:top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5">
    <w:name w:val="xl85"/>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6">
    <w:name w:val="xl86"/>
    <w:basedOn w:val="Normal"/>
    <w:rsid w:val="00CE0229"/>
    <w:pPr>
      <w:pBdr>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7">
    <w:name w:val="xl87"/>
    <w:basedOn w:val="Normal"/>
    <w:rsid w:val="00CE022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88">
    <w:name w:val="xl88"/>
    <w:basedOn w:val="Normal"/>
    <w:rsid w:val="00CE0229"/>
    <w:pPr>
      <w:pBdr>
        <w:bottom w:val="single" w:sz="4" w:space="0" w:color="auto"/>
      </w:pBdr>
      <w:shd w:val="clear" w:color="auto" w:fill="FFFFFF"/>
      <w:spacing w:before="100" w:beforeAutospacing="1" w:after="100" w:afterAutospacing="1"/>
    </w:pPr>
    <w:rPr>
      <w:rFonts w:ascii="Arial Armenian" w:eastAsia="Arial Unicode MS" w:hAnsi="Arial Armenian" w:cs="Arial Unicode MS"/>
    </w:rPr>
  </w:style>
  <w:style w:type="paragraph" w:customStyle="1" w:styleId="xl89">
    <w:name w:val="xl89"/>
    <w:basedOn w:val="Normal"/>
    <w:rsid w:val="00CE022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Armenian" w:eastAsia="Arial Unicode MS" w:hAnsi="Arial Armenian" w:cs="Arial Unicode MS"/>
      <w:b/>
      <w:bCs/>
    </w:rPr>
  </w:style>
  <w:style w:type="paragraph" w:customStyle="1" w:styleId="xl90">
    <w:name w:val="xl90"/>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1">
    <w:name w:val="xl91"/>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2">
    <w:name w:val="xl92"/>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3">
    <w:name w:val="xl93"/>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u w:val="single"/>
    </w:rPr>
  </w:style>
  <w:style w:type="paragraph" w:customStyle="1" w:styleId="xl94">
    <w:name w:val="xl94"/>
    <w:basedOn w:val="Normal"/>
    <w:rsid w:val="00CE0229"/>
    <w:pPr>
      <w:pBdr>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5">
    <w:name w:val="xl95"/>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6">
    <w:name w:val="xl96"/>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97">
    <w:name w:val="xl97"/>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8">
    <w:name w:val="xl98"/>
    <w:basedOn w:val="Normal"/>
    <w:rsid w:val="00CE022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Armenian" w:eastAsia="Arial Unicode MS" w:hAnsi="Arial Armenian" w:cs="Arial Unicode MS"/>
    </w:rPr>
  </w:style>
  <w:style w:type="paragraph" w:customStyle="1" w:styleId="xl99">
    <w:name w:val="xl99"/>
    <w:basedOn w:val="Normal"/>
    <w:rsid w:val="00CE0229"/>
    <w:pPr>
      <w:pBdr>
        <w:right w:val="single" w:sz="8" w:space="0" w:color="auto"/>
      </w:pBdr>
      <w:shd w:val="clear" w:color="auto" w:fill="FFFFFF"/>
      <w:spacing w:before="100" w:beforeAutospacing="1" w:after="100" w:afterAutospacing="1"/>
      <w:jc w:val="right"/>
    </w:pPr>
    <w:rPr>
      <w:rFonts w:ascii="Arial Armenian" w:eastAsia="Arial Unicode MS" w:hAnsi="Arial Armenian" w:cs="Arial Unicode MS"/>
      <w:b/>
      <w:bCs/>
    </w:rPr>
  </w:style>
  <w:style w:type="paragraph" w:customStyle="1" w:styleId="xl100">
    <w:name w:val="xl100"/>
    <w:basedOn w:val="Normal"/>
    <w:rsid w:val="00CE0229"/>
    <w:pPr>
      <w:pBdr>
        <w:right w:val="single" w:sz="8" w:space="0" w:color="auto"/>
      </w:pBdr>
      <w:shd w:val="clear" w:color="auto" w:fill="CCFFFF"/>
      <w:spacing w:before="100" w:beforeAutospacing="1" w:after="100" w:afterAutospacing="1"/>
      <w:jc w:val="right"/>
    </w:pPr>
    <w:rPr>
      <w:rFonts w:ascii="Arial Armenian" w:eastAsia="Arial Unicode MS" w:hAnsi="Arial Armenian" w:cs="Arial Unicode MS"/>
    </w:rPr>
  </w:style>
  <w:style w:type="paragraph" w:customStyle="1" w:styleId="xl101">
    <w:name w:val="xl101"/>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102">
    <w:name w:val="xl102"/>
    <w:basedOn w:val="Normal"/>
    <w:rsid w:val="00CE022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103">
    <w:name w:val="xl103"/>
    <w:basedOn w:val="Normal"/>
    <w:rsid w:val="00CE022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i/>
      <w:iCs/>
    </w:rPr>
  </w:style>
  <w:style w:type="paragraph" w:customStyle="1" w:styleId="xl104">
    <w:name w:val="xl104"/>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rPr>
  </w:style>
  <w:style w:type="paragraph" w:customStyle="1" w:styleId="xl105">
    <w:name w:val="xl105"/>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06">
    <w:name w:val="xl106"/>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Armenian" w:eastAsia="Arial Unicode MS" w:hAnsi="Arial Armenian" w:cs="Arial Unicode MS"/>
    </w:rPr>
  </w:style>
  <w:style w:type="paragraph" w:customStyle="1" w:styleId="xl107">
    <w:name w:val="xl107"/>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eastAsia="Arial Unicode MS" w:hAnsi="Arial Armenian" w:cs="Arial Unicode MS"/>
      <w:b/>
      <w:bCs/>
    </w:rPr>
  </w:style>
  <w:style w:type="paragraph" w:customStyle="1" w:styleId="xl108">
    <w:name w:val="xl108"/>
    <w:basedOn w:val="Normal"/>
    <w:rsid w:val="00CE022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09">
    <w:name w:val="xl109"/>
    <w:basedOn w:val="Normal"/>
    <w:rsid w:val="00CE02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10">
    <w:name w:val="xl110"/>
    <w:basedOn w:val="Normal"/>
    <w:rsid w:val="00CE022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11">
    <w:name w:val="xl111"/>
    <w:basedOn w:val="Normal"/>
    <w:rsid w:val="00CE0229"/>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b/>
      <w:bCs/>
    </w:rPr>
  </w:style>
  <w:style w:type="paragraph" w:customStyle="1" w:styleId="xl112">
    <w:name w:val="xl112"/>
    <w:basedOn w:val="Normal"/>
    <w:rsid w:val="00CE022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rsid w:val="00CE0229"/>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114">
    <w:name w:val="xl114"/>
    <w:basedOn w:val="Normal"/>
    <w:rsid w:val="00CE022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15">
    <w:name w:val="xl115"/>
    <w:basedOn w:val="Normal"/>
    <w:rsid w:val="00CE022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character" w:customStyle="1" w:styleId="Heading3Char">
    <w:name w:val="Heading 3 Char"/>
    <w:rsid w:val="003A0BBB"/>
    <w:rPr>
      <w:rFonts w:ascii="Sylfaen" w:hAnsi="Sylfaen" w:cs="Arial"/>
      <w:b/>
      <w:bCs/>
      <w:sz w:val="24"/>
      <w:szCs w:val="26"/>
      <w:lang w:val="en-GB" w:eastAsia="en-US" w:bidi="ar-SA"/>
    </w:rPr>
  </w:style>
  <w:style w:type="paragraph" w:customStyle="1" w:styleId="KLegalHeading3">
    <w:name w:val="KLegal Heading 3"/>
    <w:basedOn w:val="Normal"/>
    <w:next w:val="Heading2"/>
    <w:rsid w:val="00CE0229"/>
    <w:pPr>
      <w:keepNext/>
      <w:overflowPunct w:val="0"/>
      <w:autoSpaceDE w:val="0"/>
      <w:autoSpaceDN w:val="0"/>
      <w:adjustRightInd w:val="0"/>
      <w:spacing w:after="220"/>
      <w:ind w:left="1440" w:hanging="720"/>
      <w:textAlignment w:val="baseline"/>
    </w:pPr>
    <w:rPr>
      <w:b/>
      <w:szCs w:val="20"/>
    </w:rPr>
  </w:style>
  <w:style w:type="paragraph" w:customStyle="1" w:styleId="KLegalHeading4">
    <w:name w:val="KLegal Heading 4"/>
    <w:basedOn w:val="Normal"/>
    <w:next w:val="Heading2"/>
    <w:rsid w:val="00CE0229"/>
    <w:pPr>
      <w:keepNext/>
      <w:overflowPunct w:val="0"/>
      <w:autoSpaceDE w:val="0"/>
      <w:autoSpaceDN w:val="0"/>
      <w:adjustRightInd w:val="0"/>
      <w:spacing w:after="220"/>
      <w:ind w:left="2160" w:hanging="720"/>
      <w:textAlignment w:val="baseline"/>
    </w:pPr>
    <w:rPr>
      <w:b/>
      <w:i/>
      <w:szCs w:val="20"/>
    </w:rPr>
  </w:style>
  <w:style w:type="paragraph" w:customStyle="1" w:styleId="KLegalHeading1">
    <w:name w:val="KLegal Heading 1"/>
    <w:basedOn w:val="Normal"/>
    <w:next w:val="KLegalHeading2"/>
    <w:rsid w:val="00CE0229"/>
    <w:pPr>
      <w:keepNext/>
      <w:pageBreakBefore/>
      <w:overflowPunct w:val="0"/>
      <w:autoSpaceDE w:val="0"/>
      <w:autoSpaceDN w:val="0"/>
      <w:adjustRightInd w:val="0"/>
      <w:spacing w:after="440"/>
      <w:ind w:left="851" w:hanging="851"/>
      <w:textAlignment w:val="baseline"/>
      <w:outlineLvl w:val="0"/>
    </w:pPr>
    <w:rPr>
      <w:b/>
      <w:sz w:val="32"/>
      <w:szCs w:val="20"/>
    </w:rPr>
  </w:style>
  <w:style w:type="paragraph" w:customStyle="1" w:styleId="KLegalHeading2">
    <w:name w:val="KLegal Heading 2"/>
    <w:basedOn w:val="Normal"/>
    <w:next w:val="KLegalHeading3"/>
    <w:rsid w:val="00CE0229"/>
    <w:pPr>
      <w:keepNext/>
      <w:overflowPunct w:val="0"/>
      <w:autoSpaceDE w:val="0"/>
      <w:autoSpaceDN w:val="0"/>
      <w:adjustRightInd w:val="0"/>
      <w:spacing w:after="220"/>
      <w:ind w:left="851" w:hanging="851"/>
      <w:textAlignment w:val="baseline"/>
      <w:outlineLvl w:val="1"/>
    </w:pPr>
    <w:rPr>
      <w:b/>
      <w:sz w:val="28"/>
      <w:szCs w:val="20"/>
    </w:rPr>
  </w:style>
  <w:style w:type="character" w:customStyle="1" w:styleId="Normal1">
    <w:name w:val="Normal1"/>
    <w:rsid w:val="00CE0229"/>
    <w:rPr>
      <w:rFonts w:ascii="Arial" w:hAnsi="Arial"/>
      <w:sz w:val="24"/>
      <w:szCs w:val="24"/>
    </w:rPr>
  </w:style>
  <w:style w:type="paragraph" w:customStyle="1" w:styleId="BulletblBulletL1bl1">
    <w:name w:val="Bullet.bl.Bullet L1.bl1"/>
    <w:basedOn w:val="Normal"/>
    <w:rsid w:val="00CE0229"/>
    <w:pPr>
      <w:tabs>
        <w:tab w:val="num" w:pos="360"/>
      </w:tabs>
      <w:autoSpaceDE w:val="0"/>
      <w:autoSpaceDN w:val="0"/>
      <w:spacing w:after="130"/>
      <w:ind w:left="360" w:hanging="360"/>
    </w:pPr>
    <w:rPr>
      <w:rFonts w:ascii="Times Armenian" w:hAnsi="Times Armenian"/>
      <w:lang w:eastAsia="ru-RU"/>
    </w:rPr>
  </w:style>
  <w:style w:type="paragraph" w:customStyle="1" w:styleId="Heading3Centeredtext">
    <w:name w:val="Heading 3.Centered.(text)"/>
    <w:basedOn w:val="Normal"/>
    <w:next w:val="Heading2"/>
    <w:rsid w:val="00CE0229"/>
    <w:pPr>
      <w:keepNext/>
      <w:autoSpaceDE w:val="0"/>
      <w:autoSpaceDN w:val="0"/>
      <w:spacing w:after="220"/>
      <w:outlineLvl w:val="2"/>
    </w:pPr>
    <w:rPr>
      <w:rFonts w:ascii="Times Armenian" w:hAnsi="Times Armenian"/>
      <w:b/>
      <w:bCs/>
      <w:lang w:eastAsia="ru-RU"/>
    </w:rPr>
  </w:style>
  <w:style w:type="paragraph" w:customStyle="1" w:styleId="13">
    <w:name w:val="çàãîëîâîê 1"/>
    <w:basedOn w:val="Normal"/>
    <w:next w:val="Normal"/>
    <w:rsid w:val="00CE0229"/>
    <w:pPr>
      <w:keepNext/>
      <w:overflowPunct w:val="0"/>
      <w:autoSpaceDE w:val="0"/>
      <w:autoSpaceDN w:val="0"/>
      <w:adjustRightInd w:val="0"/>
      <w:jc w:val="center"/>
    </w:pPr>
    <w:rPr>
      <w:rFonts w:ascii="Arial Armenian" w:hAnsi="Arial Armenian"/>
      <w:szCs w:val="20"/>
    </w:rPr>
  </w:style>
  <w:style w:type="paragraph" w:customStyle="1" w:styleId="BalloonText2">
    <w:name w:val="Balloon Text2"/>
    <w:basedOn w:val="Normal"/>
    <w:semiHidden/>
    <w:rsid w:val="00CE0229"/>
    <w:pPr>
      <w:ind w:left="2157" w:hanging="180"/>
    </w:pPr>
    <w:rPr>
      <w:rFonts w:ascii="Tahoma" w:hAnsi="Tahoma" w:cs="Tahoma"/>
      <w:sz w:val="16"/>
      <w:szCs w:val="16"/>
    </w:rPr>
  </w:style>
  <w:style w:type="character" w:customStyle="1" w:styleId="Heading3CharCharCharCharCharCharChar">
    <w:name w:val="Heading 3 Char Char Char Char Char Char Char"/>
    <w:rsid w:val="00CE0229"/>
    <w:rPr>
      <w:rFonts w:ascii="Times Armenian" w:hAnsi="Times Armenian"/>
      <w:b/>
      <w:bCs/>
      <w:sz w:val="24"/>
      <w:szCs w:val="24"/>
      <w:lang w:val="en-GB" w:eastAsia="en-US" w:bidi="ar-SA"/>
    </w:rPr>
  </w:style>
  <w:style w:type="paragraph" w:customStyle="1" w:styleId="WW-BodyText3">
    <w:name w:val="WW-Body Text 3"/>
    <w:basedOn w:val="Normal"/>
    <w:rsid w:val="00CE0229"/>
    <w:pPr>
      <w:suppressAutoHyphens/>
    </w:pPr>
    <w:rPr>
      <w:rFonts w:ascii="Times Armenian" w:hAnsi="Times Armenian"/>
      <w:lang w:eastAsia="ar-SA"/>
    </w:rPr>
  </w:style>
  <w:style w:type="paragraph" w:customStyle="1" w:styleId="WW-BodyTextIndent2">
    <w:name w:val="WW-Body Text Indent 2"/>
    <w:basedOn w:val="Normal"/>
    <w:rsid w:val="00CE0229"/>
    <w:pPr>
      <w:suppressAutoHyphens/>
      <w:ind w:firstLine="720"/>
    </w:pPr>
    <w:rPr>
      <w:rFonts w:ascii="Times LatArm" w:hAnsi="Times LatArm"/>
      <w:i/>
      <w:iCs/>
      <w:lang w:eastAsia="ar-SA"/>
    </w:rPr>
  </w:style>
  <w:style w:type="paragraph" w:customStyle="1" w:styleId="BalloonText1">
    <w:name w:val="Balloon Text1"/>
    <w:basedOn w:val="Normal"/>
    <w:semiHidden/>
    <w:rsid w:val="00CE0229"/>
    <w:rPr>
      <w:rFonts w:ascii="Tahoma" w:hAnsi="Tahoma" w:cs="Tahoma"/>
      <w:sz w:val="16"/>
      <w:szCs w:val="16"/>
    </w:rPr>
  </w:style>
  <w:style w:type="paragraph" w:customStyle="1" w:styleId="BalloonText3">
    <w:name w:val="Balloon Text3"/>
    <w:basedOn w:val="Normal"/>
    <w:semiHidden/>
    <w:rsid w:val="00CE0229"/>
    <w:rPr>
      <w:rFonts w:ascii="Tahoma" w:hAnsi="Tahoma" w:cs="Tahoma"/>
      <w:sz w:val="16"/>
      <w:szCs w:val="16"/>
    </w:rPr>
  </w:style>
  <w:style w:type="paragraph" w:customStyle="1" w:styleId="xl116">
    <w:name w:val="xl116"/>
    <w:basedOn w:val="Normal"/>
    <w:rsid w:val="00CE0229"/>
    <w:pPr>
      <w:pBdr>
        <w:top w:val="single" w:sz="4" w:space="0" w:color="auto"/>
        <w:right w:val="single" w:sz="4" w:space="0" w:color="auto"/>
      </w:pBdr>
      <w:spacing w:before="100" w:beforeAutospacing="1" w:after="100" w:afterAutospacing="1"/>
      <w:jc w:val="right"/>
      <w:textAlignment w:val="center"/>
    </w:pPr>
    <w:rPr>
      <w:rFonts w:ascii="Times Armenian" w:eastAsia="Arial Unicode MS" w:hAnsi="Times Armenian" w:cs="Arial Unicode MS"/>
    </w:rPr>
  </w:style>
  <w:style w:type="paragraph" w:customStyle="1" w:styleId="xl117">
    <w:name w:val="xl117"/>
    <w:basedOn w:val="Normal"/>
    <w:rsid w:val="00CE0229"/>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18">
    <w:name w:val="xl118"/>
    <w:basedOn w:val="Normal"/>
    <w:rsid w:val="00CE0229"/>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119">
    <w:name w:val="xl119"/>
    <w:basedOn w:val="Normal"/>
    <w:rsid w:val="00CE022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20">
    <w:name w:val="xl120"/>
    <w:basedOn w:val="Normal"/>
    <w:rsid w:val="00CE0229"/>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1">
    <w:name w:val="xl121"/>
    <w:basedOn w:val="Normal"/>
    <w:rsid w:val="00CE0229"/>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2">
    <w:name w:val="xl122"/>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3">
    <w:name w:val="xl123"/>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4">
    <w:name w:val="xl124"/>
    <w:basedOn w:val="Normal"/>
    <w:rsid w:val="00CE02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Armenian" w:eastAsia="Arial Unicode MS" w:hAnsi="Times Armenian" w:cs="Arial Unicode MS"/>
      <w:b/>
      <w:bCs/>
      <w:i/>
      <w:iCs/>
    </w:rPr>
  </w:style>
  <w:style w:type="paragraph" w:customStyle="1" w:styleId="xl125">
    <w:name w:val="xl125"/>
    <w:basedOn w:val="Normal"/>
    <w:rsid w:val="00CE022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rPr>
  </w:style>
  <w:style w:type="paragraph" w:customStyle="1" w:styleId="xl126">
    <w:name w:val="xl126"/>
    <w:basedOn w:val="Normal"/>
    <w:rsid w:val="00CE022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7">
    <w:name w:val="xl127"/>
    <w:basedOn w:val="Normal"/>
    <w:rsid w:val="00CE022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8">
    <w:name w:val="xl128"/>
    <w:basedOn w:val="Normal"/>
    <w:rsid w:val="00CE0229"/>
    <w:pPr>
      <w:pBdr>
        <w:bottom w:val="single" w:sz="4" w:space="0" w:color="auto"/>
        <w:right w:val="single" w:sz="4" w:space="0" w:color="auto"/>
      </w:pBdr>
      <w:spacing w:before="100" w:beforeAutospacing="1" w:after="100" w:afterAutospacing="1"/>
    </w:pPr>
    <w:rPr>
      <w:rFonts w:ascii="Times Armenian" w:eastAsia="Arial Unicode MS" w:hAnsi="Times Armenian" w:cs="Arial Unicode MS"/>
    </w:rPr>
  </w:style>
  <w:style w:type="paragraph" w:customStyle="1" w:styleId="xl129">
    <w:name w:val="xl129"/>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30">
    <w:name w:val="xl130"/>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1">
    <w:name w:val="xl131"/>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2">
    <w:name w:val="xl132"/>
    <w:basedOn w:val="Normal"/>
    <w:rsid w:val="00CE022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3">
    <w:name w:val="xl133"/>
    <w:basedOn w:val="Normal"/>
    <w:rsid w:val="00CE022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4">
    <w:name w:val="xl134"/>
    <w:basedOn w:val="Normal"/>
    <w:rsid w:val="00CE022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5">
    <w:name w:val="xl135"/>
    <w:basedOn w:val="Normal"/>
    <w:rsid w:val="00CE0229"/>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rPr>
  </w:style>
  <w:style w:type="paragraph" w:customStyle="1" w:styleId="xl136">
    <w:name w:val="xl136"/>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7">
    <w:name w:val="xl137"/>
    <w:basedOn w:val="Normal"/>
    <w:rsid w:val="00CE0229"/>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xl138">
    <w:name w:val="xl138"/>
    <w:basedOn w:val="Normal"/>
    <w:rsid w:val="00CE0229"/>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StyleHeading5SideItalic">
    <w:name w:val="Style Heading 5Side + Italic"/>
    <w:basedOn w:val="Heading5"/>
    <w:rsid w:val="00CE0229"/>
    <w:pPr>
      <w:keepNext/>
      <w:widowControl w:val="0"/>
      <w:tabs>
        <w:tab w:val="left" w:pos="1021"/>
      </w:tabs>
      <w:spacing w:before="0" w:after="120"/>
    </w:pPr>
    <w:rPr>
      <w:rFonts w:ascii="Times Armenian" w:hAnsi="Times Armenian"/>
      <w:bCs w:val="0"/>
      <w:sz w:val="20"/>
      <w:szCs w:val="20"/>
      <w:u w:val="single"/>
    </w:rPr>
  </w:style>
  <w:style w:type="character" w:styleId="CommentReference">
    <w:name w:val="annotation reference"/>
    <w:uiPriority w:val="99"/>
    <w:rsid w:val="009E1455"/>
    <w:rPr>
      <w:sz w:val="16"/>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
    <w:basedOn w:val="Normal"/>
    <w:link w:val="NormalWebChar"/>
    <w:qFormat/>
    <w:rsid w:val="009E1455"/>
    <w:pPr>
      <w:spacing w:before="100" w:after="100"/>
    </w:pPr>
    <w:rPr>
      <w:szCs w:val="20"/>
      <w:lang w:val="x-none" w:eastAsia="x-none"/>
    </w:rPr>
  </w:style>
  <w:style w:type="paragraph" w:customStyle="1" w:styleId="CaptionTableTitle">
    <w:name w:val="Caption.(Table Title)"/>
    <w:basedOn w:val="Normal"/>
    <w:next w:val="Normal"/>
    <w:rsid w:val="009E1455"/>
    <w:pPr>
      <w:keepNext/>
      <w:keepLines/>
      <w:spacing w:before="130" w:after="130"/>
    </w:pPr>
    <w:rPr>
      <w:b/>
      <w:szCs w:val="20"/>
    </w:rPr>
  </w:style>
  <w:style w:type="paragraph" w:styleId="NoSpacing">
    <w:name w:val="No Spacing"/>
    <w:link w:val="NoSpacingChar"/>
    <w:qFormat/>
    <w:rsid w:val="000F2396"/>
    <w:rPr>
      <w:rFonts w:ascii="Calibri" w:hAnsi="Calibri"/>
      <w:sz w:val="22"/>
      <w:szCs w:val="22"/>
      <w:lang w:val="en-US" w:eastAsia="en-US"/>
    </w:rPr>
  </w:style>
  <w:style w:type="character" w:customStyle="1" w:styleId="NoSpacingChar">
    <w:name w:val="No Spacing Char"/>
    <w:link w:val="NoSpacing"/>
    <w:rsid w:val="000F2396"/>
    <w:rPr>
      <w:rFonts w:ascii="Calibri" w:hAnsi="Calibri"/>
      <w:sz w:val="22"/>
      <w:szCs w:val="22"/>
      <w:lang w:val="en-US" w:eastAsia="en-US" w:bidi="ar-SA"/>
    </w:rPr>
  </w:style>
  <w:style w:type="paragraph" w:customStyle="1" w:styleId="StyleHeading2ChapterParanumText10pt">
    <w:name w:val="Style Heading 2(Chapter)ParanumText + 10 pt"/>
    <w:basedOn w:val="Heading2"/>
    <w:rsid w:val="004A6E4A"/>
  </w:style>
  <w:style w:type="paragraph" w:customStyle="1" w:styleId="CharChar">
    <w:name w:val="Char Char"/>
    <w:basedOn w:val="Normal"/>
    <w:rsid w:val="00A9107F"/>
    <w:pPr>
      <w:spacing w:after="160" w:line="240" w:lineRule="exact"/>
    </w:pPr>
    <w:rPr>
      <w:rFonts w:ascii="Arial" w:hAnsi="Arial" w:cs="Arial"/>
      <w:sz w:val="20"/>
      <w:szCs w:val="20"/>
    </w:rPr>
  </w:style>
  <w:style w:type="paragraph" w:customStyle="1" w:styleId="CharCharChar">
    <w:name w:val="Char Char Char"/>
    <w:basedOn w:val="Normal"/>
    <w:rsid w:val="009B2442"/>
    <w:pPr>
      <w:spacing w:after="160" w:line="240" w:lineRule="exact"/>
    </w:pPr>
    <w:rPr>
      <w:rFonts w:ascii="Arial" w:hAnsi="Arial" w:cs="Arial"/>
      <w:sz w:val="20"/>
      <w:szCs w:val="20"/>
    </w:rPr>
  </w:style>
  <w:style w:type="paragraph" w:customStyle="1" w:styleId="BodyText1">
    <w:name w:val="Body Text1"/>
    <w:basedOn w:val="Normal"/>
    <w:rsid w:val="009B2442"/>
    <w:pPr>
      <w:numPr>
        <w:numId w:val="3"/>
      </w:numPr>
      <w:spacing w:after="240"/>
    </w:pPr>
    <w:rPr>
      <w:rFonts w:ascii="Times Armenian" w:hAnsi="Times Armenian"/>
      <w:lang w:eastAsia="ru-RU"/>
    </w:rPr>
  </w:style>
  <w:style w:type="paragraph" w:customStyle="1" w:styleId="Char0">
    <w:name w:val="Char"/>
    <w:basedOn w:val="Normal"/>
    <w:next w:val="Normal"/>
    <w:rsid w:val="003C1BB8"/>
    <w:pPr>
      <w:spacing w:after="160" w:line="240" w:lineRule="exact"/>
    </w:pPr>
    <w:rPr>
      <w:rFonts w:ascii="Tahoma" w:hAnsi="Tahoma"/>
      <w:szCs w:val="20"/>
    </w:rPr>
  </w:style>
  <w:style w:type="table" w:styleId="TableWeb2">
    <w:name w:val="Table Web 2"/>
    <w:basedOn w:val="TableNormal"/>
    <w:rsid w:val="00D861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861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8E52F5"/>
    <w:pPr>
      <w:keepLines w:val="0"/>
      <w:widowControl/>
      <w:spacing w:after="60" w:line="240" w:lineRule="auto"/>
      <w:jc w:val="left"/>
    </w:pPr>
    <w:rPr>
      <w:bCs/>
      <w:sz w:val="22"/>
      <w:lang w:val="en-US" w:eastAsia="ru-RU"/>
    </w:rPr>
  </w:style>
  <w:style w:type="paragraph" w:customStyle="1" w:styleId="ConsNonformat">
    <w:name w:val="ConsNonformat"/>
    <w:rsid w:val="006A5F43"/>
    <w:pPr>
      <w:widowControl w:val="0"/>
      <w:autoSpaceDE w:val="0"/>
      <w:autoSpaceDN w:val="0"/>
      <w:adjustRightInd w:val="0"/>
    </w:pPr>
    <w:rPr>
      <w:rFonts w:ascii="Courier New" w:hAnsi="Courier New"/>
      <w:lang w:val="ru-RU" w:eastAsia="en-US"/>
    </w:rPr>
  </w:style>
  <w:style w:type="paragraph" w:customStyle="1" w:styleId="Znak">
    <w:name w:val="Znak"/>
    <w:basedOn w:val="Normal"/>
    <w:rsid w:val="00C21466"/>
    <w:pPr>
      <w:tabs>
        <w:tab w:val="left" w:pos="709"/>
      </w:tabs>
    </w:pPr>
    <w:rPr>
      <w:rFonts w:ascii="Tahoma" w:hAnsi="Tahoma"/>
      <w:lang w:val="pl-PL" w:eastAsia="pl-PL"/>
    </w:rPr>
  </w:style>
  <w:style w:type="character" w:customStyle="1" w:styleId="BodyTextChar">
    <w:name w:val="Body Text Char"/>
    <w:aliases w:val="Body Text (Main text) Char"/>
    <w:rsid w:val="00481CAA"/>
    <w:rPr>
      <w:rFonts w:ascii="Times Armenian" w:hAnsi="Times Armenian"/>
      <w:sz w:val="24"/>
      <w:lang w:val="en-AU" w:eastAsia="en-US" w:bidi="ar-SA"/>
    </w:rPr>
  </w:style>
  <w:style w:type="paragraph" w:customStyle="1" w:styleId="Char6">
    <w:name w:val="Char6"/>
    <w:basedOn w:val="Normal"/>
    <w:rsid w:val="00481CAA"/>
    <w:pPr>
      <w:spacing w:after="160" w:line="240" w:lineRule="exact"/>
    </w:pPr>
    <w:rPr>
      <w:rFonts w:ascii="Arial" w:hAnsi="Arial" w:cs="Arial"/>
      <w:sz w:val="20"/>
      <w:szCs w:val="20"/>
    </w:rPr>
  </w:style>
  <w:style w:type="paragraph" w:customStyle="1" w:styleId="a5">
    <w:name w:val="Знак Знак"/>
    <w:basedOn w:val="Normal"/>
    <w:link w:val="Char1"/>
    <w:rsid w:val="00481CAA"/>
    <w:pPr>
      <w:spacing w:after="160" w:line="240" w:lineRule="exact"/>
    </w:pPr>
    <w:rPr>
      <w:rFonts w:ascii="Arial" w:hAnsi="Arial" w:cs="Arial"/>
      <w:sz w:val="20"/>
      <w:szCs w:val="20"/>
    </w:rPr>
  </w:style>
  <w:style w:type="character" w:customStyle="1" w:styleId="Char1">
    <w:name w:val="Знак Знак Char"/>
    <w:link w:val="a5"/>
    <w:locked/>
    <w:rsid w:val="004E3CFA"/>
    <w:rPr>
      <w:rFonts w:ascii="Arial" w:hAnsi="Arial" w:cs="Arial"/>
      <w:lang w:val="en-GB" w:eastAsia="en-US" w:bidi="ar-SA"/>
    </w:rPr>
  </w:style>
  <w:style w:type="paragraph" w:customStyle="1" w:styleId="CharCharCharCharCharCharCharCharCharCharCharChar">
    <w:name w:val="Char Char Char Char Char Char Char Char Char Char Char Char"/>
    <w:basedOn w:val="Normal"/>
    <w:rsid w:val="00481CAA"/>
    <w:pPr>
      <w:spacing w:after="160" w:line="240" w:lineRule="exact"/>
    </w:pPr>
    <w:rPr>
      <w:rFonts w:ascii="Arial" w:hAnsi="Arial" w:cs="Arial"/>
      <w:sz w:val="20"/>
      <w:szCs w:val="20"/>
    </w:rPr>
  </w:style>
  <w:style w:type="character" w:customStyle="1" w:styleId="ParanumCharChar">
    <w:name w:val="Paranum Char Char"/>
    <w:rsid w:val="005500EA"/>
    <w:rPr>
      <w:rFonts w:ascii="Arial" w:hAnsi="Arial" w:cs="Arial"/>
      <w:b/>
      <w:bCs/>
      <w:i/>
      <w:iCs/>
      <w:sz w:val="28"/>
      <w:szCs w:val="28"/>
      <w:lang w:val="en-US" w:eastAsia="en-US" w:bidi="ar-SA"/>
    </w:rPr>
  </w:style>
  <w:style w:type="character" w:customStyle="1" w:styleId="textinfo1">
    <w:name w:val="textinfo1"/>
    <w:rsid w:val="005500EA"/>
    <w:rPr>
      <w:rFonts w:ascii="Arial AM" w:hAnsi="Arial AM" w:hint="default"/>
      <w:color w:val="000000"/>
      <w:sz w:val="18"/>
      <w:szCs w:val="18"/>
    </w:rPr>
  </w:style>
  <w:style w:type="paragraph" w:customStyle="1" w:styleId="CharCharCharCharCharCharCharChar">
    <w:name w:val="Char Char Char Char Char Char Char Char"/>
    <w:basedOn w:val="Normal"/>
    <w:rsid w:val="005500EA"/>
    <w:pPr>
      <w:spacing w:after="160" w:line="240" w:lineRule="exact"/>
    </w:pPr>
    <w:rPr>
      <w:rFonts w:ascii="Arial" w:hAnsi="Arial" w:cs="Arial"/>
      <w:sz w:val="20"/>
      <w:szCs w:val="20"/>
    </w:rPr>
  </w:style>
  <w:style w:type="paragraph" w:customStyle="1" w:styleId="CharCharCharCharCharCharCharCharCharCharCharCharCharCharChar">
    <w:name w:val="Char Char Char Char Знак Char Знак Char Char Char Char Char Char Char Char Char Char"/>
    <w:basedOn w:val="Normal"/>
    <w:rsid w:val="005500EA"/>
    <w:pPr>
      <w:tabs>
        <w:tab w:val="left" w:pos="709"/>
      </w:tabs>
    </w:pPr>
    <w:rPr>
      <w:rFonts w:ascii="Tahoma" w:hAnsi="Tahoma"/>
      <w:lang w:val="pl-PL" w:eastAsia="pl-PL"/>
    </w:rPr>
  </w:style>
  <w:style w:type="paragraph" w:customStyle="1" w:styleId="Report-Title">
    <w:name w:val="Report-Title"/>
    <w:rsid w:val="005500EA"/>
    <w:pPr>
      <w:spacing w:after="240"/>
    </w:pPr>
    <w:rPr>
      <w:rFonts w:ascii="Arial" w:eastAsia="MS Mincho" w:hAnsi="Arial" w:cs="Arial"/>
      <w:b/>
      <w:bCs/>
      <w:sz w:val="36"/>
      <w:szCs w:val="36"/>
      <w:lang w:val="en-US" w:eastAsia="en-US"/>
    </w:rPr>
  </w:style>
  <w:style w:type="paragraph" w:customStyle="1" w:styleId="msonormalcxspmiddle">
    <w:name w:val="msonormalcxspmiddle"/>
    <w:basedOn w:val="Normal"/>
    <w:rsid w:val="005500EA"/>
    <w:pPr>
      <w:spacing w:before="100" w:beforeAutospacing="1" w:after="100" w:afterAutospacing="1"/>
    </w:pPr>
  </w:style>
  <w:style w:type="paragraph" w:customStyle="1" w:styleId="BodyText21">
    <w:name w:val="Body Text 21"/>
    <w:basedOn w:val="Normal"/>
    <w:rsid w:val="005500EA"/>
    <w:pPr>
      <w:overflowPunct w:val="0"/>
      <w:autoSpaceDE w:val="0"/>
      <w:autoSpaceDN w:val="0"/>
      <w:adjustRightInd w:val="0"/>
      <w:ind w:firstLine="720"/>
      <w:textAlignment w:val="baseline"/>
    </w:pPr>
    <w:rPr>
      <w:rFonts w:ascii="Times Armenian" w:hAnsi="Times Armenian"/>
    </w:rPr>
  </w:style>
  <w:style w:type="paragraph" w:customStyle="1" w:styleId="a">
    <w:name w:val="Стиль"/>
    <w:rsid w:val="005500EA"/>
    <w:pPr>
      <w:numPr>
        <w:numId w:val="7"/>
      </w:numPr>
      <w:tabs>
        <w:tab w:val="clear" w:pos="360"/>
      </w:tabs>
    </w:pPr>
    <w:rPr>
      <w:rFonts w:ascii="Baltica" w:hAnsi="Baltica"/>
      <w:lang w:val="en-US" w:eastAsia="ru-RU"/>
    </w:rPr>
  </w:style>
  <w:style w:type="paragraph" w:customStyle="1" w:styleId="ConsNormal">
    <w:name w:val="ConsNormal"/>
    <w:rsid w:val="005500EA"/>
    <w:pPr>
      <w:widowControl w:val="0"/>
      <w:autoSpaceDE w:val="0"/>
      <w:autoSpaceDN w:val="0"/>
      <w:adjustRightInd w:val="0"/>
      <w:ind w:firstLine="720"/>
    </w:pPr>
    <w:rPr>
      <w:rFonts w:ascii="Arial" w:hAnsi="Arial"/>
      <w:lang w:val="ru-RU" w:eastAsia="en-US"/>
    </w:rPr>
  </w:style>
  <w:style w:type="paragraph" w:customStyle="1" w:styleId="ListDash">
    <w:name w:val="List Dash"/>
    <w:basedOn w:val="Normal"/>
    <w:rsid w:val="005500EA"/>
    <w:pPr>
      <w:numPr>
        <w:numId w:val="5"/>
      </w:numPr>
      <w:spacing w:before="120" w:after="120"/>
    </w:pPr>
    <w:rPr>
      <w:szCs w:val="20"/>
    </w:rPr>
  </w:style>
  <w:style w:type="paragraph" w:customStyle="1" w:styleId="CharCharCharCharCharCharChar">
    <w:name w:val="Char Char Char Char Char Char Char"/>
    <w:basedOn w:val="Normal"/>
    <w:rsid w:val="005500EA"/>
    <w:pPr>
      <w:spacing w:after="160" w:line="240" w:lineRule="exact"/>
    </w:pPr>
    <w:rPr>
      <w:rFonts w:ascii="Arial" w:hAnsi="Arial" w:cs="Arial"/>
      <w:sz w:val="20"/>
      <w:szCs w:val="20"/>
    </w:rPr>
  </w:style>
  <w:style w:type="paragraph" w:customStyle="1" w:styleId="Default">
    <w:name w:val="Default"/>
    <w:rsid w:val="005500EA"/>
    <w:pPr>
      <w:widowControl w:val="0"/>
      <w:autoSpaceDE w:val="0"/>
      <w:autoSpaceDN w:val="0"/>
      <w:adjustRightInd w:val="0"/>
    </w:pPr>
    <w:rPr>
      <w:rFonts w:ascii="Times Armenian" w:hAnsi="Times Armenian" w:cs="Times Armenian"/>
      <w:color w:val="000000"/>
      <w:sz w:val="24"/>
      <w:szCs w:val="24"/>
      <w:lang w:val="ru-RU" w:eastAsia="ru-RU"/>
    </w:rPr>
  </w:style>
  <w:style w:type="paragraph" w:customStyle="1" w:styleId="2ndheading">
    <w:name w:val="2nd heading"/>
    <w:basedOn w:val="Normal"/>
    <w:next w:val="Normal"/>
    <w:rsid w:val="005500EA"/>
    <w:pPr>
      <w:numPr>
        <w:numId w:val="8"/>
      </w:numPr>
      <w:tabs>
        <w:tab w:val="clear" w:pos="643"/>
      </w:tabs>
      <w:ind w:left="0" w:firstLine="0"/>
    </w:pPr>
    <w:rPr>
      <w:rFonts w:ascii="Univers" w:hAnsi="Univers"/>
      <w:bCs/>
      <w:sz w:val="28"/>
      <w:szCs w:val="20"/>
    </w:rPr>
  </w:style>
  <w:style w:type="paragraph" w:styleId="ListBullet2">
    <w:name w:val="List Bullet 2"/>
    <w:basedOn w:val="Normal"/>
    <w:autoRedefine/>
    <w:rsid w:val="005500EA"/>
    <w:pPr>
      <w:numPr>
        <w:numId w:val="6"/>
      </w:numPr>
    </w:pPr>
  </w:style>
  <w:style w:type="paragraph" w:styleId="BodyTextFirstIndent">
    <w:name w:val="Body Text First Indent"/>
    <w:basedOn w:val="BodyText"/>
    <w:link w:val="BodyTextFirstIndentChar2"/>
    <w:rsid w:val="005500EA"/>
    <w:pPr>
      <w:ind w:firstLine="210"/>
    </w:pPr>
    <w:rPr>
      <w:lang w:val="ru-RU" w:eastAsia="ru-RU"/>
    </w:rPr>
  </w:style>
  <w:style w:type="character" w:customStyle="1" w:styleId="BodyTextFirstIndentChar2">
    <w:name w:val="Body Text First Indent Char2"/>
    <w:link w:val="BodyTextFirstIndent"/>
    <w:rsid w:val="005500EA"/>
    <w:rPr>
      <w:sz w:val="24"/>
      <w:szCs w:val="24"/>
      <w:lang w:val="ru-RU" w:eastAsia="ru-RU" w:bidi="ar-SA"/>
    </w:rPr>
  </w:style>
  <w:style w:type="paragraph" w:styleId="CommentSubject">
    <w:name w:val="annotation subject"/>
    <w:basedOn w:val="CommentText"/>
    <w:next w:val="CommentText"/>
    <w:link w:val="CommentSubjectChar2"/>
    <w:rsid w:val="005500EA"/>
    <w:rPr>
      <w:rFonts w:ascii="Courier New" w:hAnsi="Courier New"/>
      <w:b/>
      <w:bCs/>
      <w:lang w:val="en-US" w:eastAsia="en-US"/>
    </w:rPr>
  </w:style>
  <w:style w:type="character" w:customStyle="1" w:styleId="CommentSubjectChar2">
    <w:name w:val="Comment Subject Char2"/>
    <w:link w:val="CommentSubject"/>
    <w:rsid w:val="005500EA"/>
    <w:rPr>
      <w:rFonts w:ascii="Courier New" w:hAnsi="Courier New"/>
      <w:b/>
      <w:bCs/>
      <w:lang w:val="en-US" w:eastAsia="en-US" w:bidi="ar-SA"/>
    </w:rPr>
  </w:style>
  <w:style w:type="table" w:styleId="TableGrid8">
    <w:name w:val="Table Grid 8"/>
    <w:basedOn w:val="TableNormal"/>
    <w:rsid w:val="000540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540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4A76FF"/>
  </w:style>
  <w:style w:type="paragraph" w:customStyle="1" w:styleId="CharCharCharChar">
    <w:name w:val="Char Char Char Char"/>
    <w:basedOn w:val="Normal"/>
    <w:rsid w:val="004A76FF"/>
    <w:pPr>
      <w:tabs>
        <w:tab w:val="num" w:pos="840"/>
      </w:tabs>
      <w:spacing w:after="160" w:line="240" w:lineRule="exact"/>
      <w:ind w:left="840" w:hanging="360"/>
    </w:pPr>
    <w:rPr>
      <w:rFonts w:ascii="Verdana" w:hAnsi="Verdana"/>
      <w:sz w:val="20"/>
      <w:szCs w:val="20"/>
      <w:lang w:val="ru-RU"/>
    </w:rPr>
  </w:style>
  <w:style w:type="paragraph" w:customStyle="1" w:styleId="5">
    <w:name w:val="Знак Знак5"/>
    <w:basedOn w:val="Normal"/>
    <w:link w:val="Char2"/>
    <w:rsid w:val="008E55EF"/>
    <w:pPr>
      <w:spacing w:after="160" w:line="240" w:lineRule="exact"/>
    </w:pPr>
    <w:rPr>
      <w:rFonts w:ascii="Arial" w:hAnsi="Arial" w:cs="Arial"/>
      <w:sz w:val="20"/>
      <w:szCs w:val="20"/>
    </w:rPr>
  </w:style>
  <w:style w:type="character" w:customStyle="1" w:styleId="Char2">
    <w:name w:val="Знак Знак Char2"/>
    <w:link w:val="5"/>
    <w:rsid w:val="00C35731"/>
    <w:rPr>
      <w:rFonts w:ascii="Arial" w:hAnsi="Arial" w:cs="Arial"/>
      <w:lang w:val="en-GB" w:eastAsia="en-US" w:bidi="ar-SA"/>
    </w:rPr>
  </w:style>
  <w:style w:type="paragraph" w:customStyle="1" w:styleId="a6">
    <w:name w:val="Заголовок таблицы"/>
    <w:basedOn w:val="a7"/>
    <w:rsid w:val="008E55EF"/>
    <w:pPr>
      <w:jc w:val="center"/>
    </w:pPr>
    <w:rPr>
      <w:b/>
    </w:rPr>
  </w:style>
  <w:style w:type="paragraph" w:customStyle="1" w:styleId="a7">
    <w:name w:val="Содержимое таблицы"/>
    <w:basedOn w:val="Normal"/>
    <w:rsid w:val="008E55EF"/>
    <w:pPr>
      <w:suppressLineNumbers/>
      <w:suppressAutoHyphens/>
    </w:pPr>
    <w:rPr>
      <w:szCs w:val="20"/>
    </w:rPr>
  </w:style>
  <w:style w:type="paragraph" w:customStyle="1" w:styleId="norm">
    <w:name w:val="norm"/>
    <w:basedOn w:val="Normal"/>
    <w:link w:val="normChar"/>
    <w:rsid w:val="008E55EF"/>
    <w:pPr>
      <w:spacing w:line="480" w:lineRule="auto"/>
      <w:ind w:firstLine="709"/>
    </w:pPr>
    <w:rPr>
      <w:rFonts w:ascii="Arial Armenian" w:hAnsi="Arial Armenian"/>
      <w:szCs w:val="20"/>
      <w:lang w:eastAsia="ru-RU"/>
    </w:rPr>
  </w:style>
  <w:style w:type="character" w:customStyle="1" w:styleId="normChar">
    <w:name w:val="norm Char"/>
    <w:link w:val="norm"/>
    <w:rsid w:val="008E55EF"/>
    <w:rPr>
      <w:rFonts w:ascii="Arial Armenian" w:hAnsi="Arial Armenian"/>
      <w:sz w:val="22"/>
      <w:lang w:val="en-US" w:eastAsia="ru-RU" w:bidi="ar-SA"/>
    </w:rPr>
  </w:style>
  <w:style w:type="paragraph" w:customStyle="1" w:styleId="a8">
    <w:name w:val="??????? ??????????"/>
    <w:basedOn w:val="a1"/>
    <w:rsid w:val="0029274A"/>
    <w:pPr>
      <w:tabs>
        <w:tab w:val="center" w:pos="4320"/>
        <w:tab w:val="right" w:pos="8640"/>
      </w:tabs>
    </w:pPr>
    <w:rPr>
      <w:rFonts w:ascii="Times Armenian" w:hAnsi="Times Armenian"/>
      <w:sz w:val="24"/>
      <w:lang w:val="en-US"/>
    </w:rPr>
  </w:style>
  <w:style w:type="paragraph" w:customStyle="1" w:styleId="BodyText22">
    <w:name w:val="Body Text 22"/>
    <w:basedOn w:val="Normal"/>
    <w:rsid w:val="0029274A"/>
    <w:pPr>
      <w:overflowPunct w:val="0"/>
      <w:autoSpaceDE w:val="0"/>
      <w:autoSpaceDN w:val="0"/>
      <w:adjustRightInd w:val="0"/>
      <w:textAlignment w:val="baseline"/>
    </w:pPr>
    <w:rPr>
      <w:rFonts w:ascii="Times LatArm" w:hAnsi="Times LatArm"/>
      <w:szCs w:val="20"/>
      <w:lang w:eastAsia="ru-RU"/>
    </w:rPr>
  </w:style>
  <w:style w:type="paragraph" w:styleId="DocumentMap">
    <w:name w:val="Document Map"/>
    <w:basedOn w:val="Normal"/>
    <w:link w:val="DocumentMapChar1"/>
    <w:uiPriority w:val="99"/>
    <w:rsid w:val="0029274A"/>
    <w:pPr>
      <w:shd w:val="clear" w:color="auto" w:fill="000080"/>
      <w:overflowPunct w:val="0"/>
      <w:autoSpaceDE w:val="0"/>
      <w:autoSpaceDN w:val="0"/>
      <w:adjustRightInd w:val="0"/>
      <w:textAlignment w:val="baseline"/>
    </w:pPr>
    <w:rPr>
      <w:rFonts w:ascii="Tahoma" w:hAnsi="Tahoma"/>
      <w:szCs w:val="20"/>
      <w:lang w:eastAsia="ru-RU"/>
    </w:rPr>
  </w:style>
  <w:style w:type="paragraph" w:customStyle="1" w:styleId="CharCharChar0">
    <w:name w:val="Char Char Char Знак Знак"/>
    <w:basedOn w:val="Normal"/>
    <w:rsid w:val="0029274A"/>
    <w:pPr>
      <w:spacing w:after="160" w:line="240" w:lineRule="exact"/>
    </w:pPr>
    <w:rPr>
      <w:rFonts w:ascii="Arial" w:hAnsi="Arial" w:cs="Arial"/>
      <w:sz w:val="20"/>
      <w:szCs w:val="20"/>
    </w:rPr>
  </w:style>
  <w:style w:type="paragraph" w:customStyle="1" w:styleId="CharChar37">
    <w:name w:val="Char Char37"/>
    <w:basedOn w:val="Normal"/>
    <w:rsid w:val="0029274A"/>
    <w:pPr>
      <w:spacing w:after="160" w:line="240" w:lineRule="exact"/>
    </w:pPr>
    <w:rPr>
      <w:rFonts w:ascii="Arial" w:hAnsi="Arial" w:cs="Arial"/>
      <w:sz w:val="20"/>
      <w:szCs w:val="20"/>
    </w:rPr>
  </w:style>
  <w:style w:type="paragraph" w:customStyle="1" w:styleId="CharCharChar2">
    <w:name w:val="Char Char Char2"/>
    <w:basedOn w:val="Normal"/>
    <w:rsid w:val="0029274A"/>
    <w:pPr>
      <w:spacing w:after="160" w:line="240" w:lineRule="exact"/>
    </w:pPr>
    <w:rPr>
      <w:rFonts w:ascii="Arial" w:hAnsi="Arial" w:cs="Arial"/>
      <w:sz w:val="20"/>
      <w:szCs w:val="20"/>
    </w:rPr>
  </w:style>
  <w:style w:type="paragraph" w:customStyle="1" w:styleId="Znak2">
    <w:name w:val="Znak2"/>
    <w:basedOn w:val="Normal"/>
    <w:rsid w:val="0029274A"/>
    <w:pPr>
      <w:tabs>
        <w:tab w:val="left" w:pos="709"/>
      </w:tabs>
    </w:pPr>
    <w:rPr>
      <w:rFonts w:ascii="Tahoma" w:hAnsi="Tahoma"/>
      <w:lang w:val="pl-PL" w:eastAsia="pl-PL"/>
    </w:rPr>
  </w:style>
  <w:style w:type="paragraph" w:customStyle="1" w:styleId="CM31">
    <w:name w:val="CM31"/>
    <w:basedOn w:val="Default"/>
    <w:next w:val="Default"/>
    <w:rsid w:val="00B777C1"/>
    <w:pPr>
      <w:numPr>
        <w:numId w:val="4"/>
      </w:numPr>
      <w:spacing w:after="228"/>
      <w:ind w:left="0" w:firstLine="0"/>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CC24F0"/>
    <w:pPr>
      <w:keepNext w:val="0"/>
      <w:keepLines w:val="0"/>
      <w:widowControl/>
      <w:overflowPunct w:val="0"/>
      <w:autoSpaceDE w:val="0"/>
      <w:autoSpaceDN w:val="0"/>
      <w:adjustRightInd w:val="0"/>
      <w:spacing w:after="120" w:line="240" w:lineRule="auto"/>
      <w:jc w:val="left"/>
      <w:textAlignment w:val="baseline"/>
    </w:pPr>
    <w:rPr>
      <w:rFonts w:ascii="Arial Armenian" w:hAnsi="Arial Armenian" w:cs="Times New Roman"/>
      <w:b/>
      <w:bCs/>
      <w:sz w:val="26"/>
      <w:szCs w:val="26"/>
      <w:lang w:val="en-US"/>
    </w:rPr>
  </w:style>
  <w:style w:type="character" w:customStyle="1" w:styleId="StyleCaptionTimesArmenian11ptChar">
    <w:name w:val="Style Caption + Times Armenian 11 pt Char"/>
    <w:link w:val="StyleCaptionTimesArmenian11pt"/>
    <w:rsid w:val="00CC24F0"/>
    <w:rPr>
      <w:rFonts w:ascii="Arial Armenian" w:hAnsi="Arial Armenian"/>
      <w:b/>
      <w:bCs/>
      <w:sz w:val="26"/>
      <w:szCs w:val="26"/>
      <w:lang w:val="en-US" w:eastAsia="en-US" w:bidi="ar-SA"/>
    </w:rPr>
  </w:style>
  <w:style w:type="paragraph" w:customStyle="1" w:styleId="StyleHeading120ptBlue">
    <w:name w:val="Style Heading 1 + 20 pt Blue"/>
    <w:basedOn w:val="Heading1"/>
    <w:rsid w:val="009E53F4"/>
    <w:pPr>
      <w:ind w:firstLine="720"/>
    </w:pPr>
    <w:rPr>
      <w:sz w:val="40"/>
      <w:szCs w:val="40"/>
    </w:rPr>
  </w:style>
  <w:style w:type="paragraph" w:customStyle="1" w:styleId="StyleHeading1TimesArmenian10ptNotBoldUnderline1">
    <w:name w:val="Style Heading 1 + Times Armenian 10 pt Not Bold Underline1"/>
    <w:basedOn w:val="Heading1"/>
    <w:autoRedefine/>
    <w:rsid w:val="001505CB"/>
    <w:pPr>
      <w:tabs>
        <w:tab w:val="center" w:pos="-180"/>
        <w:tab w:val="left" w:pos="450"/>
      </w:tabs>
    </w:pPr>
    <w:rPr>
      <w:rFonts w:cs="Sylfaen"/>
      <w:b w:val="0"/>
      <w:bCs w:val="0"/>
      <w:kern w:val="0"/>
      <w:sz w:val="24"/>
      <w:szCs w:val="24"/>
    </w:rPr>
  </w:style>
  <w:style w:type="paragraph" w:customStyle="1" w:styleId="CharCharCharCharCharCharCharCharCharChar">
    <w:name w:val="Char Char Char Char Char Char Char Char Char Char"/>
    <w:basedOn w:val="Normal"/>
    <w:rsid w:val="009E53F4"/>
    <w:pPr>
      <w:spacing w:after="160" w:line="240" w:lineRule="exact"/>
    </w:pPr>
    <w:rPr>
      <w:rFonts w:ascii="Arial" w:hAnsi="Arial" w:cs="Arial"/>
      <w:sz w:val="20"/>
      <w:szCs w:val="20"/>
    </w:rPr>
  </w:style>
  <w:style w:type="paragraph" w:customStyle="1" w:styleId="Titlechart">
    <w:name w:val="Title_chart"/>
    <w:basedOn w:val="Caption"/>
    <w:rsid w:val="004F7042"/>
    <w:pPr>
      <w:keepLines w:val="0"/>
      <w:widowControl/>
      <w:spacing w:after="60" w:line="240" w:lineRule="auto"/>
      <w:jc w:val="left"/>
    </w:pPr>
    <w:rPr>
      <w:bCs/>
      <w:sz w:val="22"/>
      <w:lang w:val="en-US" w:eastAsia="ru-RU"/>
    </w:rPr>
  </w:style>
  <w:style w:type="paragraph" w:customStyle="1" w:styleId="CharCharCharCharCharCharCharCharCharCharCharCharChar">
    <w:name w:val="Char Char Char Char Char Char Char Char Char Char Char Char Char"/>
    <w:basedOn w:val="Normal"/>
    <w:rsid w:val="004F7042"/>
    <w:pPr>
      <w:spacing w:after="160" w:line="240" w:lineRule="exact"/>
    </w:pPr>
    <w:rPr>
      <w:rFonts w:ascii="Arial"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3B3657"/>
    <w:pPr>
      <w:spacing w:before="0" w:after="0"/>
    </w:pPr>
    <w:rPr>
      <w:rFonts w:cs="Times New Roman"/>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3B3657"/>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278B1"/>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278B1"/>
    <w:rPr>
      <w:rFonts w:ascii="Sylfaen" w:hAnsi="Sylfaen"/>
      <w:b/>
      <w:bCs/>
      <w:spacing w:val="24"/>
      <w:kern w:val="28"/>
      <w:sz w:val="24"/>
      <w:szCs w:val="24"/>
      <w:lang w:val="it-IT" w:eastAsia="en-US" w:bidi="ar-SA"/>
    </w:rPr>
  </w:style>
  <w:style w:type="paragraph" w:customStyle="1" w:styleId="StyleHeading3Sub-ChapterCenteredtextHeading3CharCharC">
    <w:name w:val="Style Heading 3(Sub-Chapter)Centered(text)Heading 3 Char Char C..."/>
    <w:basedOn w:val="Heading3"/>
    <w:autoRedefine/>
    <w:rsid w:val="004F0A98"/>
    <w:pPr>
      <w:spacing w:after="120"/>
      <w:ind w:right="302" w:firstLine="567"/>
    </w:pPr>
    <w:rPr>
      <w:bCs w:val="0"/>
      <w:color w:val="auto"/>
      <w:lang w:val="af-ZA" w:eastAsia="en-US"/>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A57DA1"/>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A57DA1"/>
    <w:rPr>
      <w:rFonts w:ascii="GHEA Grapalat" w:hAnsi="GHEA Grapalat"/>
      <w:b/>
      <w:bCs/>
      <w:kern w:val="32"/>
      <w:sz w:val="28"/>
      <w:szCs w:val="28"/>
      <w:lang w:val="es-ES" w:eastAsia="x-none"/>
    </w:rPr>
  </w:style>
  <w:style w:type="paragraph" w:customStyle="1" w:styleId="211">
    <w:name w:val="???????? ????? 21"/>
    <w:basedOn w:val="2"/>
    <w:rsid w:val="009E5A59"/>
    <w:pPr>
      <w:jc w:val="center"/>
    </w:pPr>
    <w:rPr>
      <w:b/>
      <w:sz w:val="28"/>
    </w:rPr>
  </w:style>
  <w:style w:type="paragraph" w:customStyle="1" w:styleId="a9">
    <w:name w:val="Абзац списка"/>
    <w:basedOn w:val="Normal"/>
    <w:qFormat/>
    <w:rsid w:val="00C35731"/>
    <w:pPr>
      <w:spacing w:after="200" w:line="276" w:lineRule="auto"/>
      <w:ind w:left="720"/>
      <w:contextualSpacing/>
    </w:pPr>
    <w:rPr>
      <w:rFonts w:ascii="Calibri" w:hAnsi="Calibri"/>
      <w:lang w:val="ru-RU" w:eastAsia="ru-RU"/>
    </w:rPr>
  </w:style>
  <w:style w:type="character" w:customStyle="1" w:styleId="apple-style-span">
    <w:name w:val="apple-style-span"/>
    <w:basedOn w:val="DefaultParagraphFont"/>
    <w:rsid w:val="00C35731"/>
  </w:style>
  <w:style w:type="paragraph" w:customStyle="1" w:styleId="mechtex">
    <w:name w:val="mechtex"/>
    <w:basedOn w:val="Normal"/>
    <w:link w:val="mechtexChar"/>
    <w:rsid w:val="00C35731"/>
    <w:pPr>
      <w:jc w:val="center"/>
    </w:pPr>
  </w:style>
  <w:style w:type="character" w:customStyle="1" w:styleId="mechtexChar">
    <w:name w:val="mechtex Char"/>
    <w:link w:val="mechtex"/>
    <w:locked/>
    <w:rsid w:val="00C35731"/>
    <w:rPr>
      <w:sz w:val="22"/>
      <w:szCs w:val="24"/>
      <w:lang w:val="en-US" w:eastAsia="en-US" w:bidi="ar-SA"/>
    </w:rPr>
  </w:style>
  <w:style w:type="paragraph" w:customStyle="1" w:styleId="Style15">
    <w:name w:val="Style1.5"/>
    <w:basedOn w:val="Normal"/>
    <w:rsid w:val="00C35731"/>
    <w:pPr>
      <w:ind w:firstLine="709"/>
    </w:pPr>
    <w:rPr>
      <w:rFonts w:ascii="Arial Armenian" w:hAnsi="Arial Armenian"/>
    </w:rPr>
  </w:style>
  <w:style w:type="paragraph" w:customStyle="1" w:styleId="russtyle">
    <w:name w:val="russtyle"/>
    <w:basedOn w:val="Normal"/>
    <w:rsid w:val="00C35731"/>
    <w:rPr>
      <w:rFonts w:ascii="Russian Baltica" w:hAnsi="Russian Baltica"/>
    </w:rPr>
  </w:style>
  <w:style w:type="paragraph" w:customStyle="1" w:styleId="Style2">
    <w:name w:val="Style2"/>
    <w:basedOn w:val="mechtex"/>
    <w:rsid w:val="00C35731"/>
    <w:rPr>
      <w:w w:val="90"/>
    </w:rPr>
  </w:style>
  <w:style w:type="paragraph" w:customStyle="1" w:styleId="Style3">
    <w:name w:val="Style3"/>
    <w:basedOn w:val="mechtex"/>
    <w:rsid w:val="00C35731"/>
    <w:rPr>
      <w:w w:val="90"/>
    </w:rPr>
  </w:style>
  <w:style w:type="paragraph" w:customStyle="1" w:styleId="Style6">
    <w:name w:val="Style6"/>
    <w:basedOn w:val="mechtex"/>
    <w:rsid w:val="00C35731"/>
  </w:style>
  <w:style w:type="paragraph" w:customStyle="1" w:styleId="1CharChar">
    <w:name w:val="Знак Знак1 Char Char Знак Знак"/>
    <w:basedOn w:val="Normal"/>
    <w:rsid w:val="00C35731"/>
    <w:pPr>
      <w:tabs>
        <w:tab w:val="num" w:pos="840"/>
      </w:tabs>
      <w:spacing w:after="160" w:line="240" w:lineRule="exact"/>
      <w:ind w:left="840" w:hanging="360"/>
    </w:pPr>
    <w:rPr>
      <w:rFonts w:ascii="Verdana" w:hAnsi="Verdana"/>
      <w:sz w:val="20"/>
      <w:szCs w:val="20"/>
      <w:lang w:val="ru-RU"/>
    </w:rPr>
  </w:style>
  <w:style w:type="paragraph" w:customStyle="1" w:styleId="CharCharCharChar0">
    <w:name w:val="Знак Знак Char Char Знак Знак Char Char Знак Знак"/>
    <w:basedOn w:val="Normal"/>
    <w:autoRedefine/>
    <w:rsid w:val="00C35731"/>
    <w:pPr>
      <w:spacing w:after="160" w:line="240" w:lineRule="exact"/>
    </w:pPr>
    <w:rPr>
      <w:sz w:val="28"/>
      <w:szCs w:val="20"/>
    </w:rPr>
  </w:style>
  <w:style w:type="paragraph" w:customStyle="1" w:styleId="CharCharCharCharCharCharCharCharCharCharCharCharChar2">
    <w:name w:val="Char Char Char Char Char Char Char Char Char Char Char Char Char2"/>
    <w:basedOn w:val="Normal"/>
    <w:rsid w:val="00C35731"/>
    <w:pPr>
      <w:spacing w:after="160" w:line="240" w:lineRule="exact"/>
    </w:pPr>
    <w:rPr>
      <w:rFonts w:ascii="Arial" w:hAnsi="Arial" w:cs="Arial"/>
      <w:sz w:val="20"/>
      <w:szCs w:val="20"/>
    </w:rPr>
  </w:style>
  <w:style w:type="paragraph" w:customStyle="1" w:styleId="aa">
    <w:name w:val="Обычный"/>
    <w:rsid w:val="00C35731"/>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C35731"/>
    <w:pPr>
      <w:spacing w:after="160" w:line="240" w:lineRule="exact"/>
    </w:pPr>
    <w:rPr>
      <w:sz w:val="28"/>
      <w:szCs w:val="20"/>
    </w:rPr>
  </w:style>
  <w:style w:type="paragraph" w:customStyle="1" w:styleId="TitlePageHeader">
    <w:name w:val="TitlePage_Header"/>
    <w:basedOn w:val="Normal"/>
    <w:rsid w:val="00C35731"/>
    <w:pPr>
      <w:spacing w:before="240" w:after="240" w:line="288" w:lineRule="auto"/>
      <w:ind w:left="3240"/>
    </w:pPr>
    <w:rPr>
      <w:rFonts w:ascii="Verdana" w:hAnsi="Verdana"/>
      <w:b/>
      <w:sz w:val="32"/>
      <w:szCs w:val="20"/>
      <w:lang w:eastAsia="fr-FR"/>
    </w:rPr>
  </w:style>
  <w:style w:type="character" w:customStyle="1" w:styleId="t101">
    <w:name w:val="t101"/>
    <w:rsid w:val="00C35731"/>
    <w:rPr>
      <w:b/>
      <w:bCs/>
      <w:color w:val="0000FF"/>
    </w:rPr>
  </w:style>
  <w:style w:type="paragraph" w:customStyle="1" w:styleId="Char20">
    <w:name w:val="Знак Знак Знак Знак Знак Знак Знак Знак Знак Знак Знак Знак Знак Знак Знак Знак Знак Знак Char Знак Знак2"/>
    <w:basedOn w:val="Normal"/>
    <w:autoRedefine/>
    <w:rsid w:val="00C35731"/>
    <w:pPr>
      <w:spacing w:after="160" w:line="240" w:lineRule="exact"/>
    </w:pPr>
    <w:rPr>
      <w:sz w:val="28"/>
      <w:szCs w:val="20"/>
    </w:rPr>
  </w:style>
  <w:style w:type="paragraph" w:customStyle="1" w:styleId="Char1CharCharCharCharCharCharCharCharCharCharCharChar">
    <w:name w:val="Char1 Char Char Char Char Char Char Char Char Char Char Char Char"/>
    <w:basedOn w:val="Normal"/>
    <w:rsid w:val="00C35731"/>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C35731"/>
    <w:pPr>
      <w:spacing w:after="160" w:line="240" w:lineRule="exact"/>
    </w:pPr>
    <w:rPr>
      <w:rFonts w:ascii="Arial" w:hAnsi="Arial" w:cs="Arial"/>
      <w:sz w:val="20"/>
      <w:szCs w:val="20"/>
    </w:rPr>
  </w:style>
  <w:style w:type="paragraph" w:customStyle="1" w:styleId="Style4">
    <w:name w:val="Style 4"/>
    <w:basedOn w:val="Normal"/>
    <w:rsid w:val="00C35731"/>
    <w:pPr>
      <w:numPr>
        <w:numId w:val="2"/>
      </w:numPr>
      <w:spacing w:after="240" w:line="240" w:lineRule="atLeast"/>
    </w:pPr>
    <w:rPr>
      <w:rFonts w:ascii="Garamond" w:hAnsi="Garamond"/>
      <w:szCs w:val="20"/>
    </w:rPr>
  </w:style>
  <w:style w:type="paragraph" w:customStyle="1" w:styleId="NormalWeb1">
    <w:name w:val="Normal (Web)1"/>
    <w:basedOn w:val="Normal"/>
    <w:rsid w:val="00C35731"/>
    <w:pPr>
      <w:spacing w:before="100" w:beforeAutospacing="1" w:after="100" w:afterAutospacing="1"/>
    </w:pPr>
    <w:rPr>
      <w:lang w:val="ru-RU" w:eastAsia="ru-RU"/>
    </w:rPr>
  </w:style>
  <w:style w:type="paragraph" w:customStyle="1" w:styleId="CharCharChar1">
    <w:name w:val="Char Char Char Знак"/>
    <w:basedOn w:val="Normal"/>
    <w:next w:val="Normal"/>
    <w:rsid w:val="00C35731"/>
    <w:pPr>
      <w:spacing w:after="160" w:line="240" w:lineRule="exact"/>
    </w:pPr>
    <w:rPr>
      <w:rFonts w:ascii="Tahoma" w:hAnsi="Tahoma"/>
      <w:szCs w:val="20"/>
    </w:rPr>
  </w:style>
  <w:style w:type="paragraph" w:customStyle="1" w:styleId="CharCharChar1Char">
    <w:name w:val="Char Char Char1 Char"/>
    <w:basedOn w:val="Normal"/>
    <w:rsid w:val="00C35731"/>
    <w:pPr>
      <w:spacing w:after="160" w:line="240" w:lineRule="exact"/>
    </w:pPr>
    <w:rPr>
      <w:rFonts w:ascii="Arial" w:hAnsi="Arial" w:cs="Arial"/>
      <w:sz w:val="20"/>
      <w:szCs w:val="20"/>
    </w:rPr>
  </w:style>
  <w:style w:type="paragraph" w:customStyle="1" w:styleId="CharCharChar20">
    <w:name w:val="Char Char Char Знак2"/>
    <w:basedOn w:val="Normal"/>
    <w:next w:val="Normal"/>
    <w:rsid w:val="00C35731"/>
    <w:pPr>
      <w:spacing w:after="160" w:line="240" w:lineRule="exact"/>
    </w:pPr>
    <w:rPr>
      <w:rFonts w:ascii="Tahoma" w:hAnsi="Tahoma"/>
      <w:szCs w:val="20"/>
    </w:rPr>
  </w:style>
  <w:style w:type="paragraph" w:customStyle="1" w:styleId="14">
    <w:name w:val="Знак Знак1"/>
    <w:basedOn w:val="Normal"/>
    <w:rsid w:val="00C35731"/>
    <w:pPr>
      <w:spacing w:after="160" w:line="240" w:lineRule="exact"/>
    </w:pPr>
    <w:rPr>
      <w:rFonts w:ascii="Arial" w:eastAsia="MS Mincho" w:hAnsi="Arial" w:cs="Arial"/>
      <w:sz w:val="20"/>
      <w:szCs w:val="20"/>
    </w:rPr>
  </w:style>
  <w:style w:type="paragraph" w:customStyle="1" w:styleId="Graphic">
    <w:name w:val="Graphic"/>
    <w:basedOn w:val="Heading2"/>
    <w:rsid w:val="00CE3E93"/>
    <w:pPr>
      <w:widowControl/>
      <w:tabs>
        <w:tab w:val="clear" w:pos="993"/>
      </w:tabs>
      <w:overflowPunct w:val="0"/>
      <w:autoSpaceDE w:val="0"/>
      <w:autoSpaceDN w:val="0"/>
      <w:adjustRightInd w:val="0"/>
      <w:spacing w:after="130"/>
      <w:ind w:firstLine="0"/>
      <w:contextualSpacing w:val="0"/>
      <w:jc w:val="center"/>
      <w:textAlignment w:val="baseline"/>
      <w:outlineLvl w:val="9"/>
    </w:pPr>
    <w:rPr>
      <w:rFonts w:ascii="Times New Roman" w:hAnsi="Times New Roman" w:cs="Times New Roman"/>
      <w:bCs/>
      <w:iCs/>
      <w:sz w:val="22"/>
      <w:lang w:val="en-GB" w:eastAsia="en-US"/>
    </w:rPr>
  </w:style>
  <w:style w:type="paragraph" w:styleId="ListContinue2">
    <w:name w:val="List Continue 2"/>
    <w:basedOn w:val="Normal"/>
    <w:rsid w:val="00CE3E93"/>
    <w:pPr>
      <w:spacing w:after="120"/>
      <w:ind w:left="720"/>
    </w:pPr>
  </w:style>
  <w:style w:type="paragraph" w:customStyle="1" w:styleId="GlossaryHeader">
    <w:name w:val="Glossary Header"/>
    <w:next w:val="Normal"/>
    <w:rsid w:val="00CE3E93"/>
    <w:pPr>
      <w:pageBreakBefore/>
      <w:overflowPunct w:val="0"/>
      <w:autoSpaceDE w:val="0"/>
      <w:autoSpaceDN w:val="0"/>
      <w:adjustRightInd w:val="0"/>
      <w:textAlignment w:val="baseline"/>
    </w:pPr>
    <w:rPr>
      <w:noProof/>
      <w:sz w:val="36"/>
      <w:lang w:val="en-GB" w:eastAsia="en-US"/>
    </w:rPr>
  </w:style>
  <w:style w:type="paragraph" w:customStyle="1" w:styleId="font5">
    <w:name w:val="font5"/>
    <w:basedOn w:val="Normal"/>
    <w:rsid w:val="00CE3E93"/>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CE3E93"/>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CE3E93"/>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CE3E93"/>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CE3E93"/>
    <w:pPr>
      <w:spacing w:before="100" w:beforeAutospacing="1" w:after="100" w:afterAutospacing="1"/>
    </w:pPr>
    <w:rPr>
      <w:rFonts w:ascii="Times Armenian" w:hAnsi="Times Armenian"/>
      <w:color w:val="000000"/>
    </w:rPr>
  </w:style>
  <w:style w:type="paragraph" w:customStyle="1" w:styleId="font10">
    <w:name w:val="font10"/>
    <w:basedOn w:val="Normal"/>
    <w:rsid w:val="00CE3E93"/>
    <w:pPr>
      <w:spacing w:before="100" w:beforeAutospacing="1" w:after="100" w:afterAutospacing="1"/>
    </w:pPr>
    <w:rPr>
      <w:rFonts w:ascii="Times Armenian" w:hAnsi="Times Armenian"/>
      <w:b/>
      <w:bCs/>
      <w:color w:val="000000"/>
      <w:sz w:val="16"/>
      <w:szCs w:val="16"/>
    </w:rPr>
  </w:style>
  <w:style w:type="paragraph" w:customStyle="1" w:styleId="xl139">
    <w:name w:val="xl139"/>
    <w:basedOn w:val="Normal"/>
    <w:rsid w:val="00CE3E93"/>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CE3E93"/>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CE3E93"/>
    <w:pPr>
      <w:pBdr>
        <w:left w:val="single" w:sz="8" w:space="0" w:color="auto"/>
        <w:bottom w:val="single" w:sz="8" w:space="0" w:color="auto"/>
        <w:right w:val="single" w:sz="8" w:space="0" w:color="auto"/>
      </w:pBdr>
      <w:spacing w:before="100" w:beforeAutospacing="1" w:after="100" w:afterAutospacing="1"/>
      <w:textAlignment w:val="center"/>
    </w:pPr>
    <w:rPr>
      <w:rFonts w:ascii="Times Armenian" w:hAnsi="Times Armenian"/>
      <w:sz w:val="16"/>
      <w:szCs w:val="16"/>
    </w:rPr>
  </w:style>
  <w:style w:type="paragraph" w:customStyle="1" w:styleId="xl142">
    <w:name w:val="xl142"/>
    <w:basedOn w:val="Normal"/>
    <w:rsid w:val="00CE3E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CE3E93"/>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CE3E93"/>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CE3E93"/>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CE3E93"/>
    <w:pPr>
      <w:pBdr>
        <w:left w:val="single" w:sz="8" w:space="0" w:color="auto"/>
        <w:bottom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147">
    <w:name w:val="xl147"/>
    <w:basedOn w:val="Normal"/>
    <w:rsid w:val="00CE3E93"/>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CE3E93"/>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CE3E93"/>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CE3E93"/>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CE3E93"/>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CE3E93"/>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CE3E93"/>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CE3E93"/>
    <w:pPr>
      <w:spacing w:before="100" w:beforeAutospacing="1" w:after="100" w:afterAutospacing="1"/>
      <w:jc w:val="center"/>
      <w:textAlignment w:val="center"/>
    </w:pPr>
    <w:rPr>
      <w:rFonts w:ascii="Calibri" w:hAnsi="Calibri"/>
    </w:rPr>
  </w:style>
  <w:style w:type="paragraph" w:customStyle="1" w:styleId="xl155">
    <w:name w:val="xl155"/>
    <w:basedOn w:val="Normal"/>
    <w:rsid w:val="00CE3E93"/>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CE3E93"/>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CE3E93"/>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CE3E93"/>
    <w:pPr>
      <w:pBdr>
        <w:top w:val="double" w:sz="6" w:space="0" w:color="auto"/>
        <w:left w:val="single" w:sz="8" w:space="0" w:color="auto"/>
        <w:right w:val="double" w:sz="6" w:space="0" w:color="auto"/>
      </w:pBdr>
      <w:spacing w:before="100" w:beforeAutospacing="1" w:after="100" w:afterAutospacing="1"/>
      <w:textAlignment w:val="center"/>
    </w:pPr>
    <w:rPr>
      <w:rFonts w:ascii="Times Armenian" w:hAnsi="Times Armenian"/>
      <w:b/>
      <w:bCs/>
      <w:sz w:val="16"/>
      <w:szCs w:val="16"/>
    </w:rPr>
  </w:style>
  <w:style w:type="paragraph" w:customStyle="1" w:styleId="xl159">
    <w:name w:val="xl159"/>
    <w:basedOn w:val="Normal"/>
    <w:rsid w:val="00CE3E93"/>
    <w:pPr>
      <w:pBdr>
        <w:left w:val="single" w:sz="8" w:space="0" w:color="auto"/>
        <w:bottom w:val="single" w:sz="8" w:space="0" w:color="auto"/>
        <w:right w:val="double" w:sz="6" w:space="0" w:color="auto"/>
      </w:pBdr>
      <w:spacing w:before="100" w:beforeAutospacing="1" w:after="100" w:afterAutospacing="1"/>
      <w:textAlignment w:val="center"/>
    </w:pPr>
    <w:rPr>
      <w:rFonts w:ascii="Times Armenian" w:hAnsi="Times Armenian"/>
      <w:b/>
      <w:bCs/>
      <w:sz w:val="16"/>
      <w:szCs w:val="16"/>
    </w:rPr>
  </w:style>
  <w:style w:type="paragraph" w:customStyle="1" w:styleId="xl160">
    <w:name w:val="xl160"/>
    <w:basedOn w:val="Normal"/>
    <w:rsid w:val="00CE3E93"/>
    <w:pPr>
      <w:pBdr>
        <w:top w:val="single" w:sz="8" w:space="0" w:color="auto"/>
        <w:left w:val="single" w:sz="8" w:space="0" w:color="auto"/>
        <w:right w:val="double" w:sz="6" w:space="0" w:color="auto"/>
      </w:pBdr>
      <w:spacing w:before="100" w:beforeAutospacing="1" w:after="100" w:afterAutospacing="1"/>
      <w:textAlignment w:val="center"/>
    </w:pPr>
    <w:rPr>
      <w:rFonts w:ascii="Times Armenian" w:hAnsi="Times Armenian"/>
      <w:b/>
      <w:bCs/>
      <w:sz w:val="16"/>
      <w:szCs w:val="16"/>
    </w:rPr>
  </w:style>
  <w:style w:type="paragraph" w:customStyle="1" w:styleId="xl161">
    <w:name w:val="xl161"/>
    <w:basedOn w:val="Normal"/>
    <w:rsid w:val="00CE3E93"/>
    <w:pPr>
      <w:spacing w:before="100" w:beforeAutospacing="1" w:after="100" w:afterAutospacing="1"/>
      <w:textAlignment w:val="center"/>
    </w:pPr>
    <w:rPr>
      <w:rFonts w:ascii="Times Armenian" w:hAnsi="Times Armenian"/>
      <w:b/>
      <w:bCs/>
      <w:sz w:val="18"/>
      <w:szCs w:val="18"/>
      <w:u w:val="single"/>
    </w:rPr>
  </w:style>
  <w:style w:type="paragraph" w:customStyle="1" w:styleId="xl23">
    <w:name w:val="xl23"/>
    <w:basedOn w:val="Normal"/>
    <w:rsid w:val="00CE3E93"/>
    <w:pPr>
      <w:spacing w:before="100" w:beforeAutospacing="1" w:after="100" w:afterAutospacing="1"/>
      <w:jc w:val="center"/>
      <w:textAlignment w:val="center"/>
    </w:pPr>
    <w:rPr>
      <w:rFonts w:ascii="Times Armenian" w:hAnsi="Times Armenian"/>
    </w:rPr>
  </w:style>
  <w:style w:type="paragraph" w:customStyle="1" w:styleId="StyleBodyTextArialAMChar">
    <w:name w:val="Style Body Text + Arial AM Char"/>
    <w:basedOn w:val="BodyText"/>
    <w:rsid w:val="00CE3E93"/>
    <w:pPr>
      <w:spacing w:after="240"/>
    </w:pPr>
    <w:rPr>
      <w:rFonts w:ascii="Arial AM" w:hAnsi="Arial AM"/>
      <w:spacing w:val="-5"/>
      <w:szCs w:val="20"/>
      <w:lang w:val="en-GB"/>
    </w:rPr>
  </w:style>
  <w:style w:type="character" w:customStyle="1" w:styleId="FooterChar">
    <w:name w:val="Footer Char"/>
    <w:uiPriority w:val="99"/>
    <w:rsid w:val="00CE3E93"/>
    <w:rPr>
      <w:sz w:val="24"/>
      <w:szCs w:val="24"/>
    </w:rPr>
  </w:style>
  <w:style w:type="paragraph" w:customStyle="1" w:styleId="CharCharCharCharChar">
    <w:name w:val="Char Char Char Char Char Знак Знак"/>
    <w:basedOn w:val="Normal"/>
    <w:rsid w:val="00CE3E93"/>
    <w:pPr>
      <w:spacing w:after="160" w:line="240" w:lineRule="exact"/>
    </w:pPr>
    <w:rPr>
      <w:rFonts w:ascii="Arial" w:hAnsi="Arial" w:cs="Arial"/>
      <w:sz w:val="20"/>
      <w:szCs w:val="20"/>
    </w:rPr>
  </w:style>
  <w:style w:type="paragraph" w:customStyle="1" w:styleId="CharChar1CharCharChar1Char">
    <w:name w:val="Char Char1 Char Char Char1 Char"/>
    <w:basedOn w:val="Normal"/>
    <w:autoRedefine/>
    <w:rsid w:val="00CE3E93"/>
    <w:rPr>
      <w:rFonts w:eastAsia="SimSun"/>
      <w:sz w:val="20"/>
      <w:szCs w:val="20"/>
      <w:lang w:eastAsia="ru-RU"/>
    </w:rPr>
  </w:style>
  <w:style w:type="character" w:styleId="Emphasis">
    <w:name w:val="Emphasis"/>
    <w:qFormat/>
    <w:rsid w:val="00CE3E93"/>
    <w:rPr>
      <w:i/>
      <w:iCs/>
    </w:rPr>
  </w:style>
  <w:style w:type="paragraph" w:customStyle="1" w:styleId="4">
    <w:name w:val="Знак Знак4"/>
    <w:basedOn w:val="Normal"/>
    <w:rsid w:val="00CE3E93"/>
    <w:pPr>
      <w:tabs>
        <w:tab w:val="left" w:pos="709"/>
      </w:tabs>
    </w:pPr>
    <w:rPr>
      <w:rFonts w:ascii="Tahoma" w:hAnsi="Tahoma"/>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011E91"/>
    <w:pPr>
      <w:spacing w:after="160" w:line="240" w:lineRule="exact"/>
    </w:pPr>
    <w:rPr>
      <w:rFonts w:ascii="Arial" w:hAnsi="Arial" w:cs="Arial"/>
      <w:sz w:val="20"/>
      <w:szCs w:val="20"/>
    </w:rPr>
  </w:style>
  <w:style w:type="character" w:customStyle="1" w:styleId="BodyTextFirstIndentChar">
    <w:name w:val="Body Text First Indent Char"/>
    <w:rsid w:val="00011E91"/>
    <w:rPr>
      <w:rFonts w:ascii="Times Armenian" w:hAnsi="Times Armenian"/>
      <w:sz w:val="24"/>
      <w:szCs w:val="24"/>
      <w:lang w:val="ru-RU" w:eastAsia="ru-RU" w:bidi="ar-SA"/>
    </w:rPr>
  </w:style>
  <w:style w:type="character" w:customStyle="1" w:styleId="CommentSubjectChar">
    <w:name w:val="Comment Subject Char"/>
    <w:uiPriority w:val="99"/>
    <w:rsid w:val="00011E91"/>
    <w:rPr>
      <w:rFonts w:ascii="Courier New" w:hAnsi="Courier New"/>
      <w:b/>
      <w:bCs/>
      <w:sz w:val="24"/>
      <w:szCs w:val="24"/>
      <w:lang w:val="en-US" w:eastAsia="en-US" w:bidi="ar-SA"/>
    </w:rPr>
  </w:style>
  <w:style w:type="paragraph" w:customStyle="1" w:styleId="Char4">
    <w:name w:val="Знак Char Знак"/>
    <w:basedOn w:val="Normal"/>
    <w:rsid w:val="00011E91"/>
    <w:pPr>
      <w:spacing w:after="160" w:line="240" w:lineRule="exact"/>
    </w:pPr>
    <w:rPr>
      <w:rFonts w:ascii="Arial" w:eastAsia="Batang" w:hAnsi="Arial" w:cs="Arial"/>
      <w:sz w:val="20"/>
      <w:szCs w:val="20"/>
    </w:rPr>
  </w:style>
  <w:style w:type="paragraph" w:customStyle="1" w:styleId="CharCharCharCharCharChar">
    <w:name w:val="Знак Знак Char Char Знак Знак Char Char Знак Знак Char Char"/>
    <w:basedOn w:val="Normal"/>
    <w:autoRedefine/>
    <w:rsid w:val="00011E91"/>
    <w:pPr>
      <w:spacing w:after="160" w:line="240" w:lineRule="exact"/>
    </w:pPr>
    <w:rPr>
      <w:sz w:val="28"/>
      <w:szCs w:val="20"/>
    </w:rPr>
  </w:style>
  <w:style w:type="character" w:customStyle="1" w:styleId="longtext">
    <w:name w:val="long_text"/>
    <w:basedOn w:val="DefaultParagraphFont"/>
    <w:rsid w:val="00201348"/>
  </w:style>
  <w:style w:type="paragraph" w:customStyle="1" w:styleId="hodvats">
    <w:name w:val="hodvats"/>
    <w:basedOn w:val="Normal"/>
    <w:rsid w:val="00201348"/>
    <w:pPr>
      <w:tabs>
        <w:tab w:val="left" w:pos="993"/>
        <w:tab w:val="left" w:pos="1985"/>
      </w:tabs>
      <w:spacing w:before="113" w:after="57" w:line="220" w:lineRule="exact"/>
      <w:ind w:firstLine="397"/>
    </w:pPr>
    <w:rPr>
      <w:rFonts w:ascii="Dallak Helv" w:hAnsi="Dallak Helv"/>
      <w:b/>
      <w:noProof/>
      <w:sz w:val="18"/>
      <w:szCs w:val="20"/>
    </w:rPr>
  </w:style>
  <w:style w:type="character" w:customStyle="1" w:styleId="FooterChar1">
    <w:name w:val="Footer Char1"/>
    <w:locked/>
    <w:rsid w:val="00201348"/>
    <w:rPr>
      <w:sz w:val="22"/>
      <w:lang w:val="en-GB" w:eastAsia="en-US" w:bidi="ar-SA"/>
    </w:rPr>
  </w:style>
  <w:style w:type="character" w:customStyle="1" w:styleId="CharChar15">
    <w:name w:val="Char Char15"/>
    <w:locked/>
    <w:rsid w:val="00201348"/>
    <w:rPr>
      <w:rFonts w:ascii="Cambria" w:hAnsi="Cambria"/>
      <w:b/>
      <w:bCs/>
      <w:kern w:val="32"/>
      <w:sz w:val="32"/>
      <w:szCs w:val="32"/>
      <w:lang w:val="fr-FR" w:eastAsia="en-US" w:bidi="ar-SA"/>
    </w:rPr>
  </w:style>
  <w:style w:type="paragraph" w:customStyle="1" w:styleId="24">
    <w:name w:val="Знак Знак2"/>
    <w:basedOn w:val="Normal"/>
    <w:rsid w:val="00201348"/>
    <w:pPr>
      <w:spacing w:after="160" w:line="240" w:lineRule="exact"/>
    </w:pPr>
    <w:rPr>
      <w:rFonts w:ascii="Arial" w:hAnsi="Arial" w:cs="Arial"/>
      <w:sz w:val="20"/>
      <w:szCs w:val="20"/>
    </w:rPr>
  </w:style>
  <w:style w:type="paragraph" w:customStyle="1" w:styleId="CharCharCharCharChar0">
    <w:name w:val="Char Char Char Char Char"/>
    <w:basedOn w:val="Normal"/>
    <w:rsid w:val="00201348"/>
    <w:pPr>
      <w:spacing w:after="160" w:line="240" w:lineRule="exact"/>
    </w:pPr>
    <w:rPr>
      <w:rFonts w:ascii="Arial" w:hAnsi="Arial" w:cs="Arial"/>
      <w:sz w:val="20"/>
      <w:szCs w:val="20"/>
    </w:rPr>
  </w:style>
  <w:style w:type="paragraph" w:customStyle="1" w:styleId="CharCharCharCharCharCharCharCharCharCharChar">
    <w:name w:val="Char Char Char Знак Char Char Char Char Char Знак Char Char Char"/>
    <w:basedOn w:val="Normal"/>
    <w:rsid w:val="00C32F85"/>
    <w:pPr>
      <w:spacing w:after="160" w:line="240" w:lineRule="exact"/>
    </w:pPr>
    <w:rPr>
      <w:rFonts w:ascii="Arial" w:hAnsi="Arial" w:cs="Arial"/>
      <w:sz w:val="20"/>
      <w:szCs w:val="20"/>
    </w:rPr>
  </w:style>
  <w:style w:type="character" w:customStyle="1" w:styleId="CharChar10">
    <w:name w:val="Char Char10"/>
    <w:locked/>
    <w:rsid w:val="00EA5436"/>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D868AF"/>
    <w:pPr>
      <w:spacing w:before="120" w:after="120"/>
    </w:pPr>
    <w:rPr>
      <w:rFonts w:ascii="Arial Unicode" w:hAnsi="Arial Unicode"/>
      <w:lang w:eastAsia="en-US"/>
    </w:rPr>
  </w:style>
  <w:style w:type="character" w:customStyle="1" w:styleId="StyleHeading4CentredArialUnicode105ptChar">
    <w:name w:val="Style Heading 4Centred + Arial Unicode 10.5 pt Char"/>
    <w:link w:val="StyleHeading4CentredArialUnicode105pt"/>
    <w:rsid w:val="00D868AF"/>
    <w:rPr>
      <w:rFonts w:ascii="Arial Unicode" w:hAnsi="Arial Unicode"/>
      <w:b/>
      <w:bCs/>
      <w:sz w:val="22"/>
      <w:szCs w:val="22"/>
      <w:lang w:val="af-ZA" w:eastAsia="en-US" w:bidi="ar-S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C85162"/>
    <w:pPr>
      <w:tabs>
        <w:tab w:val="clear" w:pos="624"/>
        <w:tab w:val="left" w:pos="360"/>
      </w:tabs>
      <w:spacing w:before="240" w:after="240"/>
      <w:ind w:right="0"/>
    </w:pPr>
    <w:rPr>
      <w:rFonts w:cs="Times New Roman"/>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BA094A"/>
    <w:pPr>
      <w:spacing w:before="120"/>
    </w:pPr>
    <w:rPr>
      <w:bCs/>
      <w:iCs w:val="0"/>
      <w:spacing w:val="24"/>
      <w:kern w:val="28"/>
      <w:sz w:val="24"/>
      <w:szCs w:val="24"/>
      <w:lang w:eastAsia="x-none"/>
    </w:rPr>
  </w:style>
  <w:style w:type="character" w:customStyle="1" w:styleId="StyleStyleHeading2ChapterParanumTextSylfaen1ArialUniChar">
    <w:name w:val="Style Style Heading 2.(Chapter).Paranum.Text + Sylfaen1 + Arial Uni... Char"/>
    <w:link w:val="StyleStyleHeading2ChapterParanumTextSylfaen1ArialUni"/>
    <w:rsid w:val="00BA094A"/>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D868AF"/>
  </w:style>
  <w:style w:type="paragraph" w:customStyle="1" w:styleId="StyleStyleHeading2ChapterParanumTextSylfaen1ArialUni1">
    <w:name w:val="Style Style Heading 2.(Chapter).Paranum.Text + Sylfaen1 + Arial Uni...1"/>
    <w:basedOn w:val="StyleHeading2ChapterParanumTextSylfaen1"/>
    <w:autoRedefine/>
    <w:rsid w:val="00A46D7C"/>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C2389E"/>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E927DD"/>
    <w:rPr>
      <w:bCs/>
      <w:iCs w:val="0"/>
      <w:spacing w:val="24"/>
      <w:kern w:val="28"/>
      <w:lang w:val="pt-BR" w:eastAsia="en-US"/>
    </w:rPr>
  </w:style>
  <w:style w:type="character" w:customStyle="1" w:styleId="StyleStyleHeading2ChapterParanumTextSylfaen1GHEAGrapChar">
    <w:name w:val="Style Style Heading 2.(Chapter).Paranum.Text + Sylfaen1 + GHEA Grap... Char"/>
    <w:link w:val="StyleStyleHeading2ChapterParanumTextSylfaen1GHEAGrap"/>
    <w:rsid w:val="00E927DD"/>
    <w:rPr>
      <w:rFonts w:ascii="GHEA Grapalat" w:hAnsi="GHEA Grapalat"/>
      <w:b/>
      <w:bCs/>
      <w:spacing w:val="24"/>
      <w:kern w:val="28"/>
      <w:sz w:val="22"/>
      <w:szCs w:val="22"/>
      <w:lang w:val="pt-BR" w:eastAsia="en-US" w:bidi="ar-SA"/>
    </w:rPr>
  </w:style>
  <w:style w:type="character" w:customStyle="1" w:styleId="CharChar18">
    <w:name w:val="Char Char18"/>
    <w:rsid w:val="009027D1"/>
    <w:rPr>
      <w:rFonts w:ascii="Arial Armenian" w:eastAsia="Times New Roman" w:hAnsi="Arial Armenian"/>
      <w:i/>
      <w:sz w:val="22"/>
      <w:u w:val="single"/>
      <w:lang w:val="en-GB"/>
    </w:rPr>
  </w:style>
  <w:style w:type="character" w:customStyle="1" w:styleId="FontStyle29">
    <w:name w:val="Font Style29"/>
    <w:rsid w:val="009027D1"/>
    <w:rPr>
      <w:rFonts w:ascii="Tahoma" w:hAnsi="Tahoma" w:cs="Tahoma"/>
      <w:color w:val="000000"/>
      <w:sz w:val="16"/>
      <w:szCs w:val="16"/>
    </w:rPr>
  </w:style>
  <w:style w:type="character" w:customStyle="1" w:styleId="CharChar19">
    <w:name w:val="Char Char19"/>
    <w:rsid w:val="00DE74C4"/>
    <w:rPr>
      <w:b/>
      <w:sz w:val="32"/>
      <w:lang w:val="en-GB" w:eastAsia="en-US" w:bidi="ar-SA"/>
    </w:rPr>
  </w:style>
  <w:style w:type="paragraph" w:customStyle="1" w:styleId="rmcptlkhmsonormal">
    <w:name w:val="rmcptlkh msonormal"/>
    <w:basedOn w:val="Normal"/>
    <w:rsid w:val="00DE74C4"/>
    <w:pPr>
      <w:spacing w:before="100" w:beforeAutospacing="1" w:after="100" w:afterAutospacing="1"/>
    </w:pPr>
    <w:rPr>
      <w:rFonts w:eastAsia="Batang"/>
      <w:lang w:val="ru-RU" w:eastAsia="ko-KR"/>
    </w:rPr>
  </w:style>
  <w:style w:type="character" w:customStyle="1" w:styleId="CharChar21">
    <w:name w:val="Char Char21"/>
    <w:rsid w:val="00DE74C4"/>
    <w:rPr>
      <w:rFonts w:ascii="Arial Armenian" w:hAnsi="Arial Armenian"/>
      <w:i/>
      <w:sz w:val="22"/>
      <w:u w:val="single"/>
      <w:lang w:val="en-GB" w:eastAsia="en-US" w:bidi="ar-SA"/>
    </w:rPr>
  </w:style>
  <w:style w:type="character" w:customStyle="1" w:styleId="CharChar20">
    <w:name w:val="Char Char20"/>
    <w:rsid w:val="00DE74C4"/>
    <w:rPr>
      <w:rFonts w:ascii="Garamond" w:hAnsi="Garamond"/>
      <w:i/>
      <w:spacing w:val="-5"/>
      <w:sz w:val="28"/>
      <w:lang w:val="en-GB" w:eastAsia="en-US" w:bidi="ar-SA"/>
    </w:rPr>
  </w:style>
  <w:style w:type="paragraph" w:styleId="Revision">
    <w:name w:val="Revision"/>
    <w:hidden/>
    <w:uiPriority w:val="99"/>
    <w:semiHidden/>
    <w:rsid w:val="00A6758D"/>
    <w:rPr>
      <w:rFonts w:ascii="Arial Armenian" w:hAnsi="Arial Armenian" w:cs="Sylfaen"/>
      <w:sz w:val="24"/>
      <w:szCs w:val="24"/>
      <w:lang w:val="ru-RU" w:eastAsia="ru-RU"/>
    </w:rPr>
  </w:style>
  <w:style w:type="paragraph" w:customStyle="1" w:styleId="CM33">
    <w:name w:val="CM33"/>
    <w:basedOn w:val="Normal"/>
    <w:next w:val="Normal"/>
    <w:rsid w:val="00A6758D"/>
    <w:pPr>
      <w:widowControl w:val="0"/>
      <w:autoSpaceDE w:val="0"/>
      <w:autoSpaceDN w:val="0"/>
      <w:adjustRightInd w:val="0"/>
      <w:spacing w:after="343"/>
    </w:pPr>
    <w:rPr>
      <w:rFonts w:ascii="Arial Armenian" w:hAnsi="Arial Armenian" w:cs="Arial Armenian"/>
    </w:rPr>
  </w:style>
  <w:style w:type="paragraph" w:customStyle="1" w:styleId="CharCharCharCharCharCharCharChar2">
    <w:name w:val="Char Char Char Char Char Char Char Char2"/>
    <w:basedOn w:val="Normal"/>
    <w:rsid w:val="004E3CFA"/>
    <w:pPr>
      <w:spacing w:after="160" w:line="240" w:lineRule="exact"/>
    </w:pPr>
    <w:rPr>
      <w:rFonts w:ascii="Arial" w:hAnsi="Arial" w:cs="Arial"/>
      <w:sz w:val="20"/>
      <w:szCs w:val="20"/>
    </w:rPr>
  </w:style>
  <w:style w:type="paragraph" w:customStyle="1" w:styleId="CharCharCharCharCharCharCharCharCharCharCharCharCharCharChar5">
    <w:name w:val="Char Char Char Char Знак Char Знак Char Char Char Char Char Char Char Char Char Char5"/>
    <w:basedOn w:val="Normal"/>
    <w:rsid w:val="004E3CFA"/>
    <w:pPr>
      <w:tabs>
        <w:tab w:val="left" w:pos="709"/>
      </w:tabs>
    </w:pPr>
    <w:rPr>
      <w:rFonts w:ascii="Tahoma" w:hAnsi="Tahoma"/>
      <w:lang w:val="pl-PL" w:eastAsia="pl-PL"/>
    </w:rPr>
  </w:style>
  <w:style w:type="paragraph" w:customStyle="1" w:styleId="CharCharCharCharCharCharChar2">
    <w:name w:val="Char Char Char Char Char Char Char2"/>
    <w:basedOn w:val="Normal"/>
    <w:rsid w:val="004E3CFA"/>
    <w:pPr>
      <w:spacing w:after="160" w:line="240" w:lineRule="exact"/>
    </w:pPr>
    <w:rPr>
      <w:rFonts w:ascii="Arial" w:hAnsi="Arial" w:cs="Arial"/>
      <w:sz w:val="20"/>
      <w:szCs w:val="20"/>
    </w:rPr>
  </w:style>
  <w:style w:type="paragraph" w:customStyle="1" w:styleId="CharCharChar21">
    <w:name w:val="Char Char Char Знак Знак2"/>
    <w:basedOn w:val="Normal"/>
    <w:rsid w:val="004E3CFA"/>
    <w:pPr>
      <w:spacing w:after="160" w:line="240" w:lineRule="exact"/>
    </w:pPr>
    <w:rPr>
      <w:rFonts w:ascii="Arial" w:hAnsi="Arial" w:cs="Arial"/>
      <w:sz w:val="20"/>
      <w:szCs w:val="20"/>
    </w:rPr>
  </w:style>
  <w:style w:type="paragraph" w:customStyle="1" w:styleId="CharCharCharCharCharCharCharCharCharChar2">
    <w:name w:val="Char Char Char Char Char Char Char Char Char Char2"/>
    <w:basedOn w:val="Normal"/>
    <w:rsid w:val="004E3CFA"/>
    <w:pPr>
      <w:spacing w:after="160" w:line="240" w:lineRule="exact"/>
    </w:pPr>
    <w:rPr>
      <w:rFonts w:ascii="Arial" w:hAnsi="Arial" w:cs="Arial"/>
      <w:sz w:val="20"/>
      <w:szCs w:val="20"/>
    </w:rPr>
  </w:style>
  <w:style w:type="paragraph" w:customStyle="1" w:styleId="1CharChar2">
    <w:name w:val="Знак Знак1 Char Char Знак Знак2"/>
    <w:basedOn w:val="Normal"/>
    <w:rsid w:val="004E3CFA"/>
    <w:pPr>
      <w:tabs>
        <w:tab w:val="num" w:pos="840"/>
      </w:tabs>
      <w:spacing w:after="160" w:line="240" w:lineRule="exact"/>
      <w:ind w:left="840" w:hanging="360"/>
    </w:pPr>
    <w:rPr>
      <w:rFonts w:ascii="Verdana" w:hAnsi="Verdana"/>
      <w:sz w:val="20"/>
      <w:szCs w:val="20"/>
      <w:lang w:val="ru-RU"/>
    </w:rPr>
  </w:style>
  <w:style w:type="paragraph" w:customStyle="1" w:styleId="CharCharCharChar2">
    <w:name w:val="Знак Знак Char Char Знак Знак Char Char Знак Знак2"/>
    <w:basedOn w:val="Normal"/>
    <w:autoRedefine/>
    <w:rsid w:val="004E3CFA"/>
    <w:pPr>
      <w:spacing w:after="160" w:line="240" w:lineRule="exact"/>
    </w:pPr>
    <w:rPr>
      <w:sz w:val="28"/>
      <w:szCs w:val="20"/>
    </w:rPr>
  </w:style>
  <w:style w:type="paragraph" w:customStyle="1" w:styleId="CharCharChar1Char2">
    <w:name w:val="Char Char Char1 Char2"/>
    <w:basedOn w:val="Normal"/>
    <w:rsid w:val="004E3CFA"/>
    <w:pPr>
      <w:spacing w:after="160" w:line="240" w:lineRule="exact"/>
    </w:pPr>
    <w:rPr>
      <w:rFonts w:ascii="Arial" w:hAnsi="Arial" w:cs="Arial"/>
      <w:sz w:val="20"/>
      <w:szCs w:val="20"/>
    </w:rPr>
  </w:style>
  <w:style w:type="paragraph" w:customStyle="1" w:styleId="120">
    <w:name w:val="Знак Знак12"/>
    <w:basedOn w:val="Normal"/>
    <w:rsid w:val="004E3CFA"/>
    <w:pPr>
      <w:spacing w:after="160" w:line="240" w:lineRule="exact"/>
    </w:pPr>
    <w:rPr>
      <w:rFonts w:ascii="Arial" w:eastAsia="MS Mincho" w:hAnsi="Arial" w:cs="Arial"/>
      <w:sz w:val="20"/>
      <w:szCs w:val="20"/>
    </w:rPr>
  </w:style>
  <w:style w:type="paragraph" w:customStyle="1" w:styleId="CharCharCharCharChar2">
    <w:name w:val="Char Char Char Char Char Знак Знак2"/>
    <w:basedOn w:val="Normal"/>
    <w:rsid w:val="004E3CFA"/>
    <w:pPr>
      <w:spacing w:after="160" w:line="240" w:lineRule="exact"/>
    </w:pPr>
    <w:rPr>
      <w:rFonts w:ascii="Arial" w:hAnsi="Arial" w:cs="Arial"/>
      <w:sz w:val="20"/>
      <w:szCs w:val="20"/>
    </w:rPr>
  </w:style>
  <w:style w:type="paragraph" w:customStyle="1" w:styleId="CharChar1CharCharChar1Char2">
    <w:name w:val="Char Char1 Char Char Char1 Char2"/>
    <w:basedOn w:val="Normal"/>
    <w:autoRedefine/>
    <w:rsid w:val="004E3CFA"/>
    <w:rPr>
      <w:rFonts w:eastAsia="SimSun"/>
      <w:sz w:val="20"/>
      <w:szCs w:val="20"/>
      <w:lang w:eastAsia="ru-RU"/>
    </w:rPr>
  </w:style>
  <w:style w:type="paragraph" w:customStyle="1" w:styleId="42">
    <w:name w:val="Знак Знак42"/>
    <w:basedOn w:val="Normal"/>
    <w:rsid w:val="004E3CFA"/>
    <w:pPr>
      <w:tabs>
        <w:tab w:val="left" w:pos="709"/>
      </w:tabs>
    </w:pPr>
    <w:rPr>
      <w:rFonts w:ascii="Tahoma" w:hAnsi="Tahoma"/>
      <w:lang w:val="pl-PL" w:eastAsia="pl-PL"/>
    </w:rPr>
  </w:style>
  <w:style w:type="paragraph" w:customStyle="1" w:styleId="Char21">
    <w:name w:val="Знак Char Знак2"/>
    <w:basedOn w:val="Normal"/>
    <w:rsid w:val="004E3CFA"/>
    <w:pPr>
      <w:spacing w:after="160" w:line="240" w:lineRule="exact"/>
    </w:pPr>
    <w:rPr>
      <w:rFonts w:ascii="Arial" w:eastAsia="Batang" w:hAnsi="Arial" w:cs="Arial"/>
      <w:sz w:val="20"/>
      <w:szCs w:val="20"/>
    </w:rPr>
  </w:style>
  <w:style w:type="paragraph" w:customStyle="1" w:styleId="CharCharCharCharCharChar2">
    <w:name w:val="Знак Знак Char Char Знак Знак Char Char Знак Знак Char Char2"/>
    <w:basedOn w:val="Normal"/>
    <w:autoRedefine/>
    <w:rsid w:val="004E3CFA"/>
    <w:pPr>
      <w:spacing w:after="160" w:line="240" w:lineRule="exact"/>
    </w:pPr>
    <w:rPr>
      <w:sz w:val="28"/>
      <w:szCs w:val="20"/>
    </w:rPr>
  </w:style>
  <w:style w:type="paragraph" w:customStyle="1" w:styleId="220">
    <w:name w:val="Знак Знак22"/>
    <w:basedOn w:val="Normal"/>
    <w:rsid w:val="004E3CFA"/>
    <w:pPr>
      <w:spacing w:after="160" w:line="240" w:lineRule="exact"/>
    </w:pPr>
    <w:rPr>
      <w:rFonts w:ascii="Arial" w:hAnsi="Arial" w:cs="Arial"/>
      <w:sz w:val="20"/>
      <w:szCs w:val="20"/>
    </w:rPr>
  </w:style>
  <w:style w:type="paragraph" w:customStyle="1" w:styleId="CharCharCharCharChar20">
    <w:name w:val="Char Char Char Char Char2"/>
    <w:basedOn w:val="Normal"/>
    <w:rsid w:val="004E3CFA"/>
    <w:pPr>
      <w:spacing w:after="160" w:line="240" w:lineRule="exact"/>
    </w:pPr>
    <w:rPr>
      <w:rFonts w:ascii="Arial" w:hAnsi="Arial" w:cs="Arial"/>
      <w:sz w:val="20"/>
      <w:szCs w:val="20"/>
    </w:rPr>
  </w:style>
  <w:style w:type="paragraph" w:customStyle="1" w:styleId="listparagraphcxspmiddle">
    <w:name w:val="listparagraphcxspmiddle"/>
    <w:basedOn w:val="Normal"/>
    <w:rsid w:val="004E3CFA"/>
    <w:pPr>
      <w:spacing w:before="100" w:beforeAutospacing="1" w:after="100" w:afterAutospacing="1"/>
    </w:pPr>
  </w:style>
  <w:style w:type="paragraph" w:customStyle="1" w:styleId="listparagraphcxsplast">
    <w:name w:val="listparagraphcxsplast"/>
    <w:basedOn w:val="Normal"/>
    <w:rsid w:val="004E3CFA"/>
    <w:pPr>
      <w:spacing w:before="100" w:beforeAutospacing="1" w:after="100" w:afterAutospacing="1"/>
    </w:pPr>
  </w:style>
  <w:style w:type="paragraph" w:customStyle="1" w:styleId="CharCharCharCharChar1">
    <w:name w:val="Знак Char Char Знак Char Char Char"/>
    <w:aliases w:val=" Знак Char Char Знак Char Char1 Знак"/>
    <w:basedOn w:val="Normal"/>
    <w:next w:val="Normal"/>
    <w:semiHidden/>
    <w:rsid w:val="00D90861"/>
    <w:pPr>
      <w:spacing w:after="160" w:line="240" w:lineRule="exact"/>
    </w:pPr>
    <w:rPr>
      <w:rFonts w:ascii="Arial" w:hAnsi="Arial" w:cs="Arial"/>
      <w:b/>
      <w:sz w:val="20"/>
      <w:szCs w:val="20"/>
    </w:rPr>
  </w:style>
  <w:style w:type="character" w:customStyle="1" w:styleId="BodyTextFirstIndentChar1">
    <w:name w:val="Body Text First Indent Char1"/>
    <w:rsid w:val="00D90861"/>
    <w:rPr>
      <w:rFonts w:ascii="Times Armenian" w:hAnsi="Times Armenian"/>
      <w:sz w:val="24"/>
      <w:szCs w:val="24"/>
      <w:lang w:val="ru-RU" w:eastAsia="ru-RU" w:bidi="ar-SA"/>
    </w:rPr>
  </w:style>
  <w:style w:type="character" w:customStyle="1" w:styleId="CommentSubjectChar1">
    <w:name w:val="Comment Subject Char1"/>
    <w:rsid w:val="00D90861"/>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D90861"/>
    <w:pPr>
      <w:spacing w:after="160" w:line="240" w:lineRule="exact"/>
    </w:pPr>
    <w:rPr>
      <w:rFonts w:ascii="Verdana" w:eastAsia="MS Mincho" w:hAnsi="Verdana"/>
      <w:sz w:val="20"/>
      <w:szCs w:val="20"/>
    </w:rPr>
  </w:style>
  <w:style w:type="numbering" w:customStyle="1" w:styleId="NoList1">
    <w:name w:val="No List1"/>
    <w:next w:val="NoList"/>
    <w:semiHidden/>
    <w:unhideWhenUsed/>
    <w:rsid w:val="00D90861"/>
  </w:style>
  <w:style w:type="character" w:customStyle="1" w:styleId="apple-converted-space">
    <w:name w:val="apple-converted-space"/>
    <w:rsid w:val="00D90861"/>
  </w:style>
  <w:style w:type="paragraph" w:customStyle="1" w:styleId="ListParagraph12">
    <w:name w:val="List Paragraph12"/>
    <w:aliases w:val="OBC Bullet,Normal numbered,List Paragraph121"/>
    <w:basedOn w:val="Normal"/>
    <w:uiPriority w:val="34"/>
    <w:qFormat/>
    <w:rsid w:val="00D90861"/>
    <w:pPr>
      <w:ind w:left="720" w:right="201" w:firstLine="900"/>
      <w:contextualSpacing/>
    </w:pPr>
    <w:rPr>
      <w:rFonts w:ascii="Times Armenian" w:hAnsi="Times Armenian"/>
      <w:sz w:val="28"/>
      <w:szCs w:val="28"/>
      <w:lang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OBC Bullet Char"/>
    <w:link w:val="ListParagraph1"/>
    <w:uiPriority w:val="34"/>
    <w:rsid w:val="00D90861"/>
    <w:rPr>
      <w:sz w:val="24"/>
      <w:szCs w:val="24"/>
      <w:lang w:val="en-US" w:eastAsia="en-US" w:bidi="ar-SA"/>
    </w:rPr>
  </w:style>
  <w:style w:type="numbering" w:customStyle="1" w:styleId="NoList2">
    <w:name w:val="No List2"/>
    <w:next w:val="NoList"/>
    <w:semiHidden/>
    <w:unhideWhenUsed/>
    <w:rsid w:val="00D90861"/>
  </w:style>
  <w:style w:type="numbering" w:customStyle="1" w:styleId="NoList3">
    <w:name w:val="No List3"/>
    <w:next w:val="NoList"/>
    <w:semiHidden/>
    <w:unhideWhenUsed/>
    <w:rsid w:val="00D90861"/>
  </w:style>
  <w:style w:type="character" w:customStyle="1" w:styleId="textexposedshow">
    <w:name w:val="text_exposed_show"/>
    <w:rsid w:val="00D90861"/>
    <w:rPr>
      <w:rFonts w:cs="Times New Roman"/>
    </w:rPr>
  </w:style>
  <w:style w:type="paragraph" w:customStyle="1" w:styleId="formtext">
    <w:name w:val="formtext"/>
    <w:basedOn w:val="Normal"/>
    <w:rsid w:val="00D90861"/>
    <w:pPr>
      <w:spacing w:before="120" w:after="120" w:line="240" w:lineRule="exact"/>
    </w:pPr>
    <w:rPr>
      <w:rFonts w:ascii="Arial" w:eastAsia="SimSun" w:hAnsi="Arial"/>
      <w:lang w:eastAsia="fr-FR"/>
    </w:rPr>
  </w:style>
  <w:style w:type="paragraph" w:customStyle="1" w:styleId="italic">
    <w:name w:val="italic"/>
    <w:basedOn w:val="Normal"/>
    <w:rsid w:val="00D90861"/>
    <w:pPr>
      <w:spacing w:before="100" w:beforeAutospacing="1" w:after="100" w:afterAutospacing="1"/>
    </w:pPr>
    <w:rPr>
      <w:rFonts w:ascii="Calibri" w:hAnsi="Calibri" w:cs="Calibri"/>
    </w:rPr>
  </w:style>
  <w:style w:type="paragraph" w:customStyle="1" w:styleId="ecxmsonormal">
    <w:name w:val="ecxmsonormal"/>
    <w:basedOn w:val="Normal"/>
    <w:rsid w:val="00D90861"/>
    <w:pPr>
      <w:spacing w:before="100" w:beforeAutospacing="1" w:after="100" w:afterAutospacing="1"/>
    </w:pPr>
    <w:rPr>
      <w:rFonts w:ascii="Calibri" w:hAnsi="Calibri" w:cs="Calibri"/>
    </w:rPr>
  </w:style>
  <w:style w:type="paragraph" w:customStyle="1" w:styleId="CharCharChar3">
    <w:name w:val="Char Char Char Знак Знак Знак Знак Знак"/>
    <w:basedOn w:val="Normal"/>
    <w:rsid w:val="00D90861"/>
    <w:pPr>
      <w:spacing w:after="160" w:line="240" w:lineRule="exact"/>
    </w:pPr>
    <w:rPr>
      <w:rFonts w:ascii="Arial" w:hAnsi="Arial" w:cs="Arial"/>
      <w:color w:val="000000"/>
      <w:sz w:val="20"/>
      <w:szCs w:val="20"/>
    </w:rPr>
  </w:style>
  <w:style w:type="character" w:customStyle="1" w:styleId="title1">
    <w:name w:val="title1"/>
    <w:rsid w:val="00D90861"/>
    <w:rPr>
      <w:rFonts w:ascii="Verdana" w:hAnsi="Verdana"/>
      <w:b/>
      <w:color w:val="000000"/>
      <w:sz w:val="12"/>
      <w:u w:val="none"/>
      <w:effect w:val="none"/>
    </w:rPr>
  </w:style>
  <w:style w:type="character" w:customStyle="1" w:styleId="hps">
    <w:name w:val="hps"/>
    <w:rsid w:val="00D90861"/>
    <w:rPr>
      <w:rFonts w:cs="Times New Roman"/>
    </w:rPr>
  </w:style>
  <w:style w:type="character" w:customStyle="1" w:styleId="st">
    <w:name w:val="st"/>
    <w:rsid w:val="00D90861"/>
    <w:rPr>
      <w:rFonts w:cs="Times New Roman"/>
    </w:rPr>
  </w:style>
  <w:style w:type="paragraph" w:customStyle="1" w:styleId="bodytext0">
    <w:name w:val="bodytext"/>
    <w:basedOn w:val="Normal"/>
    <w:rsid w:val="00D90861"/>
    <w:pPr>
      <w:spacing w:before="100" w:beforeAutospacing="1" w:after="100" w:afterAutospacing="1"/>
    </w:pPr>
    <w:rPr>
      <w:rFonts w:ascii="Calibri" w:hAnsi="Calibri" w:cs="Calibri"/>
    </w:rPr>
  </w:style>
  <w:style w:type="character" w:customStyle="1" w:styleId="CharChar4">
    <w:name w:val="Char Char4"/>
    <w:rsid w:val="00D90861"/>
    <w:rPr>
      <w:rFonts w:ascii="Cambria" w:hAnsi="Cambria" w:cs="Cambria"/>
      <w:b/>
      <w:bCs/>
      <w:sz w:val="26"/>
      <w:szCs w:val="26"/>
    </w:rPr>
  </w:style>
  <w:style w:type="character" w:customStyle="1" w:styleId="CharChar2">
    <w:name w:val="Char Char2"/>
    <w:rsid w:val="00D90861"/>
    <w:rPr>
      <w:rFonts w:ascii="Calibri" w:hAnsi="Calibri" w:cs="Calibri"/>
      <w:sz w:val="22"/>
      <w:szCs w:val="22"/>
      <w:lang w:val="en-US" w:eastAsia="en-US"/>
    </w:rPr>
  </w:style>
  <w:style w:type="character" w:customStyle="1" w:styleId="CharChar1">
    <w:name w:val="Char Char1"/>
    <w:rsid w:val="00D90861"/>
    <w:rPr>
      <w:rFonts w:ascii="Calibri" w:hAnsi="Calibri" w:cs="Calibri"/>
      <w:sz w:val="22"/>
      <w:szCs w:val="22"/>
      <w:lang w:val="en-US" w:eastAsia="en-US"/>
    </w:rPr>
  </w:style>
  <w:style w:type="paragraph" w:customStyle="1" w:styleId="num02">
    <w:name w:val="Énum02"/>
    <w:basedOn w:val="Normal"/>
    <w:rsid w:val="00D90861"/>
    <w:pPr>
      <w:numPr>
        <w:numId w:val="9"/>
      </w:numPr>
      <w:spacing w:after="120" w:line="260" w:lineRule="exact"/>
    </w:pPr>
    <w:rPr>
      <w:rFonts w:ascii="Arial" w:hAnsi="Arial" w:cs="Arial"/>
      <w:lang w:eastAsia="fr-FR"/>
    </w:rPr>
  </w:style>
  <w:style w:type="character" w:customStyle="1" w:styleId="arg">
    <w:name w:val="arg"/>
    <w:rsid w:val="00D90861"/>
    <w:rPr>
      <w:rFonts w:cs="Times New Roman"/>
    </w:rPr>
  </w:style>
  <w:style w:type="character" w:customStyle="1" w:styleId="fulltext">
    <w:name w:val="fulltext"/>
    <w:rsid w:val="00D90861"/>
    <w:rPr>
      <w:rFonts w:cs="Times New Roman"/>
    </w:rPr>
  </w:style>
  <w:style w:type="paragraph" w:customStyle="1" w:styleId="innewsdate">
    <w:name w:val="in_news_date"/>
    <w:basedOn w:val="Normal"/>
    <w:rsid w:val="00D90861"/>
    <w:pPr>
      <w:spacing w:before="100" w:beforeAutospacing="1" w:after="100" w:afterAutospacing="1"/>
    </w:pPr>
  </w:style>
  <w:style w:type="character" w:customStyle="1" w:styleId="gr">
    <w:name w:val="gr"/>
    <w:rsid w:val="00D90861"/>
    <w:rPr>
      <w:rFonts w:cs="Times New Roman"/>
    </w:rPr>
  </w:style>
  <w:style w:type="character" w:customStyle="1" w:styleId="opennewstext">
    <w:name w:val="opennewstext"/>
    <w:rsid w:val="00D90861"/>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D90861"/>
    <w:pPr>
      <w:tabs>
        <w:tab w:val="left" w:pos="709"/>
      </w:tabs>
    </w:pPr>
    <w:rPr>
      <w:rFonts w:ascii="Tahoma" w:hAnsi="Tahoma" w:cs="Tahoma"/>
      <w:lang w:val="pl-PL" w:eastAsia="pl-PL"/>
    </w:rPr>
  </w:style>
  <w:style w:type="character" w:customStyle="1" w:styleId="fulltext0">
    <w:name w:val="full_text"/>
    <w:rsid w:val="00D90861"/>
    <w:rPr>
      <w:rFonts w:cs="Times New Roman"/>
    </w:rPr>
  </w:style>
  <w:style w:type="character" w:customStyle="1" w:styleId="wrc116">
    <w:name w:val="wrc116"/>
    <w:rsid w:val="00D90861"/>
    <w:rPr>
      <w:rFonts w:cs="Times New Roman"/>
      <w:vanish/>
    </w:rPr>
  </w:style>
  <w:style w:type="character" w:customStyle="1" w:styleId="editsection">
    <w:name w:val="editsection"/>
    <w:rsid w:val="00D90861"/>
    <w:rPr>
      <w:rFonts w:cs="Times New Roman"/>
    </w:rPr>
  </w:style>
  <w:style w:type="character" w:customStyle="1" w:styleId="mw-headline">
    <w:name w:val="mw-headline"/>
    <w:rsid w:val="00D90861"/>
    <w:rPr>
      <w:rFonts w:cs="Times New Roman"/>
    </w:rPr>
  </w:style>
  <w:style w:type="paragraph" w:styleId="ListNumber">
    <w:name w:val="List Number"/>
    <w:basedOn w:val="Normal"/>
    <w:rsid w:val="00763A57"/>
    <w:pPr>
      <w:numPr>
        <w:numId w:val="12"/>
      </w:numPr>
    </w:pPr>
  </w:style>
  <w:style w:type="character" w:customStyle="1" w:styleId="il">
    <w:name w:val="il"/>
    <w:basedOn w:val="DefaultParagraphFont"/>
    <w:rsid w:val="00763A57"/>
  </w:style>
  <w:style w:type="character" w:customStyle="1" w:styleId="Heading5Char">
    <w:name w:val="Heading 5 Char"/>
    <w:aliases w:val="Side Char"/>
    <w:locked/>
    <w:rsid w:val="00763A57"/>
    <w:rPr>
      <w:sz w:val="22"/>
      <w:lang w:val="en-GB" w:eastAsia="en-US" w:bidi="ar-SA"/>
    </w:rPr>
  </w:style>
  <w:style w:type="character" w:customStyle="1" w:styleId="Heading6Char">
    <w:name w:val="Heading 6 Char"/>
    <w:locked/>
    <w:rsid w:val="00763A57"/>
    <w:rPr>
      <w:sz w:val="36"/>
      <w:lang w:val="en-GB" w:eastAsia="en-US" w:bidi="ar-SA"/>
    </w:rPr>
  </w:style>
  <w:style w:type="character" w:customStyle="1" w:styleId="Heading7Char">
    <w:name w:val="Heading 7 Char"/>
    <w:locked/>
    <w:rsid w:val="00763A57"/>
    <w:rPr>
      <w:sz w:val="22"/>
      <w:lang w:val="en-GB" w:eastAsia="en-US" w:bidi="ar-SA"/>
    </w:rPr>
  </w:style>
  <w:style w:type="character" w:customStyle="1" w:styleId="Heading8Char">
    <w:name w:val="Heading 8 Char"/>
    <w:locked/>
    <w:rsid w:val="00763A57"/>
    <w:rPr>
      <w:sz w:val="22"/>
      <w:lang w:val="en-GB" w:eastAsia="en-US" w:bidi="ar-SA"/>
    </w:rPr>
  </w:style>
  <w:style w:type="character" w:customStyle="1" w:styleId="Heading9Char">
    <w:name w:val="Heading 9 Char"/>
    <w:locked/>
    <w:rsid w:val="00763A57"/>
    <w:rPr>
      <w:sz w:val="22"/>
      <w:lang w:val="en-GB" w:eastAsia="en-US" w:bidi="ar-SA"/>
    </w:rPr>
  </w:style>
  <w:style w:type="character" w:customStyle="1" w:styleId="BodyText2Char">
    <w:name w:val="Body Text 2 Char"/>
    <w:uiPriority w:val="99"/>
    <w:locked/>
    <w:rsid w:val="00763A57"/>
    <w:rPr>
      <w:rFonts w:ascii="Times Armenian" w:hAnsi="Times Armenian" w:cs="Times New Roman"/>
      <w:b/>
      <w:sz w:val="24"/>
      <w:lang w:val="fr-FR" w:eastAsia="x-none"/>
    </w:rPr>
  </w:style>
  <w:style w:type="character" w:customStyle="1" w:styleId="BodyTextIndent2Char">
    <w:name w:val="Body Text Indent 2 Char"/>
    <w:locked/>
    <w:rsid w:val="00763A57"/>
    <w:rPr>
      <w:rFonts w:ascii="Times LatArm" w:hAnsi="Times LatArm" w:cs="Times New Roman"/>
      <w:sz w:val="22"/>
      <w:lang w:val="fr-FR" w:eastAsia="x-none"/>
    </w:rPr>
  </w:style>
  <w:style w:type="character" w:customStyle="1" w:styleId="HeaderChar">
    <w:name w:val="Header Char"/>
    <w:aliases w:val="Header Char Char Char Char Char Char Char Char Char Char Char1,Header Char Char Char Char Char Char Char Char Char Char Char Char Char1"/>
    <w:uiPriority w:val="99"/>
    <w:locked/>
    <w:rsid w:val="00763A57"/>
    <w:rPr>
      <w:rFonts w:cs="Times New Roman"/>
      <w:sz w:val="22"/>
      <w:lang w:val="en-GB" w:eastAsia="x-none"/>
    </w:rPr>
  </w:style>
  <w:style w:type="character" w:customStyle="1" w:styleId="TitleChar">
    <w:name w:val="Title Char"/>
    <w:locked/>
    <w:rsid w:val="00763A57"/>
    <w:rPr>
      <w:rFonts w:ascii="Cambria" w:hAnsi="Cambria" w:cs="Times New Roman"/>
      <w:b/>
      <w:bCs/>
      <w:kern w:val="28"/>
      <w:sz w:val="32"/>
      <w:szCs w:val="32"/>
    </w:rPr>
  </w:style>
  <w:style w:type="character" w:customStyle="1" w:styleId="BodyText3Char">
    <w:name w:val="Body Text 3 Char"/>
    <w:uiPriority w:val="99"/>
    <w:locked/>
    <w:rsid w:val="00763A57"/>
    <w:rPr>
      <w:rFonts w:ascii="Times Armenian" w:hAnsi="Times Armenian" w:cs="Times New Roman"/>
      <w:sz w:val="24"/>
      <w:lang w:val="it-IT" w:eastAsia="x-none"/>
    </w:rPr>
  </w:style>
  <w:style w:type="paragraph" w:customStyle="1" w:styleId="Listenabsatz">
    <w:name w:val="Listenabsatz"/>
    <w:basedOn w:val="Normal"/>
    <w:rsid w:val="00763A57"/>
    <w:pPr>
      <w:ind w:left="720"/>
      <w:contextualSpacing/>
    </w:pPr>
    <w:rPr>
      <w:rFonts w:ascii="Cambria" w:hAnsi="Cambria"/>
      <w:lang w:val="de-DE"/>
    </w:rPr>
  </w:style>
  <w:style w:type="paragraph" w:customStyle="1" w:styleId="Style40">
    <w:name w:val="Style4"/>
    <w:basedOn w:val="TOC3"/>
    <w:autoRedefine/>
    <w:rsid w:val="00E37271"/>
    <w:rPr>
      <w:bCs/>
      <w:noProof/>
      <w:color w:val="000000"/>
      <w:lang w:val="es-ES"/>
    </w:rPr>
  </w:style>
  <w:style w:type="paragraph" w:customStyle="1" w:styleId="Style5">
    <w:name w:val="Style5"/>
    <w:basedOn w:val="TOC3"/>
    <w:autoRedefine/>
    <w:rsid w:val="00E37271"/>
    <w:rPr>
      <w:rFonts w:cs="Sylfaen"/>
      <w:noProof/>
    </w:rPr>
  </w:style>
  <w:style w:type="paragraph" w:customStyle="1" w:styleId="Style7">
    <w:name w:val="Style7"/>
    <w:basedOn w:val="TOC3"/>
    <w:autoRedefine/>
    <w:rsid w:val="00E37271"/>
    <w:rPr>
      <w:rFonts w:cs="Sylfaen"/>
      <w:noProof/>
    </w:rPr>
  </w:style>
  <w:style w:type="paragraph" w:customStyle="1" w:styleId="Style8">
    <w:name w:val="Style8"/>
    <w:basedOn w:val="TOC1"/>
    <w:autoRedefine/>
    <w:rsid w:val="00E37271"/>
    <w:rPr>
      <w:i/>
    </w:rPr>
  </w:style>
  <w:style w:type="paragraph" w:customStyle="1" w:styleId="Style9">
    <w:name w:val="Style9"/>
    <w:basedOn w:val="TOC1"/>
    <w:autoRedefine/>
    <w:rsid w:val="00E37271"/>
  </w:style>
  <w:style w:type="character" w:customStyle="1" w:styleId="CharChar14">
    <w:name w:val="Char Char14"/>
    <w:rsid w:val="00B142B8"/>
    <w:rPr>
      <w:sz w:val="36"/>
      <w:lang w:val="en-GB"/>
    </w:rPr>
  </w:style>
  <w:style w:type="character" w:customStyle="1" w:styleId="CharChar5">
    <w:name w:val="Char Char5"/>
    <w:rsid w:val="00B142B8"/>
    <w:rPr>
      <w:rFonts w:ascii="Arial Armenian" w:hAnsi="Arial Armenian" w:cs="Sylfaen"/>
      <w:sz w:val="24"/>
      <w:szCs w:val="24"/>
      <w:lang w:val="ru-RU" w:eastAsia="ru-RU"/>
    </w:rPr>
  </w:style>
  <w:style w:type="character" w:customStyle="1" w:styleId="CharChar16">
    <w:name w:val="Char Char16"/>
    <w:rsid w:val="00B142B8"/>
    <w:rPr>
      <w:rFonts w:ascii="Times New Roman" w:hAnsi="Times New Roman"/>
      <w:b/>
      <w:sz w:val="32"/>
      <w:lang w:val="en-GB"/>
    </w:rPr>
  </w:style>
  <w:style w:type="character" w:customStyle="1" w:styleId="CharChar17">
    <w:name w:val="Char Char17"/>
    <w:rsid w:val="00B142B8"/>
    <w:rPr>
      <w:rFonts w:ascii="Arial Armenian" w:hAnsi="Arial Armenian"/>
      <w:i/>
      <w:sz w:val="22"/>
      <w:u w:val="single"/>
      <w:lang w:val="en-GB" w:eastAsia="en-US" w:bidi="ar-SA"/>
    </w:rPr>
  </w:style>
  <w:style w:type="paragraph" w:customStyle="1" w:styleId="text">
    <w:name w:val="text"/>
    <w:basedOn w:val="Normal"/>
    <w:link w:val="textChar"/>
    <w:rsid w:val="00B142B8"/>
    <w:pPr>
      <w:ind w:firstLine="454"/>
    </w:pPr>
    <w:rPr>
      <w:rFonts w:ascii="GHEA Mariam" w:hAnsi="GHEA Mariam"/>
      <w:sz w:val="20"/>
      <w:szCs w:val="20"/>
      <w:lang w:eastAsia="ru-RU"/>
    </w:rPr>
  </w:style>
  <w:style w:type="character" w:customStyle="1" w:styleId="textChar">
    <w:name w:val="text Char"/>
    <w:link w:val="text"/>
    <w:rsid w:val="00B142B8"/>
    <w:rPr>
      <w:rFonts w:ascii="GHEA Mariam" w:hAnsi="GHEA Mariam" w:cs="GHEA Mariam"/>
      <w:lang w:val="en-GB" w:eastAsia="ru-RU"/>
    </w:rPr>
  </w:style>
  <w:style w:type="paragraph" w:customStyle="1" w:styleId="Char40">
    <w:name w:val="Char4"/>
    <w:basedOn w:val="Normal"/>
    <w:rsid w:val="00B142B8"/>
    <w:pPr>
      <w:spacing w:after="160" w:line="240" w:lineRule="exact"/>
    </w:pPr>
    <w:rPr>
      <w:rFonts w:ascii="Arial" w:eastAsia="Calibri" w:hAnsi="Arial" w:cs="Arial"/>
      <w:sz w:val="20"/>
      <w:szCs w:val="20"/>
    </w:rPr>
  </w:style>
  <w:style w:type="paragraph" w:customStyle="1" w:styleId="p2">
    <w:name w:val="p2"/>
    <w:basedOn w:val="Normal"/>
    <w:rsid w:val="00B142B8"/>
    <w:pPr>
      <w:spacing w:before="100" w:beforeAutospacing="1" w:after="100" w:afterAutospacing="1"/>
    </w:pPr>
    <w:rPr>
      <w:rFonts w:eastAsia="Calibri"/>
    </w:rPr>
  </w:style>
  <w:style w:type="paragraph" w:customStyle="1" w:styleId="Char30">
    <w:name w:val="Char3"/>
    <w:basedOn w:val="Normal"/>
    <w:rsid w:val="00B142B8"/>
    <w:pPr>
      <w:spacing w:after="160" w:line="240" w:lineRule="exact"/>
    </w:pPr>
    <w:rPr>
      <w:rFonts w:ascii="Arial" w:eastAsia="Calibri" w:hAnsi="Arial" w:cs="Arial"/>
      <w:sz w:val="20"/>
      <w:szCs w:val="20"/>
    </w:rPr>
  </w:style>
  <w:style w:type="paragraph" w:customStyle="1" w:styleId="Char22">
    <w:name w:val="Char2"/>
    <w:basedOn w:val="Normal"/>
    <w:rsid w:val="00B142B8"/>
    <w:pPr>
      <w:spacing w:after="160" w:line="240" w:lineRule="exact"/>
    </w:pPr>
    <w:rPr>
      <w:rFonts w:ascii="Arial" w:eastAsia="Calibri" w:hAnsi="Arial" w:cs="Arial"/>
      <w:sz w:val="20"/>
      <w:szCs w:val="20"/>
    </w:rPr>
  </w:style>
  <w:style w:type="paragraph" w:customStyle="1" w:styleId="Char10">
    <w:name w:val="Char1"/>
    <w:basedOn w:val="Normal"/>
    <w:uiPriority w:val="99"/>
    <w:rsid w:val="00B142B8"/>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B142B8"/>
    <w:rPr>
      <w:rFonts w:ascii="Sylfaen" w:hAnsi="Sylfaen" w:cs="Sylfaen"/>
      <w:spacing w:val="40"/>
      <w:sz w:val="20"/>
      <w:szCs w:val="20"/>
      <w:u w:val="none"/>
      <w:lang w:val="ru-RU" w:eastAsia="ru-RU"/>
    </w:rPr>
  </w:style>
  <w:style w:type="paragraph" w:customStyle="1" w:styleId="CharCharCharCharChar3">
    <w:name w:val="Char Char Char Знак Знак Char Char Знак Знак"/>
    <w:basedOn w:val="Normal"/>
    <w:rsid w:val="00B142B8"/>
    <w:pPr>
      <w:spacing w:after="160" w:line="240" w:lineRule="exact"/>
    </w:pPr>
    <w:rPr>
      <w:rFonts w:ascii="Arial" w:hAnsi="Arial" w:cs="Arial"/>
      <w:sz w:val="20"/>
      <w:szCs w:val="20"/>
    </w:rPr>
  </w:style>
  <w:style w:type="paragraph" w:customStyle="1" w:styleId="CharCharCharCharCharChar0">
    <w:name w:val="Char Char Char Char Char Char"/>
    <w:basedOn w:val="Normal"/>
    <w:rsid w:val="00B142B8"/>
    <w:pPr>
      <w:spacing w:after="160" w:line="240" w:lineRule="exact"/>
    </w:pPr>
    <w:rPr>
      <w:rFonts w:ascii="Arial" w:hAnsi="Arial" w:cs="Arial"/>
      <w:sz w:val="20"/>
      <w:szCs w:val="20"/>
    </w:rPr>
  </w:style>
  <w:style w:type="paragraph" w:customStyle="1" w:styleId="CharChar110">
    <w:name w:val="Char Char110"/>
    <w:basedOn w:val="Normal"/>
    <w:rsid w:val="00B142B8"/>
    <w:pPr>
      <w:spacing w:after="160" w:line="240" w:lineRule="exact"/>
    </w:pPr>
    <w:rPr>
      <w:rFonts w:ascii="Arial" w:hAnsi="Arial" w:cs="Arial"/>
      <w:sz w:val="20"/>
      <w:szCs w:val="20"/>
    </w:rPr>
  </w:style>
  <w:style w:type="character" w:customStyle="1" w:styleId="Heading1Char1">
    <w:name w:val="Heading 1 Char1"/>
    <w:aliases w:val="(Section) Char1,Section Heading Char1,(Text) Char1,1 Char1,Chapter Char1,head3 Char1"/>
    <w:uiPriority w:val="99"/>
    <w:locked/>
    <w:rsid w:val="00794E72"/>
    <w:rPr>
      <w:rFonts w:ascii="Arial" w:hAnsi="Arial"/>
      <w:b/>
      <w:kern w:val="32"/>
      <w:sz w:val="32"/>
    </w:rPr>
  </w:style>
  <w:style w:type="character" w:customStyle="1" w:styleId="BodyTextIndent3Char1">
    <w:name w:val="Body Text Indent 3 Char1"/>
    <w:uiPriority w:val="99"/>
    <w:locked/>
    <w:rsid w:val="00794E72"/>
    <w:rPr>
      <w:rFonts w:ascii="Times New Roman" w:hAnsi="Times New Roman"/>
      <w:sz w:val="16"/>
    </w:rPr>
  </w:style>
  <w:style w:type="character" w:customStyle="1" w:styleId="PlainTextChar1">
    <w:name w:val="Plain Text Char1"/>
    <w:uiPriority w:val="99"/>
    <w:locked/>
    <w:rsid w:val="00794E72"/>
    <w:rPr>
      <w:rFonts w:ascii="Courier New" w:hAnsi="Courier New"/>
      <w:sz w:val="20"/>
    </w:rPr>
  </w:style>
  <w:style w:type="character" w:customStyle="1" w:styleId="CommentTextChar1">
    <w:name w:val="Comment Text Char1"/>
    <w:uiPriority w:val="99"/>
    <w:locked/>
    <w:rsid w:val="00794E72"/>
    <w:rPr>
      <w:rFonts w:ascii="Times New Roman" w:hAnsi="Times New Roman"/>
      <w:sz w:val="20"/>
      <w:lang w:val="en-GB"/>
    </w:rPr>
  </w:style>
  <w:style w:type="character" w:customStyle="1" w:styleId="SubtitleChar1">
    <w:name w:val="Subtitle Char1"/>
    <w:uiPriority w:val="99"/>
    <w:locked/>
    <w:rsid w:val="00794E72"/>
    <w:rPr>
      <w:rFonts w:ascii="Times LatArm" w:hAnsi="Times LatArm"/>
      <w:b/>
      <w:sz w:val="24"/>
    </w:rPr>
  </w:style>
  <w:style w:type="character" w:customStyle="1" w:styleId="BalloonTextChar1">
    <w:name w:val="Balloon Text Char1"/>
    <w:uiPriority w:val="99"/>
    <w:locked/>
    <w:rsid w:val="00794E72"/>
    <w:rPr>
      <w:rFonts w:ascii="Tahoma" w:hAnsi="Tahoma"/>
      <w:sz w:val="16"/>
    </w:rPr>
  </w:style>
  <w:style w:type="character" w:customStyle="1" w:styleId="CharChar162">
    <w:name w:val="Char Char162"/>
    <w:uiPriority w:val="99"/>
    <w:rsid w:val="00794E72"/>
    <w:rPr>
      <w:rFonts w:ascii="Times New Roman" w:hAnsi="Times New Roman"/>
      <w:b/>
      <w:sz w:val="20"/>
      <w:lang w:val="en-GB"/>
    </w:rPr>
  </w:style>
  <w:style w:type="character" w:customStyle="1" w:styleId="CharChar141">
    <w:name w:val="Char Char141"/>
    <w:uiPriority w:val="99"/>
    <w:rsid w:val="00794E72"/>
    <w:rPr>
      <w:rFonts w:ascii="Times New Roman" w:hAnsi="Times New Roman"/>
      <w:sz w:val="20"/>
      <w:lang w:val="en-GB"/>
    </w:rPr>
  </w:style>
  <w:style w:type="character" w:customStyle="1" w:styleId="CharChar52">
    <w:name w:val="Char Char52"/>
    <w:uiPriority w:val="99"/>
    <w:rsid w:val="00794E72"/>
    <w:rPr>
      <w:rFonts w:ascii="Times New Roman" w:hAnsi="Times New Roman"/>
      <w:sz w:val="20"/>
      <w:lang w:val="en-GB"/>
    </w:rPr>
  </w:style>
  <w:style w:type="character" w:customStyle="1" w:styleId="EndnoteTextChar1">
    <w:name w:val="Endnote Text Char1"/>
    <w:uiPriority w:val="99"/>
    <w:semiHidden/>
    <w:locked/>
    <w:rsid w:val="00794E72"/>
    <w:rPr>
      <w:rFonts w:ascii="Times New Roman" w:hAnsi="Times New Roman"/>
      <w:sz w:val="20"/>
      <w:lang w:val="en-GB"/>
    </w:rPr>
  </w:style>
  <w:style w:type="character" w:customStyle="1" w:styleId="estilo2">
    <w:name w:val="estilo2"/>
    <w:uiPriority w:val="99"/>
    <w:rsid w:val="00794E72"/>
  </w:style>
  <w:style w:type="character" w:customStyle="1" w:styleId="CharChar3">
    <w:name w:val="Char Char3"/>
    <w:uiPriority w:val="99"/>
    <w:locked/>
    <w:rsid w:val="00794E72"/>
    <w:rPr>
      <w:rFonts w:cs="Times New Roman"/>
      <w:sz w:val="22"/>
      <w:lang w:val="en-GB" w:eastAsia="en-US" w:bidi="ar-SA"/>
    </w:rPr>
  </w:style>
  <w:style w:type="character" w:customStyle="1" w:styleId="CharChar11">
    <w:name w:val="Char Char11"/>
    <w:uiPriority w:val="99"/>
    <w:locked/>
    <w:rsid w:val="00794E72"/>
    <w:rPr>
      <w:rFonts w:ascii="Times Armenian" w:hAnsi="Times Armenian" w:cs="Times New Roman"/>
      <w:b/>
      <w:bCs/>
      <w:sz w:val="24"/>
      <w:szCs w:val="24"/>
      <w:lang w:val="en-US" w:eastAsia="en-US" w:bidi="ar-SA"/>
    </w:rPr>
  </w:style>
  <w:style w:type="character" w:customStyle="1" w:styleId="CharChar51">
    <w:name w:val="Char Char51"/>
    <w:uiPriority w:val="99"/>
    <w:locked/>
    <w:rsid w:val="00794E72"/>
    <w:rPr>
      <w:sz w:val="22"/>
      <w:lang w:val="en-GB" w:eastAsia="en-US"/>
    </w:rPr>
  </w:style>
  <w:style w:type="paragraph" w:customStyle="1" w:styleId="Numberedtext">
    <w:name w:val="Numbered text"/>
    <w:basedOn w:val="BodyText"/>
    <w:uiPriority w:val="99"/>
    <w:rsid w:val="00794E72"/>
    <w:pPr>
      <w:numPr>
        <w:numId w:val="13"/>
      </w:numPr>
      <w:tabs>
        <w:tab w:val="clear" w:pos="1004"/>
        <w:tab w:val="num" w:pos="360"/>
      </w:tabs>
      <w:ind w:left="0" w:firstLine="0"/>
    </w:pPr>
    <w:rPr>
      <w:rFonts w:ascii="Calibri" w:hAnsi="Calibri" w:cs="Calibri"/>
      <w:lang w:eastAsia="en-NZ"/>
    </w:rPr>
  </w:style>
  <w:style w:type="character" w:customStyle="1" w:styleId="DocumentMapChar">
    <w:name w:val="Document Map Char"/>
    <w:rsid w:val="00794E72"/>
    <w:rPr>
      <w:rFonts w:ascii="Times New Roman" w:eastAsia="Times New Roman" w:hAnsi="Times New Roman"/>
      <w:sz w:val="0"/>
      <w:szCs w:val="0"/>
    </w:rPr>
  </w:style>
  <w:style w:type="character" w:customStyle="1" w:styleId="DocumentMapChar1">
    <w:name w:val="Document Map Char1"/>
    <w:link w:val="DocumentMap"/>
    <w:uiPriority w:val="99"/>
    <w:locked/>
    <w:rsid w:val="00794E72"/>
    <w:rPr>
      <w:rFonts w:ascii="Tahoma" w:hAnsi="Tahoma"/>
      <w:sz w:val="24"/>
      <w:shd w:val="clear" w:color="auto" w:fill="000080"/>
      <w:lang w:val="en-GB" w:eastAsia="ru-RU"/>
    </w:rPr>
  </w:style>
  <w:style w:type="paragraph" w:styleId="TOCHeading">
    <w:name w:val="TOC Heading"/>
    <w:basedOn w:val="Heading1"/>
    <w:next w:val="Normal"/>
    <w:uiPriority w:val="39"/>
    <w:qFormat/>
    <w:rsid w:val="009E276C"/>
    <w:pPr>
      <w:keepLines/>
      <w:spacing w:before="480" w:after="0" w:line="276" w:lineRule="auto"/>
      <w:outlineLvl w:val="9"/>
    </w:pPr>
    <w:rPr>
      <w:rFonts w:ascii="Cambria" w:hAnsi="Cambria" w:cs="Times New Roman"/>
      <w:color w:val="365F91"/>
      <w:kern w:val="0"/>
      <w:szCs w:val="28"/>
    </w:rPr>
  </w:style>
  <w:style w:type="character" w:customStyle="1" w:styleId="StyleGHEAGrapalatJustifiedBefore12ptChar">
    <w:name w:val="Style GHEA Grapalat Justified Before:  12 pt Char"/>
    <w:link w:val="StyleGHEAGrapalatJustifiedBefore12pt"/>
    <w:locked/>
    <w:rsid w:val="00F6409E"/>
    <w:rPr>
      <w:rFonts w:ascii="GHEA Grapalat" w:hAnsi="GHEA Grapalat"/>
      <w:sz w:val="24"/>
      <w:lang w:val="ru-RU" w:eastAsia="ru-RU"/>
    </w:rPr>
  </w:style>
  <w:style w:type="paragraph" w:customStyle="1" w:styleId="StyleGHEAGrapalatJustifiedBefore12pt">
    <w:name w:val="Style GHEA Grapalat Justified Before:  12 pt"/>
    <w:basedOn w:val="Normal"/>
    <w:link w:val="StyleGHEAGrapalatJustifiedBefore12ptChar"/>
    <w:rsid w:val="00F6409E"/>
    <w:pPr>
      <w:numPr>
        <w:numId w:val="14"/>
      </w:numPr>
      <w:spacing w:before="240" w:after="240"/>
    </w:pPr>
    <w:rPr>
      <w:szCs w:val="20"/>
      <w:lang w:val="ru-RU" w:eastAsia="ru-RU"/>
    </w:rPr>
  </w:style>
  <w:style w:type="character" w:customStyle="1" w:styleId="FontStyle32">
    <w:name w:val="Font Style32"/>
    <w:uiPriority w:val="99"/>
    <w:rsid w:val="00F6409E"/>
    <w:rPr>
      <w:rFonts w:ascii="Tahoma" w:hAnsi="Tahoma" w:cs="Tahoma"/>
      <w:sz w:val="20"/>
      <w:szCs w:val="20"/>
    </w:rPr>
  </w:style>
  <w:style w:type="paragraph" w:customStyle="1" w:styleId="Text2">
    <w:name w:val="Text 2"/>
    <w:basedOn w:val="Normal"/>
    <w:rsid w:val="00F6409E"/>
    <w:pPr>
      <w:spacing w:before="120" w:after="120"/>
      <w:ind w:left="850"/>
    </w:pPr>
    <w:rPr>
      <w:lang w:eastAsia="zh-CN"/>
    </w:rPr>
  </w:style>
  <w:style w:type="character" w:customStyle="1" w:styleId="fnChar2">
    <w:name w:val="fn Char2"/>
    <w:aliases w:val="ADB Char2,single space Char1,footnote text Char Char1,fn Char Char1,ADB Char Char1,single space Char Char Char1,footnote text Char2,FOOTNOTES Char Char1,FOOTNOTES Char Char Char Char1,FOOTNOTES Char2,Footnote Text Char2,fn Char3,ADB Char3"/>
    <w:locked/>
    <w:rsid w:val="00F6409E"/>
    <w:rPr>
      <w:lang w:val="ru-RU" w:eastAsia="ru-RU"/>
    </w:rPr>
  </w:style>
  <w:style w:type="paragraph" w:customStyle="1" w:styleId="article-type">
    <w:name w:val="article-type"/>
    <w:basedOn w:val="Normal"/>
    <w:rsid w:val="00F6409E"/>
    <w:pPr>
      <w:spacing w:before="100" w:beforeAutospacing="1" w:after="100" w:afterAutospacing="1"/>
    </w:pPr>
    <w:rPr>
      <w:lang w:val="ru-RU" w:eastAsia="ru-RU"/>
    </w:rPr>
  </w:style>
  <w:style w:type="paragraph" w:customStyle="1" w:styleId="wpn-byline">
    <w:name w:val="wpn-byline"/>
    <w:basedOn w:val="Normal"/>
    <w:rsid w:val="00F6409E"/>
    <w:pPr>
      <w:spacing w:before="100" w:beforeAutospacing="1" w:after="100" w:afterAutospacing="1"/>
    </w:pPr>
    <w:rPr>
      <w:lang w:val="ru-RU" w:eastAsia="ru-RU"/>
    </w:rPr>
  </w:style>
  <w:style w:type="paragraph" w:customStyle="1" w:styleId="headline10margin-bottom-20">
    <w:name w:val="headline10 margin-bottom-20"/>
    <w:basedOn w:val="Normal"/>
    <w:rsid w:val="00F6409E"/>
    <w:pPr>
      <w:spacing w:before="100" w:beforeAutospacing="1" w:after="100" w:afterAutospacing="1"/>
    </w:pPr>
    <w:rPr>
      <w:lang w:val="ru-RU" w:eastAsia="ru-RU"/>
    </w:rPr>
  </w:style>
  <w:style w:type="character" w:customStyle="1" w:styleId="published">
    <w:name w:val="published"/>
    <w:rsid w:val="00F6409E"/>
  </w:style>
  <w:style w:type="character" w:customStyle="1" w:styleId="divider">
    <w:name w:val="divider"/>
    <w:rsid w:val="00F6409E"/>
  </w:style>
  <w:style w:type="character" w:customStyle="1" w:styleId="authorvcard">
    <w:name w:val="author vcard"/>
    <w:rsid w:val="00F6409E"/>
  </w:style>
  <w:style w:type="character" w:customStyle="1" w:styleId="category">
    <w:name w:val="category"/>
    <w:rsid w:val="00F6409E"/>
  </w:style>
  <w:style w:type="character" w:customStyle="1" w:styleId="before">
    <w:name w:val="before"/>
    <w:rsid w:val="00F6409E"/>
  </w:style>
  <w:style w:type="character" w:customStyle="1" w:styleId="aqj">
    <w:name w:val="aqj"/>
    <w:rsid w:val="00F6409E"/>
  </w:style>
  <w:style w:type="character" w:customStyle="1" w:styleId="gd">
    <w:name w:val="gd"/>
    <w:rsid w:val="00F6409E"/>
  </w:style>
  <w:style w:type="character" w:customStyle="1" w:styleId="g3">
    <w:name w:val="g3"/>
    <w:rsid w:val="00F6409E"/>
  </w:style>
  <w:style w:type="character" w:customStyle="1" w:styleId="goa1h">
    <w:name w:val="go a1h"/>
    <w:rsid w:val="00F6409E"/>
  </w:style>
  <w:style w:type="character" w:customStyle="1" w:styleId="hb">
    <w:name w:val="hb"/>
    <w:rsid w:val="00F6409E"/>
  </w:style>
  <w:style w:type="character" w:customStyle="1" w:styleId="g2">
    <w:name w:val="g2"/>
    <w:rsid w:val="00F6409E"/>
  </w:style>
  <w:style w:type="character" w:customStyle="1" w:styleId="sizzle">
    <w:name w:val="sizzle"/>
    <w:basedOn w:val="DefaultParagraphFont"/>
    <w:rsid w:val="00DA22A9"/>
  </w:style>
  <w:style w:type="paragraph" w:customStyle="1" w:styleId="15">
    <w:name w:val="Абзац списка1"/>
    <w:basedOn w:val="Normal"/>
    <w:qFormat/>
    <w:rsid w:val="00DA22A9"/>
    <w:pPr>
      <w:ind w:left="720"/>
    </w:pPr>
  </w:style>
  <w:style w:type="character" w:customStyle="1" w:styleId="CharChar111">
    <w:name w:val="Char Char111"/>
    <w:rsid w:val="00DA22A9"/>
    <w:rPr>
      <w:rFonts w:ascii="Arial Armenian" w:hAnsi="Arial Armenian"/>
      <w:lang w:val="ru-RU" w:eastAsia="ru-RU" w:bidi="ar-SA"/>
    </w:rPr>
  </w:style>
  <w:style w:type="paragraph" w:customStyle="1" w:styleId="ab">
    <w:name w:val="Знак"/>
    <w:basedOn w:val="Normal"/>
    <w:rsid w:val="00DA22A9"/>
    <w:pPr>
      <w:spacing w:after="160" w:line="240" w:lineRule="exact"/>
    </w:pPr>
    <w:rPr>
      <w:rFonts w:ascii="Arial" w:hAnsi="Arial" w:cs="Arial"/>
      <w:sz w:val="20"/>
      <w:szCs w:val="20"/>
    </w:rPr>
  </w:style>
  <w:style w:type="paragraph" w:customStyle="1" w:styleId="StyleGHEAGrapalatJustifiedAfter6ptLinespacingMultip">
    <w:name w:val="Style GHEA Grapalat Justified After:  6 pt Line spacing:  Multip..."/>
    <w:basedOn w:val="Normal"/>
    <w:rsid w:val="002911BC"/>
    <w:pPr>
      <w:numPr>
        <w:numId w:val="15"/>
      </w:numPr>
      <w:spacing w:before="240" w:after="240"/>
    </w:pPr>
    <w:rPr>
      <w:szCs w:val="20"/>
      <w:lang w:eastAsia="ru-RU"/>
    </w:rPr>
  </w:style>
  <w:style w:type="paragraph" w:customStyle="1" w:styleId="StyleStyleHeading2ChapterParanumTextSylfaenGHEAGrapa">
    <w:name w:val="Style Style Heading 2.(Chapter).Paranum.Text + Sylfaen + GHEA Grapa..."/>
    <w:basedOn w:val="StyleHeading2ChapterParanumTextSylfaen"/>
    <w:qFormat/>
    <w:rsid w:val="008A4855"/>
    <w:rPr>
      <w:rFonts w:ascii="GHEA Grapalat" w:hAnsi="GHEA Grapalat"/>
    </w:rPr>
  </w:style>
  <w:style w:type="paragraph" w:customStyle="1" w:styleId="ac">
    <w:name w:val="Без интервала"/>
    <w:link w:val="ad"/>
    <w:uiPriority w:val="1"/>
    <w:qFormat/>
    <w:rsid w:val="00E46197"/>
    <w:rPr>
      <w:rFonts w:ascii="Calibri" w:hAnsi="Calibri"/>
      <w:sz w:val="22"/>
      <w:szCs w:val="22"/>
      <w:lang w:val="en-US" w:eastAsia="en-US"/>
    </w:rPr>
  </w:style>
  <w:style w:type="character" w:customStyle="1" w:styleId="ad">
    <w:name w:val="Без интервала Знак"/>
    <w:link w:val="ac"/>
    <w:uiPriority w:val="1"/>
    <w:rsid w:val="00E46197"/>
    <w:rPr>
      <w:rFonts w:ascii="Calibri" w:hAnsi="Calibri"/>
      <w:sz w:val="22"/>
      <w:szCs w:val="22"/>
      <w:lang w:bidi="ar-SA"/>
    </w:rPr>
  </w:style>
  <w:style w:type="paragraph" w:customStyle="1" w:styleId="16">
    <w:name w:val="Обычный1"/>
    <w:rsid w:val="00E46197"/>
    <w:pPr>
      <w:autoSpaceDE w:val="0"/>
      <w:autoSpaceDN w:val="0"/>
    </w:pPr>
    <w:rPr>
      <w:lang w:val="ru-RU" w:eastAsia="ru-RU"/>
    </w:rPr>
  </w:style>
  <w:style w:type="paragraph" w:customStyle="1" w:styleId="ae">
    <w:name w:val="Рецензия"/>
    <w:hidden/>
    <w:semiHidden/>
    <w:rsid w:val="00E46197"/>
    <w:rPr>
      <w:rFonts w:ascii="Arial Armenian" w:hAnsi="Arial Armenian" w:cs="Sylfaen"/>
      <w:sz w:val="24"/>
      <w:szCs w:val="24"/>
      <w:lang w:val="ru-RU" w:eastAsia="ru-RU"/>
    </w:rPr>
  </w:style>
  <w:style w:type="paragraph" w:customStyle="1" w:styleId="32">
    <w:name w:val="???????? ????? ? ???????? 3"/>
    <w:basedOn w:val="a1"/>
    <w:uiPriority w:val="99"/>
    <w:rsid w:val="00F32F60"/>
    <w:pPr>
      <w:ind w:firstLine="360"/>
      <w:jc w:val="both"/>
    </w:pPr>
    <w:rPr>
      <w:rFonts w:ascii="Times Armenian" w:hAnsi="Times Armenian"/>
      <w:sz w:val="24"/>
      <w:lang w:val="af-ZA"/>
    </w:rPr>
  </w:style>
  <w:style w:type="paragraph" w:customStyle="1" w:styleId="6">
    <w:name w:val="????????? 6"/>
    <w:basedOn w:val="a1"/>
    <w:next w:val="a1"/>
    <w:uiPriority w:val="99"/>
    <w:rsid w:val="00F32F60"/>
    <w:pPr>
      <w:keepNext/>
      <w:jc w:val="center"/>
      <w:outlineLvl w:val="5"/>
    </w:pPr>
    <w:rPr>
      <w:rFonts w:ascii="Times Armenian" w:hAnsi="Times Armenian"/>
      <w:i/>
      <w:lang w:val="en-US"/>
    </w:rPr>
  </w:style>
  <w:style w:type="paragraph" w:customStyle="1" w:styleId="310">
    <w:name w:val="???????? ????? 31"/>
    <w:basedOn w:val="a1"/>
    <w:uiPriority w:val="99"/>
    <w:rsid w:val="00F32F60"/>
    <w:pPr>
      <w:jc w:val="center"/>
    </w:pPr>
    <w:rPr>
      <w:rFonts w:ascii="Arial Armenian" w:hAnsi="Arial Armenian"/>
      <w:sz w:val="24"/>
      <w:lang w:val="en-AU"/>
    </w:rPr>
  </w:style>
  <w:style w:type="paragraph" w:customStyle="1" w:styleId="25">
    <w:name w:val="????????? 2"/>
    <w:basedOn w:val="a1"/>
    <w:next w:val="a1"/>
    <w:uiPriority w:val="99"/>
    <w:rsid w:val="00F32F60"/>
    <w:pPr>
      <w:keepNext/>
      <w:ind w:firstLine="720"/>
      <w:outlineLvl w:val="1"/>
    </w:pPr>
    <w:rPr>
      <w:rFonts w:ascii="Times LatArm" w:hAnsi="Times LatArm"/>
      <w:b/>
      <w:i/>
      <w:sz w:val="28"/>
      <w:lang w:val="en-US"/>
    </w:rPr>
  </w:style>
  <w:style w:type="paragraph" w:customStyle="1" w:styleId="40">
    <w:name w:val="????????? 4"/>
    <w:basedOn w:val="a1"/>
    <w:next w:val="a1"/>
    <w:uiPriority w:val="99"/>
    <w:rsid w:val="00F32F60"/>
    <w:pPr>
      <w:keepNext/>
      <w:spacing w:line="360" w:lineRule="auto"/>
      <w:ind w:firstLine="360"/>
      <w:jc w:val="both"/>
      <w:outlineLvl w:val="3"/>
    </w:pPr>
    <w:rPr>
      <w:rFonts w:ascii="Times LatArm" w:hAnsi="Times LatArm"/>
      <w:i/>
      <w:noProof/>
      <w:sz w:val="24"/>
    </w:rPr>
  </w:style>
  <w:style w:type="paragraph" w:customStyle="1" w:styleId="17">
    <w:name w:val="????????? 1"/>
    <w:basedOn w:val="Normal"/>
    <w:next w:val="Normal"/>
    <w:rsid w:val="00F32F60"/>
    <w:pPr>
      <w:keepNext/>
      <w:outlineLvl w:val="0"/>
    </w:pPr>
    <w:rPr>
      <w:rFonts w:ascii="Times Armenian" w:hAnsi="Times Armenian"/>
      <w:i/>
      <w:szCs w:val="20"/>
      <w:lang w:eastAsia="ru-RU"/>
    </w:rPr>
  </w:style>
  <w:style w:type="paragraph" w:customStyle="1" w:styleId="CharChar0">
    <w:name w:val="Знак Знак Char Char"/>
    <w:basedOn w:val="Normal"/>
    <w:rsid w:val="00F32F60"/>
    <w:pPr>
      <w:spacing w:after="160" w:line="240" w:lineRule="exact"/>
    </w:pPr>
    <w:rPr>
      <w:rFonts w:ascii="Arial" w:hAnsi="Arial" w:cs="Arial"/>
      <w:sz w:val="20"/>
      <w:szCs w:val="20"/>
    </w:rPr>
  </w:style>
  <w:style w:type="paragraph" w:customStyle="1" w:styleId="CharChar6">
    <w:name w:val="Знак Знак Char Char Знак Знак"/>
    <w:basedOn w:val="Normal"/>
    <w:rsid w:val="00F32F60"/>
    <w:pPr>
      <w:spacing w:after="160" w:line="240" w:lineRule="exact"/>
    </w:pPr>
    <w:rPr>
      <w:rFonts w:ascii="Arial" w:hAnsi="Arial" w:cs="Arial"/>
      <w:sz w:val="20"/>
      <w:szCs w:val="20"/>
    </w:rPr>
  </w:style>
  <w:style w:type="paragraph" w:customStyle="1" w:styleId="Para">
    <w:name w:val="Para"/>
    <w:basedOn w:val="Normal"/>
    <w:autoRedefine/>
    <w:rsid w:val="00F32F60"/>
    <w:pPr>
      <w:suppressAutoHyphens/>
    </w:pPr>
    <w:rPr>
      <w:rFonts w:eastAsia="Calibri" w:cs="Sylfaen"/>
      <w:bCs/>
      <w:kern w:val="1"/>
    </w:rPr>
  </w:style>
  <w:style w:type="paragraph" w:customStyle="1" w:styleId="ModelNrmlSingle">
    <w:name w:val="ModelNrmlSingle"/>
    <w:basedOn w:val="Normal"/>
    <w:rsid w:val="00F32F60"/>
    <w:pPr>
      <w:spacing w:after="240"/>
      <w:ind w:firstLine="720"/>
    </w:pPr>
    <w:rPr>
      <w:szCs w:val="20"/>
    </w:rPr>
  </w:style>
  <w:style w:type="paragraph" w:customStyle="1" w:styleId="Char5">
    <w:name w:val="Char5"/>
    <w:basedOn w:val="Normal"/>
    <w:rsid w:val="008568FE"/>
    <w:pPr>
      <w:spacing w:after="160" w:line="240" w:lineRule="exact"/>
    </w:pPr>
    <w:rPr>
      <w:rFonts w:ascii="Arial" w:eastAsia="Calibri" w:hAnsi="Arial" w:cs="Arial"/>
      <w:sz w:val="20"/>
      <w:szCs w:val="20"/>
    </w:rPr>
  </w:style>
  <w:style w:type="paragraph" w:customStyle="1" w:styleId="33">
    <w:name w:val="Знак Знак3"/>
    <w:basedOn w:val="Normal"/>
    <w:link w:val="Char11"/>
    <w:rsid w:val="008568FE"/>
    <w:pPr>
      <w:spacing w:after="160" w:line="240" w:lineRule="exact"/>
    </w:pPr>
    <w:rPr>
      <w:rFonts w:ascii="Arial" w:eastAsia="Calibri" w:hAnsi="Arial"/>
      <w:sz w:val="20"/>
      <w:szCs w:val="20"/>
      <w:lang w:eastAsia="x-none"/>
    </w:rPr>
  </w:style>
  <w:style w:type="character" w:customStyle="1" w:styleId="Char11">
    <w:name w:val="Знак Знак Char1"/>
    <w:link w:val="33"/>
    <w:locked/>
    <w:rsid w:val="008568FE"/>
    <w:rPr>
      <w:rFonts w:ascii="Arial" w:eastAsia="Calibri" w:hAnsi="Arial"/>
      <w:lang w:val="en-GB"/>
    </w:rPr>
  </w:style>
  <w:style w:type="paragraph" w:customStyle="1" w:styleId="CharChar60">
    <w:name w:val="Char Char6"/>
    <w:basedOn w:val="Normal"/>
    <w:rsid w:val="008568FE"/>
    <w:pPr>
      <w:spacing w:after="160" w:line="240" w:lineRule="exact"/>
    </w:pPr>
    <w:rPr>
      <w:rFonts w:ascii="Arial" w:eastAsia="Calibri" w:hAnsi="Arial" w:cs="Arial"/>
      <w:sz w:val="20"/>
      <w:szCs w:val="20"/>
    </w:rPr>
  </w:style>
  <w:style w:type="paragraph" w:customStyle="1" w:styleId="CharCharChar10">
    <w:name w:val="Char Char Char1"/>
    <w:basedOn w:val="Normal"/>
    <w:rsid w:val="008568FE"/>
    <w:pPr>
      <w:spacing w:after="160" w:line="240" w:lineRule="exact"/>
    </w:pPr>
    <w:rPr>
      <w:rFonts w:ascii="Arial" w:eastAsia="Calibri" w:hAnsi="Arial" w:cs="Arial"/>
      <w:sz w:val="20"/>
      <w:szCs w:val="20"/>
    </w:rPr>
  </w:style>
  <w:style w:type="paragraph" w:customStyle="1" w:styleId="Znak1">
    <w:name w:val="Znak1"/>
    <w:basedOn w:val="Normal"/>
    <w:rsid w:val="008568FE"/>
    <w:pPr>
      <w:tabs>
        <w:tab w:val="left" w:pos="709"/>
      </w:tabs>
    </w:pPr>
    <w:rPr>
      <w:rFonts w:ascii="Tahoma" w:eastAsia="Calibri" w:hAnsi="Tahoma"/>
      <w:lang w:val="pl-PL" w:eastAsia="pl-PL"/>
    </w:rPr>
  </w:style>
  <w:style w:type="paragraph" w:customStyle="1" w:styleId="CharCharCharCharCharCharCharCharCharCharCharCharChar1">
    <w:name w:val="Char Char Char Char Char Char Char Char Char Char Char Char Char1"/>
    <w:basedOn w:val="Normal"/>
    <w:rsid w:val="008568FE"/>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8568FE"/>
    <w:pPr>
      <w:spacing w:after="160" w:line="240" w:lineRule="exact"/>
    </w:pPr>
    <w:rPr>
      <w:rFonts w:eastAsia="Calibri"/>
      <w:sz w:val="28"/>
      <w:szCs w:val="20"/>
    </w:rPr>
  </w:style>
  <w:style w:type="paragraph" w:customStyle="1" w:styleId="CharCharChar11">
    <w:name w:val="Char Char Char Знак1"/>
    <w:basedOn w:val="Normal"/>
    <w:next w:val="Normal"/>
    <w:rsid w:val="008568FE"/>
    <w:pPr>
      <w:spacing w:after="160" w:line="240" w:lineRule="exact"/>
    </w:pPr>
    <w:rPr>
      <w:rFonts w:ascii="Tahoma" w:eastAsia="Calibri" w:hAnsi="Tahoma"/>
      <w:szCs w:val="20"/>
    </w:rPr>
  </w:style>
  <w:style w:type="paragraph" w:customStyle="1" w:styleId="CharCharCharCharCharCharCharChar1">
    <w:name w:val="Char Char Char Char Char Char Char Char1"/>
    <w:basedOn w:val="Normal"/>
    <w:rsid w:val="008568FE"/>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8568FE"/>
    <w:pPr>
      <w:tabs>
        <w:tab w:val="left" w:pos="709"/>
      </w:tabs>
    </w:pPr>
    <w:rPr>
      <w:rFonts w:ascii="Tahoma" w:eastAsia="Calibri" w:hAnsi="Tahoma"/>
      <w:lang w:val="pl-PL" w:eastAsia="pl-PL"/>
    </w:rPr>
  </w:style>
  <w:style w:type="paragraph" w:customStyle="1" w:styleId="CharCharCharCharCharCharChar1">
    <w:name w:val="Char Char Char Char Char Char Char1"/>
    <w:basedOn w:val="Normal"/>
    <w:rsid w:val="008568FE"/>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8568FE"/>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8568FE"/>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8568FE"/>
    <w:pPr>
      <w:tabs>
        <w:tab w:val="num" w:pos="840"/>
      </w:tabs>
      <w:spacing w:after="160" w:line="240" w:lineRule="exact"/>
      <w:ind w:left="840" w:hanging="360"/>
    </w:pPr>
    <w:rPr>
      <w:rFonts w:ascii="Verdana" w:eastAsia="Calibri" w:hAnsi="Verdana"/>
      <w:sz w:val="20"/>
      <w:szCs w:val="20"/>
      <w:lang w:val="ru-RU"/>
    </w:rPr>
  </w:style>
  <w:style w:type="paragraph" w:customStyle="1" w:styleId="CharCharCharChar1">
    <w:name w:val="Знак Знак Char Char Знак Знак Char Char Знак Знак1"/>
    <w:basedOn w:val="Normal"/>
    <w:autoRedefine/>
    <w:rsid w:val="008568FE"/>
    <w:pPr>
      <w:spacing w:after="160" w:line="240" w:lineRule="exact"/>
    </w:pPr>
    <w:rPr>
      <w:rFonts w:eastAsia="Calibri"/>
      <w:sz w:val="28"/>
      <w:szCs w:val="20"/>
    </w:rPr>
  </w:style>
  <w:style w:type="paragraph" w:customStyle="1" w:styleId="CharCharChar1Char1">
    <w:name w:val="Char Char Char1 Char1"/>
    <w:basedOn w:val="Normal"/>
    <w:rsid w:val="008568FE"/>
    <w:pPr>
      <w:spacing w:after="160" w:line="240" w:lineRule="exact"/>
    </w:pPr>
    <w:rPr>
      <w:rFonts w:ascii="Arial" w:eastAsia="Calibri" w:hAnsi="Arial" w:cs="Arial"/>
      <w:sz w:val="20"/>
      <w:szCs w:val="20"/>
    </w:rPr>
  </w:style>
  <w:style w:type="paragraph" w:customStyle="1" w:styleId="110">
    <w:name w:val="Знак Знак11"/>
    <w:basedOn w:val="Normal"/>
    <w:rsid w:val="008568FE"/>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8568FE"/>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8568FE"/>
    <w:rPr>
      <w:rFonts w:eastAsia="SimSun"/>
      <w:sz w:val="20"/>
      <w:szCs w:val="20"/>
      <w:lang w:eastAsia="ru-RU"/>
    </w:rPr>
  </w:style>
  <w:style w:type="paragraph" w:customStyle="1" w:styleId="41">
    <w:name w:val="Знак Знак41"/>
    <w:basedOn w:val="Normal"/>
    <w:rsid w:val="008568FE"/>
    <w:pPr>
      <w:tabs>
        <w:tab w:val="left" w:pos="709"/>
      </w:tabs>
    </w:pPr>
    <w:rPr>
      <w:rFonts w:ascii="Tahoma" w:eastAsia="Calibri" w:hAnsi="Tahoma"/>
      <w:lang w:val="pl-PL" w:eastAsia="pl-PL"/>
    </w:rPr>
  </w:style>
  <w:style w:type="paragraph" w:customStyle="1" w:styleId="Char13">
    <w:name w:val="Знак Char Знак1"/>
    <w:basedOn w:val="Normal"/>
    <w:rsid w:val="008568FE"/>
    <w:pPr>
      <w:spacing w:after="160" w:line="240" w:lineRule="exact"/>
    </w:pPr>
    <w:rPr>
      <w:rFonts w:ascii="Arial" w:eastAsia="Batang" w:hAnsi="Arial" w:cs="Arial"/>
      <w:sz w:val="20"/>
      <w:szCs w:val="20"/>
    </w:rPr>
  </w:style>
  <w:style w:type="paragraph" w:customStyle="1" w:styleId="CharCharCharCharCharChar1">
    <w:name w:val="Знак Знак Char Char Знак Знак Char Char Знак Знак Char Char1"/>
    <w:basedOn w:val="Normal"/>
    <w:autoRedefine/>
    <w:rsid w:val="008568FE"/>
    <w:pPr>
      <w:spacing w:after="160" w:line="240" w:lineRule="exact"/>
    </w:pPr>
    <w:rPr>
      <w:rFonts w:eastAsia="Calibri"/>
      <w:sz w:val="28"/>
      <w:szCs w:val="20"/>
    </w:rPr>
  </w:style>
  <w:style w:type="paragraph" w:customStyle="1" w:styleId="212">
    <w:name w:val="Знак Знак21"/>
    <w:basedOn w:val="Normal"/>
    <w:rsid w:val="008568FE"/>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8568FE"/>
    <w:pPr>
      <w:spacing w:after="160" w:line="240" w:lineRule="exact"/>
    </w:pPr>
    <w:rPr>
      <w:rFonts w:ascii="Arial" w:eastAsia="Calibri" w:hAnsi="Arial" w:cs="Arial"/>
      <w:sz w:val="20"/>
      <w:szCs w:val="20"/>
    </w:rPr>
  </w:style>
  <w:style w:type="paragraph" w:customStyle="1" w:styleId="CharCharCharCharChar12">
    <w:name w:val="Знак Char Char Знак Char Char Char1"/>
    <w:aliases w:val="Знак Char Char Знак Char Char1 Знак"/>
    <w:basedOn w:val="Normal"/>
    <w:next w:val="Normal"/>
    <w:semiHidden/>
    <w:rsid w:val="008568FE"/>
    <w:pPr>
      <w:spacing w:after="160" w:line="240" w:lineRule="exact"/>
    </w:pPr>
    <w:rPr>
      <w:rFonts w:ascii="Arial" w:eastAsia="Calibri" w:hAnsi="Arial" w:cs="Arial"/>
      <w:b/>
      <w:sz w:val="20"/>
      <w:szCs w:val="20"/>
    </w:rPr>
  </w:style>
  <w:style w:type="paragraph" w:customStyle="1" w:styleId="ListParagraph11">
    <w:name w:val="List Paragraph11"/>
    <w:basedOn w:val="Normal"/>
    <w:rsid w:val="008568FE"/>
    <w:pPr>
      <w:ind w:left="720" w:right="201" w:firstLine="900"/>
      <w:contextualSpacing/>
    </w:pPr>
    <w:rPr>
      <w:rFonts w:ascii="Times Armenian" w:eastAsia="Calibri" w:hAnsi="Times Armenian"/>
      <w:sz w:val="28"/>
      <w:szCs w:val="28"/>
      <w:lang w:eastAsia="ru-RU"/>
    </w:rPr>
  </w:style>
  <w:style w:type="paragraph" w:customStyle="1" w:styleId="CharCharCharCharCharChar10">
    <w:name w:val="Char Char Char Char Char Char1"/>
    <w:basedOn w:val="Normal"/>
    <w:rsid w:val="008568FE"/>
    <w:pPr>
      <w:spacing w:after="160" w:line="240" w:lineRule="exact"/>
    </w:pPr>
    <w:rPr>
      <w:rFonts w:ascii="Arial" w:eastAsia="Calibri" w:hAnsi="Arial" w:cs="Arial"/>
      <w:sz w:val="20"/>
      <w:szCs w:val="20"/>
    </w:rPr>
  </w:style>
  <w:style w:type="paragraph" w:customStyle="1" w:styleId="CharChar12">
    <w:name w:val="Char Char12"/>
    <w:basedOn w:val="Normal"/>
    <w:rsid w:val="008568FE"/>
    <w:pPr>
      <w:spacing w:after="160" w:line="240" w:lineRule="exact"/>
    </w:pPr>
    <w:rPr>
      <w:rFonts w:ascii="Arial" w:eastAsia="Calibri" w:hAnsi="Arial" w:cs="Arial"/>
      <w:sz w:val="20"/>
      <w:szCs w:val="20"/>
    </w:rPr>
  </w:style>
  <w:style w:type="paragraph" w:customStyle="1" w:styleId="26">
    <w:name w:val="Знак2"/>
    <w:basedOn w:val="Normal"/>
    <w:rsid w:val="008568FE"/>
    <w:pPr>
      <w:spacing w:after="160" w:line="240" w:lineRule="exact"/>
    </w:pPr>
    <w:rPr>
      <w:rFonts w:ascii="Arial" w:eastAsia="Calibri" w:hAnsi="Arial" w:cs="Arial"/>
      <w:sz w:val="20"/>
      <w:szCs w:val="20"/>
    </w:rPr>
  </w:style>
  <w:style w:type="paragraph" w:customStyle="1" w:styleId="BodyText11">
    <w:name w:val="Body Text11"/>
    <w:basedOn w:val="Normal"/>
    <w:rsid w:val="0088001C"/>
    <w:pPr>
      <w:tabs>
        <w:tab w:val="num" w:pos="0"/>
      </w:tabs>
      <w:spacing w:after="240"/>
    </w:pPr>
    <w:rPr>
      <w:rFonts w:ascii="Times Armenian" w:hAnsi="Times Armenian"/>
      <w:lang w:eastAsia="ru-RU"/>
    </w:rPr>
  </w:style>
  <w:style w:type="paragraph" w:styleId="Quote">
    <w:name w:val="Quote"/>
    <w:basedOn w:val="Normal"/>
    <w:next w:val="Normal"/>
    <w:link w:val="QuoteChar"/>
    <w:uiPriority w:val="29"/>
    <w:qFormat/>
    <w:rsid w:val="0088001C"/>
    <w:rPr>
      <w:i/>
      <w:iCs/>
      <w:color w:val="000000"/>
      <w:lang w:val="x-none" w:eastAsia="x-none"/>
    </w:rPr>
  </w:style>
  <w:style w:type="character" w:customStyle="1" w:styleId="QuoteChar">
    <w:name w:val="Quote Char"/>
    <w:link w:val="Quote"/>
    <w:uiPriority w:val="29"/>
    <w:rsid w:val="0088001C"/>
    <w:rPr>
      <w:i/>
      <w:iCs/>
      <w:color w:val="000000"/>
      <w:sz w:val="24"/>
      <w:szCs w:val="24"/>
      <w:lang w:val="x-none" w:eastAsia="x-none"/>
    </w:rPr>
  </w:style>
  <w:style w:type="character" w:styleId="IntenseEmphasis">
    <w:name w:val="Intense Emphasis"/>
    <w:uiPriority w:val="21"/>
    <w:qFormat/>
    <w:rsid w:val="0088001C"/>
    <w:rPr>
      <w:b/>
      <w:bCs/>
      <w:i/>
      <w:iCs/>
      <w:color w:val="4F81BD"/>
    </w:rPr>
  </w:style>
  <w:style w:type="table" w:styleId="LightList-Accent1">
    <w:name w:val="Light List Accent 1"/>
    <w:basedOn w:val="TableNormal"/>
    <w:uiPriority w:val="61"/>
    <w:rsid w:val="008800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8800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8800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88001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8800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8800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8800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8800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8800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0E2224"/>
    <w:pPr>
      <w:ind w:left="720"/>
      <w:contextualSpacing/>
    </w:pPr>
    <w:rPr>
      <w:lang w:val="ru-RU" w:eastAsia="ru-RU"/>
    </w:rPr>
  </w:style>
  <w:style w:type="character" w:customStyle="1" w:styleId="A00">
    <w:name w:val="A0"/>
    <w:rsid w:val="000E2224"/>
    <w:rPr>
      <w:color w:val="000000"/>
      <w:sz w:val="56"/>
      <w:szCs w:val="56"/>
    </w:rPr>
  </w:style>
  <w:style w:type="paragraph" w:customStyle="1" w:styleId="18">
    <w:name w:val="Знак1"/>
    <w:basedOn w:val="Normal"/>
    <w:rsid w:val="000E2224"/>
    <w:pPr>
      <w:spacing w:after="160" w:line="240" w:lineRule="exact"/>
    </w:pPr>
    <w:rPr>
      <w:rFonts w:ascii="Arial" w:hAnsi="Arial" w:cs="Arial"/>
      <w:sz w:val="20"/>
      <w:szCs w:val="20"/>
    </w:rPr>
  </w:style>
  <w:style w:type="character" w:customStyle="1" w:styleId="19">
    <w:name w:val="Текст сноски Знак1"/>
    <w:semiHidden/>
    <w:rsid w:val="000E2224"/>
    <w:rPr>
      <w:sz w:val="20"/>
      <w:szCs w:val="20"/>
    </w:rPr>
  </w:style>
  <w:style w:type="character" w:customStyle="1" w:styleId="CharChar28">
    <w:name w:val="Char Char28"/>
    <w:rsid w:val="000E2224"/>
    <w:rPr>
      <w:rFonts w:ascii="Arial Armenian" w:hAnsi="Arial Armenian"/>
      <w:i/>
      <w:sz w:val="22"/>
      <w:u w:val="single"/>
      <w:lang w:val="en-GB"/>
    </w:rPr>
  </w:style>
  <w:style w:type="character" w:customStyle="1" w:styleId="CharChar27">
    <w:name w:val="Char Char27"/>
    <w:rsid w:val="000E2224"/>
    <w:rPr>
      <w:rFonts w:ascii="Garamond" w:hAnsi="Garamond"/>
      <w:i/>
      <w:spacing w:val="-5"/>
      <w:sz w:val="28"/>
      <w:shd w:val="pct5" w:color="auto" w:fill="auto"/>
      <w:lang w:val="en-GB"/>
    </w:rPr>
  </w:style>
  <w:style w:type="character" w:customStyle="1" w:styleId="CharChar26">
    <w:name w:val="Char Char26"/>
    <w:rsid w:val="000E2224"/>
    <w:rPr>
      <w:rFonts w:ascii="Arial Black" w:hAnsi="Arial Black"/>
      <w:caps/>
      <w:spacing w:val="60"/>
      <w:position w:val="4"/>
      <w:sz w:val="14"/>
      <w:lang w:val="en-GB"/>
    </w:rPr>
  </w:style>
  <w:style w:type="character" w:customStyle="1" w:styleId="CharChar25">
    <w:name w:val="Char Char25"/>
    <w:rsid w:val="000E2224"/>
    <w:rPr>
      <w:rFonts w:ascii="Garamond" w:hAnsi="Garamond"/>
      <w:b/>
      <w:i/>
      <w:kern w:val="28"/>
      <w:lang w:val="en-GB"/>
    </w:rPr>
  </w:style>
  <w:style w:type="character" w:customStyle="1" w:styleId="CharChar24">
    <w:name w:val="Char Char24"/>
    <w:rsid w:val="000E2224"/>
    <w:rPr>
      <w:rFonts w:ascii="Arial Armenian" w:hAnsi="Arial Armenian"/>
      <w:noProof/>
      <w:lang w:val="en-US" w:eastAsia="en-US" w:bidi="ar-SA"/>
    </w:rPr>
  </w:style>
  <w:style w:type="character" w:customStyle="1" w:styleId="CharChar23">
    <w:name w:val="Char Char23"/>
    <w:rsid w:val="000E2224"/>
    <w:rPr>
      <w:rFonts w:ascii="Arial Armenian" w:hAnsi="Arial Armenian"/>
      <w:lang w:val="en-GB" w:eastAsia="en-US" w:bidi="ar-SA"/>
    </w:rPr>
  </w:style>
  <w:style w:type="character" w:customStyle="1" w:styleId="CharChar22">
    <w:name w:val="Char Char22"/>
    <w:rsid w:val="000E2224"/>
    <w:rPr>
      <w:rFonts w:ascii="Arial Armenian" w:hAnsi="Arial Armenian"/>
      <w:lang w:val="ru-RU" w:eastAsia="ru-RU" w:bidi="ar-SA"/>
    </w:rPr>
  </w:style>
  <w:style w:type="paragraph" w:customStyle="1" w:styleId="Outline">
    <w:name w:val="Outline"/>
    <w:basedOn w:val="Normal"/>
    <w:rsid w:val="000E2224"/>
    <w:pPr>
      <w:spacing w:before="240"/>
    </w:pPr>
    <w:rPr>
      <w:kern w:val="28"/>
      <w:szCs w:val="20"/>
    </w:rPr>
  </w:style>
  <w:style w:type="paragraph" w:customStyle="1" w:styleId="af">
    <w:name w:val="Îáû÷íûé"/>
    <w:rsid w:val="000E2224"/>
    <w:rPr>
      <w:rFonts w:ascii="Times Armenian" w:hAnsi="Times Armenian"/>
      <w:sz w:val="24"/>
      <w:lang w:val="en-US" w:eastAsia="en-US"/>
    </w:rPr>
  </w:style>
  <w:style w:type="paragraph" w:customStyle="1" w:styleId="Style13">
    <w:name w:val="Style13"/>
    <w:basedOn w:val="Normal"/>
    <w:rsid w:val="000E2224"/>
    <w:pPr>
      <w:widowControl w:val="0"/>
      <w:autoSpaceDE w:val="0"/>
      <w:autoSpaceDN w:val="0"/>
      <w:adjustRightInd w:val="0"/>
    </w:pPr>
    <w:rPr>
      <w:rFonts w:ascii="Tahoma" w:eastAsia="SimSun" w:hAnsi="Tahoma" w:cs="Tahoma"/>
    </w:rPr>
  </w:style>
  <w:style w:type="character" w:customStyle="1" w:styleId="FontStyle27">
    <w:name w:val="Font Style27"/>
    <w:rsid w:val="000E2224"/>
    <w:rPr>
      <w:rFonts w:ascii="Tahoma" w:hAnsi="Tahoma" w:cs="Tahoma" w:hint="default"/>
      <w:sz w:val="14"/>
      <w:szCs w:val="14"/>
    </w:rPr>
  </w:style>
  <w:style w:type="paragraph" w:customStyle="1" w:styleId="Style14">
    <w:name w:val="Style14"/>
    <w:basedOn w:val="Normal"/>
    <w:rsid w:val="000E2224"/>
    <w:pPr>
      <w:widowControl w:val="0"/>
      <w:autoSpaceDE w:val="0"/>
      <w:autoSpaceDN w:val="0"/>
      <w:adjustRightInd w:val="0"/>
      <w:spacing w:line="211" w:lineRule="exact"/>
    </w:pPr>
    <w:rPr>
      <w:rFonts w:ascii="Tahoma" w:eastAsia="SimSun" w:hAnsi="Tahoma" w:cs="Tahoma"/>
    </w:rPr>
  </w:style>
  <w:style w:type="character" w:customStyle="1" w:styleId="FontStyle26">
    <w:name w:val="Font Style26"/>
    <w:rsid w:val="000E2224"/>
    <w:rPr>
      <w:rFonts w:ascii="Tahoma" w:hAnsi="Tahoma" w:cs="Tahoma" w:hint="default"/>
      <w:i/>
      <w:iCs/>
      <w:spacing w:val="10"/>
      <w:sz w:val="16"/>
      <w:szCs w:val="16"/>
    </w:rPr>
  </w:style>
  <w:style w:type="character" w:customStyle="1" w:styleId="FontStyle53">
    <w:name w:val="Font Style53"/>
    <w:rsid w:val="000E2224"/>
    <w:rPr>
      <w:rFonts w:ascii="Sylfaen" w:hAnsi="Sylfaen"/>
      <w:sz w:val="18"/>
    </w:rPr>
  </w:style>
  <w:style w:type="character" w:customStyle="1" w:styleId="shorttext">
    <w:name w:val="short_text"/>
    <w:rsid w:val="000E2224"/>
    <w:rPr>
      <w:rFonts w:cs="Times New Roman"/>
    </w:rPr>
  </w:style>
  <w:style w:type="table" w:customStyle="1" w:styleId="LightList-Accent11">
    <w:name w:val="Light List - Accent 11"/>
    <w:basedOn w:val="TableNormal"/>
    <w:uiPriority w:val="61"/>
    <w:rsid w:val="005F07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a">
    <w:name w:val="Нет списка1"/>
    <w:next w:val="NoList"/>
    <w:semiHidden/>
    <w:unhideWhenUsed/>
    <w:rsid w:val="00E563B1"/>
  </w:style>
  <w:style w:type="paragraph" w:customStyle="1" w:styleId="NoSpacing1">
    <w:name w:val="No Spacing1"/>
    <w:qFormat/>
    <w:rsid w:val="00E563B1"/>
    <w:rPr>
      <w:rFonts w:ascii="Calibri" w:hAnsi="Calibri"/>
      <w:sz w:val="22"/>
      <w:szCs w:val="22"/>
      <w:lang w:val="en-US" w:eastAsia="en-US"/>
    </w:rPr>
  </w:style>
  <w:style w:type="paragraph" w:customStyle="1" w:styleId="27">
    <w:name w:val="Обычный2"/>
    <w:rsid w:val="00E563B1"/>
    <w:pPr>
      <w:autoSpaceDE w:val="0"/>
      <w:autoSpaceDN w:val="0"/>
    </w:pPr>
    <w:rPr>
      <w:lang w:val="ru-RU" w:eastAsia="ru-RU"/>
    </w:rPr>
  </w:style>
  <w:style w:type="paragraph" w:customStyle="1" w:styleId="Revision1">
    <w:name w:val="Revision1"/>
    <w:hidden/>
    <w:semiHidden/>
    <w:rsid w:val="00E563B1"/>
    <w:rPr>
      <w:rFonts w:ascii="Arial Armenian" w:hAnsi="Arial Armenian" w:cs="Sylfaen"/>
      <w:sz w:val="24"/>
      <w:szCs w:val="24"/>
      <w:lang w:val="ru-RU" w:eastAsia="ru-RU"/>
    </w:rPr>
  </w:style>
  <w:style w:type="paragraph" w:customStyle="1" w:styleId="TOCHeading1">
    <w:name w:val="TOC Heading1"/>
    <w:basedOn w:val="Heading1"/>
    <w:next w:val="Normal"/>
    <w:qFormat/>
    <w:rsid w:val="00E563B1"/>
    <w:pPr>
      <w:keepLines/>
      <w:spacing w:before="480" w:after="0" w:line="276" w:lineRule="auto"/>
      <w:outlineLvl w:val="9"/>
    </w:pPr>
    <w:rPr>
      <w:rFonts w:ascii="Cambria" w:hAnsi="Cambria" w:cs="Times New Roman"/>
      <w:color w:val="365F91"/>
      <w:kern w:val="0"/>
      <w:szCs w:val="28"/>
    </w:rPr>
  </w:style>
  <w:style w:type="character" w:customStyle="1" w:styleId="NoSpacingChar1">
    <w:name w:val="No Spacing Char1"/>
    <w:rsid w:val="00E563B1"/>
    <w:rPr>
      <w:rFonts w:ascii="Calibri" w:eastAsia="Times New Roman" w:hAnsi="Calibri" w:cs="Times New Roman"/>
      <w:lang w:val="en-US"/>
    </w:rPr>
  </w:style>
  <w:style w:type="paragraph" w:customStyle="1" w:styleId="Quote1">
    <w:name w:val="Quote1"/>
    <w:basedOn w:val="Normal"/>
    <w:next w:val="Normal"/>
    <w:qFormat/>
    <w:rsid w:val="00E563B1"/>
    <w:rPr>
      <w:i/>
      <w:iCs/>
      <w:color w:val="000000"/>
      <w:lang w:val="x-none" w:eastAsia="x-none"/>
    </w:rPr>
  </w:style>
  <w:style w:type="character" w:customStyle="1" w:styleId="IntenseEmphasis1">
    <w:name w:val="Intense Emphasis1"/>
    <w:qFormat/>
    <w:rsid w:val="00E563B1"/>
    <w:rPr>
      <w:b/>
      <w:bCs/>
      <w:i/>
      <w:iCs/>
      <w:color w:val="4F81BD"/>
    </w:rPr>
  </w:style>
  <w:style w:type="table" w:customStyle="1" w:styleId="ColorfulGrid-Accent11">
    <w:name w:val="Colorful Grid - Accent 11"/>
    <w:basedOn w:val="TableNormal"/>
    <w:rsid w:val="00E563B1"/>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E563B1"/>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CE125F"/>
    <w:pPr>
      <w:widowControl w:val="0"/>
      <w:suppressAutoHyphens/>
      <w:autoSpaceDN w:val="0"/>
      <w:textAlignment w:val="baseline"/>
    </w:pPr>
    <w:rPr>
      <w:rFonts w:ascii="Calibri" w:hAnsi="Calibri"/>
      <w:kern w:val="3"/>
      <w:sz w:val="24"/>
      <w:szCs w:val="24"/>
      <w:lang w:val="en-US" w:eastAsia="en-US"/>
    </w:rPr>
  </w:style>
  <w:style w:type="character" w:customStyle="1" w:styleId="PageNumber1">
    <w:name w:val="Page Number1"/>
    <w:rsid w:val="00CE125F"/>
    <w:rPr>
      <w:rFonts w:cs="Times New Roman"/>
    </w:rPr>
  </w:style>
  <w:style w:type="character" w:customStyle="1" w:styleId="af0">
    <w:name w:val="Основной текст_"/>
    <w:rsid w:val="00CE125F"/>
    <w:rPr>
      <w:rFonts w:ascii="Sylfaen" w:hAnsi="Sylfaen" w:cs="Sylfaen"/>
      <w:spacing w:val="20"/>
      <w:w w:val="80"/>
      <w:shd w:val="clear" w:color="auto" w:fill="FFFFFF"/>
    </w:rPr>
  </w:style>
  <w:style w:type="character" w:customStyle="1" w:styleId="28">
    <w:name w:val="Основной текст (2)_"/>
    <w:rsid w:val="00CE125F"/>
    <w:rPr>
      <w:rFonts w:ascii="Sylfaen" w:hAnsi="Sylfaen" w:cs="Sylfaen"/>
      <w:i/>
      <w:iCs/>
      <w:shd w:val="clear" w:color="auto" w:fill="FFFFFF"/>
    </w:rPr>
  </w:style>
  <w:style w:type="character" w:customStyle="1" w:styleId="34">
    <w:name w:val="Основной текст (3)_"/>
    <w:rsid w:val="00CE125F"/>
    <w:rPr>
      <w:rFonts w:ascii="Sylfaen" w:hAnsi="Sylfaen" w:cs="Sylfaen"/>
      <w:spacing w:val="20"/>
      <w:w w:val="80"/>
      <w:sz w:val="21"/>
      <w:szCs w:val="21"/>
      <w:shd w:val="clear" w:color="auto" w:fill="FFFFFF"/>
    </w:rPr>
  </w:style>
  <w:style w:type="character" w:customStyle="1" w:styleId="311pt">
    <w:name w:val="Основной текст (3) + 11 pt"/>
    <w:rsid w:val="00CE125F"/>
    <w:rPr>
      <w:rFonts w:ascii="Sylfaen" w:hAnsi="Sylfaen" w:cs="Sylfaen"/>
      <w:i/>
      <w:iCs/>
      <w:spacing w:val="0"/>
      <w:w w:val="100"/>
      <w:sz w:val="22"/>
      <w:szCs w:val="22"/>
      <w:shd w:val="clear" w:color="auto" w:fill="FFFFFF"/>
    </w:rPr>
  </w:style>
  <w:style w:type="character" w:customStyle="1" w:styleId="311pt1">
    <w:name w:val="Основной текст (3) + 11 pt1"/>
    <w:rsid w:val="00CE125F"/>
    <w:rPr>
      <w:rFonts w:ascii="Sylfaen" w:hAnsi="Sylfaen" w:cs="Sylfaen"/>
      <w:spacing w:val="0"/>
      <w:w w:val="100"/>
      <w:sz w:val="22"/>
      <w:szCs w:val="22"/>
      <w:shd w:val="clear" w:color="auto" w:fill="FFFFFF"/>
    </w:rPr>
  </w:style>
  <w:style w:type="character" w:customStyle="1" w:styleId="29">
    <w:name w:val="Основной текст2"/>
    <w:rsid w:val="00CE125F"/>
  </w:style>
  <w:style w:type="character" w:customStyle="1" w:styleId="43">
    <w:name w:val="Основной текст (4)_"/>
    <w:rsid w:val="00CE125F"/>
    <w:rPr>
      <w:rFonts w:ascii="Sylfaen" w:hAnsi="Sylfaen" w:cs="Sylfaen"/>
      <w:spacing w:val="20"/>
      <w:w w:val="80"/>
      <w:shd w:val="clear" w:color="auto" w:fill="FFFFFF"/>
    </w:rPr>
  </w:style>
  <w:style w:type="character" w:customStyle="1" w:styleId="4pt">
    <w:name w:val="Основной текст + 4 pt"/>
    <w:rsid w:val="00CE125F"/>
    <w:rPr>
      <w:rFonts w:ascii="Sylfaen" w:hAnsi="Sylfaen" w:cs="Sylfaen"/>
      <w:i/>
      <w:iCs/>
      <w:spacing w:val="0"/>
      <w:w w:val="100"/>
      <w:sz w:val="8"/>
      <w:szCs w:val="8"/>
      <w:shd w:val="clear" w:color="auto" w:fill="FFFFFF"/>
    </w:rPr>
  </w:style>
  <w:style w:type="character" w:customStyle="1" w:styleId="1b">
    <w:name w:val="Заголовок №1_"/>
    <w:rsid w:val="00CE125F"/>
    <w:rPr>
      <w:rFonts w:ascii="Sylfaen" w:hAnsi="Sylfaen" w:cs="Sylfaen"/>
      <w:i/>
      <w:iCs/>
      <w:spacing w:val="-30"/>
      <w:sz w:val="31"/>
      <w:szCs w:val="31"/>
      <w:shd w:val="clear" w:color="auto" w:fill="FFFFFF"/>
    </w:rPr>
  </w:style>
  <w:style w:type="character" w:customStyle="1" w:styleId="111">
    <w:name w:val="Заголовок №1 + 11"/>
    <w:rsid w:val="00CE125F"/>
    <w:rPr>
      <w:rFonts w:ascii="Sylfaen" w:hAnsi="Sylfaen" w:cs="Sylfaen"/>
      <w:i/>
      <w:iCs/>
      <w:spacing w:val="-20"/>
      <w:sz w:val="23"/>
      <w:szCs w:val="23"/>
      <w:shd w:val="clear" w:color="auto" w:fill="FFFFFF"/>
    </w:rPr>
  </w:style>
  <w:style w:type="character" w:customStyle="1" w:styleId="Sylfaen2">
    <w:name w:val="Основной текст + Sylfaen2"/>
    <w:rsid w:val="00CE125F"/>
    <w:rPr>
      <w:rFonts w:ascii="Sylfaen" w:hAnsi="Sylfaen" w:cs="Sylfaen"/>
      <w:spacing w:val="20"/>
      <w:w w:val="80"/>
      <w:sz w:val="22"/>
      <w:szCs w:val="22"/>
      <w:u w:val="none"/>
      <w:shd w:val="clear" w:color="auto" w:fill="FFFFFF"/>
    </w:rPr>
  </w:style>
  <w:style w:type="character" w:customStyle="1" w:styleId="Sylfaen1">
    <w:name w:val="Основной текст + Sylfaen1"/>
    <w:rsid w:val="00CE125F"/>
    <w:rPr>
      <w:rFonts w:ascii="Sylfaen" w:hAnsi="Sylfaen" w:cs="Sylfaen"/>
      <w:spacing w:val="20"/>
      <w:w w:val="80"/>
      <w:sz w:val="20"/>
      <w:szCs w:val="20"/>
      <w:u w:val="none"/>
      <w:shd w:val="clear" w:color="auto" w:fill="FFFFFF"/>
    </w:rPr>
  </w:style>
  <w:style w:type="character" w:customStyle="1" w:styleId="af1">
    <w:name w:val="Основной текст + Полужирный"/>
    <w:rsid w:val="00CE125F"/>
    <w:rPr>
      <w:rFonts w:ascii="Sylfaen" w:hAnsi="Sylfaen" w:cs="Sylfaen"/>
      <w:b/>
      <w:bCs/>
      <w:spacing w:val="20"/>
      <w:w w:val="80"/>
      <w:sz w:val="21"/>
      <w:szCs w:val="21"/>
      <w:u w:val="none"/>
      <w:shd w:val="clear" w:color="auto" w:fill="FFFFFF"/>
    </w:rPr>
  </w:style>
  <w:style w:type="character" w:customStyle="1" w:styleId="ListLabel1">
    <w:name w:val="ListLabel 1"/>
    <w:rsid w:val="00CE125F"/>
    <w:rPr>
      <w:rFonts w:eastAsia="Times New Roman"/>
      <w:color w:val="000000"/>
    </w:rPr>
  </w:style>
  <w:style w:type="character" w:customStyle="1" w:styleId="ListLabel2">
    <w:name w:val="ListLabel 2"/>
    <w:rsid w:val="00CE125F"/>
  </w:style>
  <w:style w:type="character" w:customStyle="1" w:styleId="ListLabel3">
    <w:name w:val="ListLabel 3"/>
    <w:rsid w:val="00CE125F"/>
  </w:style>
  <w:style w:type="character" w:customStyle="1" w:styleId="ListLabel4">
    <w:name w:val="ListLabel 4"/>
    <w:rsid w:val="00CE125F"/>
  </w:style>
  <w:style w:type="character" w:customStyle="1" w:styleId="ListLabel5">
    <w:name w:val="ListLabel 5"/>
    <w:rsid w:val="00CE125F"/>
    <w:rPr>
      <w:color w:val="auto"/>
    </w:rPr>
  </w:style>
  <w:style w:type="character" w:customStyle="1" w:styleId="ListLabel6">
    <w:name w:val="ListLabel 6"/>
    <w:rsid w:val="00CE125F"/>
    <w:rPr>
      <w:b/>
      <w:i/>
    </w:rPr>
  </w:style>
  <w:style w:type="character" w:customStyle="1" w:styleId="ListLabel7">
    <w:name w:val="ListLabel 7"/>
    <w:rsid w:val="00CE125F"/>
    <w:rPr>
      <w:sz w:val="24"/>
    </w:rPr>
  </w:style>
  <w:style w:type="character" w:customStyle="1" w:styleId="ListLabel8">
    <w:name w:val="ListLabel 8"/>
    <w:rsid w:val="00CE125F"/>
    <w:rPr>
      <w:rFonts w:eastAsia="Times New Roman"/>
    </w:rPr>
  </w:style>
  <w:style w:type="paragraph" w:customStyle="1" w:styleId="Heading">
    <w:name w:val="Heading"/>
    <w:basedOn w:val="Normal"/>
    <w:next w:val="BodyText"/>
    <w:rsid w:val="00CE125F"/>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rsid w:val="00CE125F"/>
    <w:pPr>
      <w:suppressAutoHyphens/>
      <w:spacing w:line="288" w:lineRule="auto"/>
    </w:pPr>
    <w:rPr>
      <w:rFonts w:cs="GHEA Grapalat"/>
      <w:kern w:val="1"/>
    </w:rPr>
  </w:style>
  <w:style w:type="paragraph" w:customStyle="1" w:styleId="Index">
    <w:name w:val="Index"/>
    <w:basedOn w:val="Normal"/>
    <w:rsid w:val="00CE125F"/>
    <w:pPr>
      <w:suppressLineNumbers/>
      <w:suppressAutoHyphens/>
      <w:spacing w:after="200" w:line="276" w:lineRule="auto"/>
    </w:pPr>
    <w:rPr>
      <w:rFonts w:ascii="Calibri" w:hAnsi="Calibri" w:cs="Calibri"/>
      <w:kern w:val="1"/>
    </w:rPr>
  </w:style>
  <w:style w:type="paragraph" w:customStyle="1" w:styleId="af2">
    <w:name w:val="Стиль Знак"/>
    <w:basedOn w:val="Normal"/>
    <w:rsid w:val="00CE125F"/>
    <w:pPr>
      <w:suppressAutoHyphens/>
      <w:spacing w:after="160" w:line="240" w:lineRule="exact"/>
    </w:pPr>
    <w:rPr>
      <w:rFonts w:ascii="Arial" w:hAnsi="Arial" w:cs="Arial"/>
      <w:kern w:val="1"/>
      <w:sz w:val="20"/>
      <w:szCs w:val="20"/>
    </w:rPr>
  </w:style>
  <w:style w:type="paragraph" w:customStyle="1" w:styleId="1c">
    <w:name w:val="Без интервала1"/>
    <w:qFormat/>
    <w:rsid w:val="00CE125F"/>
    <w:pPr>
      <w:suppressAutoHyphens/>
    </w:pPr>
    <w:rPr>
      <w:rFonts w:ascii="GHEA Grapalat" w:hAnsi="GHEA Grapalat" w:cs="GHEA Grapalat"/>
      <w:kern w:val="1"/>
      <w:sz w:val="22"/>
      <w:szCs w:val="22"/>
      <w:lang w:val="en-US" w:eastAsia="en-US"/>
    </w:rPr>
  </w:style>
  <w:style w:type="paragraph" w:customStyle="1" w:styleId="Iacaaiea">
    <w:name w:val="Iacaaiea"/>
    <w:basedOn w:val="Normal"/>
    <w:rsid w:val="00CE125F"/>
    <w:pPr>
      <w:widowControl w:val="0"/>
      <w:suppressAutoHyphens/>
      <w:jc w:val="center"/>
    </w:pPr>
    <w:rPr>
      <w:rFonts w:ascii="Times LatArm" w:hAnsi="Times LatArm" w:cs="Times LatArm"/>
      <w:kern w:val="1"/>
    </w:rPr>
  </w:style>
  <w:style w:type="paragraph" w:customStyle="1" w:styleId="1d">
    <w:name w:val="Основной текст1"/>
    <w:basedOn w:val="Normal"/>
    <w:rsid w:val="00CE125F"/>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2a">
    <w:name w:val="Основной текст (2)"/>
    <w:basedOn w:val="Normal"/>
    <w:rsid w:val="00CE125F"/>
    <w:pPr>
      <w:suppressAutoHyphens/>
      <w:spacing w:after="200" w:line="276" w:lineRule="auto"/>
    </w:pPr>
    <w:rPr>
      <w:rFonts w:ascii="Sylfaen" w:hAnsi="Sylfaen" w:cs="Sylfaen"/>
      <w:i/>
      <w:iCs/>
      <w:kern w:val="1"/>
      <w:sz w:val="20"/>
      <w:szCs w:val="20"/>
      <w:shd w:val="clear" w:color="auto" w:fill="FFFFFF"/>
      <w:lang w:val="ru-RU" w:eastAsia="ru-RU"/>
    </w:rPr>
  </w:style>
  <w:style w:type="paragraph" w:customStyle="1" w:styleId="35">
    <w:name w:val="Основной текст (3)"/>
    <w:basedOn w:val="Normal"/>
    <w:rsid w:val="00CE125F"/>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4">
    <w:name w:val="Основной текст (4)"/>
    <w:basedOn w:val="Normal"/>
    <w:rsid w:val="00CE125F"/>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1e">
    <w:name w:val="Заголовок №1"/>
    <w:basedOn w:val="Normal"/>
    <w:rsid w:val="00CE125F"/>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CharChar13">
    <w:name w:val="Char Char Char Знак Знак Char Char Знак Знак1"/>
    <w:basedOn w:val="Normal"/>
    <w:rsid w:val="00CE125F"/>
    <w:pPr>
      <w:suppressAutoHyphens/>
      <w:spacing w:after="160" w:line="240" w:lineRule="exact"/>
    </w:pPr>
    <w:rPr>
      <w:rFonts w:ascii="Arial" w:hAnsi="Arial" w:cs="Arial"/>
      <w:kern w:val="1"/>
      <w:sz w:val="20"/>
      <w:szCs w:val="20"/>
    </w:rPr>
  </w:style>
  <w:style w:type="paragraph" w:customStyle="1" w:styleId="FrameContents">
    <w:name w:val="Frame Contents"/>
    <w:basedOn w:val="Normal"/>
    <w:rsid w:val="00CE125F"/>
    <w:pPr>
      <w:suppressAutoHyphens/>
      <w:spacing w:after="200" w:line="276" w:lineRule="auto"/>
    </w:pPr>
    <w:rPr>
      <w:rFonts w:ascii="Calibri" w:hAnsi="Calibri" w:cs="Calibri"/>
      <w:kern w:val="1"/>
    </w:rPr>
  </w:style>
  <w:style w:type="paragraph" w:customStyle="1" w:styleId="NoSpacing2">
    <w:name w:val="No Spacing2"/>
    <w:rsid w:val="00CE125F"/>
    <w:rPr>
      <w:rFonts w:ascii="Arial Armenian" w:hAnsi="Arial Armenian" w:cs="Arial Armenian"/>
      <w:sz w:val="24"/>
      <w:szCs w:val="24"/>
      <w:lang w:val="ru-RU" w:eastAsia="en-US"/>
    </w:rPr>
  </w:style>
  <w:style w:type="character" w:customStyle="1" w:styleId="user-name">
    <w:name w:val="user-name"/>
    <w:rsid w:val="00CE125F"/>
    <w:rPr>
      <w:rFonts w:cs="Times New Roman"/>
    </w:rPr>
  </w:style>
  <w:style w:type="paragraph" w:customStyle="1" w:styleId="ModelSingleNoIndent">
    <w:name w:val="ModelSingleNoIndent"/>
    <w:basedOn w:val="Normal"/>
    <w:rsid w:val="00DF5F07"/>
    <w:pPr>
      <w:spacing w:after="240"/>
    </w:pPr>
    <w:rPr>
      <w:szCs w:val="20"/>
    </w:rPr>
  </w:style>
  <w:style w:type="paragraph" w:customStyle="1" w:styleId="Char1CharCharCharCharCharCharCharCharCharCharCharChar1">
    <w:name w:val="Char1 Char Char Char Char Char Char Char Char Char Char Char Char1"/>
    <w:basedOn w:val="Normal"/>
    <w:rsid w:val="00DF5F07"/>
    <w:pPr>
      <w:spacing w:after="160" w:line="240" w:lineRule="exact"/>
    </w:pPr>
    <w:rPr>
      <w:rFonts w:ascii="Arial" w:hAnsi="Arial" w:cs="Arial"/>
      <w:sz w:val="20"/>
      <w:szCs w:val="20"/>
    </w:rPr>
  </w:style>
  <w:style w:type="paragraph" w:customStyle="1" w:styleId="ModelNrmlDouble">
    <w:name w:val="ModelNrmlDouble"/>
    <w:basedOn w:val="Normal"/>
    <w:rsid w:val="00DF5F07"/>
    <w:pPr>
      <w:overflowPunct w:val="0"/>
      <w:autoSpaceDE w:val="0"/>
      <w:autoSpaceDN w:val="0"/>
      <w:adjustRightInd w:val="0"/>
      <w:spacing w:after="360" w:line="480" w:lineRule="auto"/>
      <w:ind w:firstLine="720"/>
      <w:textAlignment w:val="baseline"/>
    </w:pPr>
    <w:rPr>
      <w:szCs w:val="20"/>
    </w:rPr>
  </w:style>
  <w:style w:type="paragraph" w:customStyle="1" w:styleId="subhead3">
    <w:name w:val="sub_head3"/>
    <w:basedOn w:val="Normal"/>
    <w:rsid w:val="00DF5F07"/>
    <w:pPr>
      <w:spacing w:after="120"/>
    </w:pPr>
    <w:rPr>
      <w:rFonts w:ascii="Times Armenian" w:hAnsi="Times Armenian"/>
      <w:i/>
      <w:u w:val="single"/>
      <w:lang w:eastAsia="ru-RU"/>
    </w:rPr>
  </w:style>
  <w:style w:type="paragraph" w:customStyle="1" w:styleId="StyleHeading2ParanumTextLeft">
    <w:name w:val="Style Heading 2ParanumText + Left"/>
    <w:basedOn w:val="Heading2"/>
    <w:rsid w:val="00DF5F07"/>
    <w:pPr>
      <w:numPr>
        <w:ilvl w:val="0"/>
        <w:numId w:val="0"/>
      </w:numPr>
      <w:tabs>
        <w:tab w:val="clear" w:pos="993"/>
        <w:tab w:val="clear" w:pos="10208"/>
        <w:tab w:val="num" w:pos="360"/>
        <w:tab w:val="num" w:pos="1440"/>
      </w:tabs>
      <w:spacing w:before="120" w:after="120"/>
      <w:ind w:left="1440"/>
      <w:contextualSpacing w:val="0"/>
    </w:pPr>
    <w:rPr>
      <w:rFonts w:ascii="Times Armenian" w:hAnsi="Times Armenian" w:cs="Times New Roman"/>
      <w:b w:val="0"/>
      <w:bCs/>
      <w:kern w:val="28"/>
      <w:sz w:val="28"/>
      <w:szCs w:val="20"/>
      <w:lang w:val="en-GB" w:eastAsia="en-US"/>
    </w:rPr>
  </w:style>
  <w:style w:type="paragraph" w:customStyle="1" w:styleId="annexedhead">
    <w:name w:val="annexed head"/>
    <w:basedOn w:val="Heading2"/>
    <w:rsid w:val="00DF5F07"/>
    <w:pPr>
      <w:numPr>
        <w:numId w:val="2"/>
      </w:numPr>
      <w:tabs>
        <w:tab w:val="clear" w:pos="993"/>
        <w:tab w:val="clear" w:pos="10208"/>
      </w:tabs>
      <w:spacing w:before="120" w:after="120"/>
      <w:contextualSpacing w:val="0"/>
    </w:pPr>
    <w:rPr>
      <w:rFonts w:ascii="Times Armenian" w:hAnsi="Times Armenian" w:cs="Times New Roman"/>
      <w:b w:val="0"/>
      <w:kern w:val="28"/>
      <w:sz w:val="28"/>
      <w:szCs w:val="20"/>
      <w:lang w:val="en-GB" w:eastAsia="en-US"/>
    </w:rPr>
  </w:style>
  <w:style w:type="paragraph" w:customStyle="1" w:styleId="Tabletitle">
    <w:name w:val="Table_title"/>
    <w:basedOn w:val="Normal"/>
    <w:rsid w:val="00DF5F07"/>
    <w:pPr>
      <w:tabs>
        <w:tab w:val="left" w:pos="9626"/>
        <w:tab w:val="left" w:pos="10916"/>
        <w:tab w:val="left" w:pos="12206"/>
        <w:tab w:val="left" w:pos="13496"/>
      </w:tabs>
      <w:ind w:left="108"/>
    </w:pPr>
    <w:rPr>
      <w:rFonts w:ascii="Times Armenian" w:hAnsi="Times Armenian" w:cs="Arial"/>
      <w:b/>
      <w:bCs/>
      <w:lang w:eastAsia="ru-RU"/>
    </w:rPr>
  </w:style>
  <w:style w:type="paragraph" w:customStyle="1" w:styleId="StyleHeading3CenteredtextLinespacingsingle">
    <w:name w:val="Style Heading 3Centered(text) + Line spacing:  single"/>
    <w:basedOn w:val="Heading3"/>
    <w:rsid w:val="00DF5F07"/>
    <w:pPr>
      <w:numPr>
        <w:ilvl w:val="2"/>
        <w:numId w:val="2"/>
      </w:numPr>
      <w:tabs>
        <w:tab w:val="clear" w:pos="624"/>
      </w:tabs>
      <w:spacing w:before="0" w:after="120" w:line="240" w:lineRule="auto"/>
      <w:ind w:right="0"/>
    </w:pPr>
    <w:rPr>
      <w:rFonts w:ascii="Times Armenian" w:hAnsi="Times Armenian" w:cs="Times New Roman"/>
      <w:bCs w:val="0"/>
      <w:i/>
      <w:iCs/>
      <w:color w:val="auto"/>
      <w:spacing w:val="-5"/>
      <w:lang w:val="en-GB"/>
    </w:rPr>
  </w:style>
  <w:style w:type="paragraph" w:customStyle="1" w:styleId="Titlefigure">
    <w:name w:val="Title_figure"/>
    <w:basedOn w:val="Caption"/>
    <w:next w:val="Normal"/>
    <w:rsid w:val="00DF5F07"/>
    <w:pPr>
      <w:keepLines w:val="0"/>
      <w:widowControl/>
      <w:spacing w:after="60"/>
      <w:jc w:val="left"/>
    </w:pPr>
    <w:rPr>
      <w:rFonts w:ascii="Times Armenian" w:hAnsi="Times Armenian" w:cs="Times New Roman"/>
      <w:b/>
      <w:bCs/>
      <w:sz w:val="22"/>
      <w:lang w:val="en-US" w:eastAsia="ru-RU"/>
    </w:rPr>
  </w:style>
  <w:style w:type="character" w:customStyle="1" w:styleId="CharChar151">
    <w:name w:val="Char Char151"/>
    <w:rsid w:val="00DF5F07"/>
    <w:rPr>
      <w:sz w:val="36"/>
      <w:lang w:val="en-GB" w:eastAsia="en-US" w:bidi="ar-SA"/>
    </w:rPr>
  </w:style>
  <w:style w:type="character" w:customStyle="1" w:styleId="CharChar13">
    <w:name w:val="Char Char13"/>
    <w:rsid w:val="00DF5F07"/>
    <w:rPr>
      <w:sz w:val="22"/>
      <w:lang w:val="en-GB" w:eastAsia="en-US" w:bidi="ar-SA"/>
    </w:rPr>
  </w:style>
  <w:style w:type="character" w:customStyle="1" w:styleId="CharChar122">
    <w:name w:val="Char Char122"/>
    <w:rsid w:val="00DF5F07"/>
    <w:rPr>
      <w:sz w:val="22"/>
      <w:lang w:val="en-GB" w:eastAsia="en-US" w:bidi="ar-SA"/>
    </w:rPr>
  </w:style>
  <w:style w:type="character" w:customStyle="1" w:styleId="CharChar101">
    <w:name w:val="Char Char101"/>
    <w:rsid w:val="00DF5F07"/>
    <w:rPr>
      <w:rFonts w:ascii="Times Armenian" w:hAnsi="Times Armenian"/>
      <w:color w:val="993300"/>
      <w:sz w:val="22"/>
      <w:szCs w:val="24"/>
      <w:lang w:val="hy-AM" w:eastAsia="en-US" w:bidi="ar-SA"/>
    </w:rPr>
  </w:style>
  <w:style w:type="character" w:customStyle="1" w:styleId="CharChar9">
    <w:name w:val="Char Char9"/>
    <w:rsid w:val="00DF5F07"/>
    <w:rPr>
      <w:rFonts w:ascii="Times Armenian" w:hAnsi="Times Armenian"/>
      <w:b/>
      <w:i/>
      <w:sz w:val="24"/>
      <w:u w:val="single"/>
      <w:lang w:val="hy-AM" w:eastAsia="en-US" w:bidi="ar-SA"/>
    </w:rPr>
  </w:style>
  <w:style w:type="character" w:customStyle="1" w:styleId="BodyTextIndentChar2">
    <w:name w:val="Body Text Indent Char2"/>
    <w:aliases w:val="(Table Source)1 Char1"/>
    <w:locked/>
    <w:rsid w:val="00DF5F07"/>
    <w:rPr>
      <w:rFonts w:ascii="Times New Roman" w:hAnsi="Times New Roman" w:cs="Times New Roman"/>
      <w:sz w:val="20"/>
      <w:szCs w:val="20"/>
      <w:lang w:val="en-GB"/>
    </w:rPr>
  </w:style>
  <w:style w:type="character" w:customStyle="1" w:styleId="CharChar131">
    <w:name w:val="Char Char131"/>
    <w:rsid w:val="00DF5F07"/>
    <w:rPr>
      <w:sz w:val="22"/>
      <w:lang w:val="en-GB" w:eastAsia="en-US"/>
    </w:rPr>
  </w:style>
  <w:style w:type="character" w:customStyle="1" w:styleId="CharChar91">
    <w:name w:val="Char Char91"/>
    <w:rsid w:val="00DF5F07"/>
    <w:rPr>
      <w:rFonts w:ascii="Times Armenian" w:hAnsi="Times Armenian"/>
      <w:b/>
      <w:i/>
      <w:sz w:val="24"/>
      <w:u w:val="single"/>
      <w:lang w:val="hy-AM" w:eastAsia="en-US"/>
    </w:rPr>
  </w:style>
  <w:style w:type="paragraph" w:customStyle="1" w:styleId="font11">
    <w:name w:val="font11"/>
    <w:basedOn w:val="Normal"/>
    <w:rsid w:val="00DF5F07"/>
    <w:pPr>
      <w:spacing w:before="100" w:after="100"/>
    </w:pPr>
    <w:rPr>
      <w:rFonts w:eastAsia="SimSun"/>
      <w:color w:val="000000"/>
      <w:sz w:val="16"/>
      <w:szCs w:val="16"/>
    </w:rPr>
  </w:style>
  <w:style w:type="paragraph" w:customStyle="1" w:styleId="font12">
    <w:name w:val="font12"/>
    <w:basedOn w:val="Normal"/>
    <w:rsid w:val="00DF5F07"/>
    <w:pPr>
      <w:spacing w:before="100" w:after="100"/>
    </w:pPr>
    <w:rPr>
      <w:rFonts w:eastAsia="SimSun"/>
      <w:color w:val="000000"/>
      <w:sz w:val="16"/>
      <w:szCs w:val="16"/>
    </w:rPr>
  </w:style>
  <w:style w:type="paragraph" w:customStyle="1" w:styleId="font13">
    <w:name w:val="font13"/>
    <w:basedOn w:val="Normal"/>
    <w:rsid w:val="00DF5F07"/>
    <w:pPr>
      <w:spacing w:before="100" w:after="100"/>
    </w:pPr>
    <w:rPr>
      <w:rFonts w:eastAsia="SimSun"/>
      <w:b/>
      <w:bCs/>
      <w:color w:val="000000"/>
      <w:sz w:val="16"/>
      <w:szCs w:val="16"/>
    </w:rPr>
  </w:style>
  <w:style w:type="paragraph" w:customStyle="1" w:styleId="font14">
    <w:name w:val="font14"/>
    <w:basedOn w:val="Normal"/>
    <w:rsid w:val="00DF5F07"/>
    <w:pPr>
      <w:spacing w:before="100" w:after="100"/>
    </w:pPr>
    <w:rPr>
      <w:rFonts w:eastAsia="SimSun"/>
      <w:i/>
      <w:iCs/>
      <w:sz w:val="20"/>
      <w:szCs w:val="20"/>
    </w:rPr>
  </w:style>
  <w:style w:type="paragraph" w:customStyle="1" w:styleId="font15">
    <w:name w:val="font15"/>
    <w:basedOn w:val="Normal"/>
    <w:rsid w:val="00DF5F07"/>
    <w:pPr>
      <w:spacing w:before="100" w:after="100"/>
    </w:pPr>
    <w:rPr>
      <w:rFonts w:eastAsia="SimSun"/>
      <w:i/>
      <w:iCs/>
      <w:sz w:val="28"/>
      <w:szCs w:val="28"/>
    </w:rPr>
  </w:style>
  <w:style w:type="character" w:customStyle="1" w:styleId="Heading2Char2">
    <w:name w:val="Heading 2 Char2"/>
    <w:aliases w:val="Paranum Char2,(Chapter) Char2,(Chapter) Char Char"/>
    <w:locked/>
    <w:rsid w:val="00C3321E"/>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C3321E"/>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C3321E"/>
    <w:rPr>
      <w:rFonts w:ascii="Times New Roman" w:hAnsi="Times New Roman" w:cs="Times New Roman"/>
      <w:sz w:val="24"/>
    </w:rPr>
  </w:style>
  <w:style w:type="character" w:customStyle="1" w:styleId="fsl">
    <w:name w:val="fsl"/>
    <w:rsid w:val="00C3321E"/>
  </w:style>
  <w:style w:type="paragraph" w:styleId="IntenseQuote">
    <w:name w:val="Intense Quote"/>
    <w:basedOn w:val="Normal"/>
    <w:next w:val="Normal"/>
    <w:link w:val="IntenseQuoteChar"/>
    <w:qFormat/>
    <w:rsid w:val="00C3321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rsid w:val="00C3321E"/>
    <w:rPr>
      <w:b/>
      <w:bCs/>
      <w:i/>
      <w:iCs/>
      <w:color w:val="4F81BD"/>
      <w:sz w:val="24"/>
      <w:szCs w:val="24"/>
    </w:rPr>
  </w:style>
  <w:style w:type="character" w:styleId="SubtleEmphasis">
    <w:name w:val="Subtle Emphasis"/>
    <w:qFormat/>
    <w:rsid w:val="00C3321E"/>
    <w:rPr>
      <w:rFonts w:cs="Times New Roman"/>
      <w:i/>
      <w:iCs/>
      <w:color w:val="808080"/>
    </w:rPr>
  </w:style>
  <w:style w:type="character" w:styleId="SubtleReference">
    <w:name w:val="Subtle Reference"/>
    <w:qFormat/>
    <w:rsid w:val="00C3321E"/>
    <w:rPr>
      <w:rFonts w:cs="Times New Roman"/>
      <w:smallCaps/>
      <w:color w:val="C0504D"/>
      <w:u w:val="single"/>
    </w:rPr>
  </w:style>
  <w:style w:type="character" w:styleId="IntenseReference">
    <w:name w:val="Intense Reference"/>
    <w:qFormat/>
    <w:rsid w:val="00C3321E"/>
    <w:rPr>
      <w:rFonts w:cs="Times New Roman"/>
      <w:b/>
      <w:bCs/>
      <w:smallCaps/>
      <w:color w:val="C0504D"/>
      <w:spacing w:val="5"/>
      <w:u w:val="single"/>
    </w:rPr>
  </w:style>
  <w:style w:type="character" w:styleId="BookTitle">
    <w:name w:val="Book Title"/>
    <w:qFormat/>
    <w:rsid w:val="00C3321E"/>
    <w:rPr>
      <w:rFonts w:cs="Times New Roman"/>
      <w:b/>
      <w:bCs/>
      <w:smallCaps/>
      <w:spacing w:val="5"/>
    </w:rPr>
  </w:style>
  <w:style w:type="paragraph" w:customStyle="1" w:styleId="ColorfulList-Accent11">
    <w:name w:val="Colorful List - Accent 11"/>
    <w:basedOn w:val="Normal"/>
    <w:qFormat/>
    <w:rsid w:val="00C3321E"/>
    <w:pPr>
      <w:spacing w:after="200" w:line="276" w:lineRule="auto"/>
      <w:ind w:left="720"/>
      <w:contextualSpacing/>
    </w:pPr>
    <w:rPr>
      <w:rFonts w:ascii="Calibri" w:eastAsia="Calibri" w:hAnsi="Calibri"/>
      <w:lang w:val="ru-RU"/>
    </w:rPr>
  </w:style>
  <w:style w:type="character" w:customStyle="1" w:styleId="spellingerror">
    <w:name w:val="spellingerror"/>
    <w:rsid w:val="00C3321E"/>
  </w:style>
  <w:style w:type="character" w:customStyle="1" w:styleId="CharChar31">
    <w:name w:val="Char Char31"/>
    <w:locked/>
    <w:rsid w:val="00C3321E"/>
    <w:rPr>
      <w:sz w:val="22"/>
      <w:lang w:val="en-GB" w:eastAsia="en-US"/>
    </w:rPr>
  </w:style>
  <w:style w:type="character" w:customStyle="1" w:styleId="CharChar211">
    <w:name w:val="Char Char211"/>
    <w:locked/>
    <w:rsid w:val="00C3321E"/>
    <w:rPr>
      <w:sz w:val="22"/>
      <w:lang w:val="en-GB" w:eastAsia="en-US"/>
    </w:rPr>
  </w:style>
  <w:style w:type="character" w:customStyle="1" w:styleId="red-block">
    <w:name w:val="red-block"/>
    <w:rsid w:val="00C3321E"/>
    <w:rPr>
      <w:rFonts w:cs="Times New Roman"/>
    </w:rPr>
  </w:style>
  <w:style w:type="character" w:customStyle="1" w:styleId="accent">
    <w:name w:val="accent"/>
    <w:rsid w:val="00C3321E"/>
    <w:rPr>
      <w:rFonts w:cs="Times New Roman"/>
    </w:rPr>
  </w:style>
  <w:style w:type="character" w:customStyle="1" w:styleId="CharChar221">
    <w:name w:val="Char Char221"/>
    <w:rsid w:val="00C3321E"/>
    <w:rPr>
      <w:rFonts w:cs="Times New Roman"/>
      <w:lang w:val="ru-RU" w:eastAsia="ru-RU" w:bidi="ar-SA"/>
    </w:rPr>
  </w:style>
  <w:style w:type="character" w:customStyle="1" w:styleId="FontStyle37">
    <w:name w:val="Font Style37"/>
    <w:rsid w:val="00C3321E"/>
    <w:rPr>
      <w:rFonts w:ascii="Sylfaen" w:hAnsi="Sylfaen"/>
      <w:sz w:val="22"/>
    </w:rPr>
  </w:style>
  <w:style w:type="character" w:customStyle="1" w:styleId="CharChar161">
    <w:name w:val="Char Char161"/>
    <w:locked/>
    <w:rsid w:val="00C3321E"/>
    <w:rPr>
      <w:rFonts w:ascii="Cambria" w:hAnsi="Cambria"/>
      <w:b/>
      <w:kern w:val="32"/>
      <w:sz w:val="32"/>
      <w:lang w:val="fr-FR" w:eastAsia="en-US"/>
    </w:rPr>
  </w:style>
  <w:style w:type="numbering" w:customStyle="1" w:styleId="NoList4">
    <w:name w:val="No List4"/>
    <w:next w:val="NoList"/>
    <w:semiHidden/>
    <w:rsid w:val="00C524BD"/>
  </w:style>
  <w:style w:type="paragraph" w:customStyle="1" w:styleId="StyleHeading3Sub-ChapterCenteredtextHeading3CharCharC1">
    <w:name w:val="Style Heading 3(Sub-Chapter)Centered(text)Heading 3 Char Char C...1"/>
    <w:basedOn w:val="Heading3"/>
    <w:rsid w:val="00040B73"/>
    <w:rPr>
      <w:u w:val="single"/>
    </w:rPr>
  </w:style>
  <w:style w:type="paragraph" w:customStyle="1" w:styleId="1MTEF">
    <w:name w:val="1. MTEF"/>
    <w:basedOn w:val="StyleStyleHeading1SectionSectionHeadingText11Chapterhead31"/>
    <w:rsid w:val="00A6653E"/>
    <w:rPr>
      <w:b/>
      <w:bCs/>
    </w:rPr>
  </w:style>
  <w:style w:type="character" w:customStyle="1" w:styleId="CharChar181">
    <w:name w:val="Char Char181"/>
    <w:rsid w:val="004A19C3"/>
    <w:rPr>
      <w:rFonts w:ascii="Arial Armenian" w:eastAsia="Times New Roman" w:hAnsi="Arial Armenian"/>
      <w:i/>
      <w:sz w:val="22"/>
      <w:u w:val="single"/>
      <w:lang w:val="en-GB"/>
    </w:rPr>
  </w:style>
  <w:style w:type="character" w:customStyle="1" w:styleId="CharChar191">
    <w:name w:val="Char Char191"/>
    <w:rsid w:val="004A19C3"/>
    <w:rPr>
      <w:b/>
      <w:sz w:val="32"/>
      <w:lang w:val="en-GB" w:eastAsia="en-US" w:bidi="ar-SA"/>
    </w:rPr>
  </w:style>
  <w:style w:type="character" w:customStyle="1" w:styleId="CharChar201">
    <w:name w:val="Char Char201"/>
    <w:rsid w:val="004A19C3"/>
    <w:rPr>
      <w:rFonts w:ascii="Garamond" w:hAnsi="Garamond"/>
      <w:i/>
      <w:spacing w:val="-5"/>
      <w:sz w:val="28"/>
      <w:lang w:val="en-GB" w:eastAsia="en-US" w:bidi="ar-SA"/>
    </w:rPr>
  </w:style>
  <w:style w:type="numbering" w:customStyle="1" w:styleId="NoList11">
    <w:name w:val="No List11"/>
    <w:next w:val="NoList"/>
    <w:semiHidden/>
    <w:unhideWhenUsed/>
    <w:rsid w:val="004A19C3"/>
  </w:style>
  <w:style w:type="character" w:customStyle="1" w:styleId="CharChar171">
    <w:name w:val="Char Char171"/>
    <w:rsid w:val="004A19C3"/>
    <w:rPr>
      <w:rFonts w:ascii="Arial Armenian" w:hAnsi="Arial Armenian"/>
      <w:i/>
      <w:sz w:val="22"/>
      <w:u w:val="single"/>
      <w:lang w:val="en-GB" w:eastAsia="en-US" w:bidi="ar-SA"/>
    </w:rPr>
  </w:style>
  <w:style w:type="character" w:customStyle="1" w:styleId="CharChar281">
    <w:name w:val="Char Char281"/>
    <w:rsid w:val="004A19C3"/>
    <w:rPr>
      <w:rFonts w:ascii="Arial Armenian" w:hAnsi="Arial Armenian"/>
      <w:i/>
      <w:sz w:val="22"/>
      <w:u w:val="single"/>
      <w:lang w:val="en-GB"/>
    </w:rPr>
  </w:style>
  <w:style w:type="character" w:customStyle="1" w:styleId="CharChar271">
    <w:name w:val="Char Char271"/>
    <w:rsid w:val="004A19C3"/>
    <w:rPr>
      <w:rFonts w:ascii="Garamond" w:hAnsi="Garamond"/>
      <w:i/>
      <w:spacing w:val="-5"/>
      <w:sz w:val="28"/>
      <w:shd w:val="pct5" w:color="auto" w:fill="auto"/>
      <w:lang w:val="en-GB"/>
    </w:rPr>
  </w:style>
  <w:style w:type="character" w:customStyle="1" w:styleId="CharChar261">
    <w:name w:val="Char Char261"/>
    <w:rsid w:val="004A19C3"/>
    <w:rPr>
      <w:rFonts w:ascii="Arial Black" w:hAnsi="Arial Black"/>
      <w:caps/>
      <w:spacing w:val="60"/>
      <w:position w:val="4"/>
      <w:sz w:val="14"/>
      <w:lang w:val="en-GB"/>
    </w:rPr>
  </w:style>
  <w:style w:type="character" w:customStyle="1" w:styleId="CharChar251">
    <w:name w:val="Char Char251"/>
    <w:rsid w:val="004A19C3"/>
    <w:rPr>
      <w:rFonts w:ascii="Garamond" w:hAnsi="Garamond"/>
      <w:b/>
      <w:i/>
      <w:kern w:val="28"/>
      <w:lang w:val="en-GB"/>
    </w:rPr>
  </w:style>
  <w:style w:type="character" w:customStyle="1" w:styleId="CharChar241">
    <w:name w:val="Char Char241"/>
    <w:rsid w:val="004A19C3"/>
    <w:rPr>
      <w:rFonts w:ascii="Arial Armenian" w:hAnsi="Arial Armenian"/>
      <w:noProof/>
      <w:lang w:val="en-US" w:eastAsia="en-US" w:bidi="ar-SA"/>
    </w:rPr>
  </w:style>
  <w:style w:type="character" w:customStyle="1" w:styleId="CharChar231">
    <w:name w:val="Char Char231"/>
    <w:rsid w:val="004A19C3"/>
    <w:rPr>
      <w:rFonts w:ascii="Arial Armenian" w:hAnsi="Arial Armenian"/>
      <w:lang w:val="en-GB" w:eastAsia="en-US" w:bidi="ar-SA"/>
    </w:rPr>
  </w:style>
  <w:style w:type="character" w:customStyle="1" w:styleId="CharChar35">
    <w:name w:val="Char Char35"/>
    <w:rsid w:val="004A19C3"/>
    <w:rPr>
      <w:rFonts w:ascii="Arial Armenian" w:hAnsi="Arial Armenian"/>
      <w:i/>
      <w:sz w:val="22"/>
      <w:u w:val="single"/>
      <w:lang w:val="en-GB" w:eastAsia="x-none"/>
    </w:rPr>
  </w:style>
  <w:style w:type="character" w:customStyle="1" w:styleId="CharChar34">
    <w:name w:val="Char Char34"/>
    <w:rsid w:val="004A19C3"/>
    <w:rPr>
      <w:rFonts w:ascii="Garamond" w:hAnsi="Garamond"/>
      <w:i/>
      <w:spacing w:val="-5"/>
      <w:sz w:val="28"/>
      <w:shd w:val="pct5" w:color="auto" w:fill="auto"/>
      <w:lang w:val="en-GB" w:eastAsia="x-none"/>
    </w:rPr>
  </w:style>
  <w:style w:type="character" w:customStyle="1" w:styleId="CharChar33">
    <w:name w:val="Char Char33"/>
    <w:rsid w:val="004A19C3"/>
    <w:rPr>
      <w:rFonts w:ascii="Arial Black" w:hAnsi="Arial Black"/>
      <w:caps/>
      <w:spacing w:val="60"/>
      <w:position w:val="4"/>
      <w:sz w:val="14"/>
      <w:lang w:val="en-GB" w:eastAsia="x-none"/>
    </w:rPr>
  </w:style>
  <w:style w:type="character" w:customStyle="1" w:styleId="CharChar32">
    <w:name w:val="Char Char32"/>
    <w:rsid w:val="004A19C3"/>
    <w:rPr>
      <w:rFonts w:ascii="Garamond" w:hAnsi="Garamond"/>
      <w:b/>
      <w:i/>
      <w:kern w:val="28"/>
      <w:lang w:val="en-GB" w:eastAsia="x-none"/>
    </w:rPr>
  </w:style>
  <w:style w:type="character" w:customStyle="1" w:styleId="CharChar311">
    <w:name w:val="Char Char311"/>
    <w:rsid w:val="004A19C3"/>
    <w:rPr>
      <w:rFonts w:ascii="Arial Armenian" w:hAnsi="Arial Armenian"/>
      <w:noProof/>
      <w:lang w:val="en-US" w:eastAsia="en-US" w:bidi="ar-SA"/>
    </w:rPr>
  </w:style>
  <w:style w:type="character" w:customStyle="1" w:styleId="CharChar30">
    <w:name w:val="Char Char30"/>
    <w:rsid w:val="004A19C3"/>
    <w:rPr>
      <w:rFonts w:ascii="Arial Armenian" w:hAnsi="Arial Armenian"/>
      <w:lang w:val="en-GB" w:eastAsia="en-US" w:bidi="ar-SA"/>
    </w:rPr>
  </w:style>
  <w:style w:type="character" w:customStyle="1" w:styleId="CharChar29">
    <w:name w:val="Char Char29"/>
    <w:rsid w:val="004A19C3"/>
    <w:rPr>
      <w:rFonts w:ascii="Arial Armenian" w:hAnsi="Arial Armenian"/>
      <w:lang w:val="ru-RU" w:eastAsia="ru-RU" w:bidi="ar-SA"/>
    </w:rPr>
  </w:style>
  <w:style w:type="paragraph" w:customStyle="1" w:styleId="CharChar5CharCharCharCharCharChar">
    <w:name w:val="Char Char5 Char Char Char Char Char Char"/>
    <w:basedOn w:val="Normal"/>
    <w:rsid w:val="009E559A"/>
    <w:pPr>
      <w:tabs>
        <w:tab w:val="left" w:pos="709"/>
      </w:tabs>
    </w:pPr>
    <w:rPr>
      <w:rFonts w:ascii="Tahoma" w:hAnsi="Tahoma"/>
      <w:lang w:val="pl-PL" w:eastAsia="pl-PL"/>
    </w:rPr>
  </w:style>
  <w:style w:type="paragraph" w:customStyle="1" w:styleId="CharChar5CharCharCharChar">
    <w:name w:val="Char Char5 Char Char Char Char"/>
    <w:basedOn w:val="Normal"/>
    <w:rsid w:val="009E559A"/>
    <w:pPr>
      <w:tabs>
        <w:tab w:val="left" w:pos="709"/>
      </w:tabs>
    </w:pPr>
    <w:rPr>
      <w:rFonts w:ascii="Tahoma" w:hAnsi="Tahoma"/>
      <w:lang w:val="pl-PL" w:eastAsia="pl-PL"/>
    </w:rPr>
  </w:style>
  <w:style w:type="table" w:styleId="Table3Deffects3">
    <w:name w:val="Table 3D effects 3"/>
    <w:basedOn w:val="TableNormal"/>
    <w:rsid w:val="009E55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9E559A"/>
    <w:pPr>
      <w:tabs>
        <w:tab w:val="left" w:pos="709"/>
      </w:tabs>
    </w:pPr>
    <w:rPr>
      <w:rFonts w:ascii="Tahoma" w:hAnsi="Tahoma"/>
      <w:lang w:val="pl-PL" w:eastAsia="pl-PL"/>
    </w:rPr>
  </w:style>
  <w:style w:type="character" w:customStyle="1" w:styleId="tocnumber">
    <w:name w:val="tocnumber"/>
    <w:rsid w:val="009E559A"/>
  </w:style>
  <w:style w:type="character" w:customStyle="1" w:styleId="toctext">
    <w:name w:val="toctext"/>
    <w:rsid w:val="009E559A"/>
  </w:style>
  <w:style w:type="character" w:customStyle="1" w:styleId="mw-editsection">
    <w:name w:val="mw-editsection"/>
    <w:rsid w:val="009E559A"/>
  </w:style>
  <w:style w:type="character" w:customStyle="1" w:styleId="mw-editsection-bracket">
    <w:name w:val="mw-editsection-bracket"/>
    <w:rsid w:val="009E559A"/>
  </w:style>
  <w:style w:type="character" w:customStyle="1" w:styleId="mw-editsection-divider">
    <w:name w:val="mw-editsection-divider"/>
    <w:rsid w:val="009E559A"/>
  </w:style>
  <w:style w:type="character" w:customStyle="1" w:styleId="reference-text">
    <w:name w:val="reference-text"/>
    <w:rsid w:val="009E559A"/>
  </w:style>
  <w:style w:type="paragraph" w:styleId="z-TopofForm">
    <w:name w:val="HTML Top of Form"/>
    <w:basedOn w:val="Normal"/>
    <w:next w:val="Normal"/>
    <w:link w:val="z-TopofFormChar"/>
    <w:hidden/>
    <w:uiPriority w:val="99"/>
    <w:unhideWhenUsed/>
    <w:rsid w:val="009E559A"/>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9E559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E559A"/>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9E559A"/>
    <w:rPr>
      <w:rFonts w:ascii="Arial" w:hAnsi="Arial" w:cs="Arial"/>
      <w:vanish/>
      <w:sz w:val="16"/>
      <w:szCs w:val="16"/>
    </w:rPr>
  </w:style>
  <w:style w:type="character" w:customStyle="1" w:styleId="wb-langlinks-edit">
    <w:name w:val="wb-langlinks-edit"/>
    <w:rsid w:val="009E559A"/>
  </w:style>
  <w:style w:type="character" w:customStyle="1" w:styleId="noprint">
    <w:name w:val="noprint"/>
    <w:rsid w:val="009E559A"/>
  </w:style>
  <w:style w:type="character" w:customStyle="1" w:styleId="pg">
    <w:name w:val="pg"/>
    <w:rsid w:val="009E559A"/>
  </w:style>
  <w:style w:type="paragraph" w:customStyle="1" w:styleId="DecimalAligned">
    <w:name w:val="Decimal Aligned"/>
    <w:basedOn w:val="Normal"/>
    <w:uiPriority w:val="40"/>
    <w:qFormat/>
    <w:rsid w:val="009E559A"/>
    <w:pPr>
      <w:tabs>
        <w:tab w:val="decimal" w:pos="360"/>
      </w:tabs>
      <w:spacing w:after="200" w:line="276" w:lineRule="auto"/>
    </w:pPr>
    <w:rPr>
      <w:rFonts w:ascii="Calibri" w:eastAsia="Calibri" w:hAnsi="Calibri"/>
      <w:lang w:eastAsia="ja-JP"/>
    </w:rPr>
  </w:style>
  <w:style w:type="paragraph" w:styleId="HTMLPreformatted">
    <w:name w:val="HTML Preformatted"/>
    <w:basedOn w:val="Normal"/>
    <w:link w:val="HTMLPreformattedChar"/>
    <w:uiPriority w:val="99"/>
    <w:unhideWhenUsed/>
    <w:rsid w:val="009E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sz w:val="20"/>
      <w:szCs w:val="20"/>
      <w:lang w:val="x-none" w:eastAsia="x-none"/>
    </w:rPr>
  </w:style>
  <w:style w:type="character" w:customStyle="1" w:styleId="HTMLPreformattedChar">
    <w:name w:val="HTML Preformatted Char"/>
    <w:link w:val="HTMLPreformatted"/>
    <w:uiPriority w:val="99"/>
    <w:rsid w:val="009E559A"/>
    <w:rPr>
      <w:rFonts w:ascii="Arial Unicode" w:hAnsi="Arial Unicode" w:cs="Courier New"/>
    </w:rPr>
  </w:style>
  <w:style w:type="paragraph" w:customStyle="1" w:styleId="paragraph">
    <w:name w:val="paragraph"/>
    <w:basedOn w:val="Normal"/>
    <w:rsid w:val="009E559A"/>
    <w:pPr>
      <w:spacing w:before="100" w:beforeAutospacing="1" w:after="100" w:afterAutospacing="1"/>
    </w:pPr>
  </w:style>
  <w:style w:type="character" w:customStyle="1" w:styleId="normaltextrun">
    <w:name w:val="normaltextrun"/>
    <w:rsid w:val="009E559A"/>
  </w:style>
  <w:style w:type="paragraph" w:customStyle="1" w:styleId="StyleCaption11pt">
    <w:name w:val="Style Caption + 11 pt"/>
    <w:basedOn w:val="Caption"/>
    <w:link w:val="StyleCaption11ptChar"/>
    <w:rsid w:val="00850B5D"/>
    <w:pPr>
      <w:keepNext w:val="0"/>
      <w:keepLines w:val="0"/>
      <w:widowControl/>
      <w:spacing w:before="360" w:after="120"/>
      <w:ind w:left="1350" w:hanging="1350"/>
      <w:jc w:val="left"/>
    </w:pPr>
    <w:rPr>
      <w:rFonts w:cs="Times New Roman"/>
      <w:b/>
      <w:bCs/>
      <w:lang w:val="x-none" w:eastAsia="ru-RU"/>
    </w:rPr>
  </w:style>
  <w:style w:type="character" w:customStyle="1" w:styleId="StyleCaption11ptChar">
    <w:name w:val="Style Caption + 11 pt Char"/>
    <w:link w:val="StyleCaption11pt"/>
    <w:rsid w:val="00850B5D"/>
    <w:rPr>
      <w:rFonts w:ascii="GHEA Grapalat" w:hAnsi="GHEA Grapalat"/>
      <w:b/>
      <w:bCs/>
      <w:lang w:val="x-none" w:eastAsia="ru-RU"/>
    </w:rPr>
  </w:style>
  <w:style w:type="paragraph" w:customStyle="1" w:styleId="StyleHeading3GHEAGrapalatJustified">
    <w:name w:val="Style Heading 3 + GHEA Grapalat Justified"/>
    <w:basedOn w:val="Heading3"/>
    <w:rsid w:val="00850B5D"/>
    <w:pPr>
      <w:widowControl/>
      <w:numPr>
        <w:ilvl w:val="0"/>
        <w:numId w:val="0"/>
      </w:numPr>
      <w:tabs>
        <w:tab w:val="clear" w:pos="624"/>
        <w:tab w:val="num" w:pos="384"/>
        <w:tab w:val="num" w:pos="737"/>
      </w:tabs>
      <w:spacing w:before="360" w:after="240" w:line="240" w:lineRule="auto"/>
      <w:ind w:left="1248" w:right="0" w:hanging="708"/>
    </w:pPr>
    <w:rPr>
      <w:rFonts w:cs="Times New Roman"/>
      <w:color w:val="auto"/>
      <w:lang w:val="en-GB" w:eastAsia="ru-RU"/>
    </w:rPr>
  </w:style>
  <w:style w:type="paragraph" w:customStyle="1" w:styleId="TitleNew">
    <w:name w:val="Title New"/>
    <w:basedOn w:val="Normal"/>
    <w:rsid w:val="00850B5D"/>
    <w:pPr>
      <w:widowControl w:val="0"/>
      <w:spacing w:line="360" w:lineRule="atLeast"/>
    </w:pPr>
    <w:rPr>
      <w:rFonts w:eastAsia="ヒラギノ角ゴ Pro W3"/>
      <w:b/>
      <w:color w:val="000000"/>
      <w:sz w:val="4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
    <w:link w:val="NormalWeb"/>
    <w:locked/>
    <w:rsid w:val="00850B5D"/>
    <w:rPr>
      <w:sz w:val="24"/>
    </w:rPr>
  </w:style>
  <w:style w:type="paragraph" w:customStyle="1" w:styleId="36">
    <w:name w:val="Абзац списка3"/>
    <w:basedOn w:val="Normal"/>
    <w:uiPriority w:val="99"/>
    <w:qFormat/>
    <w:rsid w:val="001716C4"/>
    <w:pPr>
      <w:ind w:left="720"/>
      <w:contextualSpacing/>
    </w:pPr>
    <w:rPr>
      <w:lang w:val="ru-RU" w:eastAsia="ru-RU"/>
    </w:rPr>
  </w:style>
  <w:style w:type="character" w:customStyle="1" w:styleId="af3">
    <w:name w:val="Основной текст"/>
    <w:rsid w:val="001716C4"/>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1716C4"/>
    <w:pPr>
      <w:autoSpaceDE w:val="0"/>
      <w:autoSpaceDN w:val="0"/>
      <w:adjustRightInd w:val="0"/>
      <w:ind w:firstLine="180"/>
    </w:pPr>
    <w:rPr>
      <w:b/>
      <w:i/>
      <w:lang w:eastAsia="ru-RU"/>
    </w:rPr>
  </w:style>
  <w:style w:type="character" w:customStyle="1" w:styleId="CommentTextChar2">
    <w:name w:val="Comment Text Char2"/>
    <w:rsid w:val="00EF35AD"/>
    <w:rPr>
      <w:rFonts w:ascii="Arial Armenian" w:hAnsi="Arial Armenian"/>
      <w:lang w:val="ru-RU" w:eastAsia="ru-RU" w:bidi="ar-SA"/>
    </w:rPr>
  </w:style>
  <w:style w:type="character" w:customStyle="1" w:styleId="BalloonTextChar2">
    <w:name w:val="Balloon Text Char2"/>
    <w:rsid w:val="00EF35AD"/>
    <w:rPr>
      <w:rFonts w:ascii="Tahoma" w:hAnsi="Tahoma"/>
      <w:sz w:val="16"/>
      <w:szCs w:val="16"/>
      <w:lang w:bidi="ar-SA"/>
    </w:rPr>
  </w:style>
  <w:style w:type="character" w:customStyle="1" w:styleId="Bodytext20">
    <w:name w:val="Body text (2)_"/>
    <w:link w:val="Bodytext23"/>
    <w:uiPriority w:val="99"/>
    <w:locked/>
    <w:rsid w:val="00EF35AD"/>
    <w:rPr>
      <w:rFonts w:ascii="Tahoma" w:hAnsi="Tahoma" w:cs="Tahoma"/>
      <w:sz w:val="21"/>
      <w:szCs w:val="21"/>
      <w:shd w:val="clear" w:color="auto" w:fill="FFFFFF"/>
    </w:rPr>
  </w:style>
  <w:style w:type="paragraph" w:customStyle="1" w:styleId="Bodytext23">
    <w:name w:val="Body text (2)"/>
    <w:basedOn w:val="Normal"/>
    <w:link w:val="Bodytext20"/>
    <w:uiPriority w:val="99"/>
    <w:rsid w:val="00EF35AD"/>
    <w:pPr>
      <w:widowControl w:val="0"/>
      <w:shd w:val="clear" w:color="auto" w:fill="FFFFFF"/>
      <w:spacing w:before="720" w:line="485" w:lineRule="exact"/>
    </w:pPr>
    <w:rPr>
      <w:rFonts w:ascii="Tahoma" w:hAnsi="Tahoma"/>
      <w:sz w:val="21"/>
      <w:szCs w:val="21"/>
      <w:lang w:val="x-none" w:eastAsia="x-none"/>
    </w:rPr>
  </w:style>
  <w:style w:type="paragraph" w:customStyle="1" w:styleId="Appendix">
    <w:name w:val="Appendix"/>
    <w:basedOn w:val="Normal"/>
    <w:next w:val="Normal"/>
    <w:uiPriority w:val="6"/>
    <w:qFormat/>
    <w:rsid w:val="00BC4108"/>
    <w:pPr>
      <w:spacing w:after="240" w:line="264" w:lineRule="auto"/>
      <w:jc w:val="center"/>
    </w:pPr>
    <w:rPr>
      <w:rFonts w:ascii="Segoe UI" w:eastAsia="SimSun" w:hAnsi="Segoe UI"/>
      <w:b/>
      <w:color w:val="C45911"/>
      <w:sz w:val="32"/>
      <w:szCs w:val="20"/>
    </w:rPr>
  </w:style>
  <w:style w:type="paragraph" w:customStyle="1" w:styleId="dec-date">
    <w:name w:val="dec-date"/>
    <w:basedOn w:val="Normal"/>
    <w:uiPriority w:val="99"/>
    <w:rsid w:val="00BC4108"/>
    <w:pPr>
      <w:spacing w:before="100" w:beforeAutospacing="1" w:after="100" w:afterAutospacing="1"/>
    </w:pPr>
  </w:style>
  <w:style w:type="paragraph" w:customStyle="1" w:styleId="37">
    <w:name w:val="Обычный3"/>
    <w:rsid w:val="006842D6"/>
    <w:pPr>
      <w:autoSpaceDE w:val="0"/>
      <w:autoSpaceDN w:val="0"/>
    </w:pPr>
    <w:rPr>
      <w:lang w:val="ru-RU" w:eastAsia="ru-RU"/>
    </w:rPr>
  </w:style>
  <w:style w:type="paragraph" w:customStyle="1" w:styleId="1f">
    <w:name w:val="Рецензия1"/>
    <w:hidden/>
    <w:uiPriority w:val="99"/>
    <w:semiHidden/>
    <w:rsid w:val="006842D6"/>
    <w:rPr>
      <w:rFonts w:ascii="Arial Armenian" w:hAnsi="Arial Armenian" w:cs="Sylfaen"/>
      <w:sz w:val="24"/>
      <w:szCs w:val="24"/>
      <w:lang w:val="ru-RU" w:eastAsia="ru-RU"/>
    </w:rPr>
  </w:style>
  <w:style w:type="paragraph" w:customStyle="1" w:styleId="1f0">
    <w:name w:val="Заголовок оглавления1"/>
    <w:basedOn w:val="Heading1"/>
    <w:next w:val="Normal"/>
    <w:uiPriority w:val="39"/>
    <w:unhideWhenUsed/>
    <w:qFormat/>
    <w:rsid w:val="006842D6"/>
    <w:pPr>
      <w:keepLines/>
      <w:spacing w:before="480" w:after="0" w:line="276" w:lineRule="auto"/>
      <w:outlineLvl w:val="9"/>
    </w:pPr>
    <w:rPr>
      <w:rFonts w:ascii="Cambria" w:hAnsi="Cambria" w:cs="Times New Roman"/>
      <w:color w:val="365F91"/>
      <w:kern w:val="0"/>
      <w:szCs w:val="28"/>
    </w:rPr>
  </w:style>
  <w:style w:type="paragraph" w:customStyle="1" w:styleId="213">
    <w:name w:val="Цитата 21"/>
    <w:basedOn w:val="Normal"/>
    <w:next w:val="Normal"/>
    <w:uiPriority w:val="29"/>
    <w:qFormat/>
    <w:rsid w:val="006842D6"/>
    <w:rPr>
      <w:i/>
      <w:iCs/>
      <w:color w:val="000000"/>
      <w:lang w:val="x-none" w:eastAsia="x-none"/>
    </w:rPr>
  </w:style>
  <w:style w:type="character" w:customStyle="1" w:styleId="1f1">
    <w:name w:val="Сильное выделение1"/>
    <w:uiPriority w:val="21"/>
    <w:qFormat/>
    <w:rsid w:val="006842D6"/>
    <w:rPr>
      <w:b/>
      <w:bCs/>
      <w:i/>
      <w:iCs/>
      <w:color w:val="4F81BD"/>
    </w:rPr>
  </w:style>
  <w:style w:type="numbering" w:customStyle="1" w:styleId="112">
    <w:name w:val="Нет списка11"/>
    <w:next w:val="NoList"/>
    <w:semiHidden/>
    <w:unhideWhenUsed/>
    <w:rsid w:val="006842D6"/>
  </w:style>
  <w:style w:type="paragraph" w:customStyle="1" w:styleId="1f2">
    <w:name w:val="Выделенная цитата1"/>
    <w:basedOn w:val="Normal"/>
    <w:next w:val="Normal"/>
    <w:qFormat/>
    <w:rsid w:val="006842D6"/>
    <w:pPr>
      <w:pBdr>
        <w:bottom w:val="single" w:sz="4" w:space="4" w:color="4F81BD"/>
      </w:pBdr>
      <w:spacing w:before="200" w:after="280"/>
      <w:ind w:left="936" w:right="936"/>
    </w:pPr>
    <w:rPr>
      <w:b/>
      <w:bCs/>
      <w:i/>
      <w:iCs/>
      <w:color w:val="4F81BD"/>
      <w:lang w:val="x-none" w:eastAsia="x-none"/>
    </w:rPr>
  </w:style>
  <w:style w:type="character" w:customStyle="1" w:styleId="1f3">
    <w:name w:val="Слабое выделение1"/>
    <w:qFormat/>
    <w:rsid w:val="006842D6"/>
    <w:rPr>
      <w:rFonts w:cs="Times New Roman"/>
      <w:i/>
      <w:iCs/>
      <w:color w:val="808080"/>
    </w:rPr>
  </w:style>
  <w:style w:type="character" w:customStyle="1" w:styleId="1f4">
    <w:name w:val="Слабая ссылка1"/>
    <w:qFormat/>
    <w:rsid w:val="006842D6"/>
    <w:rPr>
      <w:rFonts w:cs="Times New Roman"/>
      <w:smallCaps/>
      <w:color w:val="C0504D"/>
      <w:u w:val="single"/>
    </w:rPr>
  </w:style>
  <w:style w:type="character" w:customStyle="1" w:styleId="1f5">
    <w:name w:val="Сильная ссылка1"/>
    <w:qFormat/>
    <w:rsid w:val="006842D6"/>
    <w:rPr>
      <w:rFonts w:cs="Times New Roman"/>
      <w:b/>
      <w:bCs/>
      <w:smallCaps/>
      <w:color w:val="C0504D"/>
      <w:spacing w:val="5"/>
      <w:u w:val="single"/>
    </w:rPr>
  </w:style>
  <w:style w:type="character" w:customStyle="1" w:styleId="1f6">
    <w:name w:val="Название книги1"/>
    <w:qFormat/>
    <w:rsid w:val="006842D6"/>
    <w:rPr>
      <w:rFonts w:cs="Times New Roman"/>
      <w:b/>
      <w:bCs/>
      <w:smallCaps/>
      <w:spacing w:val="5"/>
    </w:rPr>
  </w:style>
  <w:style w:type="character" w:customStyle="1" w:styleId="CharChar351">
    <w:name w:val="Char Char351"/>
    <w:rsid w:val="006842D6"/>
    <w:rPr>
      <w:rFonts w:ascii="Arial Armenian" w:hAnsi="Arial Armenian"/>
      <w:i/>
      <w:sz w:val="22"/>
      <w:u w:val="single"/>
      <w:lang w:val="en-GB" w:eastAsia="x-none"/>
    </w:rPr>
  </w:style>
  <w:style w:type="character" w:customStyle="1" w:styleId="CharChar341">
    <w:name w:val="Char Char341"/>
    <w:rsid w:val="006842D6"/>
    <w:rPr>
      <w:rFonts w:ascii="Garamond" w:hAnsi="Garamond"/>
      <w:i/>
      <w:spacing w:val="-5"/>
      <w:sz w:val="28"/>
      <w:shd w:val="pct5" w:color="auto" w:fill="auto"/>
      <w:lang w:val="en-GB" w:eastAsia="x-none"/>
    </w:rPr>
  </w:style>
  <w:style w:type="character" w:customStyle="1" w:styleId="CharChar331">
    <w:name w:val="Char Char331"/>
    <w:rsid w:val="006842D6"/>
    <w:rPr>
      <w:rFonts w:ascii="Arial Black" w:hAnsi="Arial Black"/>
      <w:caps/>
      <w:spacing w:val="60"/>
      <w:position w:val="4"/>
      <w:sz w:val="14"/>
      <w:lang w:val="en-GB" w:eastAsia="x-none"/>
    </w:rPr>
  </w:style>
  <w:style w:type="character" w:customStyle="1" w:styleId="CharChar321">
    <w:name w:val="Char Char321"/>
    <w:rsid w:val="006842D6"/>
    <w:rPr>
      <w:rFonts w:ascii="Garamond" w:hAnsi="Garamond"/>
      <w:b/>
      <w:i/>
      <w:kern w:val="28"/>
      <w:lang w:val="en-GB" w:eastAsia="x-none"/>
    </w:rPr>
  </w:style>
  <w:style w:type="character" w:customStyle="1" w:styleId="CharChar301">
    <w:name w:val="Char Char301"/>
    <w:rsid w:val="006842D6"/>
    <w:rPr>
      <w:rFonts w:ascii="Arial Armenian" w:hAnsi="Arial Armenian"/>
      <w:lang w:val="en-GB" w:eastAsia="en-US" w:bidi="ar-SA"/>
    </w:rPr>
  </w:style>
  <w:style w:type="character" w:customStyle="1" w:styleId="CharChar291">
    <w:name w:val="Char Char291"/>
    <w:rsid w:val="006842D6"/>
    <w:rPr>
      <w:rFonts w:ascii="Arial Armenian" w:hAnsi="Arial Armenian"/>
      <w:lang w:val="ru-RU" w:eastAsia="ru-RU" w:bidi="ar-SA"/>
    </w:rPr>
  </w:style>
  <w:style w:type="character" w:customStyle="1" w:styleId="SubtitleChar2">
    <w:name w:val="Subtitle Char2"/>
    <w:rsid w:val="007B4497"/>
    <w:rPr>
      <w:rFonts w:ascii="Times Armenian" w:hAnsi="Times Armenian"/>
      <w:b/>
      <w:sz w:val="28"/>
      <w:szCs w:val="24"/>
      <w:lang w:eastAsia="ru-RU"/>
    </w:rPr>
  </w:style>
  <w:style w:type="paragraph" w:customStyle="1" w:styleId="msonormal0">
    <w:name w:val="msonormal"/>
    <w:basedOn w:val="Normal"/>
    <w:rsid w:val="00C6712C"/>
    <w:pPr>
      <w:spacing w:before="100" w:beforeAutospacing="1" w:after="100" w:afterAutospacing="1"/>
    </w:pPr>
  </w:style>
  <w:style w:type="paragraph" w:customStyle="1" w:styleId="textbox">
    <w:name w:val="textbox"/>
    <w:basedOn w:val="Normal"/>
    <w:rsid w:val="00C6712C"/>
    <w:pPr>
      <w:spacing w:line="160" w:lineRule="exact"/>
    </w:pPr>
    <w:rPr>
      <w:smallCaps/>
      <w:sz w:val="16"/>
      <w:szCs w:val="20"/>
    </w:rPr>
  </w:style>
  <w:style w:type="character" w:customStyle="1" w:styleId="t121">
    <w:name w:val="t121"/>
    <w:rsid w:val="00C6712C"/>
    <w:rPr>
      <w:b/>
      <w:bCs/>
      <w:color w:val="191970"/>
    </w:rPr>
  </w:style>
  <w:style w:type="character" w:customStyle="1" w:styleId="t61">
    <w:name w:val="t61"/>
    <w:rsid w:val="00C6712C"/>
    <w:rPr>
      <w:b/>
      <w:bCs/>
      <w:color w:val="191970"/>
    </w:rPr>
  </w:style>
  <w:style w:type="table" w:customStyle="1" w:styleId="TableGrid10">
    <w:name w:val="Table Grid1"/>
    <w:basedOn w:val="TableNormal"/>
    <w:next w:val="TableGrid"/>
    <w:rsid w:val="00C67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Char3">
    <w:name w:val="Char Char Char Char Знак Char Знак Char Char Char Char Char Char Char Char Char Char3"/>
    <w:basedOn w:val="Normal"/>
    <w:rsid w:val="00C6712C"/>
    <w:pPr>
      <w:tabs>
        <w:tab w:val="left" w:pos="709"/>
      </w:tabs>
    </w:pPr>
    <w:rPr>
      <w:rFonts w:ascii="Tahoma" w:hAnsi="Tahoma" w:cs="Tahoma"/>
      <w:lang w:val="pl-PL" w:eastAsia="pl-PL"/>
    </w:rPr>
  </w:style>
  <w:style w:type="paragraph" w:customStyle="1" w:styleId="CharCharCharCharCharCharCharCharCharCharCharCharCharCharChar4">
    <w:name w:val="Char Char Char Char Знак Char Знак Char Char Char Char Char Char Char Char Char Char4"/>
    <w:basedOn w:val="Normal"/>
    <w:rsid w:val="00C6712C"/>
    <w:pPr>
      <w:tabs>
        <w:tab w:val="left" w:pos="709"/>
      </w:tabs>
    </w:pPr>
    <w:rPr>
      <w:rFonts w:ascii="Tahoma" w:hAnsi="Tahoma" w:cs="Tahoma"/>
      <w:lang w:val="pl-PL" w:eastAsia="pl-PL"/>
    </w:rPr>
  </w:style>
  <w:style w:type="character" w:customStyle="1" w:styleId="CharChar61">
    <w:name w:val="Char Char61"/>
    <w:locked/>
    <w:rsid w:val="00C6712C"/>
    <w:rPr>
      <w:rFonts w:ascii="Times LatArm" w:eastAsia="Calibri" w:hAnsi="Times LatArm" w:cs="Times LatArm"/>
      <w:sz w:val="22"/>
      <w:szCs w:val="22"/>
      <w:lang w:val="en-GB" w:eastAsia="en-US" w:bidi="ar-SA"/>
    </w:rPr>
  </w:style>
  <w:style w:type="character" w:customStyle="1" w:styleId="CentredCharChar">
    <w:name w:val="Centred Char Char"/>
    <w:locked/>
    <w:rsid w:val="00C6712C"/>
    <w:rPr>
      <w:rFonts w:eastAsia="Calibri"/>
      <w:b/>
      <w:bCs/>
      <w:i/>
      <w:iCs/>
      <w:sz w:val="24"/>
      <w:szCs w:val="24"/>
      <w:lang w:val="en-GB" w:eastAsia="en-US" w:bidi="ar-SA"/>
    </w:rPr>
  </w:style>
  <w:style w:type="character" w:customStyle="1" w:styleId="SideCharChar">
    <w:name w:val="Side Char Char"/>
    <w:locked/>
    <w:rsid w:val="00C6712C"/>
    <w:rPr>
      <w:rFonts w:eastAsia="Calibri"/>
      <w:sz w:val="22"/>
      <w:szCs w:val="22"/>
      <w:lang w:val="en-GB" w:eastAsia="en-US" w:bidi="ar-SA"/>
    </w:rPr>
  </w:style>
  <w:style w:type="character" w:customStyle="1" w:styleId="CharChar8">
    <w:name w:val="Char Char8"/>
    <w:locked/>
    <w:rsid w:val="00C6712C"/>
    <w:rPr>
      <w:rFonts w:ascii="Times Armenian" w:eastAsia="Calibri" w:hAnsi="Times Armenian" w:cs="Times Armenian"/>
      <w:color w:val="993300"/>
      <w:sz w:val="22"/>
      <w:szCs w:val="22"/>
      <w:lang w:val="hy-AM" w:eastAsia="en-US" w:bidi="ar-SA"/>
    </w:rPr>
  </w:style>
  <w:style w:type="character" w:customStyle="1" w:styleId="CharChar7">
    <w:name w:val="Char Char7"/>
    <w:locked/>
    <w:rsid w:val="00C6712C"/>
    <w:rPr>
      <w:rFonts w:ascii="Courier New" w:eastAsia="Calibri" w:hAnsi="Courier New" w:cs="Courier New"/>
      <w:lang w:val="en-US" w:eastAsia="en-US" w:bidi="ar-SA"/>
    </w:rPr>
  </w:style>
  <w:style w:type="character" w:customStyle="1" w:styleId="CharChar41">
    <w:name w:val="Char Char41"/>
    <w:locked/>
    <w:rsid w:val="00C6712C"/>
    <w:rPr>
      <w:rFonts w:eastAsia="Calibri"/>
      <w:sz w:val="22"/>
      <w:szCs w:val="22"/>
      <w:lang w:val="en-GB" w:eastAsia="en-US" w:bidi="ar-SA"/>
    </w:rPr>
  </w:style>
  <w:style w:type="character" w:customStyle="1" w:styleId="CharChar36">
    <w:name w:val="Char Char36"/>
    <w:locked/>
    <w:rsid w:val="00C6712C"/>
    <w:rPr>
      <w:rFonts w:eastAsia="Calibri"/>
      <w:sz w:val="22"/>
      <w:szCs w:val="22"/>
      <w:lang w:val="en-GB" w:eastAsia="en-US" w:bidi="ar-SA"/>
    </w:rPr>
  </w:style>
  <w:style w:type="character" w:customStyle="1" w:styleId="CharChar210">
    <w:name w:val="Char Char210"/>
    <w:locked/>
    <w:rsid w:val="00C6712C"/>
    <w:rPr>
      <w:rFonts w:ascii="Times Armenian" w:eastAsia="Calibri" w:hAnsi="Times Armenian" w:cs="Times Armenian"/>
      <w:b/>
      <w:bCs/>
      <w:sz w:val="22"/>
      <w:szCs w:val="22"/>
      <w:lang w:val="en-US" w:eastAsia="en-US" w:bidi="ar-SA"/>
    </w:rPr>
  </w:style>
  <w:style w:type="numbering" w:customStyle="1" w:styleId="NoList5">
    <w:name w:val="No List5"/>
    <w:next w:val="NoList"/>
    <w:uiPriority w:val="99"/>
    <w:semiHidden/>
    <w:rsid w:val="00C6712C"/>
  </w:style>
  <w:style w:type="numbering" w:customStyle="1" w:styleId="NoList6">
    <w:name w:val="No List6"/>
    <w:next w:val="NoList"/>
    <w:uiPriority w:val="99"/>
    <w:semiHidden/>
    <w:unhideWhenUsed/>
    <w:rsid w:val="00B528FC"/>
  </w:style>
  <w:style w:type="table" w:customStyle="1" w:styleId="TableGrid2">
    <w:name w:val="Table Grid2"/>
    <w:basedOn w:val="TableNormal"/>
    <w:next w:val="TableGrid"/>
    <w:rsid w:val="00B52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mak">
    <w:name w:val="namak Знак"/>
    <w:link w:val="namak0"/>
    <w:locked/>
    <w:rsid w:val="00B528FC"/>
    <w:rPr>
      <w:rFonts w:ascii="GHEA Grapalat" w:hAnsi="GHEA Grapalat"/>
      <w:spacing w:val="-4"/>
      <w:sz w:val="24"/>
      <w:szCs w:val="24"/>
    </w:rPr>
  </w:style>
  <w:style w:type="paragraph" w:customStyle="1" w:styleId="namak0">
    <w:name w:val="namak"/>
    <w:basedOn w:val="Normal"/>
    <w:link w:val="namak"/>
    <w:rsid w:val="00B528FC"/>
    <w:pPr>
      <w:spacing w:line="400" w:lineRule="exact"/>
      <w:ind w:firstLine="397"/>
    </w:pPr>
    <w:rPr>
      <w:spacing w:val="-4"/>
      <w:lang w:val="x-none" w:eastAsia="x-none"/>
    </w:rPr>
  </w:style>
  <w:style w:type="numbering" w:customStyle="1" w:styleId="NoList7">
    <w:name w:val="No List7"/>
    <w:next w:val="NoList"/>
    <w:uiPriority w:val="99"/>
    <w:semiHidden/>
    <w:unhideWhenUsed/>
    <w:rsid w:val="00433F56"/>
  </w:style>
  <w:style w:type="numbering" w:customStyle="1" w:styleId="NoList12">
    <w:name w:val="No List12"/>
    <w:next w:val="NoList"/>
    <w:uiPriority w:val="99"/>
    <w:semiHidden/>
    <w:unhideWhenUsed/>
    <w:rsid w:val="00433F56"/>
  </w:style>
  <w:style w:type="table" w:customStyle="1" w:styleId="TableGrid30">
    <w:name w:val="Table Grid3"/>
    <w:basedOn w:val="TableNormal"/>
    <w:next w:val="TableGrid"/>
    <w:rsid w:val="0043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rsid w:val="00654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654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654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654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
    <w:name w:val="Colorful Grid - Accent 12"/>
    <w:basedOn w:val="TableNormal"/>
    <w:next w:val="ColorfulGrid-Accent1"/>
    <w:rsid w:val="00654F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
    <w:name w:val="Light List - Accent 52"/>
    <w:basedOn w:val="TableNormal"/>
    <w:next w:val="LightList-Accent5"/>
    <w:rsid w:val="00654F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ullet2">
    <w:name w:val="Bullet 2"/>
    <w:basedOn w:val="Normal"/>
    <w:autoRedefine/>
    <w:qFormat/>
    <w:rsid w:val="00654F98"/>
    <w:pPr>
      <w:widowControl w:val="0"/>
      <w:tabs>
        <w:tab w:val="left" w:pos="851"/>
        <w:tab w:val="left" w:pos="993"/>
      </w:tabs>
      <w:ind w:left="567"/>
      <w:contextualSpacing/>
    </w:pPr>
    <w:rPr>
      <w:rFonts w:cs="Sylfaen"/>
      <w:b/>
      <w:lang w:val="ro-RO" w:eastAsia="ru-RU"/>
    </w:rPr>
  </w:style>
  <w:style w:type="paragraph" w:customStyle="1" w:styleId="CharChar5CharCharCharCharCharChar1">
    <w:name w:val="Char Char5 Char Char Char Char Char Char1"/>
    <w:basedOn w:val="Normal"/>
    <w:rsid w:val="0003671D"/>
    <w:pPr>
      <w:tabs>
        <w:tab w:val="left" w:pos="709"/>
      </w:tabs>
    </w:pPr>
    <w:rPr>
      <w:rFonts w:ascii="Tahoma" w:hAnsi="Tahoma"/>
      <w:lang w:val="pl-PL" w:eastAsia="pl-PL"/>
    </w:rPr>
  </w:style>
  <w:style w:type="paragraph" w:customStyle="1" w:styleId="CharChar5CharCharCharChar1">
    <w:name w:val="Char Char5 Char Char Char Char1"/>
    <w:basedOn w:val="Normal"/>
    <w:rsid w:val="0003671D"/>
    <w:pPr>
      <w:tabs>
        <w:tab w:val="left" w:pos="709"/>
      </w:tabs>
    </w:pPr>
    <w:rPr>
      <w:rFonts w:ascii="Tahoma" w:hAnsi="Tahoma"/>
      <w:lang w:val="pl-PL" w:eastAsia="pl-PL"/>
    </w:rPr>
  </w:style>
  <w:style w:type="paragraph" w:customStyle="1" w:styleId="CharChar5CharChar1">
    <w:name w:val="Char Char5 Char Char1"/>
    <w:basedOn w:val="Normal"/>
    <w:rsid w:val="0003671D"/>
    <w:pPr>
      <w:tabs>
        <w:tab w:val="left" w:pos="709"/>
      </w:tabs>
    </w:pPr>
    <w:rPr>
      <w:rFonts w:ascii="Tahoma" w:hAnsi="Tahoma"/>
      <w:lang w:val="pl-PL" w:eastAsia="pl-PL"/>
    </w:rPr>
  </w:style>
  <w:style w:type="numbering" w:customStyle="1" w:styleId="NoList8">
    <w:name w:val="No List8"/>
    <w:next w:val="NoList"/>
    <w:uiPriority w:val="99"/>
    <w:semiHidden/>
    <w:unhideWhenUsed/>
    <w:rsid w:val="004336B6"/>
  </w:style>
  <w:style w:type="numbering" w:customStyle="1" w:styleId="121">
    <w:name w:val="Нет списка12"/>
    <w:next w:val="NoList"/>
    <w:uiPriority w:val="99"/>
    <w:semiHidden/>
    <w:unhideWhenUsed/>
    <w:rsid w:val="004336B6"/>
  </w:style>
  <w:style w:type="paragraph" w:customStyle="1" w:styleId="2b">
    <w:name w:val="Абзац списка2"/>
    <w:basedOn w:val="Normal"/>
    <w:uiPriority w:val="99"/>
    <w:qFormat/>
    <w:rsid w:val="004336B6"/>
    <w:pPr>
      <w:spacing w:after="200" w:line="276" w:lineRule="auto"/>
      <w:ind w:left="720"/>
      <w:contextualSpacing/>
    </w:pPr>
    <w:rPr>
      <w:rFonts w:ascii="Calibri" w:hAnsi="Calibri"/>
      <w:lang w:val="ru-RU" w:eastAsia="ru-RU"/>
    </w:rPr>
  </w:style>
  <w:style w:type="paragraph" w:customStyle="1" w:styleId="45">
    <w:name w:val="Обычный4"/>
    <w:rsid w:val="004336B6"/>
    <w:pPr>
      <w:autoSpaceDE w:val="0"/>
      <w:autoSpaceDN w:val="0"/>
    </w:pPr>
    <w:rPr>
      <w:lang w:val="ru-RU" w:eastAsia="ru-RU"/>
    </w:rPr>
  </w:style>
  <w:style w:type="numbering" w:customStyle="1" w:styleId="NoList13">
    <w:name w:val="No List13"/>
    <w:next w:val="NoList"/>
    <w:semiHidden/>
    <w:unhideWhenUsed/>
    <w:rsid w:val="004336B6"/>
  </w:style>
  <w:style w:type="numbering" w:customStyle="1" w:styleId="NoList21">
    <w:name w:val="No List21"/>
    <w:next w:val="NoList"/>
    <w:semiHidden/>
    <w:unhideWhenUsed/>
    <w:rsid w:val="004336B6"/>
  </w:style>
  <w:style w:type="numbering" w:customStyle="1" w:styleId="NoList31">
    <w:name w:val="No List31"/>
    <w:next w:val="NoList"/>
    <w:semiHidden/>
    <w:unhideWhenUsed/>
    <w:rsid w:val="004336B6"/>
  </w:style>
  <w:style w:type="paragraph" w:customStyle="1" w:styleId="2c">
    <w:name w:val="Без интервала2"/>
    <w:uiPriority w:val="1"/>
    <w:qFormat/>
    <w:rsid w:val="004336B6"/>
    <w:rPr>
      <w:rFonts w:ascii="Calibri" w:hAnsi="Calibri"/>
      <w:sz w:val="22"/>
      <w:szCs w:val="22"/>
      <w:lang w:val="en-US" w:eastAsia="en-US"/>
    </w:rPr>
  </w:style>
  <w:style w:type="paragraph" w:customStyle="1" w:styleId="2d">
    <w:name w:val="Рецензия2"/>
    <w:hidden/>
    <w:semiHidden/>
    <w:rsid w:val="004336B6"/>
    <w:rPr>
      <w:rFonts w:ascii="Arial Armenian" w:hAnsi="Arial Armenian" w:cs="Sylfaen"/>
      <w:sz w:val="24"/>
      <w:szCs w:val="24"/>
      <w:lang w:val="ru-RU" w:eastAsia="ru-RU"/>
    </w:rPr>
  </w:style>
  <w:style w:type="numbering" w:customStyle="1" w:styleId="1110">
    <w:name w:val="Нет списка111"/>
    <w:next w:val="NoList"/>
    <w:semiHidden/>
    <w:unhideWhenUsed/>
    <w:rsid w:val="004336B6"/>
  </w:style>
  <w:style w:type="numbering" w:customStyle="1" w:styleId="NoList41">
    <w:name w:val="No List41"/>
    <w:next w:val="NoList"/>
    <w:semiHidden/>
    <w:rsid w:val="004336B6"/>
  </w:style>
  <w:style w:type="numbering" w:customStyle="1" w:styleId="NoList111">
    <w:name w:val="No List111"/>
    <w:next w:val="NoList"/>
    <w:semiHidden/>
    <w:unhideWhenUsed/>
    <w:rsid w:val="004336B6"/>
  </w:style>
  <w:style w:type="character" w:customStyle="1" w:styleId="38">
    <w:name w:val="Основной текст3"/>
    <w:rsid w:val="004336B6"/>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numbering" w:customStyle="1" w:styleId="1111">
    <w:name w:val="Нет списка1111"/>
    <w:next w:val="NoList"/>
    <w:semiHidden/>
    <w:unhideWhenUsed/>
    <w:rsid w:val="004336B6"/>
  </w:style>
  <w:style w:type="character" w:customStyle="1" w:styleId="CharChar121">
    <w:name w:val="Char Char121"/>
    <w:rsid w:val="00BF7F3E"/>
    <w:rPr>
      <w:sz w:val="22"/>
      <w:lang w:val="en-GB" w:eastAsia="en-US" w:bidi="ar-SA"/>
    </w:rPr>
  </w:style>
  <w:style w:type="paragraph" w:styleId="ListParagraph">
    <w:name w:val="List Paragraph"/>
    <w:aliases w:val="List Paragraph4,List Paragraph41,List Paragraph5,Paragraphe de liste PBLH,PDP DOCUMENT SUBTITLE,Bullet Points,Table of contents numbered,List Paragraph in table,Liste 1,Варианты ответов,Table no. List Paragraph,List Paragraph111,Titulo 2"/>
    <w:basedOn w:val="Normal"/>
    <w:uiPriority w:val="34"/>
    <w:qFormat/>
    <w:rsid w:val="00F63CB1"/>
    <w:pPr>
      <w:spacing w:after="200" w:line="276" w:lineRule="auto"/>
      <w:ind w:left="720"/>
      <w:contextualSpacing/>
    </w:pPr>
    <w:rPr>
      <w:rFonts w:ascii="Calibri" w:eastAsia="Calibri" w:hAnsi="Calibri" w:cs="Times New Roman"/>
    </w:rPr>
  </w:style>
  <w:style w:type="paragraph" w:customStyle="1" w:styleId="af4">
    <w:name w:val="Աղյուսակ"/>
    <w:basedOn w:val="Normal"/>
    <w:qFormat/>
    <w:rsid w:val="000E387E"/>
    <w:pPr>
      <w:keepNext/>
      <w:spacing w:before="240" w:after="120" w:line="240" w:lineRule="auto"/>
      <w:ind w:firstLine="0"/>
      <w:jc w:val="left"/>
    </w:pPr>
    <w:rPr>
      <w:i/>
    </w:rPr>
  </w:style>
  <w:style w:type="paragraph" w:customStyle="1" w:styleId="af5">
    <w:name w:val="Գծապատկեր"/>
    <w:basedOn w:val="Heading5"/>
    <w:qFormat/>
    <w:rsid w:val="007901C3"/>
    <w:pPr>
      <w:keepNext/>
      <w:spacing w:after="120" w:line="240" w:lineRule="auto"/>
      <w:ind w:firstLine="0"/>
      <w:jc w:val="left"/>
    </w:pPr>
    <w:rPr>
      <w:sz w:val="24"/>
    </w:rPr>
  </w:style>
  <w:style w:type="paragraph" w:customStyle="1" w:styleId="af6">
    <w:name w:val="Ենթավերնագիր"/>
    <w:basedOn w:val="Normal"/>
    <w:qFormat/>
    <w:rsid w:val="001C7D73"/>
    <w:pPr>
      <w:keepNext/>
      <w:spacing w:before="480" w:after="120" w:line="240" w:lineRule="auto"/>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116">
      <w:bodyDiv w:val="1"/>
      <w:marLeft w:val="0"/>
      <w:marRight w:val="0"/>
      <w:marTop w:val="0"/>
      <w:marBottom w:val="0"/>
      <w:divBdr>
        <w:top w:val="none" w:sz="0" w:space="0" w:color="auto"/>
        <w:left w:val="none" w:sz="0" w:space="0" w:color="auto"/>
        <w:bottom w:val="none" w:sz="0" w:space="0" w:color="auto"/>
        <w:right w:val="none" w:sz="0" w:space="0" w:color="auto"/>
      </w:divBdr>
    </w:div>
    <w:div w:id="114564256">
      <w:bodyDiv w:val="1"/>
      <w:marLeft w:val="0"/>
      <w:marRight w:val="0"/>
      <w:marTop w:val="0"/>
      <w:marBottom w:val="0"/>
      <w:divBdr>
        <w:top w:val="none" w:sz="0" w:space="0" w:color="auto"/>
        <w:left w:val="none" w:sz="0" w:space="0" w:color="auto"/>
        <w:bottom w:val="none" w:sz="0" w:space="0" w:color="auto"/>
        <w:right w:val="none" w:sz="0" w:space="0" w:color="auto"/>
      </w:divBdr>
    </w:div>
    <w:div w:id="114567211">
      <w:bodyDiv w:val="1"/>
      <w:marLeft w:val="0"/>
      <w:marRight w:val="0"/>
      <w:marTop w:val="0"/>
      <w:marBottom w:val="0"/>
      <w:divBdr>
        <w:top w:val="none" w:sz="0" w:space="0" w:color="auto"/>
        <w:left w:val="none" w:sz="0" w:space="0" w:color="auto"/>
        <w:bottom w:val="none" w:sz="0" w:space="0" w:color="auto"/>
        <w:right w:val="none" w:sz="0" w:space="0" w:color="auto"/>
      </w:divBdr>
    </w:div>
    <w:div w:id="172648138">
      <w:bodyDiv w:val="1"/>
      <w:marLeft w:val="0"/>
      <w:marRight w:val="0"/>
      <w:marTop w:val="0"/>
      <w:marBottom w:val="0"/>
      <w:divBdr>
        <w:top w:val="none" w:sz="0" w:space="0" w:color="auto"/>
        <w:left w:val="none" w:sz="0" w:space="0" w:color="auto"/>
        <w:bottom w:val="none" w:sz="0" w:space="0" w:color="auto"/>
        <w:right w:val="none" w:sz="0" w:space="0" w:color="auto"/>
      </w:divBdr>
    </w:div>
    <w:div w:id="174198398">
      <w:bodyDiv w:val="1"/>
      <w:marLeft w:val="0"/>
      <w:marRight w:val="0"/>
      <w:marTop w:val="0"/>
      <w:marBottom w:val="0"/>
      <w:divBdr>
        <w:top w:val="none" w:sz="0" w:space="0" w:color="auto"/>
        <w:left w:val="none" w:sz="0" w:space="0" w:color="auto"/>
        <w:bottom w:val="none" w:sz="0" w:space="0" w:color="auto"/>
        <w:right w:val="none" w:sz="0" w:space="0" w:color="auto"/>
      </w:divBdr>
    </w:div>
    <w:div w:id="293294304">
      <w:bodyDiv w:val="1"/>
      <w:marLeft w:val="0"/>
      <w:marRight w:val="0"/>
      <w:marTop w:val="0"/>
      <w:marBottom w:val="0"/>
      <w:divBdr>
        <w:top w:val="none" w:sz="0" w:space="0" w:color="auto"/>
        <w:left w:val="none" w:sz="0" w:space="0" w:color="auto"/>
        <w:bottom w:val="none" w:sz="0" w:space="0" w:color="auto"/>
        <w:right w:val="none" w:sz="0" w:space="0" w:color="auto"/>
      </w:divBdr>
    </w:div>
    <w:div w:id="352928034">
      <w:bodyDiv w:val="1"/>
      <w:marLeft w:val="0"/>
      <w:marRight w:val="0"/>
      <w:marTop w:val="0"/>
      <w:marBottom w:val="0"/>
      <w:divBdr>
        <w:top w:val="none" w:sz="0" w:space="0" w:color="auto"/>
        <w:left w:val="none" w:sz="0" w:space="0" w:color="auto"/>
        <w:bottom w:val="none" w:sz="0" w:space="0" w:color="auto"/>
        <w:right w:val="none" w:sz="0" w:space="0" w:color="auto"/>
      </w:divBdr>
    </w:div>
    <w:div w:id="423919255">
      <w:bodyDiv w:val="1"/>
      <w:marLeft w:val="0"/>
      <w:marRight w:val="0"/>
      <w:marTop w:val="0"/>
      <w:marBottom w:val="0"/>
      <w:divBdr>
        <w:top w:val="none" w:sz="0" w:space="0" w:color="auto"/>
        <w:left w:val="none" w:sz="0" w:space="0" w:color="auto"/>
        <w:bottom w:val="none" w:sz="0" w:space="0" w:color="auto"/>
        <w:right w:val="none" w:sz="0" w:space="0" w:color="auto"/>
      </w:divBdr>
    </w:div>
    <w:div w:id="483938361">
      <w:bodyDiv w:val="1"/>
      <w:marLeft w:val="0"/>
      <w:marRight w:val="0"/>
      <w:marTop w:val="0"/>
      <w:marBottom w:val="0"/>
      <w:divBdr>
        <w:top w:val="none" w:sz="0" w:space="0" w:color="auto"/>
        <w:left w:val="none" w:sz="0" w:space="0" w:color="auto"/>
        <w:bottom w:val="none" w:sz="0" w:space="0" w:color="auto"/>
        <w:right w:val="none" w:sz="0" w:space="0" w:color="auto"/>
      </w:divBdr>
    </w:div>
    <w:div w:id="535777476">
      <w:bodyDiv w:val="1"/>
      <w:marLeft w:val="0"/>
      <w:marRight w:val="0"/>
      <w:marTop w:val="0"/>
      <w:marBottom w:val="0"/>
      <w:divBdr>
        <w:top w:val="none" w:sz="0" w:space="0" w:color="auto"/>
        <w:left w:val="none" w:sz="0" w:space="0" w:color="auto"/>
        <w:bottom w:val="none" w:sz="0" w:space="0" w:color="auto"/>
        <w:right w:val="none" w:sz="0" w:space="0" w:color="auto"/>
      </w:divBdr>
    </w:div>
    <w:div w:id="571934389">
      <w:bodyDiv w:val="1"/>
      <w:marLeft w:val="0"/>
      <w:marRight w:val="0"/>
      <w:marTop w:val="0"/>
      <w:marBottom w:val="0"/>
      <w:divBdr>
        <w:top w:val="none" w:sz="0" w:space="0" w:color="auto"/>
        <w:left w:val="none" w:sz="0" w:space="0" w:color="auto"/>
        <w:bottom w:val="none" w:sz="0" w:space="0" w:color="auto"/>
        <w:right w:val="none" w:sz="0" w:space="0" w:color="auto"/>
      </w:divBdr>
    </w:div>
    <w:div w:id="604963628">
      <w:bodyDiv w:val="1"/>
      <w:marLeft w:val="0"/>
      <w:marRight w:val="0"/>
      <w:marTop w:val="0"/>
      <w:marBottom w:val="0"/>
      <w:divBdr>
        <w:top w:val="none" w:sz="0" w:space="0" w:color="auto"/>
        <w:left w:val="none" w:sz="0" w:space="0" w:color="auto"/>
        <w:bottom w:val="none" w:sz="0" w:space="0" w:color="auto"/>
        <w:right w:val="none" w:sz="0" w:space="0" w:color="auto"/>
      </w:divBdr>
    </w:div>
    <w:div w:id="637104377">
      <w:bodyDiv w:val="1"/>
      <w:marLeft w:val="0"/>
      <w:marRight w:val="0"/>
      <w:marTop w:val="0"/>
      <w:marBottom w:val="0"/>
      <w:divBdr>
        <w:top w:val="none" w:sz="0" w:space="0" w:color="auto"/>
        <w:left w:val="none" w:sz="0" w:space="0" w:color="auto"/>
        <w:bottom w:val="none" w:sz="0" w:space="0" w:color="auto"/>
        <w:right w:val="none" w:sz="0" w:space="0" w:color="auto"/>
      </w:divBdr>
    </w:div>
    <w:div w:id="664818208">
      <w:bodyDiv w:val="1"/>
      <w:marLeft w:val="0"/>
      <w:marRight w:val="0"/>
      <w:marTop w:val="0"/>
      <w:marBottom w:val="0"/>
      <w:divBdr>
        <w:top w:val="none" w:sz="0" w:space="0" w:color="auto"/>
        <w:left w:val="none" w:sz="0" w:space="0" w:color="auto"/>
        <w:bottom w:val="none" w:sz="0" w:space="0" w:color="auto"/>
        <w:right w:val="none" w:sz="0" w:space="0" w:color="auto"/>
      </w:divBdr>
    </w:div>
    <w:div w:id="698776124">
      <w:bodyDiv w:val="1"/>
      <w:marLeft w:val="0"/>
      <w:marRight w:val="0"/>
      <w:marTop w:val="0"/>
      <w:marBottom w:val="0"/>
      <w:divBdr>
        <w:top w:val="none" w:sz="0" w:space="0" w:color="auto"/>
        <w:left w:val="none" w:sz="0" w:space="0" w:color="auto"/>
        <w:bottom w:val="none" w:sz="0" w:space="0" w:color="auto"/>
        <w:right w:val="none" w:sz="0" w:space="0" w:color="auto"/>
      </w:divBdr>
    </w:div>
    <w:div w:id="928657253">
      <w:bodyDiv w:val="1"/>
      <w:marLeft w:val="0"/>
      <w:marRight w:val="0"/>
      <w:marTop w:val="0"/>
      <w:marBottom w:val="0"/>
      <w:divBdr>
        <w:top w:val="none" w:sz="0" w:space="0" w:color="auto"/>
        <w:left w:val="none" w:sz="0" w:space="0" w:color="auto"/>
        <w:bottom w:val="none" w:sz="0" w:space="0" w:color="auto"/>
        <w:right w:val="none" w:sz="0" w:space="0" w:color="auto"/>
      </w:divBdr>
    </w:div>
    <w:div w:id="1090157800">
      <w:bodyDiv w:val="1"/>
      <w:marLeft w:val="0"/>
      <w:marRight w:val="0"/>
      <w:marTop w:val="0"/>
      <w:marBottom w:val="0"/>
      <w:divBdr>
        <w:top w:val="none" w:sz="0" w:space="0" w:color="auto"/>
        <w:left w:val="none" w:sz="0" w:space="0" w:color="auto"/>
        <w:bottom w:val="none" w:sz="0" w:space="0" w:color="auto"/>
        <w:right w:val="none" w:sz="0" w:space="0" w:color="auto"/>
      </w:divBdr>
    </w:div>
    <w:div w:id="1204908525">
      <w:bodyDiv w:val="1"/>
      <w:marLeft w:val="0"/>
      <w:marRight w:val="0"/>
      <w:marTop w:val="0"/>
      <w:marBottom w:val="0"/>
      <w:divBdr>
        <w:top w:val="none" w:sz="0" w:space="0" w:color="auto"/>
        <w:left w:val="none" w:sz="0" w:space="0" w:color="auto"/>
        <w:bottom w:val="none" w:sz="0" w:space="0" w:color="auto"/>
        <w:right w:val="none" w:sz="0" w:space="0" w:color="auto"/>
      </w:divBdr>
    </w:div>
    <w:div w:id="1233344571">
      <w:bodyDiv w:val="1"/>
      <w:marLeft w:val="0"/>
      <w:marRight w:val="0"/>
      <w:marTop w:val="0"/>
      <w:marBottom w:val="0"/>
      <w:divBdr>
        <w:top w:val="none" w:sz="0" w:space="0" w:color="auto"/>
        <w:left w:val="none" w:sz="0" w:space="0" w:color="auto"/>
        <w:bottom w:val="none" w:sz="0" w:space="0" w:color="auto"/>
        <w:right w:val="none" w:sz="0" w:space="0" w:color="auto"/>
      </w:divBdr>
    </w:div>
    <w:div w:id="1284533250">
      <w:bodyDiv w:val="1"/>
      <w:marLeft w:val="0"/>
      <w:marRight w:val="0"/>
      <w:marTop w:val="0"/>
      <w:marBottom w:val="0"/>
      <w:divBdr>
        <w:top w:val="none" w:sz="0" w:space="0" w:color="auto"/>
        <w:left w:val="none" w:sz="0" w:space="0" w:color="auto"/>
        <w:bottom w:val="none" w:sz="0" w:space="0" w:color="auto"/>
        <w:right w:val="none" w:sz="0" w:space="0" w:color="auto"/>
      </w:divBdr>
    </w:div>
    <w:div w:id="1332368974">
      <w:bodyDiv w:val="1"/>
      <w:marLeft w:val="0"/>
      <w:marRight w:val="0"/>
      <w:marTop w:val="0"/>
      <w:marBottom w:val="0"/>
      <w:divBdr>
        <w:top w:val="none" w:sz="0" w:space="0" w:color="auto"/>
        <w:left w:val="none" w:sz="0" w:space="0" w:color="auto"/>
        <w:bottom w:val="none" w:sz="0" w:space="0" w:color="auto"/>
        <w:right w:val="none" w:sz="0" w:space="0" w:color="auto"/>
      </w:divBdr>
    </w:div>
    <w:div w:id="1376003312">
      <w:bodyDiv w:val="1"/>
      <w:marLeft w:val="0"/>
      <w:marRight w:val="0"/>
      <w:marTop w:val="0"/>
      <w:marBottom w:val="0"/>
      <w:divBdr>
        <w:top w:val="none" w:sz="0" w:space="0" w:color="auto"/>
        <w:left w:val="none" w:sz="0" w:space="0" w:color="auto"/>
        <w:bottom w:val="none" w:sz="0" w:space="0" w:color="auto"/>
        <w:right w:val="none" w:sz="0" w:space="0" w:color="auto"/>
      </w:divBdr>
    </w:div>
    <w:div w:id="1411929002">
      <w:bodyDiv w:val="1"/>
      <w:marLeft w:val="0"/>
      <w:marRight w:val="0"/>
      <w:marTop w:val="0"/>
      <w:marBottom w:val="0"/>
      <w:divBdr>
        <w:top w:val="none" w:sz="0" w:space="0" w:color="auto"/>
        <w:left w:val="none" w:sz="0" w:space="0" w:color="auto"/>
        <w:bottom w:val="none" w:sz="0" w:space="0" w:color="auto"/>
        <w:right w:val="none" w:sz="0" w:space="0" w:color="auto"/>
      </w:divBdr>
    </w:div>
    <w:div w:id="1434059824">
      <w:bodyDiv w:val="1"/>
      <w:marLeft w:val="0"/>
      <w:marRight w:val="0"/>
      <w:marTop w:val="0"/>
      <w:marBottom w:val="0"/>
      <w:divBdr>
        <w:top w:val="none" w:sz="0" w:space="0" w:color="auto"/>
        <w:left w:val="none" w:sz="0" w:space="0" w:color="auto"/>
        <w:bottom w:val="none" w:sz="0" w:space="0" w:color="auto"/>
        <w:right w:val="none" w:sz="0" w:space="0" w:color="auto"/>
      </w:divBdr>
    </w:div>
    <w:div w:id="1472139841">
      <w:bodyDiv w:val="1"/>
      <w:marLeft w:val="0"/>
      <w:marRight w:val="0"/>
      <w:marTop w:val="0"/>
      <w:marBottom w:val="0"/>
      <w:divBdr>
        <w:top w:val="none" w:sz="0" w:space="0" w:color="auto"/>
        <w:left w:val="none" w:sz="0" w:space="0" w:color="auto"/>
        <w:bottom w:val="none" w:sz="0" w:space="0" w:color="auto"/>
        <w:right w:val="none" w:sz="0" w:space="0" w:color="auto"/>
      </w:divBdr>
    </w:div>
    <w:div w:id="1477380982">
      <w:bodyDiv w:val="1"/>
      <w:marLeft w:val="0"/>
      <w:marRight w:val="0"/>
      <w:marTop w:val="0"/>
      <w:marBottom w:val="0"/>
      <w:divBdr>
        <w:top w:val="none" w:sz="0" w:space="0" w:color="auto"/>
        <w:left w:val="none" w:sz="0" w:space="0" w:color="auto"/>
        <w:bottom w:val="none" w:sz="0" w:space="0" w:color="auto"/>
        <w:right w:val="none" w:sz="0" w:space="0" w:color="auto"/>
      </w:divBdr>
    </w:div>
    <w:div w:id="1499420687">
      <w:bodyDiv w:val="1"/>
      <w:marLeft w:val="0"/>
      <w:marRight w:val="0"/>
      <w:marTop w:val="0"/>
      <w:marBottom w:val="0"/>
      <w:divBdr>
        <w:top w:val="none" w:sz="0" w:space="0" w:color="auto"/>
        <w:left w:val="none" w:sz="0" w:space="0" w:color="auto"/>
        <w:bottom w:val="none" w:sz="0" w:space="0" w:color="auto"/>
        <w:right w:val="none" w:sz="0" w:space="0" w:color="auto"/>
      </w:divBdr>
    </w:div>
    <w:div w:id="1533228046">
      <w:bodyDiv w:val="1"/>
      <w:marLeft w:val="0"/>
      <w:marRight w:val="0"/>
      <w:marTop w:val="0"/>
      <w:marBottom w:val="0"/>
      <w:divBdr>
        <w:top w:val="none" w:sz="0" w:space="0" w:color="auto"/>
        <w:left w:val="none" w:sz="0" w:space="0" w:color="auto"/>
        <w:bottom w:val="none" w:sz="0" w:space="0" w:color="auto"/>
        <w:right w:val="none" w:sz="0" w:space="0" w:color="auto"/>
      </w:divBdr>
    </w:div>
    <w:div w:id="1602028417">
      <w:bodyDiv w:val="1"/>
      <w:marLeft w:val="0"/>
      <w:marRight w:val="0"/>
      <w:marTop w:val="0"/>
      <w:marBottom w:val="0"/>
      <w:divBdr>
        <w:top w:val="none" w:sz="0" w:space="0" w:color="auto"/>
        <w:left w:val="none" w:sz="0" w:space="0" w:color="auto"/>
        <w:bottom w:val="none" w:sz="0" w:space="0" w:color="auto"/>
        <w:right w:val="none" w:sz="0" w:space="0" w:color="auto"/>
      </w:divBdr>
    </w:div>
    <w:div w:id="1725325704">
      <w:bodyDiv w:val="1"/>
      <w:marLeft w:val="0"/>
      <w:marRight w:val="0"/>
      <w:marTop w:val="0"/>
      <w:marBottom w:val="0"/>
      <w:divBdr>
        <w:top w:val="none" w:sz="0" w:space="0" w:color="auto"/>
        <w:left w:val="none" w:sz="0" w:space="0" w:color="auto"/>
        <w:bottom w:val="none" w:sz="0" w:space="0" w:color="auto"/>
        <w:right w:val="none" w:sz="0" w:space="0" w:color="auto"/>
      </w:divBdr>
    </w:div>
    <w:div w:id="1897737112">
      <w:bodyDiv w:val="1"/>
      <w:marLeft w:val="0"/>
      <w:marRight w:val="0"/>
      <w:marTop w:val="0"/>
      <w:marBottom w:val="0"/>
      <w:divBdr>
        <w:top w:val="none" w:sz="0" w:space="0" w:color="auto"/>
        <w:left w:val="none" w:sz="0" w:space="0" w:color="auto"/>
        <w:bottom w:val="none" w:sz="0" w:space="0" w:color="auto"/>
        <w:right w:val="none" w:sz="0" w:space="0" w:color="auto"/>
      </w:divBdr>
    </w:div>
    <w:div w:id="1972518871">
      <w:bodyDiv w:val="1"/>
      <w:marLeft w:val="0"/>
      <w:marRight w:val="0"/>
      <w:marTop w:val="0"/>
      <w:marBottom w:val="0"/>
      <w:divBdr>
        <w:top w:val="none" w:sz="0" w:space="0" w:color="auto"/>
        <w:left w:val="none" w:sz="0" w:space="0" w:color="auto"/>
        <w:bottom w:val="none" w:sz="0" w:space="0" w:color="auto"/>
        <w:right w:val="none" w:sz="0" w:space="0" w:color="auto"/>
      </w:divBdr>
    </w:div>
    <w:div w:id="1982423157">
      <w:bodyDiv w:val="1"/>
      <w:marLeft w:val="0"/>
      <w:marRight w:val="0"/>
      <w:marTop w:val="0"/>
      <w:marBottom w:val="0"/>
      <w:divBdr>
        <w:top w:val="none" w:sz="0" w:space="0" w:color="auto"/>
        <w:left w:val="none" w:sz="0" w:space="0" w:color="auto"/>
        <w:bottom w:val="none" w:sz="0" w:space="0" w:color="auto"/>
        <w:right w:val="none" w:sz="0" w:space="0" w:color="auto"/>
      </w:divBdr>
    </w:div>
    <w:div w:id="1984777221">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29142224">
      <w:bodyDiv w:val="1"/>
      <w:marLeft w:val="0"/>
      <w:marRight w:val="0"/>
      <w:marTop w:val="0"/>
      <w:marBottom w:val="0"/>
      <w:divBdr>
        <w:top w:val="none" w:sz="0" w:space="0" w:color="auto"/>
        <w:left w:val="none" w:sz="0" w:space="0" w:color="auto"/>
        <w:bottom w:val="none" w:sz="0" w:space="0" w:color="auto"/>
        <w:right w:val="none" w:sz="0" w:space="0" w:color="auto"/>
      </w:divBdr>
    </w:div>
    <w:div w:id="2057503138">
      <w:bodyDiv w:val="1"/>
      <w:marLeft w:val="0"/>
      <w:marRight w:val="0"/>
      <w:marTop w:val="0"/>
      <w:marBottom w:val="0"/>
      <w:divBdr>
        <w:top w:val="none" w:sz="0" w:space="0" w:color="auto"/>
        <w:left w:val="none" w:sz="0" w:space="0" w:color="auto"/>
        <w:bottom w:val="none" w:sz="0" w:space="0" w:color="auto"/>
        <w:right w:val="none" w:sz="0" w:space="0" w:color="auto"/>
      </w:divBdr>
    </w:div>
    <w:div w:id="2092046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chart" Target="charts/chart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172.20.215.254\Share\public_debt\STRATEGY%20AND%20RISKS\STRATEGY\Strategy%202022-2024\Strategy%202022-2024%20English\2022-2024%20Strategy%20data_Eng.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172.20.215.254\Share\public_debt\STRATEGY%20AND%20RISKS\STRATEGY\Strategy%202022-2024\Strategy%202022-2024%20English\2022-2024%20Strategy%20data_Eng.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2.20.215.254\Share\public_debt\STRATEGY%20AND%20RISKS\STRATEGY\Strategy%202022-2024\Strategy%202022-2024%20English\2022-2024%20Strategy%20data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39096880351629E-2"/>
          <c:y val="3.8550405033244466E-2"/>
          <c:w val="0.8845661242940871"/>
          <c:h val="0.70388322837838391"/>
        </c:manualLayout>
      </c:layout>
      <c:lineChart>
        <c:grouping val="standard"/>
        <c:varyColors val="0"/>
        <c:ser>
          <c:idx val="0"/>
          <c:order val="0"/>
          <c:tx>
            <c:strRef>
              <c:f>'Graf yield'!$B$3</c:f>
              <c:strCache>
                <c:ptCount val="1"/>
                <c:pt idx="0">
                  <c:v>Ծավալ</c:v>
                </c:pt>
              </c:strCache>
            </c:strRef>
          </c:tx>
          <c:cat>
            <c:numRef>
              <c:f>'Graf yield'!$A$299:$A$824</c:f>
              <c:numCache>
                <c:formatCode>dd\.mm\.yy;@</c:formatCode>
                <c:ptCount val="526"/>
                <c:pt idx="0">
                  <c:v>43098</c:v>
                </c:pt>
                <c:pt idx="1">
                  <c:v>43110</c:v>
                </c:pt>
                <c:pt idx="2">
                  <c:v>43116</c:v>
                </c:pt>
                <c:pt idx="3">
                  <c:v>43123</c:v>
                </c:pt>
                <c:pt idx="4">
                  <c:v>43131</c:v>
                </c:pt>
                <c:pt idx="5">
                  <c:v>43137</c:v>
                </c:pt>
                <c:pt idx="6">
                  <c:v>43144</c:v>
                </c:pt>
                <c:pt idx="7">
                  <c:v>43152</c:v>
                </c:pt>
                <c:pt idx="8">
                  <c:v>43159</c:v>
                </c:pt>
                <c:pt idx="9">
                  <c:v>43161</c:v>
                </c:pt>
                <c:pt idx="10">
                  <c:v>43176</c:v>
                </c:pt>
                <c:pt idx="11">
                  <c:v>43182</c:v>
                </c:pt>
                <c:pt idx="12">
                  <c:v>43190</c:v>
                </c:pt>
                <c:pt idx="13">
                  <c:v>43197</c:v>
                </c:pt>
                <c:pt idx="14">
                  <c:v>43203</c:v>
                </c:pt>
                <c:pt idx="15">
                  <c:v>43210</c:v>
                </c:pt>
                <c:pt idx="16">
                  <c:v>43217</c:v>
                </c:pt>
                <c:pt idx="17">
                  <c:v>43222</c:v>
                </c:pt>
                <c:pt idx="18">
                  <c:v>43231</c:v>
                </c:pt>
                <c:pt idx="19">
                  <c:v>43242</c:v>
                </c:pt>
                <c:pt idx="20">
                  <c:v>43249</c:v>
                </c:pt>
                <c:pt idx="21">
                  <c:v>43256</c:v>
                </c:pt>
                <c:pt idx="22">
                  <c:v>43263</c:v>
                </c:pt>
                <c:pt idx="23">
                  <c:v>43273</c:v>
                </c:pt>
                <c:pt idx="24">
                  <c:v>43280</c:v>
                </c:pt>
                <c:pt idx="25">
                  <c:v>43284</c:v>
                </c:pt>
                <c:pt idx="26">
                  <c:v>43299</c:v>
                </c:pt>
                <c:pt idx="27">
                  <c:v>43305</c:v>
                </c:pt>
                <c:pt idx="28">
                  <c:v>43312</c:v>
                </c:pt>
                <c:pt idx="29">
                  <c:v>43315</c:v>
                </c:pt>
                <c:pt idx="30">
                  <c:v>43322</c:v>
                </c:pt>
                <c:pt idx="31">
                  <c:v>43334</c:v>
                </c:pt>
                <c:pt idx="32">
                  <c:v>43343</c:v>
                </c:pt>
                <c:pt idx="33">
                  <c:v>43347</c:v>
                </c:pt>
                <c:pt idx="34">
                  <c:v>43354</c:v>
                </c:pt>
                <c:pt idx="35">
                  <c:v>43363</c:v>
                </c:pt>
                <c:pt idx="36">
                  <c:v>43373</c:v>
                </c:pt>
                <c:pt idx="37">
                  <c:v>43375</c:v>
                </c:pt>
                <c:pt idx="38">
                  <c:v>43383</c:v>
                </c:pt>
                <c:pt idx="39">
                  <c:v>43392</c:v>
                </c:pt>
                <c:pt idx="40">
                  <c:v>43404</c:v>
                </c:pt>
                <c:pt idx="41">
                  <c:v>43406</c:v>
                </c:pt>
                <c:pt idx="42">
                  <c:v>43413</c:v>
                </c:pt>
                <c:pt idx="43">
                  <c:v>43425</c:v>
                </c:pt>
                <c:pt idx="44">
                  <c:v>43434</c:v>
                </c:pt>
                <c:pt idx="45">
                  <c:v>43438</c:v>
                </c:pt>
                <c:pt idx="46">
                  <c:v>43446</c:v>
                </c:pt>
                <c:pt idx="47">
                  <c:v>43455</c:v>
                </c:pt>
                <c:pt idx="48">
                  <c:v>43465</c:v>
                </c:pt>
                <c:pt idx="49">
                  <c:v>43476</c:v>
                </c:pt>
                <c:pt idx="50">
                  <c:v>43481</c:v>
                </c:pt>
                <c:pt idx="51">
                  <c:v>43483</c:v>
                </c:pt>
                <c:pt idx="52">
                  <c:v>43487</c:v>
                </c:pt>
                <c:pt idx="53">
                  <c:v>43490</c:v>
                </c:pt>
                <c:pt idx="54">
                  <c:v>43496</c:v>
                </c:pt>
                <c:pt idx="55">
                  <c:v>43497</c:v>
                </c:pt>
                <c:pt idx="56">
                  <c:v>43501</c:v>
                </c:pt>
                <c:pt idx="57">
                  <c:v>43502</c:v>
                </c:pt>
                <c:pt idx="58">
                  <c:v>43504</c:v>
                </c:pt>
                <c:pt idx="59">
                  <c:v>43509</c:v>
                </c:pt>
                <c:pt idx="60">
                  <c:v>43511</c:v>
                </c:pt>
                <c:pt idx="61">
                  <c:v>43515</c:v>
                </c:pt>
                <c:pt idx="62">
                  <c:v>43518</c:v>
                </c:pt>
                <c:pt idx="63">
                  <c:v>43522</c:v>
                </c:pt>
                <c:pt idx="64">
                  <c:v>43524</c:v>
                </c:pt>
                <c:pt idx="65">
                  <c:v>43525</c:v>
                </c:pt>
                <c:pt idx="66">
                  <c:v>43529</c:v>
                </c:pt>
                <c:pt idx="67">
                  <c:v>43531</c:v>
                </c:pt>
                <c:pt idx="68">
                  <c:v>43536</c:v>
                </c:pt>
                <c:pt idx="69">
                  <c:v>43537</c:v>
                </c:pt>
                <c:pt idx="70">
                  <c:v>43538</c:v>
                </c:pt>
                <c:pt idx="71">
                  <c:v>43539</c:v>
                </c:pt>
                <c:pt idx="72">
                  <c:v>43542</c:v>
                </c:pt>
                <c:pt idx="73">
                  <c:v>43543</c:v>
                </c:pt>
                <c:pt idx="74">
                  <c:v>43544</c:v>
                </c:pt>
                <c:pt idx="75">
                  <c:v>43545</c:v>
                </c:pt>
                <c:pt idx="76">
                  <c:v>43546</c:v>
                </c:pt>
                <c:pt idx="77">
                  <c:v>43549</c:v>
                </c:pt>
                <c:pt idx="78">
                  <c:v>43550</c:v>
                </c:pt>
                <c:pt idx="79">
                  <c:v>43551</c:v>
                </c:pt>
                <c:pt idx="80">
                  <c:v>43552</c:v>
                </c:pt>
                <c:pt idx="81">
                  <c:v>43553</c:v>
                </c:pt>
                <c:pt idx="82">
                  <c:v>43556</c:v>
                </c:pt>
                <c:pt idx="83">
                  <c:v>43557</c:v>
                </c:pt>
                <c:pt idx="84">
                  <c:v>43558</c:v>
                </c:pt>
                <c:pt idx="85">
                  <c:v>43559</c:v>
                </c:pt>
                <c:pt idx="86">
                  <c:v>43560</c:v>
                </c:pt>
                <c:pt idx="87">
                  <c:v>43563</c:v>
                </c:pt>
                <c:pt idx="88">
                  <c:v>43564</c:v>
                </c:pt>
                <c:pt idx="89">
                  <c:v>43565</c:v>
                </c:pt>
                <c:pt idx="90">
                  <c:v>43566</c:v>
                </c:pt>
                <c:pt idx="91">
                  <c:v>43567</c:v>
                </c:pt>
                <c:pt idx="92">
                  <c:v>43570</c:v>
                </c:pt>
                <c:pt idx="93">
                  <c:v>43571</c:v>
                </c:pt>
                <c:pt idx="94">
                  <c:v>43572</c:v>
                </c:pt>
                <c:pt idx="95">
                  <c:v>43573</c:v>
                </c:pt>
                <c:pt idx="96">
                  <c:v>43574</c:v>
                </c:pt>
                <c:pt idx="97">
                  <c:v>43577</c:v>
                </c:pt>
                <c:pt idx="98">
                  <c:v>43578</c:v>
                </c:pt>
                <c:pt idx="99">
                  <c:v>43580</c:v>
                </c:pt>
                <c:pt idx="100">
                  <c:v>43581</c:v>
                </c:pt>
                <c:pt idx="101">
                  <c:v>43584</c:v>
                </c:pt>
                <c:pt idx="102">
                  <c:v>43585</c:v>
                </c:pt>
                <c:pt idx="103">
                  <c:v>43587</c:v>
                </c:pt>
                <c:pt idx="104">
                  <c:v>43588</c:v>
                </c:pt>
                <c:pt idx="105">
                  <c:v>43591</c:v>
                </c:pt>
                <c:pt idx="106">
                  <c:v>43592</c:v>
                </c:pt>
                <c:pt idx="107">
                  <c:v>43593</c:v>
                </c:pt>
                <c:pt idx="108">
                  <c:v>43595</c:v>
                </c:pt>
                <c:pt idx="109">
                  <c:v>43598</c:v>
                </c:pt>
                <c:pt idx="110">
                  <c:v>43599</c:v>
                </c:pt>
                <c:pt idx="111">
                  <c:v>43600</c:v>
                </c:pt>
                <c:pt idx="112">
                  <c:v>43601</c:v>
                </c:pt>
                <c:pt idx="113">
                  <c:v>43602</c:v>
                </c:pt>
                <c:pt idx="114">
                  <c:v>43605</c:v>
                </c:pt>
                <c:pt idx="115">
                  <c:v>43606</c:v>
                </c:pt>
                <c:pt idx="116">
                  <c:v>43607</c:v>
                </c:pt>
                <c:pt idx="117">
                  <c:v>43608</c:v>
                </c:pt>
                <c:pt idx="118">
                  <c:v>43609</c:v>
                </c:pt>
                <c:pt idx="119">
                  <c:v>43612</c:v>
                </c:pt>
                <c:pt idx="120">
                  <c:v>43614</c:v>
                </c:pt>
                <c:pt idx="121">
                  <c:v>43615</c:v>
                </c:pt>
                <c:pt idx="122">
                  <c:v>43616</c:v>
                </c:pt>
                <c:pt idx="123">
                  <c:v>43619</c:v>
                </c:pt>
                <c:pt idx="124">
                  <c:v>43620</c:v>
                </c:pt>
                <c:pt idx="125">
                  <c:v>43621</c:v>
                </c:pt>
                <c:pt idx="126">
                  <c:v>43622</c:v>
                </c:pt>
                <c:pt idx="127">
                  <c:v>43623</c:v>
                </c:pt>
                <c:pt idx="128">
                  <c:v>43626</c:v>
                </c:pt>
                <c:pt idx="129">
                  <c:v>43627</c:v>
                </c:pt>
                <c:pt idx="130">
                  <c:v>43628</c:v>
                </c:pt>
                <c:pt idx="131">
                  <c:v>43629</c:v>
                </c:pt>
                <c:pt idx="132">
                  <c:v>43630</c:v>
                </c:pt>
                <c:pt idx="133">
                  <c:v>43633</c:v>
                </c:pt>
                <c:pt idx="134">
                  <c:v>43634</c:v>
                </c:pt>
                <c:pt idx="135">
                  <c:v>43635</c:v>
                </c:pt>
                <c:pt idx="136">
                  <c:v>43636</c:v>
                </c:pt>
                <c:pt idx="137">
                  <c:v>43637</c:v>
                </c:pt>
                <c:pt idx="138">
                  <c:v>43640</c:v>
                </c:pt>
                <c:pt idx="139">
                  <c:v>43641</c:v>
                </c:pt>
                <c:pt idx="140">
                  <c:v>43642</c:v>
                </c:pt>
                <c:pt idx="141">
                  <c:v>43643</c:v>
                </c:pt>
                <c:pt idx="142">
                  <c:v>43644</c:v>
                </c:pt>
                <c:pt idx="143">
                  <c:v>43647</c:v>
                </c:pt>
                <c:pt idx="144">
                  <c:v>43648</c:v>
                </c:pt>
                <c:pt idx="145">
                  <c:v>43649</c:v>
                </c:pt>
                <c:pt idx="146">
                  <c:v>43650</c:v>
                </c:pt>
                <c:pt idx="147">
                  <c:v>43654</c:v>
                </c:pt>
                <c:pt idx="148">
                  <c:v>43655</c:v>
                </c:pt>
                <c:pt idx="149">
                  <c:v>43656</c:v>
                </c:pt>
                <c:pt idx="150">
                  <c:v>43657</c:v>
                </c:pt>
                <c:pt idx="151">
                  <c:v>43658</c:v>
                </c:pt>
                <c:pt idx="152">
                  <c:v>43661</c:v>
                </c:pt>
                <c:pt idx="153">
                  <c:v>43662</c:v>
                </c:pt>
                <c:pt idx="154">
                  <c:v>43663</c:v>
                </c:pt>
                <c:pt idx="155">
                  <c:v>43664</c:v>
                </c:pt>
                <c:pt idx="156">
                  <c:v>43665</c:v>
                </c:pt>
                <c:pt idx="157">
                  <c:v>43668</c:v>
                </c:pt>
                <c:pt idx="158">
                  <c:v>43669</c:v>
                </c:pt>
                <c:pt idx="159">
                  <c:v>43670</c:v>
                </c:pt>
                <c:pt idx="160">
                  <c:v>43671</c:v>
                </c:pt>
                <c:pt idx="161">
                  <c:v>43672</c:v>
                </c:pt>
                <c:pt idx="162">
                  <c:v>43675</c:v>
                </c:pt>
                <c:pt idx="163">
                  <c:v>43676</c:v>
                </c:pt>
                <c:pt idx="164">
                  <c:v>43677</c:v>
                </c:pt>
                <c:pt idx="165">
                  <c:v>43678</c:v>
                </c:pt>
                <c:pt idx="166">
                  <c:v>43679</c:v>
                </c:pt>
                <c:pt idx="167">
                  <c:v>43682</c:v>
                </c:pt>
                <c:pt idx="168">
                  <c:v>43683</c:v>
                </c:pt>
                <c:pt idx="169">
                  <c:v>43684</c:v>
                </c:pt>
                <c:pt idx="170">
                  <c:v>43685</c:v>
                </c:pt>
                <c:pt idx="171">
                  <c:v>43686</c:v>
                </c:pt>
                <c:pt idx="172">
                  <c:v>43689</c:v>
                </c:pt>
                <c:pt idx="173">
                  <c:v>43690</c:v>
                </c:pt>
                <c:pt idx="174">
                  <c:v>43691</c:v>
                </c:pt>
                <c:pt idx="175">
                  <c:v>43692</c:v>
                </c:pt>
                <c:pt idx="176">
                  <c:v>43693</c:v>
                </c:pt>
                <c:pt idx="177">
                  <c:v>43696</c:v>
                </c:pt>
                <c:pt idx="178">
                  <c:v>43698</c:v>
                </c:pt>
                <c:pt idx="179">
                  <c:v>43699</c:v>
                </c:pt>
                <c:pt idx="180">
                  <c:v>43700</c:v>
                </c:pt>
                <c:pt idx="181">
                  <c:v>43703</c:v>
                </c:pt>
                <c:pt idx="182">
                  <c:v>43704</c:v>
                </c:pt>
                <c:pt idx="183">
                  <c:v>43705</c:v>
                </c:pt>
                <c:pt idx="184">
                  <c:v>43706</c:v>
                </c:pt>
                <c:pt idx="185">
                  <c:v>43707</c:v>
                </c:pt>
                <c:pt idx="186">
                  <c:v>43710</c:v>
                </c:pt>
                <c:pt idx="187">
                  <c:v>43711</c:v>
                </c:pt>
                <c:pt idx="188">
                  <c:v>43712</c:v>
                </c:pt>
                <c:pt idx="189">
                  <c:v>43713</c:v>
                </c:pt>
                <c:pt idx="190">
                  <c:v>43714</c:v>
                </c:pt>
                <c:pt idx="191">
                  <c:v>43717</c:v>
                </c:pt>
                <c:pt idx="192">
                  <c:v>43718</c:v>
                </c:pt>
                <c:pt idx="193">
                  <c:v>43719</c:v>
                </c:pt>
                <c:pt idx="194">
                  <c:v>43720</c:v>
                </c:pt>
                <c:pt idx="195">
                  <c:v>43721</c:v>
                </c:pt>
                <c:pt idx="196">
                  <c:v>43724</c:v>
                </c:pt>
                <c:pt idx="197">
                  <c:v>43725</c:v>
                </c:pt>
                <c:pt idx="198">
                  <c:v>43726</c:v>
                </c:pt>
                <c:pt idx="199">
                  <c:v>43727</c:v>
                </c:pt>
                <c:pt idx="200">
                  <c:v>43728</c:v>
                </c:pt>
                <c:pt idx="201">
                  <c:v>43732</c:v>
                </c:pt>
                <c:pt idx="202">
                  <c:v>43733</c:v>
                </c:pt>
                <c:pt idx="203">
                  <c:v>43734</c:v>
                </c:pt>
                <c:pt idx="204">
                  <c:v>43735</c:v>
                </c:pt>
                <c:pt idx="205">
                  <c:v>43738</c:v>
                </c:pt>
                <c:pt idx="206">
                  <c:v>43739</c:v>
                </c:pt>
                <c:pt idx="207">
                  <c:v>43740</c:v>
                </c:pt>
                <c:pt idx="208">
                  <c:v>43741</c:v>
                </c:pt>
                <c:pt idx="209">
                  <c:v>43742</c:v>
                </c:pt>
                <c:pt idx="210">
                  <c:v>43745</c:v>
                </c:pt>
                <c:pt idx="211">
                  <c:v>43746</c:v>
                </c:pt>
                <c:pt idx="212">
                  <c:v>43747</c:v>
                </c:pt>
                <c:pt idx="213">
                  <c:v>43748</c:v>
                </c:pt>
                <c:pt idx="214">
                  <c:v>43749</c:v>
                </c:pt>
                <c:pt idx="215">
                  <c:v>43752</c:v>
                </c:pt>
                <c:pt idx="216">
                  <c:v>43753</c:v>
                </c:pt>
                <c:pt idx="217">
                  <c:v>43754</c:v>
                </c:pt>
                <c:pt idx="218">
                  <c:v>43755</c:v>
                </c:pt>
                <c:pt idx="219">
                  <c:v>43756</c:v>
                </c:pt>
                <c:pt idx="220">
                  <c:v>43759</c:v>
                </c:pt>
                <c:pt idx="221">
                  <c:v>43760</c:v>
                </c:pt>
                <c:pt idx="222">
                  <c:v>43761</c:v>
                </c:pt>
                <c:pt idx="223">
                  <c:v>43762</c:v>
                </c:pt>
                <c:pt idx="224">
                  <c:v>43763</c:v>
                </c:pt>
                <c:pt idx="225">
                  <c:v>43766</c:v>
                </c:pt>
                <c:pt idx="226">
                  <c:v>43767</c:v>
                </c:pt>
                <c:pt idx="227">
                  <c:v>43768</c:v>
                </c:pt>
                <c:pt idx="228">
                  <c:v>43769</c:v>
                </c:pt>
                <c:pt idx="229">
                  <c:v>43770</c:v>
                </c:pt>
                <c:pt idx="230">
                  <c:v>43773</c:v>
                </c:pt>
                <c:pt idx="231">
                  <c:v>43774</c:v>
                </c:pt>
                <c:pt idx="232">
                  <c:v>43775</c:v>
                </c:pt>
                <c:pt idx="233">
                  <c:v>43776</c:v>
                </c:pt>
                <c:pt idx="234">
                  <c:v>43777</c:v>
                </c:pt>
                <c:pt idx="235">
                  <c:v>43778</c:v>
                </c:pt>
                <c:pt idx="236">
                  <c:v>43781</c:v>
                </c:pt>
                <c:pt idx="237">
                  <c:v>43782</c:v>
                </c:pt>
                <c:pt idx="238">
                  <c:v>43783</c:v>
                </c:pt>
                <c:pt idx="239">
                  <c:v>43784</c:v>
                </c:pt>
                <c:pt idx="240">
                  <c:v>43787</c:v>
                </c:pt>
                <c:pt idx="241">
                  <c:v>43788</c:v>
                </c:pt>
                <c:pt idx="242">
                  <c:v>43789</c:v>
                </c:pt>
                <c:pt idx="243">
                  <c:v>43790</c:v>
                </c:pt>
                <c:pt idx="244">
                  <c:v>43791</c:v>
                </c:pt>
                <c:pt idx="245">
                  <c:v>43794</c:v>
                </c:pt>
                <c:pt idx="246">
                  <c:v>43795</c:v>
                </c:pt>
                <c:pt idx="247">
                  <c:v>43796</c:v>
                </c:pt>
                <c:pt idx="248">
                  <c:v>43797</c:v>
                </c:pt>
                <c:pt idx="249">
                  <c:v>43798</c:v>
                </c:pt>
                <c:pt idx="250">
                  <c:v>43801</c:v>
                </c:pt>
                <c:pt idx="251">
                  <c:v>43802</c:v>
                </c:pt>
                <c:pt idx="252">
                  <c:v>43803</c:v>
                </c:pt>
                <c:pt idx="253">
                  <c:v>43804</c:v>
                </c:pt>
                <c:pt idx="254">
                  <c:v>43805</c:v>
                </c:pt>
                <c:pt idx="255">
                  <c:v>43808</c:v>
                </c:pt>
                <c:pt idx="256">
                  <c:v>43809</c:v>
                </c:pt>
                <c:pt idx="257">
                  <c:v>43810</c:v>
                </c:pt>
                <c:pt idx="258">
                  <c:v>43811</c:v>
                </c:pt>
                <c:pt idx="259">
                  <c:v>43812</c:v>
                </c:pt>
                <c:pt idx="260">
                  <c:v>43815</c:v>
                </c:pt>
                <c:pt idx="261">
                  <c:v>43816</c:v>
                </c:pt>
                <c:pt idx="262">
                  <c:v>43817</c:v>
                </c:pt>
                <c:pt idx="263">
                  <c:v>43818</c:v>
                </c:pt>
                <c:pt idx="264">
                  <c:v>43819</c:v>
                </c:pt>
                <c:pt idx="265">
                  <c:v>43822</c:v>
                </c:pt>
                <c:pt idx="266">
                  <c:v>43823</c:v>
                </c:pt>
                <c:pt idx="267">
                  <c:v>43824</c:v>
                </c:pt>
                <c:pt idx="268">
                  <c:v>43825</c:v>
                </c:pt>
                <c:pt idx="269">
                  <c:v>43826</c:v>
                </c:pt>
                <c:pt idx="270">
                  <c:v>43827</c:v>
                </c:pt>
                <c:pt idx="271">
                  <c:v>43828</c:v>
                </c:pt>
                <c:pt idx="272">
                  <c:v>43829</c:v>
                </c:pt>
                <c:pt idx="273">
                  <c:v>43830</c:v>
                </c:pt>
                <c:pt idx="274">
                  <c:v>43838</c:v>
                </c:pt>
                <c:pt idx="275">
                  <c:v>43839</c:v>
                </c:pt>
                <c:pt idx="276">
                  <c:v>43840</c:v>
                </c:pt>
                <c:pt idx="277">
                  <c:v>43843</c:v>
                </c:pt>
                <c:pt idx="278">
                  <c:v>43844</c:v>
                </c:pt>
                <c:pt idx="279">
                  <c:v>43845</c:v>
                </c:pt>
                <c:pt idx="280">
                  <c:v>43846</c:v>
                </c:pt>
                <c:pt idx="281">
                  <c:v>43847</c:v>
                </c:pt>
                <c:pt idx="282">
                  <c:v>43850</c:v>
                </c:pt>
                <c:pt idx="283">
                  <c:v>43851</c:v>
                </c:pt>
                <c:pt idx="284">
                  <c:v>43852</c:v>
                </c:pt>
                <c:pt idx="285">
                  <c:v>43853</c:v>
                </c:pt>
                <c:pt idx="286">
                  <c:v>43854</c:v>
                </c:pt>
                <c:pt idx="287">
                  <c:v>43859</c:v>
                </c:pt>
                <c:pt idx="288">
                  <c:v>43860</c:v>
                </c:pt>
                <c:pt idx="289">
                  <c:v>43861</c:v>
                </c:pt>
                <c:pt idx="290">
                  <c:v>43862</c:v>
                </c:pt>
                <c:pt idx="291">
                  <c:v>43864</c:v>
                </c:pt>
                <c:pt idx="292">
                  <c:v>43865</c:v>
                </c:pt>
                <c:pt idx="293">
                  <c:v>43866</c:v>
                </c:pt>
                <c:pt idx="294">
                  <c:v>43867</c:v>
                </c:pt>
                <c:pt idx="295">
                  <c:v>43868</c:v>
                </c:pt>
                <c:pt idx="296">
                  <c:v>43871</c:v>
                </c:pt>
                <c:pt idx="297">
                  <c:v>43872</c:v>
                </c:pt>
                <c:pt idx="298">
                  <c:v>43873</c:v>
                </c:pt>
                <c:pt idx="299">
                  <c:v>43874</c:v>
                </c:pt>
                <c:pt idx="300">
                  <c:v>43875</c:v>
                </c:pt>
                <c:pt idx="301">
                  <c:v>43878</c:v>
                </c:pt>
                <c:pt idx="302">
                  <c:v>43879</c:v>
                </c:pt>
                <c:pt idx="303">
                  <c:v>43880</c:v>
                </c:pt>
                <c:pt idx="304">
                  <c:v>43881</c:v>
                </c:pt>
                <c:pt idx="305">
                  <c:v>43882</c:v>
                </c:pt>
                <c:pt idx="306">
                  <c:v>43885</c:v>
                </c:pt>
                <c:pt idx="307">
                  <c:v>43886</c:v>
                </c:pt>
                <c:pt idx="308">
                  <c:v>43887</c:v>
                </c:pt>
                <c:pt idx="309">
                  <c:v>43888</c:v>
                </c:pt>
                <c:pt idx="310">
                  <c:v>43889</c:v>
                </c:pt>
                <c:pt idx="311">
                  <c:v>43892</c:v>
                </c:pt>
                <c:pt idx="312">
                  <c:v>43893</c:v>
                </c:pt>
                <c:pt idx="313">
                  <c:v>43894</c:v>
                </c:pt>
                <c:pt idx="314">
                  <c:v>43895</c:v>
                </c:pt>
                <c:pt idx="315">
                  <c:v>43896</c:v>
                </c:pt>
                <c:pt idx="316">
                  <c:v>43899</c:v>
                </c:pt>
                <c:pt idx="317">
                  <c:v>43900</c:v>
                </c:pt>
                <c:pt idx="318">
                  <c:v>43901</c:v>
                </c:pt>
                <c:pt idx="319">
                  <c:v>43902</c:v>
                </c:pt>
                <c:pt idx="320">
                  <c:v>43903</c:v>
                </c:pt>
                <c:pt idx="321">
                  <c:v>43906</c:v>
                </c:pt>
                <c:pt idx="322">
                  <c:v>43907</c:v>
                </c:pt>
                <c:pt idx="323">
                  <c:v>43908</c:v>
                </c:pt>
                <c:pt idx="324">
                  <c:v>43909</c:v>
                </c:pt>
                <c:pt idx="325">
                  <c:v>43910</c:v>
                </c:pt>
                <c:pt idx="326">
                  <c:v>43913</c:v>
                </c:pt>
                <c:pt idx="327">
                  <c:v>43914</c:v>
                </c:pt>
                <c:pt idx="328">
                  <c:v>43915</c:v>
                </c:pt>
                <c:pt idx="329">
                  <c:v>43916</c:v>
                </c:pt>
                <c:pt idx="330">
                  <c:v>43917</c:v>
                </c:pt>
                <c:pt idx="331">
                  <c:v>43920</c:v>
                </c:pt>
                <c:pt idx="332">
                  <c:v>43921</c:v>
                </c:pt>
                <c:pt idx="333">
                  <c:v>43922</c:v>
                </c:pt>
                <c:pt idx="334">
                  <c:v>43923</c:v>
                </c:pt>
                <c:pt idx="335">
                  <c:v>43924</c:v>
                </c:pt>
                <c:pt idx="336">
                  <c:v>43927</c:v>
                </c:pt>
                <c:pt idx="337">
                  <c:v>43928</c:v>
                </c:pt>
                <c:pt idx="338">
                  <c:v>43929</c:v>
                </c:pt>
                <c:pt idx="339">
                  <c:v>43930</c:v>
                </c:pt>
                <c:pt idx="340">
                  <c:v>43931</c:v>
                </c:pt>
                <c:pt idx="341">
                  <c:v>43934</c:v>
                </c:pt>
                <c:pt idx="342">
                  <c:v>43935</c:v>
                </c:pt>
                <c:pt idx="343">
                  <c:v>43936</c:v>
                </c:pt>
                <c:pt idx="344">
                  <c:v>43937</c:v>
                </c:pt>
                <c:pt idx="345">
                  <c:v>43938</c:v>
                </c:pt>
                <c:pt idx="346">
                  <c:v>43941</c:v>
                </c:pt>
                <c:pt idx="347">
                  <c:v>43942</c:v>
                </c:pt>
                <c:pt idx="348">
                  <c:v>43943</c:v>
                </c:pt>
                <c:pt idx="349">
                  <c:v>43944</c:v>
                </c:pt>
                <c:pt idx="350">
                  <c:v>43948</c:v>
                </c:pt>
                <c:pt idx="351">
                  <c:v>43949</c:v>
                </c:pt>
                <c:pt idx="352">
                  <c:v>43950</c:v>
                </c:pt>
                <c:pt idx="353">
                  <c:v>43951</c:v>
                </c:pt>
                <c:pt idx="354">
                  <c:v>43955</c:v>
                </c:pt>
                <c:pt idx="355">
                  <c:v>43956</c:v>
                </c:pt>
                <c:pt idx="356">
                  <c:v>43957</c:v>
                </c:pt>
                <c:pt idx="357">
                  <c:v>43958</c:v>
                </c:pt>
                <c:pt idx="358">
                  <c:v>43959</c:v>
                </c:pt>
                <c:pt idx="359">
                  <c:v>43962</c:v>
                </c:pt>
                <c:pt idx="360">
                  <c:v>43963</c:v>
                </c:pt>
                <c:pt idx="361">
                  <c:v>43964</c:v>
                </c:pt>
                <c:pt idx="362">
                  <c:v>43965</c:v>
                </c:pt>
                <c:pt idx="363">
                  <c:v>43966</c:v>
                </c:pt>
                <c:pt idx="364">
                  <c:v>43969</c:v>
                </c:pt>
                <c:pt idx="365">
                  <c:v>43970</c:v>
                </c:pt>
                <c:pt idx="366">
                  <c:v>43971</c:v>
                </c:pt>
                <c:pt idx="367">
                  <c:v>43972</c:v>
                </c:pt>
                <c:pt idx="368">
                  <c:v>43973</c:v>
                </c:pt>
                <c:pt idx="369">
                  <c:v>43974</c:v>
                </c:pt>
                <c:pt idx="370">
                  <c:v>43976</c:v>
                </c:pt>
                <c:pt idx="371">
                  <c:v>43977</c:v>
                </c:pt>
                <c:pt idx="372">
                  <c:v>43978</c:v>
                </c:pt>
                <c:pt idx="373">
                  <c:v>43983</c:v>
                </c:pt>
                <c:pt idx="374">
                  <c:v>43984</c:v>
                </c:pt>
                <c:pt idx="375">
                  <c:v>43985</c:v>
                </c:pt>
                <c:pt idx="376">
                  <c:v>43986</c:v>
                </c:pt>
                <c:pt idx="377">
                  <c:v>43987</c:v>
                </c:pt>
                <c:pt idx="378">
                  <c:v>43990</c:v>
                </c:pt>
                <c:pt idx="379">
                  <c:v>43991</c:v>
                </c:pt>
                <c:pt idx="380">
                  <c:v>43992</c:v>
                </c:pt>
                <c:pt idx="381">
                  <c:v>43993</c:v>
                </c:pt>
                <c:pt idx="382">
                  <c:v>43994</c:v>
                </c:pt>
                <c:pt idx="383">
                  <c:v>43997</c:v>
                </c:pt>
                <c:pt idx="384">
                  <c:v>43998</c:v>
                </c:pt>
                <c:pt idx="385">
                  <c:v>43999</c:v>
                </c:pt>
                <c:pt idx="386">
                  <c:v>44000</c:v>
                </c:pt>
                <c:pt idx="387">
                  <c:v>44001</c:v>
                </c:pt>
                <c:pt idx="388">
                  <c:v>44004</c:v>
                </c:pt>
                <c:pt idx="389">
                  <c:v>44005</c:v>
                </c:pt>
                <c:pt idx="390">
                  <c:v>44006</c:v>
                </c:pt>
                <c:pt idx="391">
                  <c:v>44007</c:v>
                </c:pt>
                <c:pt idx="392">
                  <c:v>44008</c:v>
                </c:pt>
                <c:pt idx="393">
                  <c:v>44011</c:v>
                </c:pt>
                <c:pt idx="394">
                  <c:v>44012</c:v>
                </c:pt>
                <c:pt idx="395">
                  <c:v>44013</c:v>
                </c:pt>
                <c:pt idx="396">
                  <c:v>44014</c:v>
                </c:pt>
                <c:pt idx="397">
                  <c:v>44015</c:v>
                </c:pt>
                <c:pt idx="398">
                  <c:v>44018</c:v>
                </c:pt>
                <c:pt idx="399">
                  <c:v>44019</c:v>
                </c:pt>
                <c:pt idx="400">
                  <c:v>44020</c:v>
                </c:pt>
                <c:pt idx="401">
                  <c:v>44021</c:v>
                </c:pt>
                <c:pt idx="402">
                  <c:v>44022</c:v>
                </c:pt>
                <c:pt idx="403">
                  <c:v>44025</c:v>
                </c:pt>
                <c:pt idx="404">
                  <c:v>44026</c:v>
                </c:pt>
                <c:pt idx="405">
                  <c:v>44027</c:v>
                </c:pt>
                <c:pt idx="406">
                  <c:v>44028</c:v>
                </c:pt>
                <c:pt idx="407">
                  <c:v>44029</c:v>
                </c:pt>
                <c:pt idx="408">
                  <c:v>44032</c:v>
                </c:pt>
                <c:pt idx="409">
                  <c:v>44033</c:v>
                </c:pt>
                <c:pt idx="410">
                  <c:v>44034</c:v>
                </c:pt>
                <c:pt idx="411">
                  <c:v>44035</c:v>
                </c:pt>
                <c:pt idx="412">
                  <c:v>44036</c:v>
                </c:pt>
                <c:pt idx="413">
                  <c:v>44039</c:v>
                </c:pt>
                <c:pt idx="414">
                  <c:v>44040</c:v>
                </c:pt>
                <c:pt idx="415">
                  <c:v>44041</c:v>
                </c:pt>
                <c:pt idx="416">
                  <c:v>44042</c:v>
                </c:pt>
                <c:pt idx="417">
                  <c:v>44043</c:v>
                </c:pt>
                <c:pt idx="418">
                  <c:v>44046</c:v>
                </c:pt>
                <c:pt idx="419">
                  <c:v>44047</c:v>
                </c:pt>
                <c:pt idx="420">
                  <c:v>44048</c:v>
                </c:pt>
                <c:pt idx="421">
                  <c:v>44049</c:v>
                </c:pt>
                <c:pt idx="422">
                  <c:v>44050</c:v>
                </c:pt>
                <c:pt idx="423">
                  <c:v>44053</c:v>
                </c:pt>
                <c:pt idx="424">
                  <c:v>44054</c:v>
                </c:pt>
                <c:pt idx="425">
                  <c:v>44055</c:v>
                </c:pt>
                <c:pt idx="426">
                  <c:v>44056</c:v>
                </c:pt>
                <c:pt idx="427">
                  <c:v>44057</c:v>
                </c:pt>
                <c:pt idx="428">
                  <c:v>44060</c:v>
                </c:pt>
                <c:pt idx="429">
                  <c:v>44061</c:v>
                </c:pt>
                <c:pt idx="430">
                  <c:v>44062</c:v>
                </c:pt>
                <c:pt idx="431">
                  <c:v>44063</c:v>
                </c:pt>
                <c:pt idx="432">
                  <c:v>44064</c:v>
                </c:pt>
                <c:pt idx="433">
                  <c:v>44067</c:v>
                </c:pt>
                <c:pt idx="434">
                  <c:v>44068</c:v>
                </c:pt>
                <c:pt idx="435">
                  <c:v>44069</c:v>
                </c:pt>
                <c:pt idx="436">
                  <c:v>44070</c:v>
                </c:pt>
                <c:pt idx="437">
                  <c:v>44071</c:v>
                </c:pt>
                <c:pt idx="438">
                  <c:v>44074</c:v>
                </c:pt>
                <c:pt idx="439">
                  <c:v>44075</c:v>
                </c:pt>
                <c:pt idx="440">
                  <c:v>44076</c:v>
                </c:pt>
                <c:pt idx="441">
                  <c:v>44077</c:v>
                </c:pt>
                <c:pt idx="442">
                  <c:v>44078</c:v>
                </c:pt>
                <c:pt idx="443">
                  <c:v>44081</c:v>
                </c:pt>
                <c:pt idx="444">
                  <c:v>44082</c:v>
                </c:pt>
                <c:pt idx="445">
                  <c:v>44083</c:v>
                </c:pt>
                <c:pt idx="446">
                  <c:v>44084</c:v>
                </c:pt>
                <c:pt idx="447">
                  <c:v>44085</c:v>
                </c:pt>
                <c:pt idx="448">
                  <c:v>44088</c:v>
                </c:pt>
                <c:pt idx="449">
                  <c:v>44089</c:v>
                </c:pt>
                <c:pt idx="450">
                  <c:v>44090</c:v>
                </c:pt>
                <c:pt idx="451">
                  <c:v>44091</c:v>
                </c:pt>
                <c:pt idx="452">
                  <c:v>44092</c:v>
                </c:pt>
                <c:pt idx="453">
                  <c:v>44096</c:v>
                </c:pt>
                <c:pt idx="454">
                  <c:v>44097</c:v>
                </c:pt>
                <c:pt idx="455">
                  <c:v>44098</c:v>
                </c:pt>
                <c:pt idx="456">
                  <c:v>44099</c:v>
                </c:pt>
                <c:pt idx="457">
                  <c:v>44102</c:v>
                </c:pt>
                <c:pt idx="458">
                  <c:v>44103</c:v>
                </c:pt>
                <c:pt idx="459">
                  <c:v>44104</c:v>
                </c:pt>
                <c:pt idx="460">
                  <c:v>44105</c:v>
                </c:pt>
                <c:pt idx="461">
                  <c:v>44106</c:v>
                </c:pt>
                <c:pt idx="462">
                  <c:v>44109</c:v>
                </c:pt>
                <c:pt idx="463">
                  <c:v>44110</c:v>
                </c:pt>
                <c:pt idx="464">
                  <c:v>44111</c:v>
                </c:pt>
                <c:pt idx="465">
                  <c:v>44112</c:v>
                </c:pt>
                <c:pt idx="466">
                  <c:v>44113</c:v>
                </c:pt>
                <c:pt idx="467">
                  <c:v>44116</c:v>
                </c:pt>
                <c:pt idx="468">
                  <c:v>44117</c:v>
                </c:pt>
                <c:pt idx="469">
                  <c:v>44118</c:v>
                </c:pt>
                <c:pt idx="470">
                  <c:v>44119</c:v>
                </c:pt>
                <c:pt idx="471">
                  <c:v>44120</c:v>
                </c:pt>
                <c:pt idx="472">
                  <c:v>44123</c:v>
                </c:pt>
                <c:pt idx="473">
                  <c:v>44124</c:v>
                </c:pt>
                <c:pt idx="474">
                  <c:v>44125</c:v>
                </c:pt>
                <c:pt idx="475">
                  <c:v>44126</c:v>
                </c:pt>
                <c:pt idx="476">
                  <c:v>44127</c:v>
                </c:pt>
                <c:pt idx="477">
                  <c:v>44130</c:v>
                </c:pt>
                <c:pt idx="478">
                  <c:v>44131</c:v>
                </c:pt>
                <c:pt idx="479">
                  <c:v>44132</c:v>
                </c:pt>
                <c:pt idx="480">
                  <c:v>44133</c:v>
                </c:pt>
                <c:pt idx="481">
                  <c:v>44134</c:v>
                </c:pt>
                <c:pt idx="482">
                  <c:v>44137</c:v>
                </c:pt>
                <c:pt idx="483">
                  <c:v>44138</c:v>
                </c:pt>
                <c:pt idx="484">
                  <c:v>44139</c:v>
                </c:pt>
                <c:pt idx="485">
                  <c:v>44140</c:v>
                </c:pt>
                <c:pt idx="486">
                  <c:v>44141</c:v>
                </c:pt>
                <c:pt idx="487">
                  <c:v>44144</c:v>
                </c:pt>
                <c:pt idx="488">
                  <c:v>44145</c:v>
                </c:pt>
                <c:pt idx="489">
                  <c:v>44146</c:v>
                </c:pt>
                <c:pt idx="490">
                  <c:v>44147</c:v>
                </c:pt>
                <c:pt idx="491">
                  <c:v>44148</c:v>
                </c:pt>
                <c:pt idx="492">
                  <c:v>44151</c:v>
                </c:pt>
                <c:pt idx="493">
                  <c:v>44152</c:v>
                </c:pt>
                <c:pt idx="494">
                  <c:v>44153</c:v>
                </c:pt>
                <c:pt idx="495">
                  <c:v>44154</c:v>
                </c:pt>
                <c:pt idx="496">
                  <c:v>44155</c:v>
                </c:pt>
                <c:pt idx="497">
                  <c:v>44158</c:v>
                </c:pt>
                <c:pt idx="498">
                  <c:v>44159</c:v>
                </c:pt>
                <c:pt idx="499">
                  <c:v>44160</c:v>
                </c:pt>
                <c:pt idx="500">
                  <c:v>44161</c:v>
                </c:pt>
                <c:pt idx="501">
                  <c:v>44162</c:v>
                </c:pt>
                <c:pt idx="502">
                  <c:v>44165</c:v>
                </c:pt>
                <c:pt idx="503">
                  <c:v>44166</c:v>
                </c:pt>
                <c:pt idx="504">
                  <c:v>44167</c:v>
                </c:pt>
                <c:pt idx="505">
                  <c:v>44168</c:v>
                </c:pt>
                <c:pt idx="506">
                  <c:v>44169</c:v>
                </c:pt>
                <c:pt idx="507">
                  <c:v>44172</c:v>
                </c:pt>
                <c:pt idx="508">
                  <c:v>44173</c:v>
                </c:pt>
                <c:pt idx="509">
                  <c:v>44174</c:v>
                </c:pt>
                <c:pt idx="510">
                  <c:v>44175</c:v>
                </c:pt>
                <c:pt idx="511">
                  <c:v>44176</c:v>
                </c:pt>
                <c:pt idx="512">
                  <c:v>44179</c:v>
                </c:pt>
                <c:pt idx="513">
                  <c:v>44180</c:v>
                </c:pt>
                <c:pt idx="514">
                  <c:v>44181</c:v>
                </c:pt>
                <c:pt idx="515">
                  <c:v>44182</c:v>
                </c:pt>
                <c:pt idx="516">
                  <c:v>44183</c:v>
                </c:pt>
                <c:pt idx="517">
                  <c:v>44186</c:v>
                </c:pt>
                <c:pt idx="518">
                  <c:v>44187</c:v>
                </c:pt>
                <c:pt idx="519">
                  <c:v>44188</c:v>
                </c:pt>
                <c:pt idx="520">
                  <c:v>44189</c:v>
                </c:pt>
                <c:pt idx="521">
                  <c:v>44190</c:v>
                </c:pt>
                <c:pt idx="522">
                  <c:v>44193</c:v>
                </c:pt>
                <c:pt idx="523">
                  <c:v>44194</c:v>
                </c:pt>
                <c:pt idx="524">
                  <c:v>44195</c:v>
                </c:pt>
                <c:pt idx="525">
                  <c:v>44196</c:v>
                </c:pt>
              </c:numCache>
            </c:numRef>
          </c:cat>
          <c:val>
            <c:numRef>
              <c:f>'Graf yield'!$B$299:$B$572</c:f>
            </c:numRef>
          </c:val>
          <c:smooth val="0"/>
          <c:extLst>
            <c:ext xmlns:c16="http://schemas.microsoft.com/office/drawing/2014/chart" uri="{C3380CC4-5D6E-409C-BE32-E72D297353CC}">
              <c16:uniqueId val="{00000000-13E6-46C8-A2A6-98DFE1F49A5F}"/>
            </c:ext>
          </c:extLst>
        </c:ser>
        <c:ser>
          <c:idx val="1"/>
          <c:order val="1"/>
          <c:tx>
            <c:strRef>
              <c:f>'Graf yield'!$C$3</c:f>
              <c:strCache>
                <c:ptCount val="1"/>
                <c:pt idx="0">
                  <c:v>Yield (%)</c:v>
                </c:pt>
              </c:strCache>
            </c:strRef>
          </c:tx>
          <c:spPr>
            <a:ln w="41275"/>
          </c:spPr>
          <c:marker>
            <c:symbol val="none"/>
          </c:marker>
          <c:cat>
            <c:numRef>
              <c:f>'Graf yield'!$A$299:$A$824</c:f>
              <c:numCache>
                <c:formatCode>dd\.mm\.yy;@</c:formatCode>
                <c:ptCount val="526"/>
                <c:pt idx="0">
                  <c:v>43098</c:v>
                </c:pt>
                <c:pt idx="1">
                  <c:v>43110</c:v>
                </c:pt>
                <c:pt idx="2">
                  <c:v>43116</c:v>
                </c:pt>
                <c:pt idx="3">
                  <c:v>43123</c:v>
                </c:pt>
                <c:pt idx="4">
                  <c:v>43131</c:v>
                </c:pt>
                <c:pt idx="5">
                  <c:v>43137</c:v>
                </c:pt>
                <c:pt idx="6">
                  <c:v>43144</c:v>
                </c:pt>
                <c:pt idx="7">
                  <c:v>43152</c:v>
                </c:pt>
                <c:pt idx="8">
                  <c:v>43159</c:v>
                </c:pt>
                <c:pt idx="9">
                  <c:v>43161</c:v>
                </c:pt>
                <c:pt idx="10">
                  <c:v>43176</c:v>
                </c:pt>
                <c:pt idx="11">
                  <c:v>43182</c:v>
                </c:pt>
                <c:pt idx="12">
                  <c:v>43190</c:v>
                </c:pt>
                <c:pt idx="13">
                  <c:v>43197</c:v>
                </c:pt>
                <c:pt idx="14">
                  <c:v>43203</c:v>
                </c:pt>
                <c:pt idx="15">
                  <c:v>43210</c:v>
                </c:pt>
                <c:pt idx="16">
                  <c:v>43217</c:v>
                </c:pt>
                <c:pt idx="17">
                  <c:v>43222</c:v>
                </c:pt>
                <c:pt idx="18">
                  <c:v>43231</c:v>
                </c:pt>
                <c:pt idx="19">
                  <c:v>43242</c:v>
                </c:pt>
                <c:pt idx="20">
                  <c:v>43249</c:v>
                </c:pt>
                <c:pt idx="21">
                  <c:v>43256</c:v>
                </c:pt>
                <c:pt idx="22">
                  <c:v>43263</c:v>
                </c:pt>
                <c:pt idx="23">
                  <c:v>43273</c:v>
                </c:pt>
                <c:pt idx="24">
                  <c:v>43280</c:v>
                </c:pt>
                <c:pt idx="25">
                  <c:v>43284</c:v>
                </c:pt>
                <c:pt idx="26">
                  <c:v>43299</c:v>
                </c:pt>
                <c:pt idx="27">
                  <c:v>43305</c:v>
                </c:pt>
                <c:pt idx="28">
                  <c:v>43312</c:v>
                </c:pt>
                <c:pt idx="29">
                  <c:v>43315</c:v>
                </c:pt>
                <c:pt idx="30">
                  <c:v>43322</c:v>
                </c:pt>
                <c:pt idx="31">
                  <c:v>43334</c:v>
                </c:pt>
                <c:pt idx="32">
                  <c:v>43343</c:v>
                </c:pt>
                <c:pt idx="33">
                  <c:v>43347</c:v>
                </c:pt>
                <c:pt idx="34">
                  <c:v>43354</c:v>
                </c:pt>
                <c:pt idx="35">
                  <c:v>43363</c:v>
                </c:pt>
                <c:pt idx="36">
                  <c:v>43373</c:v>
                </c:pt>
                <c:pt idx="37">
                  <c:v>43375</c:v>
                </c:pt>
                <c:pt idx="38">
                  <c:v>43383</c:v>
                </c:pt>
                <c:pt idx="39">
                  <c:v>43392</c:v>
                </c:pt>
                <c:pt idx="40">
                  <c:v>43404</c:v>
                </c:pt>
                <c:pt idx="41">
                  <c:v>43406</c:v>
                </c:pt>
                <c:pt idx="42">
                  <c:v>43413</c:v>
                </c:pt>
                <c:pt idx="43">
                  <c:v>43425</c:v>
                </c:pt>
                <c:pt idx="44">
                  <c:v>43434</c:v>
                </c:pt>
                <c:pt idx="45">
                  <c:v>43438</c:v>
                </c:pt>
                <c:pt idx="46">
                  <c:v>43446</c:v>
                </c:pt>
                <c:pt idx="47">
                  <c:v>43455</c:v>
                </c:pt>
                <c:pt idx="48">
                  <c:v>43465</c:v>
                </c:pt>
                <c:pt idx="49">
                  <c:v>43476</c:v>
                </c:pt>
                <c:pt idx="50">
                  <c:v>43481</c:v>
                </c:pt>
                <c:pt idx="51">
                  <c:v>43483</c:v>
                </c:pt>
                <c:pt idx="52">
                  <c:v>43487</c:v>
                </c:pt>
                <c:pt idx="53">
                  <c:v>43490</c:v>
                </c:pt>
                <c:pt idx="54">
                  <c:v>43496</c:v>
                </c:pt>
                <c:pt idx="55">
                  <c:v>43497</c:v>
                </c:pt>
                <c:pt idx="56">
                  <c:v>43501</c:v>
                </c:pt>
                <c:pt idx="57">
                  <c:v>43502</c:v>
                </c:pt>
                <c:pt idx="58">
                  <c:v>43504</c:v>
                </c:pt>
                <c:pt idx="59">
                  <c:v>43509</c:v>
                </c:pt>
                <c:pt idx="60">
                  <c:v>43511</c:v>
                </c:pt>
                <c:pt idx="61">
                  <c:v>43515</c:v>
                </c:pt>
                <c:pt idx="62">
                  <c:v>43518</c:v>
                </c:pt>
                <c:pt idx="63">
                  <c:v>43522</c:v>
                </c:pt>
                <c:pt idx="64">
                  <c:v>43524</c:v>
                </c:pt>
                <c:pt idx="65">
                  <c:v>43525</c:v>
                </c:pt>
                <c:pt idx="66">
                  <c:v>43529</c:v>
                </c:pt>
                <c:pt idx="67">
                  <c:v>43531</c:v>
                </c:pt>
                <c:pt idx="68">
                  <c:v>43536</c:v>
                </c:pt>
                <c:pt idx="69">
                  <c:v>43537</c:v>
                </c:pt>
                <c:pt idx="70">
                  <c:v>43538</c:v>
                </c:pt>
                <c:pt idx="71">
                  <c:v>43539</c:v>
                </c:pt>
                <c:pt idx="72">
                  <c:v>43542</c:v>
                </c:pt>
                <c:pt idx="73">
                  <c:v>43543</c:v>
                </c:pt>
                <c:pt idx="74">
                  <c:v>43544</c:v>
                </c:pt>
                <c:pt idx="75">
                  <c:v>43545</c:v>
                </c:pt>
                <c:pt idx="76">
                  <c:v>43546</c:v>
                </c:pt>
                <c:pt idx="77">
                  <c:v>43549</c:v>
                </c:pt>
                <c:pt idx="78">
                  <c:v>43550</c:v>
                </c:pt>
                <c:pt idx="79">
                  <c:v>43551</c:v>
                </c:pt>
                <c:pt idx="80">
                  <c:v>43552</c:v>
                </c:pt>
                <c:pt idx="81">
                  <c:v>43553</c:v>
                </c:pt>
                <c:pt idx="82">
                  <c:v>43556</c:v>
                </c:pt>
                <c:pt idx="83">
                  <c:v>43557</c:v>
                </c:pt>
                <c:pt idx="84">
                  <c:v>43558</c:v>
                </c:pt>
                <c:pt idx="85">
                  <c:v>43559</c:v>
                </c:pt>
                <c:pt idx="86">
                  <c:v>43560</c:v>
                </c:pt>
                <c:pt idx="87">
                  <c:v>43563</c:v>
                </c:pt>
                <c:pt idx="88">
                  <c:v>43564</c:v>
                </c:pt>
                <c:pt idx="89">
                  <c:v>43565</c:v>
                </c:pt>
                <c:pt idx="90">
                  <c:v>43566</c:v>
                </c:pt>
                <c:pt idx="91">
                  <c:v>43567</c:v>
                </c:pt>
                <c:pt idx="92">
                  <c:v>43570</c:v>
                </c:pt>
                <c:pt idx="93">
                  <c:v>43571</c:v>
                </c:pt>
                <c:pt idx="94">
                  <c:v>43572</c:v>
                </c:pt>
                <c:pt idx="95">
                  <c:v>43573</c:v>
                </c:pt>
                <c:pt idx="96">
                  <c:v>43574</c:v>
                </c:pt>
                <c:pt idx="97">
                  <c:v>43577</c:v>
                </c:pt>
                <c:pt idx="98">
                  <c:v>43578</c:v>
                </c:pt>
                <c:pt idx="99">
                  <c:v>43580</c:v>
                </c:pt>
                <c:pt idx="100">
                  <c:v>43581</c:v>
                </c:pt>
                <c:pt idx="101">
                  <c:v>43584</c:v>
                </c:pt>
                <c:pt idx="102">
                  <c:v>43585</c:v>
                </c:pt>
                <c:pt idx="103">
                  <c:v>43587</c:v>
                </c:pt>
                <c:pt idx="104">
                  <c:v>43588</c:v>
                </c:pt>
                <c:pt idx="105">
                  <c:v>43591</c:v>
                </c:pt>
                <c:pt idx="106">
                  <c:v>43592</c:v>
                </c:pt>
                <c:pt idx="107">
                  <c:v>43593</c:v>
                </c:pt>
                <c:pt idx="108">
                  <c:v>43595</c:v>
                </c:pt>
                <c:pt idx="109">
                  <c:v>43598</c:v>
                </c:pt>
                <c:pt idx="110">
                  <c:v>43599</c:v>
                </c:pt>
                <c:pt idx="111">
                  <c:v>43600</c:v>
                </c:pt>
                <c:pt idx="112">
                  <c:v>43601</c:v>
                </c:pt>
                <c:pt idx="113">
                  <c:v>43602</c:v>
                </c:pt>
                <c:pt idx="114">
                  <c:v>43605</c:v>
                </c:pt>
                <c:pt idx="115">
                  <c:v>43606</c:v>
                </c:pt>
                <c:pt idx="116">
                  <c:v>43607</c:v>
                </c:pt>
                <c:pt idx="117">
                  <c:v>43608</c:v>
                </c:pt>
                <c:pt idx="118">
                  <c:v>43609</c:v>
                </c:pt>
                <c:pt idx="119">
                  <c:v>43612</c:v>
                </c:pt>
                <c:pt idx="120">
                  <c:v>43614</c:v>
                </c:pt>
                <c:pt idx="121">
                  <c:v>43615</c:v>
                </c:pt>
                <c:pt idx="122">
                  <c:v>43616</c:v>
                </c:pt>
                <c:pt idx="123">
                  <c:v>43619</c:v>
                </c:pt>
                <c:pt idx="124">
                  <c:v>43620</c:v>
                </c:pt>
                <c:pt idx="125">
                  <c:v>43621</c:v>
                </c:pt>
                <c:pt idx="126">
                  <c:v>43622</c:v>
                </c:pt>
                <c:pt idx="127">
                  <c:v>43623</c:v>
                </c:pt>
                <c:pt idx="128">
                  <c:v>43626</c:v>
                </c:pt>
                <c:pt idx="129">
                  <c:v>43627</c:v>
                </c:pt>
                <c:pt idx="130">
                  <c:v>43628</c:v>
                </c:pt>
                <c:pt idx="131">
                  <c:v>43629</c:v>
                </c:pt>
                <c:pt idx="132">
                  <c:v>43630</c:v>
                </c:pt>
                <c:pt idx="133">
                  <c:v>43633</c:v>
                </c:pt>
                <c:pt idx="134">
                  <c:v>43634</c:v>
                </c:pt>
                <c:pt idx="135">
                  <c:v>43635</c:v>
                </c:pt>
                <c:pt idx="136">
                  <c:v>43636</c:v>
                </c:pt>
                <c:pt idx="137">
                  <c:v>43637</c:v>
                </c:pt>
                <c:pt idx="138">
                  <c:v>43640</c:v>
                </c:pt>
                <c:pt idx="139">
                  <c:v>43641</c:v>
                </c:pt>
                <c:pt idx="140">
                  <c:v>43642</c:v>
                </c:pt>
                <c:pt idx="141">
                  <c:v>43643</c:v>
                </c:pt>
                <c:pt idx="142">
                  <c:v>43644</c:v>
                </c:pt>
                <c:pt idx="143">
                  <c:v>43647</c:v>
                </c:pt>
                <c:pt idx="144">
                  <c:v>43648</c:v>
                </c:pt>
                <c:pt idx="145">
                  <c:v>43649</c:v>
                </c:pt>
                <c:pt idx="146">
                  <c:v>43650</c:v>
                </c:pt>
                <c:pt idx="147">
                  <c:v>43654</c:v>
                </c:pt>
                <c:pt idx="148">
                  <c:v>43655</c:v>
                </c:pt>
                <c:pt idx="149">
                  <c:v>43656</c:v>
                </c:pt>
                <c:pt idx="150">
                  <c:v>43657</c:v>
                </c:pt>
                <c:pt idx="151">
                  <c:v>43658</c:v>
                </c:pt>
                <c:pt idx="152">
                  <c:v>43661</c:v>
                </c:pt>
                <c:pt idx="153">
                  <c:v>43662</c:v>
                </c:pt>
                <c:pt idx="154">
                  <c:v>43663</c:v>
                </c:pt>
                <c:pt idx="155">
                  <c:v>43664</c:v>
                </c:pt>
                <c:pt idx="156">
                  <c:v>43665</c:v>
                </c:pt>
                <c:pt idx="157">
                  <c:v>43668</c:v>
                </c:pt>
                <c:pt idx="158">
                  <c:v>43669</c:v>
                </c:pt>
                <c:pt idx="159">
                  <c:v>43670</c:v>
                </c:pt>
                <c:pt idx="160">
                  <c:v>43671</c:v>
                </c:pt>
                <c:pt idx="161">
                  <c:v>43672</c:v>
                </c:pt>
                <c:pt idx="162">
                  <c:v>43675</c:v>
                </c:pt>
                <c:pt idx="163">
                  <c:v>43676</c:v>
                </c:pt>
                <c:pt idx="164">
                  <c:v>43677</c:v>
                </c:pt>
                <c:pt idx="165">
                  <c:v>43678</c:v>
                </c:pt>
                <c:pt idx="166">
                  <c:v>43679</c:v>
                </c:pt>
                <c:pt idx="167">
                  <c:v>43682</c:v>
                </c:pt>
                <c:pt idx="168">
                  <c:v>43683</c:v>
                </c:pt>
                <c:pt idx="169">
                  <c:v>43684</c:v>
                </c:pt>
                <c:pt idx="170">
                  <c:v>43685</c:v>
                </c:pt>
                <c:pt idx="171">
                  <c:v>43686</c:v>
                </c:pt>
                <c:pt idx="172">
                  <c:v>43689</c:v>
                </c:pt>
                <c:pt idx="173">
                  <c:v>43690</c:v>
                </c:pt>
                <c:pt idx="174">
                  <c:v>43691</c:v>
                </c:pt>
                <c:pt idx="175">
                  <c:v>43692</c:v>
                </c:pt>
                <c:pt idx="176">
                  <c:v>43693</c:v>
                </c:pt>
                <c:pt idx="177">
                  <c:v>43696</c:v>
                </c:pt>
                <c:pt idx="178">
                  <c:v>43698</c:v>
                </c:pt>
                <c:pt idx="179">
                  <c:v>43699</c:v>
                </c:pt>
                <c:pt idx="180">
                  <c:v>43700</c:v>
                </c:pt>
                <c:pt idx="181">
                  <c:v>43703</c:v>
                </c:pt>
                <c:pt idx="182">
                  <c:v>43704</c:v>
                </c:pt>
                <c:pt idx="183">
                  <c:v>43705</c:v>
                </c:pt>
                <c:pt idx="184">
                  <c:v>43706</c:v>
                </c:pt>
                <c:pt idx="185">
                  <c:v>43707</c:v>
                </c:pt>
                <c:pt idx="186">
                  <c:v>43710</c:v>
                </c:pt>
                <c:pt idx="187">
                  <c:v>43711</c:v>
                </c:pt>
                <c:pt idx="188">
                  <c:v>43712</c:v>
                </c:pt>
                <c:pt idx="189">
                  <c:v>43713</c:v>
                </c:pt>
                <c:pt idx="190">
                  <c:v>43714</c:v>
                </c:pt>
                <c:pt idx="191">
                  <c:v>43717</c:v>
                </c:pt>
                <c:pt idx="192">
                  <c:v>43718</c:v>
                </c:pt>
                <c:pt idx="193">
                  <c:v>43719</c:v>
                </c:pt>
                <c:pt idx="194">
                  <c:v>43720</c:v>
                </c:pt>
                <c:pt idx="195">
                  <c:v>43721</c:v>
                </c:pt>
                <c:pt idx="196">
                  <c:v>43724</c:v>
                </c:pt>
                <c:pt idx="197">
                  <c:v>43725</c:v>
                </c:pt>
                <c:pt idx="198">
                  <c:v>43726</c:v>
                </c:pt>
                <c:pt idx="199">
                  <c:v>43727</c:v>
                </c:pt>
                <c:pt idx="200">
                  <c:v>43728</c:v>
                </c:pt>
                <c:pt idx="201">
                  <c:v>43732</c:v>
                </c:pt>
                <c:pt idx="202">
                  <c:v>43733</c:v>
                </c:pt>
                <c:pt idx="203">
                  <c:v>43734</c:v>
                </c:pt>
                <c:pt idx="204">
                  <c:v>43735</c:v>
                </c:pt>
                <c:pt idx="205">
                  <c:v>43738</c:v>
                </c:pt>
                <c:pt idx="206">
                  <c:v>43739</c:v>
                </c:pt>
                <c:pt idx="207">
                  <c:v>43740</c:v>
                </c:pt>
                <c:pt idx="208">
                  <c:v>43741</c:v>
                </c:pt>
                <c:pt idx="209">
                  <c:v>43742</c:v>
                </c:pt>
                <c:pt idx="210">
                  <c:v>43745</c:v>
                </c:pt>
                <c:pt idx="211">
                  <c:v>43746</c:v>
                </c:pt>
                <c:pt idx="212">
                  <c:v>43747</c:v>
                </c:pt>
                <c:pt idx="213">
                  <c:v>43748</c:v>
                </c:pt>
                <c:pt idx="214">
                  <c:v>43749</c:v>
                </c:pt>
                <c:pt idx="215">
                  <c:v>43752</c:v>
                </c:pt>
                <c:pt idx="216">
                  <c:v>43753</c:v>
                </c:pt>
                <c:pt idx="217">
                  <c:v>43754</c:v>
                </c:pt>
                <c:pt idx="218">
                  <c:v>43755</c:v>
                </c:pt>
                <c:pt idx="219">
                  <c:v>43756</c:v>
                </c:pt>
                <c:pt idx="220">
                  <c:v>43759</c:v>
                </c:pt>
                <c:pt idx="221">
                  <c:v>43760</c:v>
                </c:pt>
                <c:pt idx="222">
                  <c:v>43761</c:v>
                </c:pt>
                <c:pt idx="223">
                  <c:v>43762</c:v>
                </c:pt>
                <c:pt idx="224">
                  <c:v>43763</c:v>
                </c:pt>
                <c:pt idx="225">
                  <c:v>43766</c:v>
                </c:pt>
                <c:pt idx="226">
                  <c:v>43767</c:v>
                </c:pt>
                <c:pt idx="227">
                  <c:v>43768</c:v>
                </c:pt>
                <c:pt idx="228">
                  <c:v>43769</c:v>
                </c:pt>
                <c:pt idx="229">
                  <c:v>43770</c:v>
                </c:pt>
                <c:pt idx="230">
                  <c:v>43773</c:v>
                </c:pt>
                <c:pt idx="231">
                  <c:v>43774</c:v>
                </c:pt>
                <c:pt idx="232">
                  <c:v>43775</c:v>
                </c:pt>
                <c:pt idx="233">
                  <c:v>43776</c:v>
                </c:pt>
                <c:pt idx="234">
                  <c:v>43777</c:v>
                </c:pt>
                <c:pt idx="235">
                  <c:v>43778</c:v>
                </c:pt>
                <c:pt idx="236">
                  <c:v>43781</c:v>
                </c:pt>
                <c:pt idx="237">
                  <c:v>43782</c:v>
                </c:pt>
                <c:pt idx="238">
                  <c:v>43783</c:v>
                </c:pt>
                <c:pt idx="239">
                  <c:v>43784</c:v>
                </c:pt>
                <c:pt idx="240">
                  <c:v>43787</c:v>
                </c:pt>
                <c:pt idx="241">
                  <c:v>43788</c:v>
                </c:pt>
                <c:pt idx="242">
                  <c:v>43789</c:v>
                </c:pt>
                <c:pt idx="243">
                  <c:v>43790</c:v>
                </c:pt>
                <c:pt idx="244">
                  <c:v>43791</c:v>
                </c:pt>
                <c:pt idx="245">
                  <c:v>43794</c:v>
                </c:pt>
                <c:pt idx="246">
                  <c:v>43795</c:v>
                </c:pt>
                <c:pt idx="247">
                  <c:v>43796</c:v>
                </c:pt>
                <c:pt idx="248">
                  <c:v>43797</c:v>
                </c:pt>
                <c:pt idx="249">
                  <c:v>43798</c:v>
                </c:pt>
                <c:pt idx="250">
                  <c:v>43801</c:v>
                </c:pt>
                <c:pt idx="251">
                  <c:v>43802</c:v>
                </c:pt>
                <c:pt idx="252">
                  <c:v>43803</c:v>
                </c:pt>
                <c:pt idx="253">
                  <c:v>43804</c:v>
                </c:pt>
                <c:pt idx="254">
                  <c:v>43805</c:v>
                </c:pt>
                <c:pt idx="255">
                  <c:v>43808</c:v>
                </c:pt>
                <c:pt idx="256">
                  <c:v>43809</c:v>
                </c:pt>
                <c:pt idx="257">
                  <c:v>43810</c:v>
                </c:pt>
                <c:pt idx="258">
                  <c:v>43811</c:v>
                </c:pt>
                <c:pt idx="259">
                  <c:v>43812</c:v>
                </c:pt>
                <c:pt idx="260">
                  <c:v>43815</c:v>
                </c:pt>
                <c:pt idx="261">
                  <c:v>43816</c:v>
                </c:pt>
                <c:pt idx="262">
                  <c:v>43817</c:v>
                </c:pt>
                <c:pt idx="263">
                  <c:v>43818</c:v>
                </c:pt>
                <c:pt idx="264">
                  <c:v>43819</c:v>
                </c:pt>
                <c:pt idx="265">
                  <c:v>43822</c:v>
                </c:pt>
                <c:pt idx="266">
                  <c:v>43823</c:v>
                </c:pt>
                <c:pt idx="267">
                  <c:v>43824</c:v>
                </c:pt>
                <c:pt idx="268">
                  <c:v>43825</c:v>
                </c:pt>
                <c:pt idx="269">
                  <c:v>43826</c:v>
                </c:pt>
                <c:pt idx="270">
                  <c:v>43827</c:v>
                </c:pt>
                <c:pt idx="271">
                  <c:v>43828</c:v>
                </c:pt>
                <c:pt idx="272">
                  <c:v>43829</c:v>
                </c:pt>
                <c:pt idx="273">
                  <c:v>43830</c:v>
                </c:pt>
                <c:pt idx="274">
                  <c:v>43838</c:v>
                </c:pt>
                <c:pt idx="275">
                  <c:v>43839</c:v>
                </c:pt>
                <c:pt idx="276">
                  <c:v>43840</c:v>
                </c:pt>
                <c:pt idx="277">
                  <c:v>43843</c:v>
                </c:pt>
                <c:pt idx="278">
                  <c:v>43844</c:v>
                </c:pt>
                <c:pt idx="279">
                  <c:v>43845</c:v>
                </c:pt>
                <c:pt idx="280">
                  <c:v>43846</c:v>
                </c:pt>
                <c:pt idx="281">
                  <c:v>43847</c:v>
                </c:pt>
                <c:pt idx="282">
                  <c:v>43850</c:v>
                </c:pt>
                <c:pt idx="283">
                  <c:v>43851</c:v>
                </c:pt>
                <c:pt idx="284">
                  <c:v>43852</c:v>
                </c:pt>
                <c:pt idx="285">
                  <c:v>43853</c:v>
                </c:pt>
                <c:pt idx="286">
                  <c:v>43854</c:v>
                </c:pt>
                <c:pt idx="287">
                  <c:v>43859</c:v>
                </c:pt>
                <c:pt idx="288">
                  <c:v>43860</c:v>
                </c:pt>
                <c:pt idx="289">
                  <c:v>43861</c:v>
                </c:pt>
                <c:pt idx="290">
                  <c:v>43862</c:v>
                </c:pt>
                <c:pt idx="291">
                  <c:v>43864</c:v>
                </c:pt>
                <c:pt idx="292">
                  <c:v>43865</c:v>
                </c:pt>
                <c:pt idx="293">
                  <c:v>43866</c:v>
                </c:pt>
                <c:pt idx="294">
                  <c:v>43867</c:v>
                </c:pt>
                <c:pt idx="295">
                  <c:v>43868</c:v>
                </c:pt>
                <c:pt idx="296">
                  <c:v>43871</c:v>
                </c:pt>
                <c:pt idx="297">
                  <c:v>43872</c:v>
                </c:pt>
                <c:pt idx="298">
                  <c:v>43873</c:v>
                </c:pt>
                <c:pt idx="299">
                  <c:v>43874</c:v>
                </c:pt>
                <c:pt idx="300">
                  <c:v>43875</c:v>
                </c:pt>
                <c:pt idx="301">
                  <c:v>43878</c:v>
                </c:pt>
                <c:pt idx="302">
                  <c:v>43879</c:v>
                </c:pt>
                <c:pt idx="303">
                  <c:v>43880</c:v>
                </c:pt>
                <c:pt idx="304">
                  <c:v>43881</c:v>
                </c:pt>
                <c:pt idx="305">
                  <c:v>43882</c:v>
                </c:pt>
                <c:pt idx="306">
                  <c:v>43885</c:v>
                </c:pt>
                <c:pt idx="307">
                  <c:v>43886</c:v>
                </c:pt>
                <c:pt idx="308">
                  <c:v>43887</c:v>
                </c:pt>
                <c:pt idx="309">
                  <c:v>43888</c:v>
                </c:pt>
                <c:pt idx="310">
                  <c:v>43889</c:v>
                </c:pt>
                <c:pt idx="311">
                  <c:v>43892</c:v>
                </c:pt>
                <c:pt idx="312">
                  <c:v>43893</c:v>
                </c:pt>
                <c:pt idx="313">
                  <c:v>43894</c:v>
                </c:pt>
                <c:pt idx="314">
                  <c:v>43895</c:v>
                </c:pt>
                <c:pt idx="315">
                  <c:v>43896</c:v>
                </c:pt>
                <c:pt idx="316">
                  <c:v>43899</c:v>
                </c:pt>
                <c:pt idx="317">
                  <c:v>43900</c:v>
                </c:pt>
                <c:pt idx="318">
                  <c:v>43901</c:v>
                </c:pt>
                <c:pt idx="319">
                  <c:v>43902</c:v>
                </c:pt>
                <c:pt idx="320">
                  <c:v>43903</c:v>
                </c:pt>
                <c:pt idx="321">
                  <c:v>43906</c:v>
                </c:pt>
                <c:pt idx="322">
                  <c:v>43907</c:v>
                </c:pt>
                <c:pt idx="323">
                  <c:v>43908</c:v>
                </c:pt>
                <c:pt idx="324">
                  <c:v>43909</c:v>
                </c:pt>
                <c:pt idx="325">
                  <c:v>43910</c:v>
                </c:pt>
                <c:pt idx="326">
                  <c:v>43913</c:v>
                </c:pt>
                <c:pt idx="327">
                  <c:v>43914</c:v>
                </c:pt>
                <c:pt idx="328">
                  <c:v>43915</c:v>
                </c:pt>
                <c:pt idx="329">
                  <c:v>43916</c:v>
                </c:pt>
                <c:pt idx="330">
                  <c:v>43917</c:v>
                </c:pt>
                <c:pt idx="331">
                  <c:v>43920</c:v>
                </c:pt>
                <c:pt idx="332">
                  <c:v>43921</c:v>
                </c:pt>
                <c:pt idx="333">
                  <c:v>43922</c:v>
                </c:pt>
                <c:pt idx="334">
                  <c:v>43923</c:v>
                </c:pt>
                <c:pt idx="335">
                  <c:v>43924</c:v>
                </c:pt>
                <c:pt idx="336">
                  <c:v>43927</c:v>
                </c:pt>
                <c:pt idx="337">
                  <c:v>43928</c:v>
                </c:pt>
                <c:pt idx="338">
                  <c:v>43929</c:v>
                </c:pt>
                <c:pt idx="339">
                  <c:v>43930</c:v>
                </c:pt>
                <c:pt idx="340">
                  <c:v>43931</c:v>
                </c:pt>
                <c:pt idx="341">
                  <c:v>43934</c:v>
                </c:pt>
                <c:pt idx="342">
                  <c:v>43935</c:v>
                </c:pt>
                <c:pt idx="343">
                  <c:v>43936</c:v>
                </c:pt>
                <c:pt idx="344">
                  <c:v>43937</c:v>
                </c:pt>
                <c:pt idx="345">
                  <c:v>43938</c:v>
                </c:pt>
                <c:pt idx="346">
                  <c:v>43941</c:v>
                </c:pt>
                <c:pt idx="347">
                  <c:v>43942</c:v>
                </c:pt>
                <c:pt idx="348">
                  <c:v>43943</c:v>
                </c:pt>
                <c:pt idx="349">
                  <c:v>43944</c:v>
                </c:pt>
                <c:pt idx="350">
                  <c:v>43948</c:v>
                </c:pt>
                <c:pt idx="351">
                  <c:v>43949</c:v>
                </c:pt>
                <c:pt idx="352">
                  <c:v>43950</c:v>
                </c:pt>
                <c:pt idx="353">
                  <c:v>43951</c:v>
                </c:pt>
                <c:pt idx="354">
                  <c:v>43955</c:v>
                </c:pt>
                <c:pt idx="355">
                  <c:v>43956</c:v>
                </c:pt>
                <c:pt idx="356">
                  <c:v>43957</c:v>
                </c:pt>
                <c:pt idx="357">
                  <c:v>43958</c:v>
                </c:pt>
                <c:pt idx="358">
                  <c:v>43959</c:v>
                </c:pt>
                <c:pt idx="359">
                  <c:v>43962</c:v>
                </c:pt>
                <c:pt idx="360">
                  <c:v>43963</c:v>
                </c:pt>
                <c:pt idx="361">
                  <c:v>43964</c:v>
                </c:pt>
                <c:pt idx="362">
                  <c:v>43965</c:v>
                </c:pt>
                <c:pt idx="363">
                  <c:v>43966</c:v>
                </c:pt>
                <c:pt idx="364">
                  <c:v>43969</c:v>
                </c:pt>
                <c:pt idx="365">
                  <c:v>43970</c:v>
                </c:pt>
                <c:pt idx="366">
                  <c:v>43971</c:v>
                </c:pt>
                <c:pt idx="367">
                  <c:v>43972</c:v>
                </c:pt>
                <c:pt idx="368">
                  <c:v>43973</c:v>
                </c:pt>
                <c:pt idx="369">
                  <c:v>43974</c:v>
                </c:pt>
                <c:pt idx="370">
                  <c:v>43976</c:v>
                </c:pt>
                <c:pt idx="371">
                  <c:v>43977</c:v>
                </c:pt>
                <c:pt idx="372">
                  <c:v>43978</c:v>
                </c:pt>
                <c:pt idx="373">
                  <c:v>43983</c:v>
                </c:pt>
                <c:pt idx="374">
                  <c:v>43984</c:v>
                </c:pt>
                <c:pt idx="375">
                  <c:v>43985</c:v>
                </c:pt>
                <c:pt idx="376">
                  <c:v>43986</c:v>
                </c:pt>
                <c:pt idx="377">
                  <c:v>43987</c:v>
                </c:pt>
                <c:pt idx="378">
                  <c:v>43990</c:v>
                </c:pt>
                <c:pt idx="379">
                  <c:v>43991</c:v>
                </c:pt>
                <c:pt idx="380">
                  <c:v>43992</c:v>
                </c:pt>
                <c:pt idx="381">
                  <c:v>43993</c:v>
                </c:pt>
                <c:pt idx="382">
                  <c:v>43994</c:v>
                </c:pt>
                <c:pt idx="383">
                  <c:v>43997</c:v>
                </c:pt>
                <c:pt idx="384">
                  <c:v>43998</c:v>
                </c:pt>
                <c:pt idx="385">
                  <c:v>43999</c:v>
                </c:pt>
                <c:pt idx="386">
                  <c:v>44000</c:v>
                </c:pt>
                <c:pt idx="387">
                  <c:v>44001</c:v>
                </c:pt>
                <c:pt idx="388">
                  <c:v>44004</c:v>
                </c:pt>
                <c:pt idx="389">
                  <c:v>44005</c:v>
                </c:pt>
                <c:pt idx="390">
                  <c:v>44006</c:v>
                </c:pt>
                <c:pt idx="391">
                  <c:v>44007</c:v>
                </c:pt>
                <c:pt idx="392">
                  <c:v>44008</c:v>
                </c:pt>
                <c:pt idx="393">
                  <c:v>44011</c:v>
                </c:pt>
                <c:pt idx="394">
                  <c:v>44012</c:v>
                </c:pt>
                <c:pt idx="395">
                  <c:v>44013</c:v>
                </c:pt>
                <c:pt idx="396">
                  <c:v>44014</c:v>
                </c:pt>
                <c:pt idx="397">
                  <c:v>44015</c:v>
                </c:pt>
                <c:pt idx="398">
                  <c:v>44018</c:v>
                </c:pt>
                <c:pt idx="399">
                  <c:v>44019</c:v>
                </c:pt>
                <c:pt idx="400">
                  <c:v>44020</c:v>
                </c:pt>
                <c:pt idx="401">
                  <c:v>44021</c:v>
                </c:pt>
                <c:pt idx="402">
                  <c:v>44022</c:v>
                </c:pt>
                <c:pt idx="403">
                  <c:v>44025</c:v>
                </c:pt>
                <c:pt idx="404">
                  <c:v>44026</c:v>
                </c:pt>
                <c:pt idx="405">
                  <c:v>44027</c:v>
                </c:pt>
                <c:pt idx="406">
                  <c:v>44028</c:v>
                </c:pt>
                <c:pt idx="407">
                  <c:v>44029</c:v>
                </c:pt>
                <c:pt idx="408">
                  <c:v>44032</c:v>
                </c:pt>
                <c:pt idx="409">
                  <c:v>44033</c:v>
                </c:pt>
                <c:pt idx="410">
                  <c:v>44034</c:v>
                </c:pt>
                <c:pt idx="411">
                  <c:v>44035</c:v>
                </c:pt>
                <c:pt idx="412">
                  <c:v>44036</c:v>
                </c:pt>
                <c:pt idx="413">
                  <c:v>44039</c:v>
                </c:pt>
                <c:pt idx="414">
                  <c:v>44040</c:v>
                </c:pt>
                <c:pt idx="415">
                  <c:v>44041</c:v>
                </c:pt>
                <c:pt idx="416">
                  <c:v>44042</c:v>
                </c:pt>
                <c:pt idx="417">
                  <c:v>44043</c:v>
                </c:pt>
                <c:pt idx="418">
                  <c:v>44046</c:v>
                </c:pt>
                <c:pt idx="419">
                  <c:v>44047</c:v>
                </c:pt>
                <c:pt idx="420">
                  <c:v>44048</c:v>
                </c:pt>
                <c:pt idx="421">
                  <c:v>44049</c:v>
                </c:pt>
                <c:pt idx="422">
                  <c:v>44050</c:v>
                </c:pt>
                <c:pt idx="423">
                  <c:v>44053</c:v>
                </c:pt>
                <c:pt idx="424">
                  <c:v>44054</c:v>
                </c:pt>
                <c:pt idx="425">
                  <c:v>44055</c:v>
                </c:pt>
                <c:pt idx="426">
                  <c:v>44056</c:v>
                </c:pt>
                <c:pt idx="427">
                  <c:v>44057</c:v>
                </c:pt>
                <c:pt idx="428">
                  <c:v>44060</c:v>
                </c:pt>
                <c:pt idx="429">
                  <c:v>44061</c:v>
                </c:pt>
                <c:pt idx="430">
                  <c:v>44062</c:v>
                </c:pt>
                <c:pt idx="431">
                  <c:v>44063</c:v>
                </c:pt>
                <c:pt idx="432">
                  <c:v>44064</c:v>
                </c:pt>
                <c:pt idx="433">
                  <c:v>44067</c:v>
                </c:pt>
                <c:pt idx="434">
                  <c:v>44068</c:v>
                </c:pt>
                <c:pt idx="435">
                  <c:v>44069</c:v>
                </c:pt>
                <c:pt idx="436">
                  <c:v>44070</c:v>
                </c:pt>
                <c:pt idx="437">
                  <c:v>44071</c:v>
                </c:pt>
                <c:pt idx="438">
                  <c:v>44074</c:v>
                </c:pt>
                <c:pt idx="439">
                  <c:v>44075</c:v>
                </c:pt>
                <c:pt idx="440">
                  <c:v>44076</c:v>
                </c:pt>
                <c:pt idx="441">
                  <c:v>44077</c:v>
                </c:pt>
                <c:pt idx="442">
                  <c:v>44078</c:v>
                </c:pt>
                <c:pt idx="443">
                  <c:v>44081</c:v>
                </c:pt>
                <c:pt idx="444">
                  <c:v>44082</c:v>
                </c:pt>
                <c:pt idx="445">
                  <c:v>44083</c:v>
                </c:pt>
                <c:pt idx="446">
                  <c:v>44084</c:v>
                </c:pt>
                <c:pt idx="447">
                  <c:v>44085</c:v>
                </c:pt>
                <c:pt idx="448">
                  <c:v>44088</c:v>
                </c:pt>
                <c:pt idx="449">
                  <c:v>44089</c:v>
                </c:pt>
                <c:pt idx="450">
                  <c:v>44090</c:v>
                </c:pt>
                <c:pt idx="451">
                  <c:v>44091</c:v>
                </c:pt>
                <c:pt idx="452">
                  <c:v>44092</c:v>
                </c:pt>
                <c:pt idx="453">
                  <c:v>44096</c:v>
                </c:pt>
                <c:pt idx="454">
                  <c:v>44097</c:v>
                </c:pt>
                <c:pt idx="455">
                  <c:v>44098</c:v>
                </c:pt>
                <c:pt idx="456">
                  <c:v>44099</c:v>
                </c:pt>
                <c:pt idx="457">
                  <c:v>44102</c:v>
                </c:pt>
                <c:pt idx="458">
                  <c:v>44103</c:v>
                </c:pt>
                <c:pt idx="459">
                  <c:v>44104</c:v>
                </c:pt>
                <c:pt idx="460">
                  <c:v>44105</c:v>
                </c:pt>
                <c:pt idx="461">
                  <c:v>44106</c:v>
                </c:pt>
                <c:pt idx="462">
                  <c:v>44109</c:v>
                </c:pt>
                <c:pt idx="463">
                  <c:v>44110</c:v>
                </c:pt>
                <c:pt idx="464">
                  <c:v>44111</c:v>
                </c:pt>
                <c:pt idx="465">
                  <c:v>44112</c:v>
                </c:pt>
                <c:pt idx="466">
                  <c:v>44113</c:v>
                </c:pt>
                <c:pt idx="467">
                  <c:v>44116</c:v>
                </c:pt>
                <c:pt idx="468">
                  <c:v>44117</c:v>
                </c:pt>
                <c:pt idx="469">
                  <c:v>44118</c:v>
                </c:pt>
                <c:pt idx="470">
                  <c:v>44119</c:v>
                </c:pt>
                <c:pt idx="471">
                  <c:v>44120</c:v>
                </c:pt>
                <c:pt idx="472">
                  <c:v>44123</c:v>
                </c:pt>
                <c:pt idx="473">
                  <c:v>44124</c:v>
                </c:pt>
                <c:pt idx="474">
                  <c:v>44125</c:v>
                </c:pt>
                <c:pt idx="475">
                  <c:v>44126</c:v>
                </c:pt>
                <c:pt idx="476">
                  <c:v>44127</c:v>
                </c:pt>
                <c:pt idx="477">
                  <c:v>44130</c:v>
                </c:pt>
                <c:pt idx="478">
                  <c:v>44131</c:v>
                </c:pt>
                <c:pt idx="479">
                  <c:v>44132</c:v>
                </c:pt>
                <c:pt idx="480">
                  <c:v>44133</c:v>
                </c:pt>
                <c:pt idx="481">
                  <c:v>44134</c:v>
                </c:pt>
                <c:pt idx="482">
                  <c:v>44137</c:v>
                </c:pt>
                <c:pt idx="483">
                  <c:v>44138</c:v>
                </c:pt>
                <c:pt idx="484">
                  <c:v>44139</c:v>
                </c:pt>
                <c:pt idx="485">
                  <c:v>44140</c:v>
                </c:pt>
                <c:pt idx="486">
                  <c:v>44141</c:v>
                </c:pt>
                <c:pt idx="487">
                  <c:v>44144</c:v>
                </c:pt>
                <c:pt idx="488">
                  <c:v>44145</c:v>
                </c:pt>
                <c:pt idx="489">
                  <c:v>44146</c:v>
                </c:pt>
                <c:pt idx="490">
                  <c:v>44147</c:v>
                </c:pt>
                <c:pt idx="491">
                  <c:v>44148</c:v>
                </c:pt>
                <c:pt idx="492">
                  <c:v>44151</c:v>
                </c:pt>
                <c:pt idx="493">
                  <c:v>44152</c:v>
                </c:pt>
                <c:pt idx="494">
                  <c:v>44153</c:v>
                </c:pt>
                <c:pt idx="495">
                  <c:v>44154</c:v>
                </c:pt>
                <c:pt idx="496">
                  <c:v>44155</c:v>
                </c:pt>
                <c:pt idx="497">
                  <c:v>44158</c:v>
                </c:pt>
                <c:pt idx="498">
                  <c:v>44159</c:v>
                </c:pt>
                <c:pt idx="499">
                  <c:v>44160</c:v>
                </c:pt>
                <c:pt idx="500">
                  <c:v>44161</c:v>
                </c:pt>
                <c:pt idx="501">
                  <c:v>44162</c:v>
                </c:pt>
                <c:pt idx="502">
                  <c:v>44165</c:v>
                </c:pt>
                <c:pt idx="503">
                  <c:v>44166</c:v>
                </c:pt>
                <c:pt idx="504">
                  <c:v>44167</c:v>
                </c:pt>
                <c:pt idx="505">
                  <c:v>44168</c:v>
                </c:pt>
                <c:pt idx="506">
                  <c:v>44169</c:v>
                </c:pt>
                <c:pt idx="507">
                  <c:v>44172</c:v>
                </c:pt>
                <c:pt idx="508">
                  <c:v>44173</c:v>
                </c:pt>
                <c:pt idx="509">
                  <c:v>44174</c:v>
                </c:pt>
                <c:pt idx="510">
                  <c:v>44175</c:v>
                </c:pt>
                <c:pt idx="511">
                  <c:v>44176</c:v>
                </c:pt>
                <c:pt idx="512">
                  <c:v>44179</c:v>
                </c:pt>
                <c:pt idx="513">
                  <c:v>44180</c:v>
                </c:pt>
                <c:pt idx="514">
                  <c:v>44181</c:v>
                </c:pt>
                <c:pt idx="515">
                  <c:v>44182</c:v>
                </c:pt>
                <c:pt idx="516">
                  <c:v>44183</c:v>
                </c:pt>
                <c:pt idx="517">
                  <c:v>44186</c:v>
                </c:pt>
                <c:pt idx="518">
                  <c:v>44187</c:v>
                </c:pt>
                <c:pt idx="519">
                  <c:v>44188</c:v>
                </c:pt>
                <c:pt idx="520">
                  <c:v>44189</c:v>
                </c:pt>
                <c:pt idx="521">
                  <c:v>44190</c:v>
                </c:pt>
                <c:pt idx="522">
                  <c:v>44193</c:v>
                </c:pt>
                <c:pt idx="523">
                  <c:v>44194</c:v>
                </c:pt>
                <c:pt idx="524">
                  <c:v>44195</c:v>
                </c:pt>
                <c:pt idx="525">
                  <c:v>44196</c:v>
                </c:pt>
              </c:numCache>
            </c:numRef>
          </c:cat>
          <c:val>
            <c:numRef>
              <c:f>'Graf yield'!$C$299:$C$824</c:f>
              <c:numCache>
                <c:formatCode>0.00</c:formatCode>
                <c:ptCount val="526"/>
                <c:pt idx="0">
                  <c:v>13.0877</c:v>
                </c:pt>
                <c:pt idx="1">
                  <c:v>13.098000000000001</c:v>
                </c:pt>
                <c:pt idx="2">
                  <c:v>13.1135</c:v>
                </c:pt>
                <c:pt idx="3">
                  <c:v>13.1005</c:v>
                </c:pt>
                <c:pt idx="4">
                  <c:v>13.100199999999999</c:v>
                </c:pt>
                <c:pt idx="5">
                  <c:v>13.1</c:v>
                </c:pt>
                <c:pt idx="6">
                  <c:v>13.113</c:v>
                </c:pt>
                <c:pt idx="7">
                  <c:v>12.965199999999999</c:v>
                </c:pt>
                <c:pt idx="8">
                  <c:v>12.9513</c:v>
                </c:pt>
                <c:pt idx="9">
                  <c:v>12.9513</c:v>
                </c:pt>
                <c:pt idx="10">
                  <c:v>12.948499999999999</c:v>
                </c:pt>
                <c:pt idx="11">
                  <c:v>12.879799999999999</c:v>
                </c:pt>
                <c:pt idx="12">
                  <c:v>12.872400000000001</c:v>
                </c:pt>
                <c:pt idx="13">
                  <c:v>12.888199999999999</c:v>
                </c:pt>
                <c:pt idx="14">
                  <c:v>12.887600000000001</c:v>
                </c:pt>
                <c:pt idx="15">
                  <c:v>12.786099999999999</c:v>
                </c:pt>
                <c:pt idx="16">
                  <c:v>12.772</c:v>
                </c:pt>
                <c:pt idx="17">
                  <c:v>12.5205</c:v>
                </c:pt>
                <c:pt idx="18">
                  <c:v>12.5061</c:v>
                </c:pt>
                <c:pt idx="19">
                  <c:v>12.480399999999999</c:v>
                </c:pt>
                <c:pt idx="20">
                  <c:v>12.480399999999999</c:v>
                </c:pt>
                <c:pt idx="21">
                  <c:v>12.4986</c:v>
                </c:pt>
                <c:pt idx="22">
                  <c:v>12.484500000000001</c:v>
                </c:pt>
                <c:pt idx="23">
                  <c:v>12.509600000000001</c:v>
                </c:pt>
                <c:pt idx="24">
                  <c:v>12.4947</c:v>
                </c:pt>
                <c:pt idx="25">
                  <c:v>12.530200000000001</c:v>
                </c:pt>
                <c:pt idx="26">
                  <c:v>12.4878</c:v>
                </c:pt>
                <c:pt idx="27">
                  <c:v>12.4747</c:v>
                </c:pt>
                <c:pt idx="28">
                  <c:v>12.4734</c:v>
                </c:pt>
                <c:pt idx="29">
                  <c:v>12.472899999999999</c:v>
                </c:pt>
                <c:pt idx="30">
                  <c:v>12.478899999999999</c:v>
                </c:pt>
                <c:pt idx="31">
                  <c:v>12.4404</c:v>
                </c:pt>
                <c:pt idx="32">
                  <c:v>12.4259</c:v>
                </c:pt>
                <c:pt idx="33">
                  <c:v>12.445399999999999</c:v>
                </c:pt>
                <c:pt idx="34">
                  <c:v>12.432499999999999</c:v>
                </c:pt>
                <c:pt idx="35">
                  <c:v>12.4551</c:v>
                </c:pt>
                <c:pt idx="36">
                  <c:v>12.4407</c:v>
                </c:pt>
                <c:pt idx="37">
                  <c:v>12.454000000000001</c:v>
                </c:pt>
                <c:pt idx="38">
                  <c:v>12.439299999999999</c:v>
                </c:pt>
                <c:pt idx="39">
                  <c:v>12.4062</c:v>
                </c:pt>
                <c:pt idx="40">
                  <c:v>12.392899999999999</c:v>
                </c:pt>
                <c:pt idx="41">
                  <c:v>12.392799999999999</c:v>
                </c:pt>
                <c:pt idx="42">
                  <c:v>12.423999999999999</c:v>
                </c:pt>
                <c:pt idx="43">
                  <c:v>12.354100000000001</c:v>
                </c:pt>
                <c:pt idx="44">
                  <c:v>12.3416</c:v>
                </c:pt>
                <c:pt idx="45">
                  <c:v>12.328900000000001</c:v>
                </c:pt>
                <c:pt idx="46">
                  <c:v>12.2941</c:v>
                </c:pt>
                <c:pt idx="47">
                  <c:v>12.281599999999999</c:v>
                </c:pt>
                <c:pt idx="48">
                  <c:v>12.281700000000001</c:v>
                </c:pt>
                <c:pt idx="49">
                  <c:v>12.2819</c:v>
                </c:pt>
                <c:pt idx="50">
                  <c:v>12.2699</c:v>
                </c:pt>
                <c:pt idx="51">
                  <c:v>12.2698</c:v>
                </c:pt>
                <c:pt idx="52">
                  <c:v>12.259499999999999</c:v>
                </c:pt>
                <c:pt idx="53">
                  <c:v>12.259399999999999</c:v>
                </c:pt>
                <c:pt idx="54">
                  <c:v>12.259600000000001</c:v>
                </c:pt>
                <c:pt idx="55">
                  <c:v>12.259600000000001</c:v>
                </c:pt>
                <c:pt idx="56">
                  <c:v>12.2737</c:v>
                </c:pt>
                <c:pt idx="57">
                  <c:v>12.2737</c:v>
                </c:pt>
                <c:pt idx="58">
                  <c:v>12.2737</c:v>
                </c:pt>
                <c:pt idx="59">
                  <c:v>12.221500000000001</c:v>
                </c:pt>
                <c:pt idx="60">
                  <c:v>12.221399999999999</c:v>
                </c:pt>
                <c:pt idx="61">
                  <c:v>12.209300000000001</c:v>
                </c:pt>
                <c:pt idx="62">
                  <c:v>12.2087</c:v>
                </c:pt>
                <c:pt idx="63">
                  <c:v>12.1966</c:v>
                </c:pt>
                <c:pt idx="64">
                  <c:v>12.1967</c:v>
                </c:pt>
                <c:pt idx="65">
                  <c:v>12.1966</c:v>
                </c:pt>
                <c:pt idx="66">
                  <c:v>12.219799999999999</c:v>
                </c:pt>
                <c:pt idx="67">
                  <c:v>12.219799999999999</c:v>
                </c:pt>
                <c:pt idx="68">
                  <c:v>12.165699999999999</c:v>
                </c:pt>
                <c:pt idx="69">
                  <c:v>12.165699999999999</c:v>
                </c:pt>
                <c:pt idx="70">
                  <c:v>12.1655</c:v>
                </c:pt>
                <c:pt idx="71">
                  <c:v>12.1655</c:v>
                </c:pt>
                <c:pt idx="72">
                  <c:v>12.1538</c:v>
                </c:pt>
                <c:pt idx="73">
                  <c:v>12.1538</c:v>
                </c:pt>
                <c:pt idx="74">
                  <c:v>12.1538</c:v>
                </c:pt>
                <c:pt idx="75">
                  <c:v>12.1538</c:v>
                </c:pt>
                <c:pt idx="76">
                  <c:v>12.1538</c:v>
                </c:pt>
                <c:pt idx="77">
                  <c:v>12.1425</c:v>
                </c:pt>
                <c:pt idx="78">
                  <c:v>12.1425</c:v>
                </c:pt>
                <c:pt idx="79">
                  <c:v>12.142099999999999</c:v>
                </c:pt>
                <c:pt idx="80">
                  <c:v>12.142099999999999</c:v>
                </c:pt>
                <c:pt idx="81">
                  <c:v>12.142099999999999</c:v>
                </c:pt>
                <c:pt idx="82">
                  <c:v>12.133100000000001</c:v>
                </c:pt>
                <c:pt idx="83">
                  <c:v>12.131121190492774</c:v>
                </c:pt>
                <c:pt idx="84">
                  <c:v>12.131121190492774</c:v>
                </c:pt>
                <c:pt idx="85">
                  <c:v>12.130950397443344</c:v>
                </c:pt>
                <c:pt idx="86">
                  <c:v>12.13089550083977</c:v>
                </c:pt>
                <c:pt idx="87">
                  <c:v>12.153390497314701</c:v>
                </c:pt>
                <c:pt idx="88">
                  <c:v>12.136138126917672</c:v>
                </c:pt>
                <c:pt idx="89">
                  <c:v>12.132703347283881</c:v>
                </c:pt>
                <c:pt idx="90">
                  <c:v>12.1327</c:v>
                </c:pt>
                <c:pt idx="91">
                  <c:v>12.132657508348842</c:v>
                </c:pt>
                <c:pt idx="92">
                  <c:v>12.123092409047926</c:v>
                </c:pt>
                <c:pt idx="93">
                  <c:v>12.121188164640365</c:v>
                </c:pt>
                <c:pt idx="94">
                  <c:v>12.1212</c:v>
                </c:pt>
                <c:pt idx="95">
                  <c:v>12.1212</c:v>
                </c:pt>
                <c:pt idx="96">
                  <c:v>12.120988145847493</c:v>
                </c:pt>
                <c:pt idx="97">
                  <c:v>12.120885831669044</c:v>
                </c:pt>
                <c:pt idx="98">
                  <c:v>12.120840763551053</c:v>
                </c:pt>
                <c:pt idx="99">
                  <c:v>12.120702020829153</c:v>
                </c:pt>
                <c:pt idx="100">
                  <c:v>12.120470523656383</c:v>
                </c:pt>
                <c:pt idx="101">
                  <c:v>12.1205</c:v>
                </c:pt>
                <c:pt idx="102">
                  <c:v>12.0063</c:v>
                </c:pt>
                <c:pt idx="103">
                  <c:v>12.006247404269429</c:v>
                </c:pt>
                <c:pt idx="104">
                  <c:v>12.0062</c:v>
                </c:pt>
                <c:pt idx="105">
                  <c:v>12.03036069777059</c:v>
                </c:pt>
                <c:pt idx="106">
                  <c:v>12.0289</c:v>
                </c:pt>
                <c:pt idx="107">
                  <c:v>12.02887023624373</c:v>
                </c:pt>
                <c:pt idx="108">
                  <c:v>12.028867959849473</c:v>
                </c:pt>
                <c:pt idx="109">
                  <c:v>12.028863245431671</c:v>
                </c:pt>
                <c:pt idx="110">
                  <c:v>12.02883820142395</c:v>
                </c:pt>
                <c:pt idx="111">
                  <c:v>11.985241090896817</c:v>
                </c:pt>
                <c:pt idx="112">
                  <c:v>11.985235909970084</c:v>
                </c:pt>
                <c:pt idx="113">
                  <c:v>11.985233935242515</c:v>
                </c:pt>
                <c:pt idx="114">
                  <c:v>11.985241630108662</c:v>
                </c:pt>
                <c:pt idx="115">
                  <c:v>11.973100000000001</c:v>
                </c:pt>
                <c:pt idx="116">
                  <c:v>11.973149307883398</c:v>
                </c:pt>
                <c:pt idx="117">
                  <c:v>11.973149307883398</c:v>
                </c:pt>
                <c:pt idx="118">
                  <c:v>11.973100000000001</c:v>
                </c:pt>
                <c:pt idx="119">
                  <c:v>11.962637355472145</c:v>
                </c:pt>
                <c:pt idx="120">
                  <c:v>11.962706545505362</c:v>
                </c:pt>
                <c:pt idx="121">
                  <c:v>11.962684128756056</c:v>
                </c:pt>
                <c:pt idx="122">
                  <c:v>11.962627109956117</c:v>
                </c:pt>
                <c:pt idx="123">
                  <c:v>11.986827190792237</c:v>
                </c:pt>
                <c:pt idx="124">
                  <c:v>11.986793792970127</c:v>
                </c:pt>
                <c:pt idx="125">
                  <c:v>11.986699854587885</c:v>
                </c:pt>
                <c:pt idx="126">
                  <c:v>11.986412249892254</c:v>
                </c:pt>
                <c:pt idx="127">
                  <c:v>11.98637202782276</c:v>
                </c:pt>
                <c:pt idx="128">
                  <c:v>11.98640485481547</c:v>
                </c:pt>
                <c:pt idx="129">
                  <c:v>11.98673705744309</c:v>
                </c:pt>
                <c:pt idx="130">
                  <c:v>11.961673775158232</c:v>
                </c:pt>
                <c:pt idx="131">
                  <c:v>11.961638385400024</c:v>
                </c:pt>
                <c:pt idx="132">
                  <c:v>11.961618902257037</c:v>
                </c:pt>
                <c:pt idx="133">
                  <c:v>11.961618902257037</c:v>
                </c:pt>
                <c:pt idx="134">
                  <c:v>11.951747091548643</c:v>
                </c:pt>
                <c:pt idx="135">
                  <c:v>11.951747091548643</c:v>
                </c:pt>
                <c:pt idx="136">
                  <c:v>11.951741901855291</c:v>
                </c:pt>
                <c:pt idx="137">
                  <c:v>11.951741901855291</c:v>
                </c:pt>
                <c:pt idx="138">
                  <c:v>11.951741881731616</c:v>
                </c:pt>
                <c:pt idx="139">
                  <c:v>11.941701974859845</c:v>
                </c:pt>
                <c:pt idx="140">
                  <c:v>11.942436968921651</c:v>
                </c:pt>
                <c:pt idx="141">
                  <c:v>11.942431720966445</c:v>
                </c:pt>
                <c:pt idx="142">
                  <c:v>11.942408540834066</c:v>
                </c:pt>
                <c:pt idx="143">
                  <c:v>11.973675734892417</c:v>
                </c:pt>
                <c:pt idx="144">
                  <c:v>11.964099773744124</c:v>
                </c:pt>
                <c:pt idx="145">
                  <c:v>11.964028391533475</c:v>
                </c:pt>
                <c:pt idx="146">
                  <c:v>11.964028391533475</c:v>
                </c:pt>
                <c:pt idx="147">
                  <c:v>11.963812690977825</c:v>
                </c:pt>
                <c:pt idx="148">
                  <c:v>11.963812690977825</c:v>
                </c:pt>
                <c:pt idx="149">
                  <c:v>11.8261</c:v>
                </c:pt>
                <c:pt idx="150">
                  <c:v>11.825922841554849</c:v>
                </c:pt>
                <c:pt idx="151">
                  <c:v>11.825900000000001</c:v>
                </c:pt>
                <c:pt idx="152">
                  <c:v>11.825900000000001</c:v>
                </c:pt>
                <c:pt idx="153">
                  <c:v>11.816800000000001</c:v>
                </c:pt>
                <c:pt idx="154">
                  <c:v>11.816769748652945</c:v>
                </c:pt>
                <c:pt idx="155">
                  <c:v>11.816800000000001</c:v>
                </c:pt>
                <c:pt idx="156">
                  <c:v>11.816776737660655</c:v>
                </c:pt>
                <c:pt idx="157">
                  <c:v>11.816800000000001</c:v>
                </c:pt>
                <c:pt idx="158">
                  <c:v>11.8071</c:v>
                </c:pt>
                <c:pt idx="159">
                  <c:v>11.807042579035373</c:v>
                </c:pt>
                <c:pt idx="160">
                  <c:v>11.807</c:v>
                </c:pt>
                <c:pt idx="161">
                  <c:v>11.807032721164108</c:v>
                </c:pt>
                <c:pt idx="162">
                  <c:v>11.80717542985786</c:v>
                </c:pt>
                <c:pt idx="163">
                  <c:v>11.807444355800747</c:v>
                </c:pt>
                <c:pt idx="164">
                  <c:v>11.807444355800747</c:v>
                </c:pt>
                <c:pt idx="165">
                  <c:v>11.807350293337626</c:v>
                </c:pt>
                <c:pt idx="166">
                  <c:v>11.807345438341189</c:v>
                </c:pt>
                <c:pt idx="167">
                  <c:v>11.8073</c:v>
                </c:pt>
                <c:pt idx="168">
                  <c:v>11.828900000000001</c:v>
                </c:pt>
                <c:pt idx="169">
                  <c:v>11.828868131599284</c:v>
                </c:pt>
                <c:pt idx="170">
                  <c:v>11.828874485606605</c:v>
                </c:pt>
                <c:pt idx="171">
                  <c:v>11.828683502278565</c:v>
                </c:pt>
                <c:pt idx="172">
                  <c:v>11.828679967085245</c:v>
                </c:pt>
                <c:pt idx="173">
                  <c:v>11.8287</c:v>
                </c:pt>
                <c:pt idx="174">
                  <c:v>11.812396082395365</c:v>
                </c:pt>
                <c:pt idx="175">
                  <c:v>11.812396082395365</c:v>
                </c:pt>
                <c:pt idx="176">
                  <c:v>11.812356145960013</c:v>
                </c:pt>
                <c:pt idx="177">
                  <c:v>11.80335220653051</c:v>
                </c:pt>
                <c:pt idx="178">
                  <c:v>11.80347873241195</c:v>
                </c:pt>
                <c:pt idx="179">
                  <c:v>11.803451221643252</c:v>
                </c:pt>
                <c:pt idx="180">
                  <c:v>11.80341664925313</c:v>
                </c:pt>
                <c:pt idx="181">
                  <c:v>11.793772026729785</c:v>
                </c:pt>
                <c:pt idx="182">
                  <c:v>11.793799999999999</c:v>
                </c:pt>
                <c:pt idx="183">
                  <c:v>11.793727679954905</c:v>
                </c:pt>
                <c:pt idx="184">
                  <c:v>11.793727679954905</c:v>
                </c:pt>
                <c:pt idx="185">
                  <c:v>11.793727679954905</c:v>
                </c:pt>
                <c:pt idx="186">
                  <c:v>11.812702760151502</c:v>
                </c:pt>
                <c:pt idx="187">
                  <c:v>11.803800000000001</c:v>
                </c:pt>
                <c:pt idx="188">
                  <c:v>11.803743216260846</c:v>
                </c:pt>
                <c:pt idx="189">
                  <c:v>11.803774301855761</c:v>
                </c:pt>
                <c:pt idx="190">
                  <c:v>11.803701280554701</c:v>
                </c:pt>
                <c:pt idx="191">
                  <c:v>11.803697004236401</c:v>
                </c:pt>
                <c:pt idx="192">
                  <c:v>11.777944371462665</c:v>
                </c:pt>
                <c:pt idx="193">
                  <c:v>11.777900000000001</c:v>
                </c:pt>
                <c:pt idx="194">
                  <c:v>11.777924006557628</c:v>
                </c:pt>
                <c:pt idx="195">
                  <c:v>11.7779042135253</c:v>
                </c:pt>
                <c:pt idx="196">
                  <c:v>11.768800000000001</c:v>
                </c:pt>
                <c:pt idx="197">
                  <c:v>11.768984156792637</c:v>
                </c:pt>
                <c:pt idx="198">
                  <c:v>11.768983572877117</c:v>
                </c:pt>
                <c:pt idx="199">
                  <c:v>11.76888622033316</c:v>
                </c:pt>
                <c:pt idx="200">
                  <c:v>11.76888622033316</c:v>
                </c:pt>
                <c:pt idx="201">
                  <c:v>11.759539411737894</c:v>
                </c:pt>
                <c:pt idx="202">
                  <c:v>11.759505258555999</c:v>
                </c:pt>
                <c:pt idx="203">
                  <c:v>11.759704216621776</c:v>
                </c:pt>
                <c:pt idx="204">
                  <c:v>11.759587372100153</c:v>
                </c:pt>
                <c:pt idx="205">
                  <c:v>11.789278068114088</c:v>
                </c:pt>
                <c:pt idx="206">
                  <c:v>11.789270880633405</c:v>
                </c:pt>
                <c:pt idx="207">
                  <c:v>11.789542840971963</c:v>
                </c:pt>
                <c:pt idx="208">
                  <c:v>11.789524640244684</c:v>
                </c:pt>
                <c:pt idx="209">
                  <c:v>11.789524605452499</c:v>
                </c:pt>
                <c:pt idx="210">
                  <c:v>11.789522451146478</c:v>
                </c:pt>
                <c:pt idx="211">
                  <c:v>11.768609333653227</c:v>
                </c:pt>
                <c:pt idx="212">
                  <c:v>11.813631287228445</c:v>
                </c:pt>
                <c:pt idx="213">
                  <c:v>11.813632196969404</c:v>
                </c:pt>
                <c:pt idx="214">
                  <c:v>11.813632196969404</c:v>
                </c:pt>
                <c:pt idx="215">
                  <c:v>11.813611355054274</c:v>
                </c:pt>
                <c:pt idx="216">
                  <c:v>11.804797133110956</c:v>
                </c:pt>
                <c:pt idx="217">
                  <c:v>11.8047970769359</c:v>
                </c:pt>
                <c:pt idx="218">
                  <c:v>11.804795927218189</c:v>
                </c:pt>
                <c:pt idx="219">
                  <c:v>11.804795927218189</c:v>
                </c:pt>
                <c:pt idx="220">
                  <c:v>11.804784170500698</c:v>
                </c:pt>
                <c:pt idx="221">
                  <c:v>11.795727462582068</c:v>
                </c:pt>
                <c:pt idx="222">
                  <c:v>11.795727462582068</c:v>
                </c:pt>
                <c:pt idx="223">
                  <c:v>11.795696702368891</c:v>
                </c:pt>
                <c:pt idx="224">
                  <c:v>11.795696702368891</c:v>
                </c:pt>
                <c:pt idx="225">
                  <c:v>11.786169391257173</c:v>
                </c:pt>
                <c:pt idx="226">
                  <c:v>11.786169391257173</c:v>
                </c:pt>
                <c:pt idx="227">
                  <c:v>11.785697593770426</c:v>
                </c:pt>
                <c:pt idx="228">
                  <c:v>11.785685352570853</c:v>
                </c:pt>
                <c:pt idx="229">
                  <c:v>11.785683806026348</c:v>
                </c:pt>
                <c:pt idx="230">
                  <c:v>11.805106110828955</c:v>
                </c:pt>
                <c:pt idx="231">
                  <c:v>11.805099824150187</c:v>
                </c:pt>
                <c:pt idx="232">
                  <c:v>11.805209666672893</c:v>
                </c:pt>
                <c:pt idx="233">
                  <c:v>11.805183560389498</c:v>
                </c:pt>
                <c:pt idx="234">
                  <c:v>11.80517436754163</c:v>
                </c:pt>
                <c:pt idx="235">
                  <c:v>11.80510142227676</c:v>
                </c:pt>
                <c:pt idx="236">
                  <c:v>11.795299999999999</c:v>
                </c:pt>
                <c:pt idx="237">
                  <c:v>11.795400229985596</c:v>
                </c:pt>
                <c:pt idx="238">
                  <c:v>11.795374486064233</c:v>
                </c:pt>
                <c:pt idx="239">
                  <c:v>11.795374486064233</c:v>
                </c:pt>
                <c:pt idx="240">
                  <c:v>11.786196862139496</c:v>
                </c:pt>
                <c:pt idx="241">
                  <c:v>11.786196862139496</c:v>
                </c:pt>
                <c:pt idx="242">
                  <c:v>11.786191573670811</c:v>
                </c:pt>
                <c:pt idx="243">
                  <c:v>11.786112525280698</c:v>
                </c:pt>
                <c:pt idx="244">
                  <c:v>11.786112525280698</c:v>
                </c:pt>
                <c:pt idx="245">
                  <c:v>11.78608890148252</c:v>
                </c:pt>
                <c:pt idx="246">
                  <c:v>11.776623201287673</c:v>
                </c:pt>
                <c:pt idx="247">
                  <c:v>11.776623201287673</c:v>
                </c:pt>
                <c:pt idx="248">
                  <c:v>11.776625850579414</c:v>
                </c:pt>
                <c:pt idx="249">
                  <c:v>11.776623608870688</c:v>
                </c:pt>
                <c:pt idx="250">
                  <c:v>11.804866810022839</c:v>
                </c:pt>
                <c:pt idx="251">
                  <c:v>11.804866810022839</c:v>
                </c:pt>
                <c:pt idx="252">
                  <c:v>11.804866677384627</c:v>
                </c:pt>
                <c:pt idx="253">
                  <c:v>11.805086865442751</c:v>
                </c:pt>
                <c:pt idx="254">
                  <c:v>11.804302608028214</c:v>
                </c:pt>
                <c:pt idx="255">
                  <c:v>11.804302608028214</c:v>
                </c:pt>
                <c:pt idx="256">
                  <c:v>11.804273438714533</c:v>
                </c:pt>
                <c:pt idx="257">
                  <c:v>11.792126243546106</c:v>
                </c:pt>
                <c:pt idx="258">
                  <c:v>11.791987219442976</c:v>
                </c:pt>
                <c:pt idx="259">
                  <c:v>11.791987219442976</c:v>
                </c:pt>
                <c:pt idx="260">
                  <c:v>11.791819694649492</c:v>
                </c:pt>
                <c:pt idx="261">
                  <c:v>11.782742672191944</c:v>
                </c:pt>
                <c:pt idx="262">
                  <c:v>11.782733563193458</c:v>
                </c:pt>
                <c:pt idx="263">
                  <c:v>11.782599464114478</c:v>
                </c:pt>
                <c:pt idx="264">
                  <c:v>11.782599464114478</c:v>
                </c:pt>
                <c:pt idx="265">
                  <c:v>11.7825994607627</c:v>
                </c:pt>
                <c:pt idx="266">
                  <c:v>11.782582668482181</c:v>
                </c:pt>
                <c:pt idx="267">
                  <c:v>11.782393070113443</c:v>
                </c:pt>
                <c:pt idx="268">
                  <c:v>11.782469776460806</c:v>
                </c:pt>
                <c:pt idx="269">
                  <c:v>11.782226114493485</c:v>
                </c:pt>
                <c:pt idx="270">
                  <c:v>11.782226114493485</c:v>
                </c:pt>
                <c:pt idx="271">
                  <c:v>11.782226114493485</c:v>
                </c:pt>
                <c:pt idx="272">
                  <c:v>11.782</c:v>
                </c:pt>
                <c:pt idx="273">
                  <c:v>11.782</c:v>
                </c:pt>
                <c:pt idx="274">
                  <c:v>11.782087412631348</c:v>
                </c:pt>
                <c:pt idx="275">
                  <c:v>11.781856108215315</c:v>
                </c:pt>
                <c:pt idx="276">
                  <c:v>11.782001883019479</c:v>
                </c:pt>
                <c:pt idx="277">
                  <c:v>11.782001883019479</c:v>
                </c:pt>
                <c:pt idx="278">
                  <c:v>11.799548504725662</c:v>
                </c:pt>
                <c:pt idx="279">
                  <c:v>11.799566519267085</c:v>
                </c:pt>
                <c:pt idx="280">
                  <c:v>11.799537937741437</c:v>
                </c:pt>
                <c:pt idx="281">
                  <c:v>11.799515277518372</c:v>
                </c:pt>
                <c:pt idx="282">
                  <c:v>11.799143865185581</c:v>
                </c:pt>
                <c:pt idx="283">
                  <c:v>11.790029522332823</c:v>
                </c:pt>
                <c:pt idx="284">
                  <c:v>11.6739</c:v>
                </c:pt>
                <c:pt idx="285">
                  <c:v>11.6739</c:v>
                </c:pt>
                <c:pt idx="286">
                  <c:v>11.673860715312655</c:v>
                </c:pt>
                <c:pt idx="287">
                  <c:v>11.673863815520114</c:v>
                </c:pt>
                <c:pt idx="288">
                  <c:v>11.66512181714306</c:v>
                </c:pt>
                <c:pt idx="289">
                  <c:v>11.665119569617685</c:v>
                </c:pt>
                <c:pt idx="290">
                  <c:v>11.665118850410236</c:v>
                </c:pt>
                <c:pt idx="291">
                  <c:v>11.682865027301224</c:v>
                </c:pt>
                <c:pt idx="292">
                  <c:v>11.682847216994226</c:v>
                </c:pt>
                <c:pt idx="293">
                  <c:v>11.682816791742118</c:v>
                </c:pt>
                <c:pt idx="294">
                  <c:v>11.682816732153309</c:v>
                </c:pt>
                <c:pt idx="295">
                  <c:v>11.682814383402523</c:v>
                </c:pt>
                <c:pt idx="296">
                  <c:v>11.682813861962181</c:v>
                </c:pt>
                <c:pt idx="297">
                  <c:v>11.614825724927936</c:v>
                </c:pt>
                <c:pt idx="298">
                  <c:v>11.59819316500648</c:v>
                </c:pt>
                <c:pt idx="299">
                  <c:v>11.598214509209859</c:v>
                </c:pt>
                <c:pt idx="300">
                  <c:v>11.598214509209859</c:v>
                </c:pt>
                <c:pt idx="301">
                  <c:v>11.589813373500649</c:v>
                </c:pt>
                <c:pt idx="302">
                  <c:v>11.58978960525808</c:v>
                </c:pt>
                <c:pt idx="303">
                  <c:v>11.589764080574552</c:v>
                </c:pt>
                <c:pt idx="304">
                  <c:v>11.589769091211236</c:v>
                </c:pt>
                <c:pt idx="305">
                  <c:v>11.589769091211236</c:v>
                </c:pt>
                <c:pt idx="306">
                  <c:v>11.581101127610244</c:v>
                </c:pt>
                <c:pt idx="307">
                  <c:v>11.581083172920739</c:v>
                </c:pt>
                <c:pt idx="308">
                  <c:v>11.581083172920739</c:v>
                </c:pt>
                <c:pt idx="309">
                  <c:v>11.58107736541843</c:v>
                </c:pt>
                <c:pt idx="310">
                  <c:v>11.581076462031149</c:v>
                </c:pt>
                <c:pt idx="311">
                  <c:v>11.581076462031149</c:v>
                </c:pt>
                <c:pt idx="312">
                  <c:v>11.590200000000001</c:v>
                </c:pt>
                <c:pt idx="313">
                  <c:v>11.589875798784487</c:v>
                </c:pt>
                <c:pt idx="314">
                  <c:v>11.589874411741178</c:v>
                </c:pt>
                <c:pt idx="315">
                  <c:v>11.58984265795212</c:v>
                </c:pt>
                <c:pt idx="316">
                  <c:v>11.589842600758498</c:v>
                </c:pt>
                <c:pt idx="317">
                  <c:v>11.56791369965349</c:v>
                </c:pt>
                <c:pt idx="318">
                  <c:v>11.543871953452522</c:v>
                </c:pt>
                <c:pt idx="319">
                  <c:v>11.543871953452522</c:v>
                </c:pt>
                <c:pt idx="320">
                  <c:v>11.543871826930147</c:v>
                </c:pt>
                <c:pt idx="321">
                  <c:v>11.536105206548026</c:v>
                </c:pt>
                <c:pt idx="322">
                  <c:v>11.536059214019094</c:v>
                </c:pt>
                <c:pt idx="323">
                  <c:v>11.536059214019094</c:v>
                </c:pt>
                <c:pt idx="324">
                  <c:v>11.536163740837733</c:v>
                </c:pt>
                <c:pt idx="325">
                  <c:v>11.53615809023977</c:v>
                </c:pt>
                <c:pt idx="326">
                  <c:v>11.53819545016154</c:v>
                </c:pt>
                <c:pt idx="327">
                  <c:v>11.538176414995171</c:v>
                </c:pt>
                <c:pt idx="328">
                  <c:v>11.538176414995171</c:v>
                </c:pt>
                <c:pt idx="329">
                  <c:v>11.538230867997461</c:v>
                </c:pt>
                <c:pt idx="330">
                  <c:v>11.538205599540213</c:v>
                </c:pt>
                <c:pt idx="331">
                  <c:v>11.56304451628959</c:v>
                </c:pt>
                <c:pt idx="332">
                  <c:v>11.56304451628959</c:v>
                </c:pt>
                <c:pt idx="333">
                  <c:v>11.56304451628959</c:v>
                </c:pt>
                <c:pt idx="334">
                  <c:v>11.563033246769965</c:v>
                </c:pt>
                <c:pt idx="335">
                  <c:v>11.57092285691785</c:v>
                </c:pt>
                <c:pt idx="336">
                  <c:v>11.57092285691785</c:v>
                </c:pt>
                <c:pt idx="337">
                  <c:v>11.547141601550774</c:v>
                </c:pt>
                <c:pt idx="338">
                  <c:v>11.547133580239587</c:v>
                </c:pt>
                <c:pt idx="339">
                  <c:v>11.547133580239587</c:v>
                </c:pt>
                <c:pt idx="340">
                  <c:v>11.547133618369603</c:v>
                </c:pt>
                <c:pt idx="341">
                  <c:v>11.546993903504244</c:v>
                </c:pt>
                <c:pt idx="342">
                  <c:v>11.516018000802068</c:v>
                </c:pt>
                <c:pt idx="343">
                  <c:v>11.513045809634209</c:v>
                </c:pt>
                <c:pt idx="344">
                  <c:v>11.513045809634209</c:v>
                </c:pt>
                <c:pt idx="345">
                  <c:v>11.513044594224759</c:v>
                </c:pt>
                <c:pt idx="346">
                  <c:v>11.513100983136869</c:v>
                </c:pt>
                <c:pt idx="347">
                  <c:v>11.497435407157974</c:v>
                </c:pt>
                <c:pt idx="348">
                  <c:v>11.497435340717866</c:v>
                </c:pt>
                <c:pt idx="349">
                  <c:v>11.497435340717866</c:v>
                </c:pt>
                <c:pt idx="350">
                  <c:v>11.497479584913609</c:v>
                </c:pt>
                <c:pt idx="351">
                  <c:v>11.481274297165918</c:v>
                </c:pt>
                <c:pt idx="352">
                  <c:v>11.09814967139433</c:v>
                </c:pt>
                <c:pt idx="353">
                  <c:v>11.098196034423912</c:v>
                </c:pt>
                <c:pt idx="354">
                  <c:v>11.113034261599223</c:v>
                </c:pt>
                <c:pt idx="355">
                  <c:v>11.102590157596687</c:v>
                </c:pt>
                <c:pt idx="356">
                  <c:v>11.10258700797694</c:v>
                </c:pt>
                <c:pt idx="357">
                  <c:v>11.10257500496717</c:v>
                </c:pt>
                <c:pt idx="358">
                  <c:v>11.102571506417593</c:v>
                </c:pt>
                <c:pt idx="359">
                  <c:v>11.102571211439688</c:v>
                </c:pt>
                <c:pt idx="360">
                  <c:v>11.102571211439688</c:v>
                </c:pt>
                <c:pt idx="361">
                  <c:v>11.0392731193046</c:v>
                </c:pt>
                <c:pt idx="362">
                  <c:v>11.039259720598515</c:v>
                </c:pt>
                <c:pt idx="363">
                  <c:v>11.03925971531085</c:v>
                </c:pt>
                <c:pt idx="364">
                  <c:v>11.03925971531085</c:v>
                </c:pt>
                <c:pt idx="365">
                  <c:v>11.032215731912601</c:v>
                </c:pt>
                <c:pt idx="366">
                  <c:v>11.032162628285077</c:v>
                </c:pt>
                <c:pt idx="367">
                  <c:v>11.032162712379968</c:v>
                </c:pt>
                <c:pt idx="368">
                  <c:v>11.032109512412177</c:v>
                </c:pt>
                <c:pt idx="369">
                  <c:v>11.032109512412177</c:v>
                </c:pt>
                <c:pt idx="370">
                  <c:v>11.032107665212404</c:v>
                </c:pt>
                <c:pt idx="371">
                  <c:v>11.024961935441686</c:v>
                </c:pt>
                <c:pt idx="372">
                  <c:v>11.024957985673375</c:v>
                </c:pt>
                <c:pt idx="373">
                  <c:v>11.045380780656897</c:v>
                </c:pt>
                <c:pt idx="374">
                  <c:v>11.037040376056616</c:v>
                </c:pt>
                <c:pt idx="375">
                  <c:v>11.037040376056616</c:v>
                </c:pt>
                <c:pt idx="376">
                  <c:v>11.037311478691517</c:v>
                </c:pt>
                <c:pt idx="377">
                  <c:v>11.037373055643064</c:v>
                </c:pt>
                <c:pt idx="378">
                  <c:v>11.037317568078048</c:v>
                </c:pt>
                <c:pt idx="379">
                  <c:v>11.037284023107825</c:v>
                </c:pt>
                <c:pt idx="380">
                  <c:v>10.980664497381666</c:v>
                </c:pt>
                <c:pt idx="381">
                  <c:v>10.98066430482417</c:v>
                </c:pt>
                <c:pt idx="382">
                  <c:v>10.980622267323696</c:v>
                </c:pt>
                <c:pt idx="383">
                  <c:v>10.973905174140851</c:v>
                </c:pt>
                <c:pt idx="384">
                  <c:v>10.973905174140851</c:v>
                </c:pt>
                <c:pt idx="385">
                  <c:v>10.973905174140851</c:v>
                </c:pt>
                <c:pt idx="386">
                  <c:v>10.973905174140851</c:v>
                </c:pt>
                <c:pt idx="387">
                  <c:v>10.973910930328689</c:v>
                </c:pt>
                <c:pt idx="388">
                  <c:v>10.973910930328689</c:v>
                </c:pt>
                <c:pt idx="389">
                  <c:v>10.966820154184138</c:v>
                </c:pt>
                <c:pt idx="390">
                  <c:v>10.966812486054078</c:v>
                </c:pt>
                <c:pt idx="391">
                  <c:v>10.966790583151141</c:v>
                </c:pt>
                <c:pt idx="392">
                  <c:v>10.966940041093427</c:v>
                </c:pt>
                <c:pt idx="393">
                  <c:v>10.986662321953185</c:v>
                </c:pt>
                <c:pt idx="394">
                  <c:v>10.986662289777536</c:v>
                </c:pt>
                <c:pt idx="395">
                  <c:v>10.986662225426244</c:v>
                </c:pt>
                <c:pt idx="396">
                  <c:v>10.986663747222609</c:v>
                </c:pt>
                <c:pt idx="397">
                  <c:v>10.986653451044551</c:v>
                </c:pt>
                <c:pt idx="398">
                  <c:v>10.986650699120931</c:v>
                </c:pt>
                <c:pt idx="399">
                  <c:v>10.972860092468823</c:v>
                </c:pt>
                <c:pt idx="400">
                  <c:v>10.972832912479355</c:v>
                </c:pt>
                <c:pt idx="401">
                  <c:v>10.972832912479355</c:v>
                </c:pt>
                <c:pt idx="402">
                  <c:v>10.972846207163281</c:v>
                </c:pt>
                <c:pt idx="403">
                  <c:v>10.972849749311177</c:v>
                </c:pt>
                <c:pt idx="404">
                  <c:v>10.972849749311177</c:v>
                </c:pt>
                <c:pt idx="405">
                  <c:v>10.714308880574199</c:v>
                </c:pt>
                <c:pt idx="406">
                  <c:v>10.714308880574199</c:v>
                </c:pt>
                <c:pt idx="407">
                  <c:v>10.714308880574199</c:v>
                </c:pt>
                <c:pt idx="408">
                  <c:v>10.7081934613811</c:v>
                </c:pt>
                <c:pt idx="409">
                  <c:v>10.708290267211041</c:v>
                </c:pt>
                <c:pt idx="410">
                  <c:v>10.7081370249449</c:v>
                </c:pt>
                <c:pt idx="411">
                  <c:v>10.7081370249449</c:v>
                </c:pt>
                <c:pt idx="412">
                  <c:v>10.708236576369949</c:v>
                </c:pt>
                <c:pt idx="413">
                  <c:v>10.708236576369949</c:v>
                </c:pt>
                <c:pt idx="414">
                  <c:v>10.701817465554223</c:v>
                </c:pt>
                <c:pt idx="415">
                  <c:v>10.701817465554223</c:v>
                </c:pt>
                <c:pt idx="416">
                  <c:v>10.701820331683898</c:v>
                </c:pt>
                <c:pt idx="417">
                  <c:v>10.70179644061915</c:v>
                </c:pt>
                <c:pt idx="418">
                  <c:v>10.719646449421059</c:v>
                </c:pt>
                <c:pt idx="419">
                  <c:v>10.702002944986841</c:v>
                </c:pt>
                <c:pt idx="420">
                  <c:v>10.701977872781383</c:v>
                </c:pt>
                <c:pt idx="421">
                  <c:v>10.701831454211623</c:v>
                </c:pt>
                <c:pt idx="422">
                  <c:v>10.701831017983121</c:v>
                </c:pt>
                <c:pt idx="423">
                  <c:v>10.701717423379911</c:v>
                </c:pt>
                <c:pt idx="424">
                  <c:v>10.701695016675163</c:v>
                </c:pt>
                <c:pt idx="425">
                  <c:v>10.636005269203814</c:v>
                </c:pt>
                <c:pt idx="426">
                  <c:v>10.636005269203814</c:v>
                </c:pt>
                <c:pt idx="427">
                  <c:v>10.636005219733809</c:v>
                </c:pt>
                <c:pt idx="428">
                  <c:v>10.636045727304728</c:v>
                </c:pt>
                <c:pt idx="429">
                  <c:v>10.628040334889096</c:v>
                </c:pt>
                <c:pt idx="430">
                  <c:v>10.628040334889096</c:v>
                </c:pt>
                <c:pt idx="431">
                  <c:v>10.627992345256548</c:v>
                </c:pt>
                <c:pt idx="432">
                  <c:v>10.627983452360947</c:v>
                </c:pt>
                <c:pt idx="433">
                  <c:v>10.627979610899649</c:v>
                </c:pt>
                <c:pt idx="434">
                  <c:v>10.621994030604094</c:v>
                </c:pt>
                <c:pt idx="435">
                  <c:v>10.62198422847259</c:v>
                </c:pt>
                <c:pt idx="436">
                  <c:v>10.62198422847259</c:v>
                </c:pt>
                <c:pt idx="437">
                  <c:v>10.621951449886707</c:v>
                </c:pt>
                <c:pt idx="438">
                  <c:v>10.644773444596398</c:v>
                </c:pt>
                <c:pt idx="439">
                  <c:v>10.644773419712147</c:v>
                </c:pt>
                <c:pt idx="440">
                  <c:v>10.644771305330055</c:v>
                </c:pt>
                <c:pt idx="441">
                  <c:v>10.644734304264087</c:v>
                </c:pt>
                <c:pt idx="442">
                  <c:v>10.64477257403502</c:v>
                </c:pt>
                <c:pt idx="443">
                  <c:v>10.644781724913766</c:v>
                </c:pt>
                <c:pt idx="444">
                  <c:v>10.644762822393655</c:v>
                </c:pt>
                <c:pt idx="445">
                  <c:v>10.596232342668465</c:v>
                </c:pt>
                <c:pt idx="446">
                  <c:v>10.596226152274816</c:v>
                </c:pt>
                <c:pt idx="447">
                  <c:v>10.596226152274816</c:v>
                </c:pt>
                <c:pt idx="448">
                  <c:v>10.596191985936819</c:v>
                </c:pt>
                <c:pt idx="449">
                  <c:v>10.579113399125971</c:v>
                </c:pt>
                <c:pt idx="450">
                  <c:v>10.579110569624316</c:v>
                </c:pt>
                <c:pt idx="451">
                  <c:v>10.579036862630714</c:v>
                </c:pt>
                <c:pt idx="452">
                  <c:v>10.579032107520261</c:v>
                </c:pt>
                <c:pt idx="453">
                  <c:v>10.579094455726951</c:v>
                </c:pt>
                <c:pt idx="454">
                  <c:v>10.579094455726951</c:v>
                </c:pt>
                <c:pt idx="455">
                  <c:v>10.579087272775418</c:v>
                </c:pt>
                <c:pt idx="456">
                  <c:v>10.57918975007119</c:v>
                </c:pt>
                <c:pt idx="457">
                  <c:v>10.57918975007119</c:v>
                </c:pt>
                <c:pt idx="458">
                  <c:v>10.573449925757563</c:v>
                </c:pt>
                <c:pt idx="459">
                  <c:v>10.573449925757563</c:v>
                </c:pt>
                <c:pt idx="460">
                  <c:v>10.573449925757563</c:v>
                </c:pt>
                <c:pt idx="461">
                  <c:v>10.573660156977386</c:v>
                </c:pt>
                <c:pt idx="462">
                  <c:v>10.584774931858961</c:v>
                </c:pt>
                <c:pt idx="463">
                  <c:v>10.57079261807748</c:v>
                </c:pt>
                <c:pt idx="464">
                  <c:v>10.57079261807748</c:v>
                </c:pt>
                <c:pt idx="465">
                  <c:v>10.570791809465007</c:v>
                </c:pt>
                <c:pt idx="466">
                  <c:v>10.570791809465007</c:v>
                </c:pt>
                <c:pt idx="467">
                  <c:v>10.570791809465007</c:v>
                </c:pt>
                <c:pt idx="468">
                  <c:v>10.570859132193389</c:v>
                </c:pt>
                <c:pt idx="469">
                  <c:v>10.549087740587535</c:v>
                </c:pt>
                <c:pt idx="470">
                  <c:v>10.548975626968401</c:v>
                </c:pt>
                <c:pt idx="471">
                  <c:v>10.548965422193096</c:v>
                </c:pt>
                <c:pt idx="472">
                  <c:v>10.548965422193096</c:v>
                </c:pt>
                <c:pt idx="473">
                  <c:v>10.541356223324161</c:v>
                </c:pt>
                <c:pt idx="474">
                  <c:v>10.541359609047642</c:v>
                </c:pt>
                <c:pt idx="475">
                  <c:v>10.54125053492109</c:v>
                </c:pt>
                <c:pt idx="476">
                  <c:v>10.54125053492109</c:v>
                </c:pt>
                <c:pt idx="477">
                  <c:v>10.541233561991019</c:v>
                </c:pt>
                <c:pt idx="478">
                  <c:v>10.535660239443812</c:v>
                </c:pt>
                <c:pt idx="479">
                  <c:v>10.535660239443812</c:v>
                </c:pt>
                <c:pt idx="480">
                  <c:v>10.535660239443812</c:v>
                </c:pt>
                <c:pt idx="481">
                  <c:v>10.424362126566612</c:v>
                </c:pt>
                <c:pt idx="482">
                  <c:v>10.444932152700307</c:v>
                </c:pt>
                <c:pt idx="483">
                  <c:v>10.433152240601631</c:v>
                </c:pt>
                <c:pt idx="484">
                  <c:v>10.433152240601631</c:v>
                </c:pt>
                <c:pt idx="485">
                  <c:v>10.433164220789173</c:v>
                </c:pt>
                <c:pt idx="486">
                  <c:v>10.433260494378169</c:v>
                </c:pt>
                <c:pt idx="487">
                  <c:v>10.433260494378169</c:v>
                </c:pt>
                <c:pt idx="488">
                  <c:v>10.433252070440464</c:v>
                </c:pt>
                <c:pt idx="489">
                  <c:v>10.433252070440464</c:v>
                </c:pt>
                <c:pt idx="490">
                  <c:v>10.433201682232747</c:v>
                </c:pt>
                <c:pt idx="491">
                  <c:v>10.433200622632867</c:v>
                </c:pt>
                <c:pt idx="492">
                  <c:v>10.433284141674019</c:v>
                </c:pt>
                <c:pt idx="493">
                  <c:v>10.431510309717909</c:v>
                </c:pt>
                <c:pt idx="494">
                  <c:v>10.431510284013102</c:v>
                </c:pt>
                <c:pt idx="495">
                  <c:v>10.431508216406813</c:v>
                </c:pt>
                <c:pt idx="496">
                  <c:v>10.431711375631462</c:v>
                </c:pt>
                <c:pt idx="497">
                  <c:v>10.431543572869446</c:v>
                </c:pt>
                <c:pt idx="498">
                  <c:v>10.430767230172284</c:v>
                </c:pt>
                <c:pt idx="499">
                  <c:v>10.430610568457443</c:v>
                </c:pt>
                <c:pt idx="500">
                  <c:v>10.430585159112491</c:v>
                </c:pt>
                <c:pt idx="501">
                  <c:v>10.430568637183759</c:v>
                </c:pt>
                <c:pt idx="502">
                  <c:v>10.440740084385505</c:v>
                </c:pt>
                <c:pt idx="503">
                  <c:v>10.440738262020163</c:v>
                </c:pt>
                <c:pt idx="504">
                  <c:v>10.440738262020163</c:v>
                </c:pt>
                <c:pt idx="505">
                  <c:v>10.440738262020163</c:v>
                </c:pt>
                <c:pt idx="506">
                  <c:v>10.440738262020163</c:v>
                </c:pt>
                <c:pt idx="507">
                  <c:v>10.440766270278152</c:v>
                </c:pt>
                <c:pt idx="508">
                  <c:v>10.440748847574792</c:v>
                </c:pt>
                <c:pt idx="509">
                  <c:v>10.412329458609664</c:v>
                </c:pt>
                <c:pt idx="510">
                  <c:v>10.412329458609664</c:v>
                </c:pt>
                <c:pt idx="511">
                  <c:v>10.412349306755161</c:v>
                </c:pt>
                <c:pt idx="512">
                  <c:v>10.414158060207495</c:v>
                </c:pt>
                <c:pt idx="513">
                  <c:v>10.412854335984528</c:v>
                </c:pt>
                <c:pt idx="514">
                  <c:v>10.412831154408734</c:v>
                </c:pt>
                <c:pt idx="515">
                  <c:v>10.412831133004637</c:v>
                </c:pt>
                <c:pt idx="516">
                  <c:v>10.412831133004637</c:v>
                </c:pt>
                <c:pt idx="517">
                  <c:v>10.413033622721038</c:v>
                </c:pt>
                <c:pt idx="518">
                  <c:v>10.413033622721038</c:v>
                </c:pt>
                <c:pt idx="519">
                  <c:v>10.413033421938271</c:v>
                </c:pt>
                <c:pt idx="520">
                  <c:v>10.413033421938271</c:v>
                </c:pt>
                <c:pt idx="521">
                  <c:v>10.413170229166484</c:v>
                </c:pt>
                <c:pt idx="522">
                  <c:v>10.38588231346632</c:v>
                </c:pt>
                <c:pt idx="523">
                  <c:v>10.38588231346632</c:v>
                </c:pt>
                <c:pt idx="524">
                  <c:v>10.385882280029875</c:v>
                </c:pt>
                <c:pt idx="525">
                  <c:v>10.385882280029875</c:v>
                </c:pt>
              </c:numCache>
            </c:numRef>
          </c:val>
          <c:smooth val="0"/>
          <c:extLst>
            <c:ext xmlns:c16="http://schemas.microsoft.com/office/drawing/2014/chart" uri="{C3380CC4-5D6E-409C-BE32-E72D297353CC}">
              <c16:uniqueId val="{00000001-13E6-46C8-A2A6-98DFE1F49A5F}"/>
            </c:ext>
          </c:extLst>
        </c:ser>
        <c:dLbls>
          <c:showLegendKey val="0"/>
          <c:showVal val="0"/>
          <c:showCatName val="0"/>
          <c:showSerName val="0"/>
          <c:showPercent val="0"/>
          <c:showBubbleSize val="0"/>
        </c:dLbls>
        <c:smooth val="0"/>
        <c:axId val="144598144"/>
        <c:axId val="144599680"/>
      </c:lineChart>
      <c:dateAx>
        <c:axId val="144598144"/>
        <c:scaling>
          <c:orientation val="minMax"/>
        </c:scaling>
        <c:delete val="0"/>
        <c:axPos val="b"/>
        <c:numFmt formatCode="dd\.mm\.yy;@" sourceLinked="0"/>
        <c:majorTickMark val="out"/>
        <c:minorTickMark val="none"/>
        <c:tickLblPos val="nextTo"/>
        <c:txPr>
          <a:bodyPr rot="-3600000"/>
          <a:lstStyle/>
          <a:p>
            <a:pPr>
              <a:defRPr/>
            </a:pPr>
            <a:endParaRPr lang="en-US"/>
          </a:p>
        </c:txPr>
        <c:crossAx val="144599680"/>
        <c:crosses val="autoZero"/>
        <c:auto val="1"/>
        <c:lblOffset val="100"/>
        <c:baseTimeUnit val="days"/>
        <c:majorUnit val="1"/>
        <c:majorTimeUnit val="months"/>
      </c:dateAx>
      <c:valAx>
        <c:axId val="144599680"/>
        <c:scaling>
          <c:orientation val="minMax"/>
          <c:min val="10"/>
        </c:scaling>
        <c:delete val="0"/>
        <c:axPos val="l"/>
        <c:majorGridlines/>
        <c:numFmt formatCode="0.0" sourceLinked="0"/>
        <c:majorTickMark val="out"/>
        <c:minorTickMark val="none"/>
        <c:tickLblPos val="nextTo"/>
        <c:crossAx val="144598144"/>
        <c:crosses val="autoZero"/>
        <c:crossBetween val="between"/>
        <c:majorUnit val="0.2"/>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889998836372023E-2"/>
          <c:y val="3.1630245471804701E-2"/>
          <c:w val="0.8717961559026145"/>
          <c:h val="0.76399208293435161"/>
        </c:manualLayout>
      </c:layout>
      <c:areaChart>
        <c:grouping val="stacked"/>
        <c:varyColors val="0"/>
        <c:ser>
          <c:idx val="0"/>
          <c:order val="0"/>
          <c:tx>
            <c:strRef>
              <c:f>'Graf 2'!$B$3</c:f>
              <c:strCache>
                <c:ptCount val="1"/>
                <c:pt idx="0">
                  <c:v>Interest Payments</c:v>
                </c:pt>
              </c:strCache>
            </c:strRef>
          </c:tx>
          <c:spPr>
            <a:ln w="25400">
              <a:noFill/>
            </a:ln>
          </c:spPr>
          <c:dLbls>
            <c:dLbl>
              <c:idx val="0"/>
              <c:layout>
                <c:manualLayout>
                  <c:x val="3.2258064516129219E-2"/>
                  <c:y val="0"/>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131-4C66-92C0-9208A4B8ED66}"/>
                </c:ext>
              </c:extLst>
            </c:dLbl>
            <c:dLbl>
              <c:idx val="5"/>
              <c:layout>
                <c:manualLayout>
                  <c:x val="-3.4408602150537794E-2"/>
                  <c:y val="-8.2027389474493307E-17"/>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131-4C66-92C0-9208A4B8ED66}"/>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2'!$C$2:$H$2</c:f>
              <c:numCache>
                <c:formatCode>General</c:formatCode>
                <c:ptCount val="6"/>
                <c:pt idx="0">
                  <c:v>2019</c:v>
                </c:pt>
                <c:pt idx="1">
                  <c:v>2020</c:v>
                </c:pt>
                <c:pt idx="2">
                  <c:v>2021</c:v>
                </c:pt>
                <c:pt idx="3">
                  <c:v>2022</c:v>
                </c:pt>
                <c:pt idx="4">
                  <c:v>2023</c:v>
                </c:pt>
                <c:pt idx="5">
                  <c:v>2024</c:v>
                </c:pt>
              </c:numCache>
            </c:numRef>
          </c:cat>
          <c:val>
            <c:numRef>
              <c:f>'Graf 2'!$C$3:$H$3</c:f>
              <c:numCache>
                <c:formatCode>_ * #,##0.0_ ;_ * \-#,##0.0_ ;_ * "-"??_ ;_ @_ </c:formatCode>
                <c:ptCount val="6"/>
                <c:pt idx="0">
                  <c:v>157.48952193265001</c:v>
                </c:pt>
                <c:pt idx="1">
                  <c:v>164.67451796211486</c:v>
                </c:pt>
                <c:pt idx="2">
                  <c:v>194.5106864</c:v>
                </c:pt>
                <c:pt idx="3">
                  <c:v>215.72094299951561</c:v>
                </c:pt>
                <c:pt idx="4">
                  <c:v>243.46820630620499</c:v>
                </c:pt>
                <c:pt idx="5">
                  <c:v>268.06208428487264</c:v>
                </c:pt>
              </c:numCache>
            </c:numRef>
          </c:val>
          <c:extLst>
            <c:ext xmlns:c16="http://schemas.microsoft.com/office/drawing/2014/chart" uri="{C3380CC4-5D6E-409C-BE32-E72D297353CC}">
              <c16:uniqueId val="{00000002-2131-4C66-92C0-9208A4B8ED66}"/>
            </c:ext>
          </c:extLst>
        </c:ser>
        <c:ser>
          <c:idx val="1"/>
          <c:order val="1"/>
          <c:tx>
            <c:strRef>
              <c:f>'Graf 2'!$B$4</c:f>
              <c:strCache>
                <c:ptCount val="1"/>
                <c:pt idx="0">
                  <c:v>Redemption</c:v>
                </c:pt>
              </c:strCache>
            </c:strRef>
          </c:tx>
          <c:spPr>
            <a:ln w="25400">
              <a:noFill/>
            </a:ln>
          </c:spPr>
          <c:dLbls>
            <c:dLbl>
              <c:idx val="0"/>
              <c:layout>
                <c:manualLayout>
                  <c:x val="3.6559139784946251E-2"/>
                  <c:y val="4.4739206256936498E-3"/>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131-4C66-92C0-9208A4B8ED66}"/>
                </c:ext>
              </c:extLst>
            </c:dLbl>
            <c:dLbl>
              <c:idx val="1"/>
              <c:layout>
                <c:manualLayout>
                  <c:x val="-2.1505376344086052E-3"/>
                  <c:y val="3.1319910514541492E-2"/>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131-4C66-92C0-9208A4B8ED66}"/>
                </c:ext>
              </c:extLst>
            </c:dLbl>
            <c:dLbl>
              <c:idx val="4"/>
              <c:layout>
                <c:manualLayout>
                  <c:x val="5.8582308142939403E-3"/>
                  <c:y val="4.3726875210225384E-2"/>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131-4C66-92C0-9208A4B8ED66}"/>
                </c:ext>
              </c:extLst>
            </c:dLbl>
            <c:dLbl>
              <c:idx val="5"/>
              <c:layout>
                <c:manualLayout>
                  <c:x val="-3.285145156503945E-2"/>
                  <c:y val="-3.5857361926631019E-2"/>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131-4C66-92C0-9208A4B8ED66}"/>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2'!$C$2:$H$2</c:f>
              <c:numCache>
                <c:formatCode>General</c:formatCode>
                <c:ptCount val="6"/>
                <c:pt idx="0">
                  <c:v>2019</c:v>
                </c:pt>
                <c:pt idx="1">
                  <c:v>2020</c:v>
                </c:pt>
                <c:pt idx="2">
                  <c:v>2021</c:v>
                </c:pt>
                <c:pt idx="3">
                  <c:v>2022</c:v>
                </c:pt>
                <c:pt idx="4">
                  <c:v>2023</c:v>
                </c:pt>
                <c:pt idx="5">
                  <c:v>2024</c:v>
                </c:pt>
              </c:numCache>
            </c:numRef>
          </c:cat>
          <c:val>
            <c:numRef>
              <c:f>'Graf 2'!$C$4:$H$4</c:f>
              <c:numCache>
                <c:formatCode>_ * #,##0.0_ ;_ * \-#,##0.0_ ;_ * "-"??_ ;_ @_ </c:formatCode>
                <c:ptCount val="6"/>
                <c:pt idx="0">
                  <c:v>386.71891399999998</c:v>
                </c:pt>
                <c:pt idx="1">
                  <c:v>260.51645318180999</c:v>
                </c:pt>
                <c:pt idx="2">
                  <c:v>272.39604011064108</c:v>
                </c:pt>
                <c:pt idx="3">
                  <c:v>312.83994043396194</c:v>
                </c:pt>
                <c:pt idx="4">
                  <c:v>373.41908765952741</c:v>
                </c:pt>
                <c:pt idx="5">
                  <c:v>701.22953175512816</c:v>
                </c:pt>
              </c:numCache>
            </c:numRef>
          </c:val>
          <c:extLst>
            <c:ext xmlns:c16="http://schemas.microsoft.com/office/drawing/2014/chart" uri="{C3380CC4-5D6E-409C-BE32-E72D297353CC}">
              <c16:uniqueId val="{00000007-2131-4C66-92C0-9208A4B8ED66}"/>
            </c:ext>
          </c:extLst>
        </c:ser>
        <c:dLbls>
          <c:showLegendKey val="0"/>
          <c:showVal val="0"/>
          <c:showCatName val="0"/>
          <c:showSerName val="0"/>
          <c:showPercent val="0"/>
          <c:showBubbleSize val="0"/>
        </c:dLbls>
        <c:axId val="150035456"/>
        <c:axId val="150057728"/>
      </c:areaChart>
      <c:lineChart>
        <c:grouping val="stacked"/>
        <c:varyColors val="0"/>
        <c:ser>
          <c:idx val="4"/>
          <c:order val="2"/>
          <c:tx>
            <c:strRef>
              <c:f>'Graf 2'!$B$5</c:f>
              <c:strCache>
                <c:ptCount val="1"/>
                <c:pt idx="0">
                  <c:v>RA Government debt payments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151753182750889E-2"/>
                  <c:y val="-5.7915545366955715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131-4C66-92C0-9208A4B8ED66}"/>
                </c:ext>
              </c:extLst>
            </c:dLbl>
            <c:dLbl>
              <c:idx val="2"/>
              <c:layout>
                <c:manualLayout>
                  <c:x val="-3.6397665481688206E-2"/>
                  <c:y val="-7.7628697094460075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131-4C66-92C0-9208A4B8ED66}"/>
                </c:ext>
              </c:extLst>
            </c:dLbl>
            <c:dLbl>
              <c:idx val="3"/>
              <c:layout>
                <c:manualLayout>
                  <c:x val="-3.4435727179672158E-2"/>
                  <c:y val="-6.6948556941579959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131-4C66-92C0-9208A4B8ED66}"/>
                </c:ext>
              </c:extLst>
            </c:dLbl>
            <c:dLbl>
              <c:idx val="4"/>
              <c:layout>
                <c:manualLayout>
                  <c:x val="-1.8637938271775782E-2"/>
                  <c:y val="-6.3626708619041211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131-4C66-92C0-9208A4B8ED66}"/>
                </c:ext>
              </c:extLst>
            </c:dLbl>
            <c:dLbl>
              <c:idx val="5"/>
              <c:layout>
                <c:manualLayout>
                  <c:x val="-3.3691746352444082E-2"/>
                  <c:y val="-5.2379552455034915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131-4C66-92C0-9208A4B8ED66}"/>
                </c:ext>
              </c:extLst>
            </c:dLbl>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GHEA Grapalat"/>
                    <a:ea typeface="GHEA Grapalat"/>
                    <a:cs typeface="GHEA Grapalat"/>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2'!$C$2:$H$2</c:f>
              <c:numCache>
                <c:formatCode>General</c:formatCode>
                <c:ptCount val="6"/>
                <c:pt idx="0">
                  <c:v>2019</c:v>
                </c:pt>
                <c:pt idx="1">
                  <c:v>2020</c:v>
                </c:pt>
                <c:pt idx="2">
                  <c:v>2021</c:v>
                </c:pt>
                <c:pt idx="3">
                  <c:v>2022</c:v>
                </c:pt>
                <c:pt idx="4">
                  <c:v>2023</c:v>
                </c:pt>
                <c:pt idx="5">
                  <c:v>2024</c:v>
                </c:pt>
              </c:numCache>
            </c:numRef>
          </c:cat>
          <c:val>
            <c:numRef>
              <c:f>'Graf 2'!$C$5:$H$5</c:f>
              <c:numCache>
                <c:formatCode>_ * #,##0.0_ ;_ * \-#,##0.0_ ;_ * "-"??_ ;_ @_ </c:formatCode>
                <c:ptCount val="6"/>
                <c:pt idx="0">
                  <c:v>544.20843593264999</c:v>
                </c:pt>
                <c:pt idx="1">
                  <c:v>425.19097114392486</c:v>
                </c:pt>
                <c:pt idx="2">
                  <c:v>466.90672651064108</c:v>
                </c:pt>
                <c:pt idx="3">
                  <c:v>528.56088343347756</c:v>
                </c:pt>
                <c:pt idx="4">
                  <c:v>616.88729396573251</c:v>
                </c:pt>
                <c:pt idx="5">
                  <c:v>969.2916160400008</c:v>
                </c:pt>
              </c:numCache>
            </c:numRef>
          </c:val>
          <c:smooth val="0"/>
          <c:extLst>
            <c:ext xmlns:c16="http://schemas.microsoft.com/office/drawing/2014/chart" uri="{C3380CC4-5D6E-409C-BE32-E72D297353CC}">
              <c16:uniqueId val="{0000000D-2131-4C66-92C0-9208A4B8ED66}"/>
            </c:ext>
          </c:extLst>
        </c:ser>
        <c:dLbls>
          <c:showLegendKey val="0"/>
          <c:showVal val="0"/>
          <c:showCatName val="0"/>
          <c:showSerName val="0"/>
          <c:showPercent val="0"/>
          <c:showBubbleSize val="0"/>
        </c:dLbls>
        <c:marker val="1"/>
        <c:smooth val="0"/>
        <c:axId val="150035456"/>
        <c:axId val="150057728"/>
      </c:lineChart>
      <c:catAx>
        <c:axId val="150035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50057728"/>
        <c:crosses val="autoZero"/>
        <c:auto val="1"/>
        <c:lblAlgn val="ctr"/>
        <c:lblOffset val="100"/>
        <c:noMultiLvlLbl val="0"/>
      </c:catAx>
      <c:valAx>
        <c:axId val="150057728"/>
        <c:scaling>
          <c:orientation val="minMax"/>
          <c:max val="1100"/>
        </c:scaling>
        <c:delete val="0"/>
        <c:axPos val="l"/>
        <c:majorGridlines>
          <c:spPr>
            <a:ln w="9525" cap="flat" cmpd="sng" algn="ctr">
              <a:solidFill>
                <a:schemeClr val="tx1">
                  <a:lumMod val="15000"/>
                  <a:lumOff val="85000"/>
                </a:schemeClr>
              </a:solidFill>
              <a:round/>
            </a:ln>
            <a:effectLst>
              <a:glow>
                <a:srgbClr val="4F81BD">
                  <a:alpha val="40000"/>
                </a:srgbClr>
              </a:glow>
              <a:outerShdw dir="3540000" sx="1000" sy="1000" algn="ctr" rotWithShape="0">
                <a:srgbClr val="000000"/>
              </a:outerShdw>
              <a:softEdge rad="0"/>
            </a:effectLst>
          </c:spPr>
        </c:majorGridlines>
        <c:numFmt formatCode="#,##0" sourceLinked="0"/>
        <c:majorTickMark val="none"/>
        <c:minorTickMark val="none"/>
        <c:tickLblPos val="nextTo"/>
        <c:spPr>
          <a:ln w="6350">
            <a:noFill/>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50035456"/>
        <c:crosses val="autoZero"/>
        <c:crossBetween val="midCat"/>
        <c:majorUnit val="100"/>
      </c:valAx>
      <c:spPr>
        <a:noFill/>
        <a:ln w="25400">
          <a:noFill/>
        </a:ln>
      </c:spPr>
    </c:plotArea>
    <c:legend>
      <c:legendPos val="b"/>
      <c:layout>
        <c:manualLayout>
          <c:xMode val="edge"/>
          <c:yMode val="edge"/>
          <c:x val="5.0968312505240643E-2"/>
          <c:y val="0.89227395747878158"/>
          <c:w val="0.87466199175491133"/>
          <c:h val="9.4502500721976454E-2"/>
        </c:manualLayout>
      </c:layout>
      <c:overlay val="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solidFill>
      <a:schemeClr val="bg1"/>
    </a:solidFill>
    <a:ln w="9525" cap="rnd" cmpd="sng" algn="ctr">
      <a:solidFill>
        <a:sysClr val="windowText" lastClr="000000">
          <a:lumMod val="15000"/>
          <a:lumOff val="85000"/>
        </a:sysClr>
      </a:solidFill>
      <a:round/>
    </a:ln>
    <a:effectLst/>
    <a:scene3d>
      <a:camera prst="orthographicFront"/>
      <a:lightRig rig="threePt" dir="t"/>
    </a:scene3d>
    <a:sp3d>
      <a:bevelT w="0"/>
    </a:sp3d>
  </c:spPr>
  <c:txPr>
    <a:bodyPr/>
    <a:lstStyle/>
    <a:p>
      <a:pPr>
        <a:defRPr sz="1000" b="0" i="0" u="none" strike="noStrike" baseline="0">
          <a:solidFill>
            <a:srgbClr val="000000"/>
          </a:solidFill>
          <a:latin typeface="GHEA Grapalat"/>
          <a:ea typeface="GHEA Grapalat"/>
          <a:cs typeface="GHEA Grapalat"/>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418214232654126E-2"/>
          <c:y val="0.29057232507590686"/>
          <c:w val="0.9022861387609511"/>
          <c:h val="0.61103574459207632"/>
        </c:manualLayout>
      </c:layout>
      <c:lineChart>
        <c:grouping val="standard"/>
        <c:varyColors val="0"/>
        <c:ser>
          <c:idx val="0"/>
          <c:order val="0"/>
          <c:tx>
            <c:strRef>
              <c:f>'Graf Shock 7'!$B$9</c:f>
              <c:strCache>
                <c:ptCount val="1"/>
                <c:pt idx="0">
                  <c:v>Baseline Scenario</c:v>
                </c:pt>
              </c:strCache>
            </c:strRef>
          </c:tx>
          <c:spPr>
            <a:ln>
              <a:solidFill>
                <a:schemeClr val="tx1"/>
              </a:solidFill>
            </a:ln>
          </c:spPr>
          <c:marker>
            <c:symbol val="none"/>
          </c:marker>
          <c:cat>
            <c:numRef>
              <c:f>'Graf Shock 7'!$C$8:$F$8</c:f>
              <c:numCache>
                <c:formatCode>General</c:formatCode>
                <c:ptCount val="4"/>
                <c:pt idx="0">
                  <c:v>2021</c:v>
                </c:pt>
                <c:pt idx="1">
                  <c:v>2022</c:v>
                </c:pt>
                <c:pt idx="2">
                  <c:v>2023</c:v>
                </c:pt>
                <c:pt idx="3">
                  <c:v>2024</c:v>
                </c:pt>
              </c:numCache>
            </c:numRef>
          </c:cat>
          <c:val>
            <c:numRef>
              <c:f>'Graf Shock 7'!$C$9:$F$9</c:f>
              <c:numCache>
                <c:formatCode>0.0</c:formatCode>
                <c:ptCount val="4"/>
                <c:pt idx="0">
                  <c:v>62.299066948023906</c:v>
                </c:pt>
                <c:pt idx="1">
                  <c:v>60.493516197306576</c:v>
                </c:pt>
                <c:pt idx="2">
                  <c:v>58.67947183277974</c:v>
                </c:pt>
                <c:pt idx="3">
                  <c:v>56.797072995709598</c:v>
                </c:pt>
              </c:numCache>
            </c:numRef>
          </c:val>
          <c:smooth val="0"/>
          <c:extLst>
            <c:ext xmlns:c16="http://schemas.microsoft.com/office/drawing/2014/chart" uri="{C3380CC4-5D6E-409C-BE32-E72D297353CC}">
              <c16:uniqueId val="{00000000-B300-40A0-AF9E-51AD9DD4BCE7}"/>
            </c:ext>
          </c:extLst>
        </c:ser>
        <c:ser>
          <c:idx val="1"/>
          <c:order val="1"/>
          <c:tx>
            <c:strRef>
              <c:f>'Graf Shock 7'!$B$10</c:f>
              <c:strCache>
                <c:ptCount val="1"/>
                <c:pt idx="0">
                  <c:v>Exchange rate shock (30 percent)</c:v>
                </c:pt>
              </c:strCache>
            </c:strRef>
          </c:tx>
          <c:spPr>
            <a:ln>
              <a:solidFill>
                <a:srgbClr val="0000FF"/>
              </a:solidFill>
            </a:ln>
          </c:spPr>
          <c:marker>
            <c:spPr>
              <a:solidFill>
                <a:srgbClr val="0000FF"/>
              </a:solidFill>
              <a:ln>
                <a:solidFill>
                  <a:srgbClr val="0000FF"/>
                </a:solidFill>
              </a:ln>
            </c:spPr>
          </c:marker>
          <c:cat>
            <c:numRef>
              <c:f>'Graf Shock 7'!$C$8:$F$8</c:f>
              <c:numCache>
                <c:formatCode>General</c:formatCode>
                <c:ptCount val="4"/>
                <c:pt idx="0">
                  <c:v>2021</c:v>
                </c:pt>
                <c:pt idx="1">
                  <c:v>2022</c:v>
                </c:pt>
                <c:pt idx="2">
                  <c:v>2023</c:v>
                </c:pt>
                <c:pt idx="3">
                  <c:v>2024</c:v>
                </c:pt>
              </c:numCache>
            </c:numRef>
          </c:cat>
          <c:val>
            <c:numRef>
              <c:f>'Graf Shock 7'!$C$10:$F$10</c:f>
              <c:numCache>
                <c:formatCode>0.0</c:formatCode>
                <c:ptCount val="4"/>
                <c:pt idx="0">
                  <c:v>62.299066948023906</c:v>
                </c:pt>
                <c:pt idx="1">
                  <c:v>72.57484156207677</c:v>
                </c:pt>
                <c:pt idx="2">
                  <c:v>70.309855546673077</c:v>
                </c:pt>
                <c:pt idx="3">
                  <c:v>68.025609530233268</c:v>
                </c:pt>
              </c:numCache>
            </c:numRef>
          </c:val>
          <c:smooth val="0"/>
          <c:extLst>
            <c:ext xmlns:c16="http://schemas.microsoft.com/office/drawing/2014/chart" uri="{C3380CC4-5D6E-409C-BE32-E72D297353CC}">
              <c16:uniqueId val="{00000001-B300-40A0-AF9E-51AD9DD4BCE7}"/>
            </c:ext>
          </c:extLst>
        </c:ser>
        <c:ser>
          <c:idx val="2"/>
          <c:order val="2"/>
          <c:tx>
            <c:strRef>
              <c:f>'Graf Shock 7'!$B$11</c:f>
              <c:strCache>
                <c:ptCount val="1"/>
                <c:pt idx="0">
                  <c:v>Interest rate shock 1</c:v>
                </c:pt>
              </c:strCache>
            </c:strRef>
          </c:tx>
          <c:spPr>
            <a:ln>
              <a:solidFill>
                <a:srgbClr val="6496FA"/>
              </a:solidFill>
            </a:ln>
          </c:spPr>
          <c:marker>
            <c:spPr>
              <a:solidFill>
                <a:srgbClr val="6496FA"/>
              </a:solidFill>
              <a:ln>
                <a:solidFill>
                  <a:srgbClr val="6496FA"/>
                </a:solidFill>
              </a:ln>
            </c:spPr>
          </c:marker>
          <c:cat>
            <c:numRef>
              <c:f>'Graf Shock 7'!$C$8:$F$8</c:f>
              <c:numCache>
                <c:formatCode>General</c:formatCode>
                <c:ptCount val="4"/>
                <c:pt idx="0">
                  <c:v>2021</c:v>
                </c:pt>
                <c:pt idx="1">
                  <c:v>2022</c:v>
                </c:pt>
                <c:pt idx="2">
                  <c:v>2023</c:v>
                </c:pt>
                <c:pt idx="3">
                  <c:v>2024</c:v>
                </c:pt>
              </c:numCache>
            </c:numRef>
          </c:cat>
          <c:val>
            <c:numRef>
              <c:f>'Graf Shock 7'!$C$11:$F$11</c:f>
              <c:numCache>
                <c:formatCode>0.0</c:formatCode>
                <c:ptCount val="4"/>
                <c:pt idx="0">
                  <c:v>62.299066948023906</c:v>
                </c:pt>
                <c:pt idx="1">
                  <c:v>61.016978106016253</c:v>
                </c:pt>
                <c:pt idx="2">
                  <c:v>59.896560974462396</c:v>
                </c:pt>
                <c:pt idx="3">
                  <c:v>58.855744361181543</c:v>
                </c:pt>
              </c:numCache>
            </c:numRef>
          </c:val>
          <c:smooth val="0"/>
          <c:extLst>
            <c:ext xmlns:c16="http://schemas.microsoft.com/office/drawing/2014/chart" uri="{C3380CC4-5D6E-409C-BE32-E72D297353CC}">
              <c16:uniqueId val="{00000002-B300-40A0-AF9E-51AD9DD4BCE7}"/>
            </c:ext>
          </c:extLst>
        </c:ser>
        <c:ser>
          <c:idx val="3"/>
          <c:order val="3"/>
          <c:tx>
            <c:strRef>
              <c:f>'Graf Shock 7'!$B$12</c:f>
              <c:strCache>
                <c:ptCount val="1"/>
                <c:pt idx="0">
                  <c:v>Interest rate shock 2</c:v>
                </c:pt>
              </c:strCache>
            </c:strRef>
          </c:tx>
          <c:spPr>
            <a:ln>
              <a:solidFill>
                <a:schemeClr val="bg1">
                  <a:lumMod val="50000"/>
                </a:schemeClr>
              </a:solidFill>
            </a:ln>
          </c:spPr>
          <c:marker>
            <c:symbol val="circle"/>
            <c:size val="7"/>
            <c:spPr>
              <a:solidFill>
                <a:srgbClr val="A0A0A0"/>
              </a:solidFill>
              <a:ln>
                <a:solidFill>
                  <a:sysClr val="window" lastClr="FFFFFF">
                    <a:lumMod val="50000"/>
                  </a:sysClr>
                </a:solidFill>
              </a:ln>
            </c:spPr>
          </c:marker>
          <c:cat>
            <c:numRef>
              <c:f>'Graf Shock 7'!$C$8:$F$8</c:f>
              <c:numCache>
                <c:formatCode>General</c:formatCode>
                <c:ptCount val="4"/>
                <c:pt idx="0">
                  <c:v>2021</c:v>
                </c:pt>
                <c:pt idx="1">
                  <c:v>2022</c:v>
                </c:pt>
                <c:pt idx="2">
                  <c:v>2023</c:v>
                </c:pt>
                <c:pt idx="3">
                  <c:v>2024</c:v>
                </c:pt>
              </c:numCache>
            </c:numRef>
          </c:cat>
          <c:val>
            <c:numRef>
              <c:f>'Graf Shock 7'!$C$12:$F$12</c:f>
              <c:numCache>
                <c:formatCode>0.0</c:formatCode>
                <c:ptCount val="4"/>
                <c:pt idx="0">
                  <c:v>62.299066948023906</c:v>
                </c:pt>
                <c:pt idx="1">
                  <c:v>61.540440014725931</c:v>
                </c:pt>
                <c:pt idx="2">
                  <c:v>61.160746775098403</c:v>
                </c:pt>
                <c:pt idx="3">
                  <c:v>61.07700732617954</c:v>
                </c:pt>
              </c:numCache>
            </c:numRef>
          </c:val>
          <c:smooth val="0"/>
          <c:extLst>
            <c:ext xmlns:c16="http://schemas.microsoft.com/office/drawing/2014/chart" uri="{C3380CC4-5D6E-409C-BE32-E72D297353CC}">
              <c16:uniqueId val="{00000003-B300-40A0-AF9E-51AD9DD4BCE7}"/>
            </c:ext>
          </c:extLst>
        </c:ser>
        <c:ser>
          <c:idx val="4"/>
          <c:order val="4"/>
          <c:tx>
            <c:strRef>
              <c:f>'Graf Shock 7'!$B$13</c:f>
              <c:strCache>
                <c:ptCount val="1"/>
                <c:pt idx="0">
                  <c:v>Combined shock (15 percent depreciation and interest rate shock)</c:v>
                </c:pt>
              </c:strCache>
            </c:strRef>
          </c:tx>
          <c:spPr>
            <a:ln>
              <a:solidFill>
                <a:schemeClr val="accent5">
                  <a:lumMod val="75000"/>
                </a:schemeClr>
              </a:solidFill>
              <a:prstDash val="sysDash"/>
            </a:ln>
          </c:spPr>
          <c:marker>
            <c:symbol val="none"/>
          </c:marker>
          <c:cat>
            <c:numRef>
              <c:f>'Graf Shock 7'!$C$8:$F$8</c:f>
              <c:numCache>
                <c:formatCode>General</c:formatCode>
                <c:ptCount val="4"/>
                <c:pt idx="0">
                  <c:v>2021</c:v>
                </c:pt>
                <c:pt idx="1">
                  <c:v>2022</c:v>
                </c:pt>
                <c:pt idx="2">
                  <c:v>2023</c:v>
                </c:pt>
                <c:pt idx="3">
                  <c:v>2024</c:v>
                </c:pt>
              </c:numCache>
            </c:numRef>
          </c:cat>
          <c:val>
            <c:numRef>
              <c:f>'Graf Shock 7'!$C$13:$F$13</c:f>
              <c:numCache>
                <c:formatCode>0.0</c:formatCode>
                <c:ptCount val="4"/>
                <c:pt idx="0">
                  <c:v>62.299066948023906</c:v>
                </c:pt>
                <c:pt idx="1">
                  <c:v>67.105515561431901</c:v>
                </c:pt>
                <c:pt idx="2">
                  <c:v>65.824147592415244</c:v>
                </c:pt>
                <c:pt idx="3">
                  <c:v>64.665769740727171</c:v>
                </c:pt>
              </c:numCache>
            </c:numRef>
          </c:val>
          <c:smooth val="0"/>
          <c:extLst>
            <c:ext xmlns:c16="http://schemas.microsoft.com/office/drawing/2014/chart" uri="{C3380CC4-5D6E-409C-BE32-E72D297353CC}">
              <c16:uniqueId val="{00000004-B300-40A0-AF9E-51AD9DD4BCE7}"/>
            </c:ext>
          </c:extLst>
        </c:ser>
        <c:dLbls>
          <c:showLegendKey val="0"/>
          <c:showVal val="0"/>
          <c:showCatName val="0"/>
          <c:showSerName val="0"/>
          <c:showPercent val="0"/>
          <c:showBubbleSize val="0"/>
        </c:dLbls>
        <c:smooth val="0"/>
        <c:axId val="149310848"/>
        <c:axId val="149312640"/>
      </c:lineChart>
      <c:catAx>
        <c:axId val="1493108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9312640"/>
        <c:crosses val="autoZero"/>
        <c:auto val="1"/>
        <c:lblAlgn val="ctr"/>
        <c:lblOffset val="100"/>
        <c:noMultiLvlLbl val="0"/>
      </c:catAx>
      <c:valAx>
        <c:axId val="149312640"/>
        <c:scaling>
          <c:orientation val="minMax"/>
          <c:min val="5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9310848"/>
        <c:crosses val="autoZero"/>
        <c:crossBetween val="between"/>
        <c:majorUnit val="2"/>
      </c:valAx>
    </c:plotArea>
    <c:legend>
      <c:legendPos val="r"/>
      <c:layout>
        <c:manualLayout>
          <c:xMode val="edge"/>
          <c:yMode val="edge"/>
          <c:x val="0.13811776082867316"/>
          <c:y val="1.8104972412680893E-2"/>
          <c:w val="0.76002505548893218"/>
          <c:h val="0.25346961377753252"/>
        </c:manualLayout>
      </c:layout>
      <c:overlay val="0"/>
      <c:txPr>
        <a:bodyPr/>
        <a:lstStyle/>
        <a:p>
          <a:pPr>
            <a:defRPr sz="825"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85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418214232654126E-2"/>
          <c:y val="0.15403291703982724"/>
          <c:w val="0.9022861387609511"/>
          <c:h val="0.75425087605778585"/>
        </c:manualLayout>
      </c:layout>
      <c:lineChart>
        <c:grouping val="standard"/>
        <c:varyColors val="0"/>
        <c:ser>
          <c:idx val="0"/>
          <c:order val="0"/>
          <c:tx>
            <c:strRef>
              <c:f>'Graf Shock 7'!$B$21</c:f>
              <c:strCache>
                <c:ptCount val="1"/>
                <c:pt idx="0">
                  <c:v>Baseline Scenario</c:v>
                </c:pt>
              </c:strCache>
            </c:strRef>
          </c:tx>
          <c:spPr>
            <a:ln>
              <a:solidFill>
                <a:schemeClr val="tx1"/>
              </a:solidFill>
            </a:ln>
          </c:spPr>
          <c:marker>
            <c:symbol val="none"/>
          </c:marker>
          <c:cat>
            <c:numRef>
              <c:f>'Graf Shock 7'!$C$20:$F$20</c:f>
              <c:numCache>
                <c:formatCode>General</c:formatCode>
                <c:ptCount val="4"/>
                <c:pt idx="0">
                  <c:v>2021</c:v>
                </c:pt>
                <c:pt idx="1">
                  <c:v>2022</c:v>
                </c:pt>
                <c:pt idx="2">
                  <c:v>2023</c:v>
                </c:pt>
                <c:pt idx="3">
                  <c:v>2024</c:v>
                </c:pt>
              </c:numCache>
            </c:numRef>
          </c:cat>
          <c:val>
            <c:numRef>
              <c:f>'Graf Shock 7'!$C$21:$F$21</c:f>
              <c:numCache>
                <c:formatCode>0.0</c:formatCode>
                <c:ptCount val="4"/>
                <c:pt idx="0">
                  <c:v>2.827111254285231</c:v>
                </c:pt>
                <c:pt idx="1">
                  <c:v>2.8493833149490411</c:v>
                </c:pt>
                <c:pt idx="2">
                  <c:v>2.9796209067114261</c:v>
                </c:pt>
                <c:pt idx="3">
                  <c:v>3.0339415678439412</c:v>
                </c:pt>
              </c:numCache>
            </c:numRef>
          </c:val>
          <c:smooth val="0"/>
          <c:extLst>
            <c:ext xmlns:c16="http://schemas.microsoft.com/office/drawing/2014/chart" uri="{C3380CC4-5D6E-409C-BE32-E72D297353CC}">
              <c16:uniqueId val="{00000000-4D79-4407-A2F4-293C05CB9039}"/>
            </c:ext>
          </c:extLst>
        </c:ser>
        <c:ser>
          <c:idx val="1"/>
          <c:order val="1"/>
          <c:tx>
            <c:strRef>
              <c:f>'Graf Shock 7'!$B$22</c:f>
              <c:strCache>
                <c:ptCount val="1"/>
                <c:pt idx="0">
                  <c:v>Exchange rate shock (30 percent)</c:v>
                </c:pt>
              </c:strCache>
            </c:strRef>
          </c:tx>
          <c:spPr>
            <a:ln>
              <a:solidFill>
                <a:srgbClr val="0000FF"/>
              </a:solidFill>
            </a:ln>
          </c:spPr>
          <c:marker>
            <c:spPr>
              <a:solidFill>
                <a:srgbClr val="0000FF"/>
              </a:solidFill>
              <a:ln>
                <a:solidFill>
                  <a:srgbClr val="0000FF"/>
                </a:solidFill>
              </a:ln>
            </c:spPr>
          </c:marker>
          <c:cat>
            <c:numRef>
              <c:f>'Graf Shock 7'!$C$20:$F$20</c:f>
              <c:numCache>
                <c:formatCode>General</c:formatCode>
                <c:ptCount val="4"/>
                <c:pt idx="0">
                  <c:v>2021</c:v>
                </c:pt>
                <c:pt idx="1">
                  <c:v>2022</c:v>
                </c:pt>
                <c:pt idx="2">
                  <c:v>2023</c:v>
                </c:pt>
                <c:pt idx="3">
                  <c:v>2024</c:v>
                </c:pt>
              </c:numCache>
            </c:numRef>
          </c:cat>
          <c:val>
            <c:numRef>
              <c:f>'Graf Shock 7'!$C$22:$F$22</c:f>
              <c:numCache>
                <c:formatCode>0.0</c:formatCode>
                <c:ptCount val="4"/>
                <c:pt idx="0">
                  <c:v>2.827111254285231</c:v>
                </c:pt>
                <c:pt idx="1">
                  <c:v>3.2033504716914147</c:v>
                </c:pt>
                <c:pt idx="2">
                  <c:v>3.3638878846172795</c:v>
                </c:pt>
                <c:pt idx="3">
                  <c:v>3.4605755533275642</c:v>
                </c:pt>
              </c:numCache>
            </c:numRef>
          </c:val>
          <c:smooth val="0"/>
          <c:extLst>
            <c:ext xmlns:c16="http://schemas.microsoft.com/office/drawing/2014/chart" uri="{C3380CC4-5D6E-409C-BE32-E72D297353CC}">
              <c16:uniqueId val="{00000001-4D79-4407-A2F4-293C05CB9039}"/>
            </c:ext>
          </c:extLst>
        </c:ser>
        <c:ser>
          <c:idx val="2"/>
          <c:order val="2"/>
          <c:tx>
            <c:strRef>
              <c:f>'Graf Shock 7'!$B$23</c:f>
              <c:strCache>
                <c:ptCount val="1"/>
                <c:pt idx="0">
                  <c:v>Interest rate shock 1</c:v>
                </c:pt>
              </c:strCache>
            </c:strRef>
          </c:tx>
          <c:spPr>
            <a:ln>
              <a:solidFill>
                <a:srgbClr val="6496FA"/>
              </a:solidFill>
            </a:ln>
          </c:spPr>
          <c:marker>
            <c:spPr>
              <a:solidFill>
                <a:srgbClr val="6496FA"/>
              </a:solidFill>
              <a:ln>
                <a:solidFill>
                  <a:srgbClr val="6496FA"/>
                </a:solidFill>
              </a:ln>
            </c:spPr>
          </c:marker>
          <c:cat>
            <c:numRef>
              <c:f>'Graf Shock 7'!$C$20:$F$20</c:f>
              <c:numCache>
                <c:formatCode>General</c:formatCode>
                <c:ptCount val="4"/>
                <c:pt idx="0">
                  <c:v>2021</c:v>
                </c:pt>
                <c:pt idx="1">
                  <c:v>2022</c:v>
                </c:pt>
                <c:pt idx="2">
                  <c:v>2023</c:v>
                </c:pt>
                <c:pt idx="3">
                  <c:v>2024</c:v>
                </c:pt>
              </c:numCache>
            </c:numRef>
          </c:cat>
          <c:val>
            <c:numRef>
              <c:f>'Graf Shock 7'!$C$23:$F$23</c:f>
              <c:numCache>
                <c:formatCode>0.0</c:formatCode>
                <c:ptCount val="4"/>
                <c:pt idx="0">
                  <c:v>2.827111254285231</c:v>
                </c:pt>
                <c:pt idx="1">
                  <c:v>3.3728452236587168</c:v>
                </c:pt>
                <c:pt idx="2">
                  <c:v>3.7115650209066722</c:v>
                </c:pt>
                <c:pt idx="3">
                  <c:v>3.9668569466915171</c:v>
                </c:pt>
              </c:numCache>
            </c:numRef>
          </c:val>
          <c:smooth val="0"/>
          <c:extLst>
            <c:ext xmlns:c16="http://schemas.microsoft.com/office/drawing/2014/chart" uri="{C3380CC4-5D6E-409C-BE32-E72D297353CC}">
              <c16:uniqueId val="{00000002-4D79-4407-A2F4-293C05CB9039}"/>
            </c:ext>
          </c:extLst>
        </c:ser>
        <c:ser>
          <c:idx val="3"/>
          <c:order val="3"/>
          <c:tx>
            <c:strRef>
              <c:f>'Graf Shock 7'!$B$24</c:f>
              <c:strCache>
                <c:ptCount val="1"/>
                <c:pt idx="0">
                  <c:v>Interest rate shock 2</c:v>
                </c:pt>
              </c:strCache>
            </c:strRef>
          </c:tx>
          <c:spPr>
            <a:ln>
              <a:solidFill>
                <a:schemeClr val="bg1">
                  <a:lumMod val="50000"/>
                </a:schemeClr>
              </a:solidFill>
            </a:ln>
          </c:spPr>
          <c:marker>
            <c:symbol val="circle"/>
            <c:size val="7"/>
            <c:spPr>
              <a:solidFill>
                <a:srgbClr val="A0A0A0"/>
              </a:solidFill>
              <a:ln>
                <a:solidFill>
                  <a:sysClr val="window" lastClr="FFFFFF">
                    <a:lumMod val="50000"/>
                  </a:sysClr>
                </a:solidFill>
              </a:ln>
            </c:spPr>
          </c:marker>
          <c:cat>
            <c:numRef>
              <c:f>'Graf Shock 7'!$C$20:$F$20</c:f>
              <c:numCache>
                <c:formatCode>General</c:formatCode>
                <c:ptCount val="4"/>
                <c:pt idx="0">
                  <c:v>2021</c:v>
                </c:pt>
                <c:pt idx="1">
                  <c:v>2022</c:v>
                </c:pt>
                <c:pt idx="2">
                  <c:v>2023</c:v>
                </c:pt>
                <c:pt idx="3">
                  <c:v>2024</c:v>
                </c:pt>
              </c:numCache>
            </c:numRef>
          </c:cat>
          <c:val>
            <c:numRef>
              <c:f>'Graf Shock 7'!$C$24:$F$24</c:f>
              <c:numCache>
                <c:formatCode>0.0</c:formatCode>
                <c:ptCount val="4"/>
                <c:pt idx="0">
                  <c:v>2.827111254285231</c:v>
                </c:pt>
                <c:pt idx="1">
                  <c:v>3.8963071323683915</c:v>
                </c:pt>
                <c:pt idx="2">
                  <c:v>4.4906057940552548</c:v>
                </c:pt>
                <c:pt idx="3">
                  <c:v>5.018805698324015</c:v>
                </c:pt>
              </c:numCache>
            </c:numRef>
          </c:val>
          <c:smooth val="0"/>
          <c:extLst>
            <c:ext xmlns:c16="http://schemas.microsoft.com/office/drawing/2014/chart" uri="{C3380CC4-5D6E-409C-BE32-E72D297353CC}">
              <c16:uniqueId val="{00000003-4D79-4407-A2F4-293C05CB9039}"/>
            </c:ext>
          </c:extLst>
        </c:ser>
        <c:ser>
          <c:idx val="4"/>
          <c:order val="4"/>
          <c:tx>
            <c:strRef>
              <c:f>'Graf Shock 7'!$B$25</c:f>
              <c:strCache>
                <c:ptCount val="1"/>
                <c:pt idx="0">
                  <c:v>Combined shock (15 percent depreciation and interest rate shock)</c:v>
                </c:pt>
              </c:strCache>
            </c:strRef>
          </c:tx>
          <c:spPr>
            <a:ln>
              <a:solidFill>
                <a:schemeClr val="accent5">
                  <a:lumMod val="75000"/>
                </a:schemeClr>
              </a:solidFill>
              <a:prstDash val="sysDash"/>
            </a:ln>
          </c:spPr>
          <c:marker>
            <c:symbol val="none"/>
          </c:marker>
          <c:cat>
            <c:numRef>
              <c:f>'Graf Shock 7'!$C$20:$F$20</c:f>
              <c:numCache>
                <c:formatCode>General</c:formatCode>
                <c:ptCount val="4"/>
                <c:pt idx="0">
                  <c:v>2021</c:v>
                </c:pt>
                <c:pt idx="1">
                  <c:v>2022</c:v>
                </c:pt>
                <c:pt idx="2">
                  <c:v>2023</c:v>
                </c:pt>
                <c:pt idx="3">
                  <c:v>2024</c:v>
                </c:pt>
              </c:numCache>
            </c:numRef>
          </c:cat>
          <c:val>
            <c:numRef>
              <c:f>'Graf Shock 7'!$C$25:$F$25</c:f>
              <c:numCache>
                <c:formatCode>0.0</c:formatCode>
                <c:ptCount val="4"/>
                <c:pt idx="0">
                  <c:v>2.827111254285231</c:v>
                </c:pt>
                <c:pt idx="1">
                  <c:v>3.5977035750604469</c:v>
                </c:pt>
                <c:pt idx="2">
                  <c:v>3.9717228827030624</c:v>
                </c:pt>
                <c:pt idx="3">
                  <c:v>4.2719707471517934</c:v>
                </c:pt>
              </c:numCache>
            </c:numRef>
          </c:val>
          <c:smooth val="0"/>
          <c:extLst>
            <c:ext xmlns:c16="http://schemas.microsoft.com/office/drawing/2014/chart" uri="{C3380CC4-5D6E-409C-BE32-E72D297353CC}">
              <c16:uniqueId val="{00000004-4D79-4407-A2F4-293C05CB9039}"/>
            </c:ext>
          </c:extLst>
        </c:ser>
        <c:dLbls>
          <c:showLegendKey val="0"/>
          <c:showVal val="0"/>
          <c:showCatName val="0"/>
          <c:showSerName val="0"/>
          <c:showPercent val="0"/>
          <c:showBubbleSize val="0"/>
        </c:dLbls>
        <c:smooth val="0"/>
        <c:axId val="149338752"/>
        <c:axId val="149365120"/>
      </c:lineChart>
      <c:catAx>
        <c:axId val="1493387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9365120"/>
        <c:crosses val="autoZero"/>
        <c:auto val="1"/>
        <c:lblAlgn val="ctr"/>
        <c:lblOffset val="100"/>
        <c:noMultiLvlLbl val="0"/>
      </c:catAx>
      <c:valAx>
        <c:axId val="149365120"/>
        <c:scaling>
          <c:orientation val="minMax"/>
          <c:max val="5.5"/>
          <c:min val="2"/>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9338752"/>
        <c:crosses val="autoZero"/>
        <c:crossBetween val="between"/>
        <c:majorUnit val="0.30000000000000004"/>
      </c:valAx>
    </c:plotArea>
    <c:legend>
      <c:legendPos val="r"/>
      <c:layout>
        <c:manualLayout>
          <c:xMode val="edge"/>
          <c:yMode val="edge"/>
          <c:x val="0.1366082771037696"/>
          <c:y val="1.7745908720909195E-2"/>
          <c:w val="0.76002505548893218"/>
          <c:h val="0.25157435304347736"/>
        </c:manualLayout>
      </c:layout>
      <c:overlay val="0"/>
      <c:txPr>
        <a:bodyPr/>
        <a:lstStyle/>
        <a:p>
          <a:pPr>
            <a:defRPr sz="825"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85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4"/>
      <c:hPercent val="51"/>
      <c:rotY val="8"/>
      <c:depthPercent val="100"/>
      <c:rAngAx val="1"/>
    </c:view3D>
    <c:floor>
      <c:thickness val="0"/>
    </c:floor>
    <c:sideWall>
      <c:thickness val="0"/>
    </c:sideWall>
    <c:backWall>
      <c:thickness val="0"/>
    </c:backWall>
    <c:plotArea>
      <c:layout>
        <c:manualLayout>
          <c:layoutTarget val="inner"/>
          <c:xMode val="edge"/>
          <c:yMode val="edge"/>
          <c:x val="7.8859746404938813E-2"/>
          <c:y val="4.7945285653369855E-2"/>
          <c:w val="0.91377860337880301"/>
          <c:h val="0.68149848825365"/>
        </c:manualLayout>
      </c:layout>
      <c:bar3DChart>
        <c:barDir val="col"/>
        <c:grouping val="stacked"/>
        <c:varyColors val="0"/>
        <c:ser>
          <c:idx val="0"/>
          <c:order val="0"/>
          <c:tx>
            <c:strRef>
              <c:f>'Graf 3'!$A$12</c:f>
              <c:strCache>
                <c:ptCount val="1"/>
                <c:pt idx="0">
                  <c:v>Foreign Currency Denominated Government Debt</c:v>
                </c:pt>
              </c:strCache>
            </c:strRef>
          </c:tx>
          <c:invertIfNegative val="0"/>
          <c:dLbls>
            <c:dLbl>
              <c:idx val="0"/>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0-5BB6-4394-835C-115A1A038C67}"/>
                </c:ext>
              </c:extLst>
            </c:dLbl>
            <c:dLbl>
              <c:idx val="1"/>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1-5BB6-4394-835C-115A1A038C67}"/>
                </c:ext>
              </c:extLst>
            </c:dLbl>
            <c:spPr>
              <a:noFill/>
              <a:ln w="25400">
                <a:noFill/>
              </a:ln>
            </c:spPr>
            <c:txPr>
              <a:bodyPr wrap="square" lIns="38100" tIns="19050" rIns="38100" bIns="19050" anchor="ctr">
                <a:spAutoFit/>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3'!$B$11:$C$11</c:f>
              <c:numCache>
                <c:formatCode>General</c:formatCode>
                <c:ptCount val="2"/>
                <c:pt idx="0">
                  <c:v>2019</c:v>
                </c:pt>
                <c:pt idx="1">
                  <c:v>2020</c:v>
                </c:pt>
              </c:numCache>
            </c:numRef>
          </c:cat>
          <c:val>
            <c:numRef>
              <c:f>'Graf 3'!$B$12:$C$12</c:f>
              <c:numCache>
                <c:formatCode>_(* #,##0.0_);_(* \(#,##0.0\);_(* "-"??_);_(@_)</c:formatCode>
                <c:ptCount val="2"/>
                <c:pt idx="0">
                  <c:v>79.219057179938901</c:v>
                </c:pt>
                <c:pt idx="1">
                  <c:v>75.564193594689016</c:v>
                </c:pt>
              </c:numCache>
            </c:numRef>
          </c:val>
          <c:extLst>
            <c:ext xmlns:c16="http://schemas.microsoft.com/office/drawing/2014/chart" uri="{C3380CC4-5D6E-409C-BE32-E72D297353CC}">
              <c16:uniqueId val="{00000002-BAB8-47AD-AD2F-9404C7A60CC9}"/>
            </c:ext>
          </c:extLst>
        </c:ser>
        <c:ser>
          <c:idx val="1"/>
          <c:order val="1"/>
          <c:tx>
            <c:strRef>
              <c:f>'Graf 3'!$A$13</c:f>
              <c:strCache>
                <c:ptCount val="1"/>
                <c:pt idx="0">
                  <c:v>AMD Government Debt</c:v>
                </c:pt>
              </c:strCache>
            </c:strRef>
          </c:tx>
          <c:invertIfNegative val="0"/>
          <c:dLbls>
            <c:dLbl>
              <c:idx val="0"/>
              <c:spPr>
                <a:noFill/>
                <a:ln>
                  <a:noFill/>
                </a:ln>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2-5BB6-4394-835C-115A1A038C67}"/>
                </c:ext>
              </c:extLst>
            </c:dLbl>
            <c:dLbl>
              <c:idx val="1"/>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3-5BB6-4394-835C-115A1A038C67}"/>
                </c:ext>
              </c:extLst>
            </c:dLbl>
            <c:spPr>
              <a:noFill/>
              <a:ln w="25400">
                <a:noFill/>
              </a:ln>
            </c:spPr>
            <c:txPr>
              <a:bodyPr wrap="square" lIns="38100" tIns="19050" rIns="38100" bIns="19050" anchor="ctr">
                <a:spAutoFit/>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3'!$B$11:$C$11</c:f>
              <c:numCache>
                <c:formatCode>General</c:formatCode>
                <c:ptCount val="2"/>
                <c:pt idx="0">
                  <c:v>2019</c:v>
                </c:pt>
                <c:pt idx="1">
                  <c:v>2020</c:v>
                </c:pt>
              </c:numCache>
            </c:numRef>
          </c:cat>
          <c:val>
            <c:numRef>
              <c:f>'Graf 3'!$B$13:$C$13</c:f>
              <c:numCache>
                <c:formatCode>_(* #,##0.0_);_(* \(#,##0.0\);_(* "-"??_);_(@_)</c:formatCode>
                <c:ptCount val="2"/>
                <c:pt idx="0">
                  <c:v>20.780942820061103</c:v>
                </c:pt>
                <c:pt idx="1">
                  <c:v>24.435806405310974</c:v>
                </c:pt>
              </c:numCache>
            </c:numRef>
          </c:val>
          <c:extLst>
            <c:ext xmlns:c16="http://schemas.microsoft.com/office/drawing/2014/chart" uri="{C3380CC4-5D6E-409C-BE32-E72D297353CC}">
              <c16:uniqueId val="{00000005-BAB8-47AD-AD2F-9404C7A60CC9}"/>
            </c:ext>
          </c:extLst>
        </c:ser>
        <c:dLbls>
          <c:showLegendKey val="0"/>
          <c:showVal val="0"/>
          <c:showCatName val="0"/>
          <c:showSerName val="0"/>
          <c:showPercent val="0"/>
          <c:showBubbleSize val="0"/>
        </c:dLbls>
        <c:gapWidth val="150"/>
        <c:shape val="cylinder"/>
        <c:axId val="144626816"/>
        <c:axId val="144628352"/>
        <c:axId val="0"/>
      </c:bar3DChart>
      <c:catAx>
        <c:axId val="144626816"/>
        <c:scaling>
          <c:orientation val="minMax"/>
        </c:scaling>
        <c:delete val="0"/>
        <c:axPos val="b"/>
        <c:numFmt formatCode="General" sourceLinked="1"/>
        <c:majorTickMark val="out"/>
        <c:minorTickMark val="none"/>
        <c:tickLblPos val="low"/>
        <c:txPr>
          <a:bodyPr rot="0" vert="horz"/>
          <a:lstStyle/>
          <a:p>
            <a:pPr>
              <a:defRPr sz="1000" b="0" i="0" u="none" strike="noStrike" baseline="0">
                <a:solidFill>
                  <a:srgbClr val="000000"/>
                </a:solidFill>
                <a:latin typeface="GHEA Grapalat"/>
                <a:ea typeface="GHEA Grapalat"/>
                <a:cs typeface="GHEA Grapalat"/>
              </a:defRPr>
            </a:pPr>
            <a:endParaRPr lang="en-US"/>
          </a:p>
        </c:txPr>
        <c:crossAx val="144628352"/>
        <c:crosses val="autoZero"/>
        <c:auto val="1"/>
        <c:lblAlgn val="ctr"/>
        <c:lblOffset val="100"/>
        <c:tickLblSkip val="1"/>
        <c:tickMarkSkip val="1"/>
        <c:noMultiLvlLbl val="0"/>
      </c:catAx>
      <c:valAx>
        <c:axId val="144628352"/>
        <c:scaling>
          <c:orientation val="minMax"/>
          <c:min val="0"/>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GHEA Grapalat"/>
                <a:ea typeface="GHEA Grapalat"/>
                <a:cs typeface="GHEA Grapalat"/>
              </a:defRPr>
            </a:pPr>
            <a:endParaRPr lang="en-US"/>
          </a:p>
        </c:txPr>
        <c:crossAx val="144626816"/>
        <c:crosses val="autoZero"/>
        <c:crossBetween val="between"/>
        <c:majorUnit val="10"/>
      </c:valAx>
      <c:spPr>
        <a:noFill/>
        <a:ln w="25400">
          <a:noFill/>
        </a:ln>
      </c:spPr>
    </c:plotArea>
    <c:legend>
      <c:legendPos val="r"/>
      <c:layout>
        <c:manualLayout>
          <c:xMode val="edge"/>
          <c:yMode val="edge"/>
          <c:x val="0.24211433958079184"/>
          <c:y val="0.83357316475071008"/>
          <c:w val="0.62941739676906583"/>
          <c:h val="0.13901143277562794"/>
        </c:manualLayout>
      </c:layout>
      <c:overlay val="0"/>
      <c:txPr>
        <a:bodyPr/>
        <a:lstStyle/>
        <a:p>
          <a:pPr>
            <a:defRPr sz="845"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txPr>
    <a:bodyPr/>
    <a:lstStyle/>
    <a:p>
      <a:pPr>
        <a:defRPr sz="1000" b="0"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 1'!$J$3</c:f>
              <c:strCache>
                <c:ptCount val="1"/>
                <c:pt idx="0">
                  <c:v>Currency composition</c:v>
                </c:pt>
              </c:strCache>
            </c:strRef>
          </c:tx>
          <c:dPt>
            <c:idx val="0"/>
            <c:bubble3D val="0"/>
            <c:spPr>
              <a:solidFill>
                <a:srgbClr val="2F5597"/>
              </a:solidFill>
              <a:ln w="19050">
                <a:solidFill>
                  <a:schemeClr val="lt1"/>
                </a:solidFill>
              </a:ln>
              <a:effectLst/>
            </c:spPr>
            <c:extLst>
              <c:ext xmlns:c16="http://schemas.microsoft.com/office/drawing/2014/chart" uri="{C3380CC4-5D6E-409C-BE32-E72D297353CC}">
                <c16:uniqueId val="{00000001-40CD-43F7-8A14-654CF2E161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CD-43F7-8A14-654CF2E161FA}"/>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40CD-43F7-8A14-654CF2E161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CD-43F7-8A14-654CF2E161FA}"/>
              </c:ext>
            </c:extLst>
          </c:dPt>
          <c:dPt>
            <c:idx val="4"/>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09-40CD-43F7-8A14-654CF2E161FA}"/>
              </c:ext>
            </c:extLst>
          </c:dPt>
          <c:dLbls>
            <c:dLbl>
              <c:idx val="2"/>
              <c:layout>
                <c:manualLayout>
                  <c:x val="-6.4285102780237149E-2"/>
                  <c:y val="3.8009635891631234E-2"/>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0CD-43F7-8A14-654CF2E161FA}"/>
                </c:ext>
              </c:extLst>
            </c:dLbl>
            <c:dLbl>
              <c:idx val="3"/>
              <c:layout>
                <c:manualLayout>
                  <c:x val="-0.14539405333038041"/>
                  <c:y val="3.6639473637898795E-2"/>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0CD-43F7-8A14-654CF2E161FA}"/>
                </c:ext>
              </c:extLst>
            </c:dLbl>
            <c:dLbl>
              <c:idx val="4"/>
              <c:layout>
                <c:manualLayout>
                  <c:x val="-8.7060743847777441E-2"/>
                  <c:y val="-7.3281832273721682E-3"/>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0CD-43F7-8A14-654CF2E161FA}"/>
                </c:ext>
              </c:extLst>
            </c:dLbl>
            <c:dLbl>
              <c:idx val="5"/>
              <c:layout>
                <c:manualLayout>
                  <c:x val="0.13700593486901241"/>
                  <c:y val="3.6639473637898852E-3"/>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0CD-43F7-8A14-654CF2E161FA}"/>
                </c:ext>
              </c:extLst>
            </c:dLbl>
            <c:spPr>
              <a:noFill/>
              <a:ln w="25400">
                <a:noFill/>
              </a:ln>
            </c:spPr>
            <c:txPr>
              <a:bodyPr wrap="square" lIns="38100" tIns="19050" rIns="38100" bIns="19050" anchor="ctr">
                <a:spAutoFit/>
              </a:bodyPr>
              <a:lstStyle/>
              <a:p>
                <a:pPr>
                  <a:defRPr sz="1000" b="1" i="0" u="none" strike="noStrike" baseline="0">
                    <a:solidFill>
                      <a:srgbClr val="333333"/>
                    </a:solidFill>
                    <a:latin typeface="Calibri"/>
                    <a:ea typeface="Calibri"/>
                    <a:cs typeface="Calibri"/>
                  </a:defRPr>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'Graf 1'!$I$4:$I$9</c:f>
              <c:strCache>
                <c:ptCount val="6"/>
                <c:pt idx="0">
                  <c:v>USD</c:v>
                </c:pt>
                <c:pt idx="1">
                  <c:v>SDR</c:v>
                </c:pt>
                <c:pt idx="2">
                  <c:v>EUR</c:v>
                </c:pt>
                <c:pt idx="3">
                  <c:v>JPY</c:v>
                </c:pt>
                <c:pt idx="4">
                  <c:v>AED</c:v>
                </c:pt>
                <c:pt idx="5">
                  <c:v>CNY</c:v>
                </c:pt>
              </c:strCache>
            </c:strRef>
          </c:cat>
          <c:val>
            <c:numRef>
              <c:f>'Graf 1'!$J$4:$J$9</c:f>
              <c:numCache>
                <c:formatCode>0.0%</c:formatCode>
                <c:ptCount val="6"/>
                <c:pt idx="0">
                  <c:v>0.50706140500601771</c:v>
                </c:pt>
                <c:pt idx="1">
                  <c:v>0.30546949415700619</c:v>
                </c:pt>
                <c:pt idx="2">
                  <c:v>0.142532372290292</c:v>
                </c:pt>
                <c:pt idx="3">
                  <c:v>4.0169670227179453E-2</c:v>
                </c:pt>
                <c:pt idx="4">
                  <c:v>7.0679278540482281E-4</c:v>
                </c:pt>
                <c:pt idx="5">
                  <c:v>4.0602655340997969E-3</c:v>
                </c:pt>
              </c:numCache>
            </c:numRef>
          </c:val>
          <c:extLst>
            <c:ext xmlns:c16="http://schemas.microsoft.com/office/drawing/2014/chart" uri="{C3380CC4-5D6E-409C-BE32-E72D297353CC}">
              <c16:uniqueId val="{0000000B-40CD-43F7-8A14-654CF2E161FA}"/>
            </c:ext>
          </c:extLst>
        </c:ser>
        <c:ser>
          <c:idx val="1"/>
          <c:order val="1"/>
          <c:tx>
            <c:strRef>
              <c:f>'Graf 1'!$K$3</c:f>
              <c:strCache>
                <c:ptCount val="1"/>
              </c:strCache>
            </c:strRef>
          </c:tx>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'Graf 1'!$I$4:$I$9</c:f>
              <c:strCache>
                <c:ptCount val="6"/>
                <c:pt idx="0">
                  <c:v>USD</c:v>
                </c:pt>
                <c:pt idx="1">
                  <c:v>SDR</c:v>
                </c:pt>
                <c:pt idx="2">
                  <c:v>EUR</c:v>
                </c:pt>
                <c:pt idx="3">
                  <c:v>JPY</c:v>
                </c:pt>
                <c:pt idx="4">
                  <c:v>AED</c:v>
                </c:pt>
                <c:pt idx="5">
                  <c:v>CNY</c:v>
                </c:pt>
              </c:strCache>
            </c:strRef>
          </c:cat>
          <c:val>
            <c:numRef>
              <c:f>'Graf 1'!$K$4:$K$9</c:f>
              <c:numCache>
                <c:formatCode>General</c:formatCode>
                <c:ptCount val="6"/>
              </c:numCache>
            </c:numRef>
          </c:val>
          <c:extLst>
            <c:ext xmlns:c16="http://schemas.microsoft.com/office/drawing/2014/chart" uri="{C3380CC4-5D6E-409C-BE32-E72D297353CC}">
              <c16:uniqueId val="{0000000C-40CD-43F7-8A14-654CF2E161F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'Graf 1'!$M$3</c:f>
              <c:strCache>
                <c:ptCount val="1"/>
                <c:pt idx="0">
                  <c:v>Currency composition</c:v>
                </c:pt>
              </c:strCache>
            </c:strRef>
          </c:tx>
          <c:dPt>
            <c:idx val="0"/>
            <c:bubble3D val="0"/>
            <c:spPr>
              <a:solidFill>
                <a:srgbClr val="2F5597"/>
              </a:solidFill>
              <a:ln w="19050">
                <a:solidFill>
                  <a:schemeClr val="lt1"/>
                </a:solidFill>
              </a:ln>
              <a:effectLst/>
            </c:spPr>
            <c:extLst>
              <c:ext xmlns:c16="http://schemas.microsoft.com/office/drawing/2014/chart" uri="{C3380CC4-5D6E-409C-BE32-E72D297353CC}">
                <c16:uniqueId val="{00000001-F25A-4B85-BC2F-9161388390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5A-4B85-BC2F-9161388390B3}"/>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F25A-4B85-BC2F-9161388390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5A-4B85-BC2F-9161388390B3}"/>
              </c:ext>
            </c:extLst>
          </c:dPt>
          <c:dLbls>
            <c:dLbl>
              <c:idx val="2"/>
              <c:layout>
                <c:manualLayout>
                  <c:x val="-2.5174705268872596E-2"/>
                  <c:y val="7.6019271783262302E-3"/>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5A-4B85-BC2F-9161388390B3}"/>
                </c:ext>
              </c:extLst>
            </c:dLbl>
            <c:dLbl>
              <c:idx val="3"/>
              <c:layout>
                <c:manualLayout>
                  <c:x val="-1.5740017544542403E-2"/>
                  <c:y val="9.3895142442445862E-3"/>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25A-4B85-BC2F-9161388390B3}"/>
                </c:ext>
              </c:extLst>
            </c:dLbl>
            <c:dLbl>
              <c:idx val="4"/>
              <c:layout>
                <c:manualLayout>
                  <c:x val="-5.3516059651444084E-2"/>
                  <c:y val="-1.0992130591162113E-2"/>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25A-4B85-BC2F-9161388390B3}"/>
                </c:ext>
              </c:extLst>
            </c:dLbl>
            <c:dLbl>
              <c:idx val="5"/>
              <c:layout>
                <c:manualLayout>
                  <c:x val="0.13221614737415621"/>
                  <c:y val="-3.6639473637898852E-3"/>
                </c:manualLayout>
              </c:layout>
              <c:spPr>
                <a:noFill/>
                <a:ln w="25400">
                  <a:noFill/>
                </a:ln>
              </c:spPr>
              <c:txPr>
                <a:bodyPr/>
                <a:lstStyle/>
                <a:p>
                  <a:pPr>
                    <a:defRPr sz="1000" b="1" i="0" u="none" strike="noStrike"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25A-4B85-BC2F-9161388390B3}"/>
                </c:ext>
              </c:extLst>
            </c:dLbl>
            <c:spPr>
              <a:noFill/>
              <a:ln w="25400">
                <a:noFill/>
              </a:ln>
            </c:spPr>
            <c:txPr>
              <a:bodyPr wrap="square" lIns="38100" tIns="19050" rIns="38100" bIns="19050" anchor="ctr">
                <a:spAutoFit/>
              </a:bodyPr>
              <a:lstStyle/>
              <a:p>
                <a:pPr>
                  <a:defRPr sz="1000" b="1" i="0" u="none" strike="noStrike" baseline="0">
                    <a:solidFill>
                      <a:srgbClr val="333333"/>
                    </a:solidFill>
                    <a:latin typeface="Calibri"/>
                    <a:ea typeface="Calibri"/>
                    <a:cs typeface="Calibri"/>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'Graf 1'!$L$4:$L$9</c:f>
              <c:strCache>
                <c:ptCount val="6"/>
                <c:pt idx="0">
                  <c:v>USD</c:v>
                </c:pt>
                <c:pt idx="1">
                  <c:v>EUR</c:v>
                </c:pt>
                <c:pt idx="2">
                  <c:v>GBP</c:v>
                </c:pt>
                <c:pt idx="3">
                  <c:v>JPY</c:v>
                </c:pt>
                <c:pt idx="4">
                  <c:v>AED</c:v>
                </c:pt>
                <c:pt idx="5">
                  <c:v>CNY</c:v>
                </c:pt>
              </c:strCache>
            </c:strRef>
          </c:cat>
          <c:val>
            <c:numRef>
              <c:f>'Graf 1'!$M$4:$M$9</c:f>
              <c:numCache>
                <c:formatCode>0.0%</c:formatCode>
                <c:ptCount val="6"/>
                <c:pt idx="0">
                  <c:v>0.63453382491773658</c:v>
                </c:pt>
                <c:pt idx="1">
                  <c:v>0.23701408683305406</c:v>
                </c:pt>
                <c:pt idx="2">
                  <c:v>2.4712482077301801E-2</c:v>
                </c:pt>
                <c:pt idx="3">
                  <c:v>6.5615279090458084E-2</c:v>
                </c:pt>
                <c:pt idx="4">
                  <c:v>7.0679278540482292E-4</c:v>
                </c:pt>
                <c:pt idx="5">
                  <c:v>3.7417534296044878E-2</c:v>
                </c:pt>
              </c:numCache>
            </c:numRef>
          </c:val>
          <c:extLst>
            <c:ext xmlns:c16="http://schemas.microsoft.com/office/drawing/2014/chart" uri="{C3380CC4-5D6E-409C-BE32-E72D297353CC}">
              <c16:uniqueId val="{0000000A-F25A-4B85-BC2F-9161388390B3}"/>
            </c:ext>
          </c:extLst>
        </c:ser>
        <c:ser>
          <c:idx val="1"/>
          <c:order val="1"/>
          <c:tx>
            <c:strRef>
              <c:f>'Graf 1'!$N$3</c:f>
              <c:strCache>
                <c:ptCount val="1"/>
              </c:strCache>
            </c:strRef>
          </c:tx>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1'!$L$4:$L$9</c:f>
              <c:strCache>
                <c:ptCount val="6"/>
                <c:pt idx="0">
                  <c:v>USD</c:v>
                </c:pt>
                <c:pt idx="1">
                  <c:v>EUR</c:v>
                </c:pt>
                <c:pt idx="2">
                  <c:v>GBP</c:v>
                </c:pt>
                <c:pt idx="3">
                  <c:v>JPY</c:v>
                </c:pt>
                <c:pt idx="4">
                  <c:v>AED</c:v>
                </c:pt>
                <c:pt idx="5">
                  <c:v>CNY</c:v>
                </c:pt>
              </c:strCache>
            </c:strRef>
          </c:cat>
          <c:val>
            <c:numRef>
              <c:f>'Graf 1'!$N$4:$N$9</c:f>
              <c:numCache>
                <c:formatCode>General</c:formatCode>
                <c:ptCount val="6"/>
              </c:numCache>
            </c:numRef>
          </c:val>
          <c:extLst>
            <c:ext xmlns:c16="http://schemas.microsoft.com/office/drawing/2014/chart" uri="{C3380CC4-5D6E-409C-BE32-E72D297353CC}">
              <c16:uniqueId val="{0000000B-F25A-4B85-BC2F-9161388390B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0"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092253388750819E-2"/>
          <c:y val="6.8670085964025143E-2"/>
          <c:w val="0.94290776586954406"/>
          <c:h val="0.74068897637795272"/>
        </c:manualLayout>
      </c:layout>
      <c:bar3DChart>
        <c:barDir val="col"/>
        <c:grouping val="stacked"/>
        <c:varyColors val="0"/>
        <c:ser>
          <c:idx val="0"/>
          <c:order val="0"/>
          <c:tx>
            <c:strRef>
              <c:f>'Graf 9'!$A$27</c:f>
              <c:strCache>
                <c:ptCount val="1"/>
                <c:pt idx="0">
                  <c:v> External Loans </c:v>
                </c:pt>
              </c:strCache>
            </c:strRef>
          </c:tx>
          <c:invertIfNegative val="0"/>
          <c:cat>
            <c:numRef>
              <c:f>'Graf 9'!$B$26:$AI$26</c:f>
              <c:numCache>
                <c:formatCode>General</c:formatCode>
                <c:ptCount val="34"/>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'Graf 9'!$B$27:$AI$27</c:f>
              <c:numCache>
                <c:formatCode>_(* #,##0.0_);_(* \(#,##0.0\);_(* "-"??_);_(@_)</c:formatCode>
                <c:ptCount val="34"/>
                <c:pt idx="0">
                  <c:v>118.2267797780797</c:v>
                </c:pt>
                <c:pt idx="1">
                  <c:v>123.14956230981919</c:v>
                </c:pt>
                <c:pt idx="2">
                  <c:v>169.37347477045131</c:v>
                </c:pt>
                <c:pt idx="3">
                  <c:v>221.8755742161535</c:v>
                </c:pt>
                <c:pt idx="4">
                  <c:v>191.89787697893755</c:v>
                </c:pt>
                <c:pt idx="5">
                  <c:v>194.66720957990916</c:v>
                </c:pt>
                <c:pt idx="6">
                  <c:v>147.57409060653953</c:v>
                </c:pt>
                <c:pt idx="7">
                  <c:v>135.69296922031572</c:v>
                </c:pt>
                <c:pt idx="8">
                  <c:v>131.76918164944749</c:v>
                </c:pt>
                <c:pt idx="9">
                  <c:v>126.33582896127405</c:v>
                </c:pt>
                <c:pt idx="10">
                  <c:v>121.10699489539678</c:v>
                </c:pt>
                <c:pt idx="11">
                  <c:v>122.11397045176037</c:v>
                </c:pt>
                <c:pt idx="12">
                  <c:v>111.72847049917249</c:v>
                </c:pt>
                <c:pt idx="13">
                  <c:v>107.58218309666447</c:v>
                </c:pt>
                <c:pt idx="14">
                  <c:v>86.514947052905598</c:v>
                </c:pt>
                <c:pt idx="15">
                  <c:v>68.595852530918592</c:v>
                </c:pt>
                <c:pt idx="16">
                  <c:v>63.2232350542603</c:v>
                </c:pt>
                <c:pt idx="17">
                  <c:v>51.911721187391812</c:v>
                </c:pt>
                <c:pt idx="18">
                  <c:v>41.901735862084813</c:v>
                </c:pt>
                <c:pt idx="19">
                  <c:v>29.804404557277703</c:v>
                </c:pt>
                <c:pt idx="20">
                  <c:v>21.942065130698516</c:v>
                </c:pt>
                <c:pt idx="21">
                  <c:v>16.045355192460807</c:v>
                </c:pt>
                <c:pt idx="22">
                  <c:v>14.572156057623802</c:v>
                </c:pt>
                <c:pt idx="23">
                  <c:v>12.502717342069401</c:v>
                </c:pt>
                <c:pt idx="24">
                  <c:v>4.7395619742337995</c:v>
                </c:pt>
                <c:pt idx="25">
                  <c:v>0.9019111414855</c:v>
                </c:pt>
                <c:pt idx="26">
                  <c:v>0.81176732957079989</c:v>
                </c:pt>
                <c:pt idx="27">
                  <c:v>0.61725918524560008</c:v>
                </c:pt>
                <c:pt idx="28">
                  <c:v>0.54032598342580007</c:v>
                </c:pt>
                <c:pt idx="29">
                  <c:v>0.1662538195147</c:v>
                </c:pt>
                <c:pt idx="30">
                  <c:v>2.2981261063E-2</c:v>
                </c:pt>
                <c:pt idx="31">
                  <c:v>2.2981261063E-2</c:v>
                </c:pt>
                <c:pt idx="32">
                  <c:v>2.2981261063E-2</c:v>
                </c:pt>
                <c:pt idx="33">
                  <c:v>2.2981261063E-2</c:v>
                </c:pt>
              </c:numCache>
            </c:numRef>
          </c:val>
          <c:extLst>
            <c:ext xmlns:c16="http://schemas.microsoft.com/office/drawing/2014/chart" uri="{C3380CC4-5D6E-409C-BE32-E72D297353CC}">
              <c16:uniqueId val="{00000000-36A3-4D32-A034-C900B8154C12}"/>
            </c:ext>
          </c:extLst>
        </c:ser>
        <c:ser>
          <c:idx val="1"/>
          <c:order val="1"/>
          <c:tx>
            <c:strRef>
              <c:f>'Graf 9'!$A$29</c:f>
              <c:strCache>
                <c:ptCount val="1"/>
                <c:pt idx="0">
                  <c:v> AMD Government Securities </c:v>
                </c:pt>
              </c:strCache>
            </c:strRef>
          </c:tx>
          <c:invertIfNegative val="0"/>
          <c:cat>
            <c:numRef>
              <c:f>'Graf 9'!$B$26:$AI$26</c:f>
              <c:numCache>
                <c:formatCode>General</c:formatCode>
                <c:ptCount val="34"/>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'Graf 9'!$B$29:$AI$29</c:f>
              <c:numCache>
                <c:formatCode>_(* #,##0.0_);_(* \(#,##0.0\);_(* "-"??_);_(@_)</c:formatCode>
                <c:ptCount val="34"/>
                <c:pt idx="0">
                  <c:v>110.418464</c:v>
                </c:pt>
                <c:pt idx="1">
                  <c:v>77.694385999999994</c:v>
                </c:pt>
                <c:pt idx="2">
                  <c:v>76.676170000000013</c:v>
                </c:pt>
                <c:pt idx="3">
                  <c:v>31.774999999999999</c:v>
                </c:pt>
                <c:pt idx="4">
                  <c:v>91.443699999999993</c:v>
                </c:pt>
                <c:pt idx="5">
                  <c:v>0</c:v>
                </c:pt>
                <c:pt idx="6">
                  <c:v>46.42</c:v>
                </c:pt>
                <c:pt idx="7">
                  <c:v>16.690090000000001</c:v>
                </c:pt>
                <c:pt idx="8">
                  <c:v>166.761459</c:v>
                </c:pt>
                <c:pt idx="9">
                  <c:v>0</c:v>
                </c:pt>
                <c:pt idx="10">
                  <c:v>0</c:v>
                </c:pt>
                <c:pt idx="11">
                  <c:v>35.5</c:v>
                </c:pt>
                <c:pt idx="12">
                  <c:v>0</c:v>
                </c:pt>
                <c:pt idx="13">
                  <c:v>0</c:v>
                </c:pt>
                <c:pt idx="14">
                  <c:v>0</c:v>
                </c:pt>
                <c:pt idx="15">
                  <c:v>75.5</c:v>
                </c:pt>
                <c:pt idx="16">
                  <c:v>30.045000000000002</c:v>
                </c:pt>
                <c:pt idx="17">
                  <c:v>0</c:v>
                </c:pt>
                <c:pt idx="18">
                  <c:v>0</c:v>
                </c:pt>
                <c:pt idx="19">
                  <c:v>0</c:v>
                </c:pt>
                <c:pt idx="20">
                  <c:v>0</c:v>
                </c:pt>
                <c:pt idx="21">
                  <c:v>0</c:v>
                </c:pt>
                <c:pt idx="22">
                  <c:v>0</c:v>
                </c:pt>
                <c:pt idx="23">
                  <c:v>0</c:v>
                </c:pt>
                <c:pt idx="24">
                  <c:v>0</c:v>
                </c:pt>
                <c:pt idx="25">
                  <c:v>0</c:v>
                </c:pt>
                <c:pt idx="26">
                  <c:v>125.700405</c:v>
                </c:pt>
                <c:pt idx="27">
                  <c:v>0</c:v>
                </c:pt>
                <c:pt idx="28">
                  <c:v>0</c:v>
                </c:pt>
                <c:pt idx="29">
                  <c:v>74.209261999999995</c:v>
                </c:pt>
                <c:pt idx="30">
                  <c:v>0</c:v>
                </c:pt>
                <c:pt idx="31">
                  <c:v>0</c:v>
                </c:pt>
                <c:pt idx="32">
                  <c:v>0</c:v>
                </c:pt>
                <c:pt idx="33">
                  <c:v>0</c:v>
                </c:pt>
              </c:numCache>
            </c:numRef>
          </c:val>
          <c:extLst>
            <c:ext xmlns:c16="http://schemas.microsoft.com/office/drawing/2014/chart" uri="{C3380CC4-5D6E-409C-BE32-E72D297353CC}">
              <c16:uniqueId val="{00000001-36A3-4D32-A034-C900B8154C12}"/>
            </c:ext>
          </c:extLst>
        </c:ser>
        <c:ser>
          <c:idx val="2"/>
          <c:order val="2"/>
          <c:tx>
            <c:strRef>
              <c:f>'Graf 9'!$A$28</c:f>
              <c:strCache>
                <c:ptCount val="1"/>
                <c:pt idx="0">
                  <c:v> Eurobonds </c:v>
                </c:pt>
              </c:strCache>
            </c:strRef>
          </c:tx>
          <c:invertIfNegative val="0"/>
          <c:cat>
            <c:numRef>
              <c:f>'Graf 9'!$B$26:$AI$26</c:f>
              <c:numCache>
                <c:formatCode>General</c:formatCode>
                <c:ptCount val="34"/>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'Graf 9'!$B$28:$AI$28</c:f>
              <c:numCache>
                <c:formatCode>_(* #,##0.0_);_(* \(#,##0.0\);_(* "-"??_);_(@_)</c:formatCode>
                <c:ptCount val="34"/>
                <c:pt idx="0">
                  <c:v>0</c:v>
                </c:pt>
                <c:pt idx="1">
                  <c:v>0</c:v>
                </c:pt>
                <c:pt idx="2">
                  <c:v>0</c:v>
                </c:pt>
                <c:pt idx="3">
                  <c:v>0</c:v>
                </c:pt>
                <c:pt idx="4">
                  <c:v>261.29500000000002</c:v>
                </c:pt>
                <c:pt idx="5">
                  <c:v>0</c:v>
                </c:pt>
                <c:pt idx="6">
                  <c:v>0</c:v>
                </c:pt>
                <c:pt idx="7">
                  <c:v>0</c:v>
                </c:pt>
                <c:pt idx="8">
                  <c:v>261.29500000000002</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2-36A3-4D32-A034-C900B8154C12}"/>
            </c:ext>
          </c:extLst>
        </c:ser>
        <c:ser>
          <c:idx val="3"/>
          <c:order val="3"/>
          <c:tx>
            <c:strRef>
              <c:f>'Graf 9'!$A$30</c:f>
              <c:strCache>
                <c:ptCount val="1"/>
                <c:pt idx="0">
                  <c:v> Guarantees </c:v>
                </c:pt>
              </c:strCache>
            </c:strRef>
          </c:tx>
          <c:invertIfNegative val="0"/>
          <c:cat>
            <c:numRef>
              <c:f>'Graf 9'!$B$26:$AI$26</c:f>
              <c:numCache>
                <c:formatCode>General</c:formatCode>
                <c:ptCount val="34"/>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'Graf 9'!$B$30:$AI$30</c:f>
              <c:numCache>
                <c:formatCode>_(* #,##0.0_);_(* \(#,##0.0\);_(* "-"??_);_(@_)</c:formatCode>
                <c:ptCount val="34"/>
                <c:pt idx="0">
                  <c:v>0</c:v>
                </c:pt>
                <c:pt idx="1">
                  <c:v>0</c:v>
                </c:pt>
                <c:pt idx="2">
                  <c:v>0.17260653846153848</c:v>
                </c:pt>
                <c:pt idx="3">
                  <c:v>0.34521307692307696</c:v>
                </c:pt>
                <c:pt idx="4">
                  <c:v>0.34521307692307696</c:v>
                </c:pt>
                <c:pt idx="5">
                  <c:v>0.34521307692307696</c:v>
                </c:pt>
                <c:pt idx="6">
                  <c:v>0.34521307692307696</c:v>
                </c:pt>
                <c:pt idx="7">
                  <c:v>0.34521307692307696</c:v>
                </c:pt>
                <c:pt idx="8">
                  <c:v>0.34521307692307696</c:v>
                </c:pt>
                <c:pt idx="9">
                  <c:v>0.34521307692307696</c:v>
                </c:pt>
                <c:pt idx="10">
                  <c:v>0.34521307692307696</c:v>
                </c:pt>
                <c:pt idx="11">
                  <c:v>0.34521307692307696</c:v>
                </c:pt>
                <c:pt idx="12">
                  <c:v>0.34521307692307696</c:v>
                </c:pt>
                <c:pt idx="13">
                  <c:v>0.34521307692307696</c:v>
                </c:pt>
                <c:pt idx="14">
                  <c:v>0.34521307692307696</c:v>
                </c:pt>
                <c:pt idx="15">
                  <c:v>0.17260653846153848</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3-36A3-4D32-A034-C900B8154C12}"/>
            </c:ext>
          </c:extLst>
        </c:ser>
        <c:dLbls>
          <c:showLegendKey val="0"/>
          <c:showVal val="0"/>
          <c:showCatName val="0"/>
          <c:showSerName val="0"/>
          <c:showPercent val="0"/>
          <c:showBubbleSize val="0"/>
        </c:dLbls>
        <c:gapWidth val="89"/>
        <c:shape val="box"/>
        <c:axId val="149625088"/>
        <c:axId val="149639168"/>
        <c:axId val="0"/>
      </c:bar3DChart>
      <c:catAx>
        <c:axId val="149625088"/>
        <c:scaling>
          <c:orientation val="minMax"/>
        </c:scaling>
        <c:delete val="0"/>
        <c:axPos val="b"/>
        <c:numFmt formatCode="General" sourceLinked="1"/>
        <c:majorTickMark val="none"/>
        <c:minorTickMark val="none"/>
        <c:tickLblPos val="nextTo"/>
        <c:txPr>
          <a:bodyPr rot="-4500000" vert="horz" anchor="ctr" anchorCtr="0"/>
          <a:lstStyle/>
          <a:p>
            <a:pPr>
              <a:defRPr sz="800" b="0">
                <a:solidFill>
                  <a:sysClr val="windowText" lastClr="000000"/>
                </a:solidFill>
                <a:latin typeface="GHEA Grapalat" panose="02000506050000020003" pitchFamily="50" charset="0"/>
              </a:defRPr>
            </a:pPr>
            <a:endParaRPr lang="en-US"/>
          </a:p>
        </c:txPr>
        <c:crossAx val="149639168"/>
        <c:crossesAt val="0"/>
        <c:auto val="1"/>
        <c:lblAlgn val="ctr"/>
        <c:lblOffset val="0"/>
        <c:noMultiLvlLbl val="0"/>
      </c:catAx>
      <c:valAx>
        <c:axId val="149639168"/>
        <c:scaling>
          <c:orientation val="minMax"/>
        </c:scaling>
        <c:delete val="0"/>
        <c:axPos val="l"/>
        <c:majorGridlines/>
        <c:numFmt formatCode="General" sourceLinked="0"/>
        <c:majorTickMark val="none"/>
        <c:minorTickMark val="none"/>
        <c:tickLblPos val="nextTo"/>
        <c:spPr>
          <a:ln/>
        </c:spPr>
        <c:txPr>
          <a:bodyPr/>
          <a:lstStyle/>
          <a:p>
            <a:pPr>
              <a:defRPr sz="900" b="0">
                <a:solidFill>
                  <a:sysClr val="windowText" lastClr="000000"/>
                </a:solidFill>
                <a:latin typeface="GHEA Grapalat" panose="02000506050000020003" pitchFamily="50" charset="0"/>
              </a:defRPr>
            </a:pPr>
            <a:endParaRPr lang="en-US"/>
          </a:p>
        </c:txPr>
        <c:crossAx val="149625088"/>
        <c:crossesAt val="1"/>
        <c:crossBetween val="between"/>
        <c:majorUnit val="50"/>
      </c:valAx>
    </c:plotArea>
    <c:legend>
      <c:legendPos val="b"/>
      <c:layout>
        <c:manualLayout>
          <c:xMode val="edge"/>
          <c:yMode val="edge"/>
          <c:x val="7.1471730096237959E-2"/>
          <c:y val="0.90415162948381456"/>
          <c:w val="0.9"/>
          <c:h val="6.6617437069071028E-2"/>
        </c:manualLayout>
      </c:layout>
      <c:overlay val="0"/>
      <c:txPr>
        <a:bodyPr/>
        <a:lstStyle/>
        <a:p>
          <a:pPr>
            <a:defRPr sz="1000">
              <a:solidFill>
                <a:sysClr val="windowText" lastClr="000000"/>
              </a:solidFill>
              <a:latin typeface="GHEA Grapalat" panose="02000506050000020003" pitchFamily="50" charset="0"/>
            </a:defRPr>
          </a:pPr>
          <a:endParaRPr lang="en-US"/>
        </a:p>
      </c:txPr>
    </c:legend>
    <c:plotVisOnly val="1"/>
    <c:dispBlanksAs val="gap"/>
    <c:showDLblsOverMax val="0"/>
  </c:chart>
  <c:txPr>
    <a:bodyPr/>
    <a:lstStyle/>
    <a:p>
      <a:pPr>
        <a:defRPr sz="1200">
          <a:solidFill>
            <a:schemeClr val="bg1">
              <a:lumMod val="50000"/>
            </a:schemeClr>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ideWall>
    <c:backWall>
      <c:thickness val="0"/>
      <c:spPr>
        <a:solidFill>
          <a:srgbClr val="FFFFCC">
            <a:alpha val="5098"/>
          </a:srgbClr>
        </a:solidFill>
        <a:ln w="12700">
          <a:solidFill>
            <a:srgbClr val="808080"/>
          </a:solidFill>
          <a:prstDash val="solid"/>
        </a:ln>
      </c:spPr>
    </c:backWall>
    <c:plotArea>
      <c:layout>
        <c:manualLayout>
          <c:layoutTarget val="inner"/>
          <c:xMode val="edge"/>
          <c:yMode val="edge"/>
          <c:x val="5.2073616470491434E-2"/>
          <c:y val="2.4292573891580783E-2"/>
          <c:w val="0.92476346503496221"/>
          <c:h val="0.7441063034323282"/>
        </c:manualLayout>
      </c:layout>
      <c:bar3DChart>
        <c:barDir val="col"/>
        <c:grouping val="stacked"/>
        <c:varyColors val="0"/>
        <c:ser>
          <c:idx val="0"/>
          <c:order val="0"/>
          <c:tx>
            <c:strRef>
              <c:f>'Graf 10'!$A$15</c:f>
              <c:strCache>
                <c:ptCount val="1"/>
                <c:pt idx="0">
                  <c:v>RA Government External debt, billion AMD</c:v>
                </c:pt>
              </c:strCache>
            </c:strRef>
          </c:tx>
          <c:spPr>
            <a:solidFill>
              <a:srgbClr val="FFFF99"/>
            </a:solidFill>
            <a:ln w="12700">
              <a:solidFill>
                <a:srgbClr val="000000"/>
              </a:solidFill>
              <a:prstDash val="solid"/>
            </a:ln>
          </c:spPr>
          <c:invertIfNegative val="0"/>
          <c:cat>
            <c:numRef>
              <c:f>'Graf 10'!$B$2:$AK$2</c:f>
              <c:numCache>
                <c:formatCode>General</c:formatCode>
                <c:ptCount val="36"/>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numCache>
            </c:numRef>
          </c:cat>
          <c:val>
            <c:numRef>
              <c:f>'Graf 10'!$B$15:$AI$15</c:f>
              <c:numCache>
                <c:formatCode>_(* #,##0.0_);_(* \(#,##0.0\);_(* "-"??_);_(@_)</c:formatCode>
                <c:ptCount val="34"/>
                <c:pt idx="0">
                  <c:v>118.75437977807964</c:v>
                </c:pt>
                <c:pt idx="1">
                  <c:v>123.14956230981919</c:v>
                </c:pt>
                <c:pt idx="2">
                  <c:v>172.22478130891287</c:v>
                </c:pt>
                <c:pt idx="3">
                  <c:v>222.22078729307657</c:v>
                </c:pt>
                <c:pt idx="4">
                  <c:v>422.18617652586062</c:v>
                </c:pt>
                <c:pt idx="5">
                  <c:v>195.01242265683223</c:v>
                </c:pt>
                <c:pt idx="6">
                  <c:v>147.9193036834626</c:v>
                </c:pt>
                <c:pt idx="7">
                  <c:v>136.04454729723875</c:v>
                </c:pt>
                <c:pt idx="8">
                  <c:v>382.69629972637063</c:v>
                </c:pt>
                <c:pt idx="9">
                  <c:v>126.68104203819715</c:v>
                </c:pt>
                <c:pt idx="10">
                  <c:v>121.45220797231984</c:v>
                </c:pt>
                <c:pt idx="11">
                  <c:v>122.47311752868343</c:v>
                </c:pt>
                <c:pt idx="12">
                  <c:v>112.07368357609556</c:v>
                </c:pt>
                <c:pt idx="13">
                  <c:v>107.92739617358754</c:v>
                </c:pt>
                <c:pt idx="14">
                  <c:v>86.860160129828671</c:v>
                </c:pt>
                <c:pt idx="15">
                  <c:v>68.770582069380126</c:v>
                </c:pt>
                <c:pt idx="16">
                  <c:v>63.2232350542603</c:v>
                </c:pt>
                <c:pt idx="17">
                  <c:v>51.911721187391812</c:v>
                </c:pt>
                <c:pt idx="18">
                  <c:v>41.901735862084813</c:v>
                </c:pt>
                <c:pt idx="19">
                  <c:v>29.804404557277707</c:v>
                </c:pt>
                <c:pt idx="20">
                  <c:v>21.942065130698516</c:v>
                </c:pt>
                <c:pt idx="21">
                  <c:v>16.045355192460807</c:v>
                </c:pt>
                <c:pt idx="22">
                  <c:v>14.572156057623802</c:v>
                </c:pt>
                <c:pt idx="23">
                  <c:v>12.502717342069401</c:v>
                </c:pt>
                <c:pt idx="24">
                  <c:v>4.7395619742337995</c:v>
                </c:pt>
                <c:pt idx="25">
                  <c:v>0.9019111414855</c:v>
                </c:pt>
                <c:pt idx="26">
                  <c:v>0.83796732957079989</c:v>
                </c:pt>
                <c:pt idx="27">
                  <c:v>0.64408818524560008</c:v>
                </c:pt>
                <c:pt idx="28">
                  <c:v>0.54032598342580007</c:v>
                </c:pt>
                <c:pt idx="29">
                  <c:v>0.1662538195147</c:v>
                </c:pt>
                <c:pt idx="30">
                  <c:v>2.2981261063E-2</c:v>
                </c:pt>
                <c:pt idx="31">
                  <c:v>2.2981261063E-2</c:v>
                </c:pt>
                <c:pt idx="32">
                  <c:v>2.2981261063E-2</c:v>
                </c:pt>
                <c:pt idx="33">
                  <c:v>2.2981261063E-2</c:v>
                </c:pt>
              </c:numCache>
            </c:numRef>
          </c:val>
          <c:extLst>
            <c:ext xmlns:c16="http://schemas.microsoft.com/office/drawing/2014/chart" uri="{C3380CC4-5D6E-409C-BE32-E72D297353CC}">
              <c16:uniqueId val="{00000000-27C6-4753-87BB-2B0E71D2EA05}"/>
            </c:ext>
          </c:extLst>
        </c:ser>
        <c:ser>
          <c:idx val="1"/>
          <c:order val="1"/>
          <c:tx>
            <c:strRef>
              <c:f>'Graf 10'!$A$16</c:f>
              <c:strCache>
                <c:ptCount val="1"/>
                <c:pt idx="0">
                  <c:v>RA Government Domestic debt, billion AMD</c:v>
                </c:pt>
              </c:strCache>
            </c:strRef>
          </c:tx>
          <c:spPr>
            <a:solidFill>
              <a:srgbClr val="993366"/>
            </a:solidFill>
            <a:ln w="12700">
              <a:solidFill>
                <a:srgbClr val="000000"/>
              </a:solidFill>
              <a:prstDash val="solid"/>
            </a:ln>
          </c:spPr>
          <c:invertIfNegative val="0"/>
          <c:cat>
            <c:numRef>
              <c:f>'Graf 10'!$B$2:$AK$2</c:f>
              <c:numCache>
                <c:formatCode>General</c:formatCode>
                <c:ptCount val="36"/>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numCache>
            </c:numRef>
          </c:cat>
          <c:val>
            <c:numRef>
              <c:f>'Graf 10'!$B$16:$AI$16</c:f>
              <c:numCache>
                <c:formatCode>_(* #,##0.0_);_(* \(#,##0.0\);_(* "-"??_);_(@_)</c:formatCode>
                <c:ptCount val="34"/>
                <c:pt idx="0">
                  <c:v>109.89086399999999</c:v>
                </c:pt>
                <c:pt idx="1">
                  <c:v>77.694385999999994</c:v>
                </c:pt>
                <c:pt idx="2">
                  <c:v>73.997469999999993</c:v>
                </c:pt>
                <c:pt idx="3">
                  <c:v>31.774999999999999</c:v>
                </c:pt>
                <c:pt idx="4">
                  <c:v>122.79561353</c:v>
                </c:pt>
                <c:pt idx="5">
                  <c:v>0</c:v>
                </c:pt>
                <c:pt idx="6">
                  <c:v>46.42</c:v>
                </c:pt>
                <c:pt idx="7">
                  <c:v>16.683725000000003</c:v>
                </c:pt>
                <c:pt idx="8">
                  <c:v>177.47455400000001</c:v>
                </c:pt>
                <c:pt idx="9">
                  <c:v>0</c:v>
                </c:pt>
                <c:pt idx="10">
                  <c:v>0</c:v>
                </c:pt>
                <c:pt idx="11">
                  <c:v>35.486066000000001</c:v>
                </c:pt>
                <c:pt idx="12">
                  <c:v>0</c:v>
                </c:pt>
                <c:pt idx="13">
                  <c:v>0</c:v>
                </c:pt>
                <c:pt idx="14">
                  <c:v>0</c:v>
                </c:pt>
                <c:pt idx="15">
                  <c:v>75.497877000000003</c:v>
                </c:pt>
                <c:pt idx="16">
                  <c:v>30.045000000000002</c:v>
                </c:pt>
                <c:pt idx="17">
                  <c:v>0</c:v>
                </c:pt>
                <c:pt idx="18">
                  <c:v>0</c:v>
                </c:pt>
                <c:pt idx="19">
                  <c:v>0</c:v>
                </c:pt>
                <c:pt idx="20">
                  <c:v>0</c:v>
                </c:pt>
                <c:pt idx="21">
                  <c:v>0</c:v>
                </c:pt>
                <c:pt idx="22">
                  <c:v>0</c:v>
                </c:pt>
                <c:pt idx="23">
                  <c:v>0</c:v>
                </c:pt>
                <c:pt idx="24">
                  <c:v>0</c:v>
                </c:pt>
                <c:pt idx="25">
                  <c:v>0</c:v>
                </c:pt>
                <c:pt idx="26">
                  <c:v>125.674205</c:v>
                </c:pt>
                <c:pt idx="27">
                  <c:v>-2.6829000000000002E-2</c:v>
                </c:pt>
                <c:pt idx="28">
                  <c:v>0</c:v>
                </c:pt>
                <c:pt idx="29">
                  <c:v>74.209261999999995</c:v>
                </c:pt>
                <c:pt idx="30">
                  <c:v>0</c:v>
                </c:pt>
                <c:pt idx="31">
                  <c:v>0</c:v>
                </c:pt>
                <c:pt idx="32">
                  <c:v>0</c:v>
                </c:pt>
                <c:pt idx="33">
                  <c:v>0</c:v>
                </c:pt>
              </c:numCache>
            </c:numRef>
          </c:val>
          <c:extLst>
            <c:ext xmlns:c16="http://schemas.microsoft.com/office/drawing/2014/chart" uri="{C3380CC4-5D6E-409C-BE32-E72D297353CC}">
              <c16:uniqueId val="{00000001-27C6-4753-87BB-2B0E71D2EA05}"/>
            </c:ext>
          </c:extLst>
        </c:ser>
        <c:dLbls>
          <c:showLegendKey val="0"/>
          <c:showVal val="0"/>
          <c:showCatName val="0"/>
          <c:showSerName val="0"/>
          <c:showPercent val="0"/>
          <c:showBubbleSize val="0"/>
        </c:dLbls>
        <c:gapWidth val="150"/>
        <c:shape val="cylinder"/>
        <c:axId val="149661568"/>
        <c:axId val="149663104"/>
        <c:axId val="0"/>
      </c:bar3DChart>
      <c:catAx>
        <c:axId val="149661568"/>
        <c:scaling>
          <c:orientation val="minMax"/>
        </c:scaling>
        <c:delete val="0"/>
        <c:axPos val="b"/>
        <c:numFmt formatCode="General" sourceLinked="1"/>
        <c:majorTickMark val="out"/>
        <c:minorTickMark val="none"/>
        <c:tickLblPos val="low"/>
        <c:spPr>
          <a:ln w="3175">
            <a:solidFill>
              <a:srgbClr val="000000"/>
            </a:solidFill>
            <a:prstDash val="solid"/>
          </a:ln>
        </c:spPr>
        <c:txPr>
          <a:bodyPr rot="-4200000" vert="horz"/>
          <a:lstStyle/>
          <a:p>
            <a:pPr>
              <a:defRPr sz="900" b="0" i="0" u="none" strike="noStrike" baseline="0">
                <a:solidFill>
                  <a:srgbClr val="000000"/>
                </a:solidFill>
                <a:latin typeface="GHEA Grapalat"/>
                <a:ea typeface="GHEA Grapalat"/>
                <a:cs typeface="GHEA Grapalat"/>
              </a:defRPr>
            </a:pPr>
            <a:endParaRPr lang="en-US"/>
          </a:p>
        </c:txPr>
        <c:crossAx val="149663104"/>
        <c:crosses val="autoZero"/>
        <c:auto val="1"/>
        <c:lblAlgn val="ctr"/>
        <c:lblOffset val="100"/>
        <c:tickLblSkip val="1"/>
        <c:tickMarkSkip val="1"/>
        <c:noMultiLvlLbl val="0"/>
      </c:catAx>
      <c:valAx>
        <c:axId val="149663104"/>
        <c:scaling>
          <c:orientation val="minMax"/>
          <c:max val="600"/>
          <c:min val="0"/>
        </c:scaling>
        <c:delete val="0"/>
        <c:axPos val="l"/>
        <c:majorGridlines/>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GHEA Grapalat"/>
                <a:ea typeface="GHEA Grapalat"/>
                <a:cs typeface="GHEA Grapalat"/>
              </a:defRPr>
            </a:pPr>
            <a:endParaRPr lang="en-US"/>
          </a:p>
        </c:txPr>
        <c:crossAx val="149661568"/>
        <c:crosses val="autoZero"/>
        <c:crossBetween val="between"/>
        <c:majorUnit val="50"/>
      </c:valAx>
      <c:spPr>
        <a:noFill/>
        <a:ln w="25400">
          <a:noFill/>
        </a:ln>
      </c:spPr>
    </c:plotArea>
    <c:legend>
      <c:legendPos val="b"/>
      <c:layout>
        <c:manualLayout>
          <c:xMode val="edge"/>
          <c:yMode val="edge"/>
          <c:x val="5.7622747500379965E-3"/>
          <c:y val="0.89087610029453712"/>
          <c:w val="0.9715100942842757"/>
          <c:h val="7.5918848458035537E-2"/>
        </c:manualLayout>
      </c:layout>
      <c:overlay val="0"/>
      <c:spPr>
        <a:solidFill>
          <a:srgbClr val="FFFFFF"/>
        </a:solidFill>
        <a:ln w="3175">
          <a:noFill/>
          <a:prstDash val="solid"/>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5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22733441330999"/>
          <c:y val="0.11746850138633522"/>
          <c:w val="0.79857267291794798"/>
          <c:h val="0.67399023757183563"/>
        </c:manualLayout>
      </c:layout>
      <c:scatterChart>
        <c:scatterStyle val="lineMarker"/>
        <c:varyColors val="0"/>
        <c:ser>
          <c:idx val="0"/>
          <c:order val="0"/>
          <c:tx>
            <c:strRef>
              <c:f>'Graf 8'!$B$12</c:f>
              <c:strCache>
                <c:ptCount val="1"/>
                <c:pt idx="0">
                  <c:v>S1</c:v>
                </c:pt>
              </c:strCache>
            </c:strRef>
          </c:tx>
          <c:spPr>
            <a:ln w="28575">
              <a:noFill/>
            </a:ln>
          </c:spPr>
          <c:marker>
            <c:symbol val="circle"/>
            <c:size val="5"/>
            <c:spPr>
              <a:solidFill>
                <a:srgbClr val="4B8CAD"/>
              </a:solidFill>
              <a:ln w="9525">
                <a:noFill/>
              </a:ln>
            </c:spPr>
          </c:marker>
          <c:dLbls>
            <c:spPr>
              <a:noFill/>
              <a:ln w="25400">
                <a:noFill/>
              </a:ln>
            </c:spPr>
            <c:txPr>
              <a:bodyPr wrap="square" lIns="38100" tIns="19050" rIns="38100" bIns="19050" anchor="ctr">
                <a:spAutoFit/>
              </a:bodyPr>
              <a:lstStyle/>
              <a:p>
                <a:pPr>
                  <a:defRPr sz="1000" b="1" i="0" u="none" strike="noStrike" baseline="0">
                    <a:solidFill>
                      <a:srgbClr val="000000"/>
                    </a:solidFill>
                    <a:latin typeface="GHEA Grapalat"/>
                    <a:ea typeface="GHEA Grapalat"/>
                    <a:cs typeface="GHEA Grapalat"/>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xVal>
            <c:numRef>
              <c:f>'Graf 8'!$B$14</c:f>
              <c:numCache>
                <c:formatCode>0.00_);[Red]\(0.00\)</c:formatCode>
                <c:ptCount val="1"/>
                <c:pt idx="0">
                  <c:v>11.19</c:v>
                </c:pt>
              </c:numCache>
            </c:numRef>
          </c:xVal>
          <c:yVal>
            <c:numRef>
              <c:f>'Graf 8'!$B$13</c:f>
              <c:numCache>
                <c:formatCode>0.0_);[Red]\(0.0\)</c:formatCode>
                <c:ptCount val="1"/>
                <c:pt idx="0">
                  <c:v>56.797072995709598</c:v>
                </c:pt>
              </c:numCache>
            </c:numRef>
          </c:yVal>
          <c:smooth val="0"/>
          <c:extLst>
            <c:ext xmlns:c16="http://schemas.microsoft.com/office/drawing/2014/chart" uri="{C3380CC4-5D6E-409C-BE32-E72D297353CC}">
              <c16:uniqueId val="{00000000-1721-46AD-A6AA-E487D0CD1C4C}"/>
            </c:ext>
          </c:extLst>
        </c:ser>
        <c:ser>
          <c:idx val="1"/>
          <c:order val="1"/>
          <c:tx>
            <c:strRef>
              <c:f>'Graf 8'!$C$12</c:f>
              <c:strCache>
                <c:ptCount val="1"/>
                <c:pt idx="0">
                  <c:v>S2</c:v>
                </c:pt>
              </c:strCache>
            </c:strRef>
          </c:tx>
          <c:spPr>
            <a:ln w="28575">
              <a:noFill/>
            </a:ln>
          </c:spPr>
          <c:marker>
            <c:symbol val="diamond"/>
            <c:size val="5"/>
            <c:spPr>
              <a:solidFill>
                <a:srgbClr val="C00000"/>
              </a:solidFill>
              <a:ln w="9525">
                <a:noFill/>
              </a:ln>
            </c:spPr>
          </c:marker>
          <c:dLbls>
            <c:spPr>
              <a:noFill/>
              <a:ln w="25400">
                <a:noFill/>
              </a:ln>
            </c:spPr>
            <c:txPr>
              <a:bodyPr wrap="square" lIns="38100" tIns="19050" rIns="38100" bIns="19050" anchor="ctr">
                <a:spAutoFit/>
              </a:bodyPr>
              <a:lstStyle/>
              <a:p>
                <a:pPr>
                  <a:defRPr sz="1000" b="1" i="0" u="none" strike="noStrike" baseline="0">
                    <a:solidFill>
                      <a:srgbClr val="000000"/>
                    </a:solidFill>
                    <a:latin typeface="GHEA Grapalat"/>
                    <a:ea typeface="GHEA Grapalat"/>
                    <a:cs typeface="GHEA Grapalat"/>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xVal>
            <c:numRef>
              <c:f>'Graf 8'!$C$14</c:f>
              <c:numCache>
                <c:formatCode>0.00_);[Red]\(0.00\)</c:formatCode>
                <c:ptCount val="1"/>
                <c:pt idx="0">
                  <c:v>11.12</c:v>
                </c:pt>
              </c:numCache>
            </c:numRef>
          </c:xVal>
          <c:yVal>
            <c:numRef>
              <c:f>'Graf 8'!$C$13</c:f>
              <c:numCache>
                <c:formatCode>0.0_);[Red]\(0.0\)</c:formatCode>
                <c:ptCount val="1"/>
                <c:pt idx="0">
                  <c:v>57.99347363806875</c:v>
                </c:pt>
              </c:numCache>
            </c:numRef>
          </c:yVal>
          <c:smooth val="0"/>
          <c:extLst>
            <c:ext xmlns:c16="http://schemas.microsoft.com/office/drawing/2014/chart" uri="{C3380CC4-5D6E-409C-BE32-E72D297353CC}">
              <c16:uniqueId val="{00000001-1721-46AD-A6AA-E487D0CD1C4C}"/>
            </c:ext>
          </c:extLst>
        </c:ser>
        <c:ser>
          <c:idx val="2"/>
          <c:order val="2"/>
          <c:tx>
            <c:strRef>
              <c:f>'Graf 8'!$D$12</c:f>
              <c:strCache>
                <c:ptCount val="1"/>
                <c:pt idx="0">
                  <c:v>S3</c:v>
                </c:pt>
              </c:strCache>
            </c:strRef>
          </c:tx>
          <c:spPr>
            <a:ln w="28575">
              <a:noFill/>
            </a:ln>
          </c:spPr>
          <c:marker>
            <c:symbol val="triangle"/>
            <c:size val="5"/>
            <c:spPr>
              <a:solidFill>
                <a:srgbClr val="96BA79"/>
              </a:solidFill>
              <a:ln w="9525">
                <a:noFill/>
              </a:ln>
            </c:spPr>
          </c:marker>
          <c:dLbls>
            <c:spPr>
              <a:noFill/>
              <a:ln w="25400">
                <a:noFill/>
              </a:ln>
            </c:spPr>
            <c:txPr>
              <a:bodyPr wrap="square" lIns="38100" tIns="19050" rIns="38100" bIns="19050" anchor="ctr">
                <a:spAutoFit/>
              </a:bodyPr>
              <a:lstStyle/>
              <a:p>
                <a:pPr>
                  <a:defRPr sz="1000" b="1" i="0" u="none" strike="noStrike" baseline="0">
                    <a:solidFill>
                      <a:srgbClr val="000000"/>
                    </a:solidFill>
                    <a:latin typeface="GHEA Grapalat"/>
                    <a:ea typeface="GHEA Grapalat"/>
                    <a:cs typeface="GHEA Grapalat"/>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xVal>
            <c:numRef>
              <c:f>'Graf 8'!$D$14</c:f>
              <c:numCache>
                <c:formatCode>0.00_);[Red]\(0.00\)</c:formatCode>
                <c:ptCount val="1"/>
                <c:pt idx="0">
                  <c:v>11.27</c:v>
                </c:pt>
              </c:numCache>
            </c:numRef>
          </c:xVal>
          <c:yVal>
            <c:numRef>
              <c:f>'Graf 8'!$D$13</c:f>
              <c:numCache>
                <c:formatCode>0.0_);[Red]\(0.0\)</c:formatCode>
                <c:ptCount val="1"/>
                <c:pt idx="0">
                  <c:v>57.188676085482101</c:v>
                </c:pt>
              </c:numCache>
            </c:numRef>
          </c:yVal>
          <c:smooth val="0"/>
          <c:extLst>
            <c:ext xmlns:c16="http://schemas.microsoft.com/office/drawing/2014/chart" uri="{C3380CC4-5D6E-409C-BE32-E72D297353CC}">
              <c16:uniqueId val="{00000002-1721-46AD-A6AA-E487D0CD1C4C}"/>
            </c:ext>
          </c:extLst>
        </c:ser>
        <c:dLbls>
          <c:showLegendKey val="0"/>
          <c:showVal val="0"/>
          <c:showCatName val="0"/>
          <c:showSerName val="0"/>
          <c:showPercent val="0"/>
          <c:showBubbleSize val="0"/>
        </c:dLbls>
        <c:axId val="149834368"/>
        <c:axId val="149852928"/>
      </c:scatterChart>
      <c:valAx>
        <c:axId val="149834368"/>
        <c:scaling>
          <c:orientation val="minMax"/>
          <c:max val="11.30000000000012"/>
        </c:scaling>
        <c:delete val="0"/>
        <c:axPos val="b"/>
        <c:title>
          <c:tx>
            <c:rich>
              <a:bodyPr/>
              <a:lstStyle/>
              <a:p>
                <a:pPr>
                  <a:defRPr sz="1000" b="0" i="0" u="none" strike="noStrike" baseline="0">
                    <a:solidFill>
                      <a:srgbClr val="000000"/>
                    </a:solidFill>
                    <a:latin typeface="GHEA Grapalat"/>
                    <a:ea typeface="GHEA Grapalat"/>
                    <a:cs typeface="GHEA Grapalat"/>
                  </a:defRPr>
                </a:pPr>
                <a:r>
                  <a:rPr lang="en-US"/>
                  <a:t>Risk</a:t>
                </a:r>
              </a:p>
            </c:rich>
          </c:tx>
          <c:layout>
            <c:manualLayout>
              <c:xMode val="edge"/>
              <c:yMode val="edge"/>
              <c:x val="0.48434442250242571"/>
              <c:y val="0.88850623288963304"/>
            </c:manualLayout>
          </c:layout>
          <c:overlay val="0"/>
        </c:title>
        <c:numFmt formatCode="#,##0.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49852928"/>
        <c:crosses val="autoZero"/>
        <c:crossBetween val="midCat"/>
        <c:majorUnit val="2.0000000000000104E-2"/>
      </c:valAx>
      <c:valAx>
        <c:axId val="149852928"/>
        <c:scaling>
          <c:orientation val="minMax"/>
        </c:scaling>
        <c:delete val="0"/>
        <c:axPos val="l"/>
        <c:title>
          <c:tx>
            <c:rich>
              <a:bodyPr/>
              <a:lstStyle/>
              <a:p>
                <a:pPr>
                  <a:defRPr sz="1000" b="0" i="0" u="none" strike="noStrike" baseline="0">
                    <a:solidFill>
                      <a:srgbClr val="000000"/>
                    </a:solidFill>
                    <a:latin typeface="GHEA Grapalat"/>
                    <a:ea typeface="GHEA Grapalat"/>
                    <a:cs typeface="GHEA Grapalat"/>
                  </a:defRPr>
                </a:pPr>
                <a:r>
                  <a:rPr lang="en-US"/>
                  <a:t>Cost</a:t>
                </a:r>
                <a:endParaRPr lang="hy-AM"/>
              </a:p>
            </c:rich>
          </c:tx>
          <c:layout>
            <c:manualLayout>
              <c:xMode val="edge"/>
              <c:yMode val="edge"/>
              <c:x val="3.2443614039770669E-3"/>
              <c:y val="0.39230276057390345"/>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49834368"/>
        <c:crossesAt val="0"/>
        <c:crossBetween val="midCat"/>
        <c:majorUnit val="0.2"/>
      </c:valAx>
      <c:spPr>
        <a:solidFill>
          <a:srgbClr val="FFFFFF"/>
        </a:solidFill>
        <a:ln w="3175">
          <a:solidFill>
            <a:srgbClr val="B3B3B3"/>
          </a:solidFill>
          <a:prstDash val="solid"/>
        </a:ln>
      </c:spPr>
    </c:plotArea>
    <c:plotVisOnly val="1"/>
    <c:dispBlanksAs val="gap"/>
    <c:showDLblsOverMax val="0"/>
  </c:chart>
  <c:spPr>
    <a:ln w="9525">
      <a:solidFill>
        <a:schemeClr val="bg1">
          <a:lumMod val="85000"/>
        </a:schemeClr>
      </a:solidFill>
    </a:ln>
  </c:spPr>
  <c:txPr>
    <a:bodyPr/>
    <a:lstStyle/>
    <a:p>
      <a:pPr>
        <a:defRPr sz="1000" b="0" i="0" u="none" strike="noStrike" baseline="0">
          <a:solidFill>
            <a:srgbClr val="000000"/>
          </a:solidFill>
          <a:latin typeface="GHEA Grapalat"/>
          <a:ea typeface="GHEA Grapalat"/>
          <a:cs typeface="GHEA Grapalat"/>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36427024834875"/>
          <c:y val="3.9299749910682386E-2"/>
          <c:w val="0.86441420936388313"/>
          <c:h val="0.7733417271019456"/>
        </c:manualLayout>
      </c:layout>
      <c:barChart>
        <c:barDir val="bar"/>
        <c:grouping val="percentStacked"/>
        <c:varyColors val="0"/>
        <c:ser>
          <c:idx val="0"/>
          <c:order val="0"/>
          <c:tx>
            <c:strRef>
              <c:f>'Graf def 6'!$A$11</c:f>
              <c:strCache>
                <c:ptCount val="1"/>
                <c:pt idx="0">
                  <c:v>From Domestic Sources (Net), %</c:v>
                </c:pt>
              </c:strCache>
            </c:strRef>
          </c:tx>
          <c:spPr>
            <a:solidFill>
              <a:schemeClr val="tx2"/>
            </a:solidFill>
            <a:ln cap="rnd">
              <a:round/>
            </a:ln>
          </c:spPr>
          <c:invertIfNegative val="0"/>
          <c:dLbls>
            <c:spPr>
              <a:noFill/>
              <a:ln w="25400">
                <a:noFill/>
              </a:ln>
            </c:spPr>
            <c:txPr>
              <a:bodyPr wrap="square" lIns="38100" tIns="19050" rIns="38100" bIns="19050" anchor="ctr">
                <a:spAutoFit/>
              </a:bodyPr>
              <a:lstStyle/>
              <a:p>
                <a:pPr>
                  <a:defRPr sz="1200" b="1"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def 6'!$B$10:$G$10</c:f>
              <c:numCache>
                <c:formatCode>General</c:formatCode>
                <c:ptCount val="6"/>
                <c:pt idx="0">
                  <c:v>2019</c:v>
                </c:pt>
                <c:pt idx="1">
                  <c:v>2020</c:v>
                </c:pt>
                <c:pt idx="2">
                  <c:v>2021</c:v>
                </c:pt>
                <c:pt idx="3">
                  <c:v>2022</c:v>
                </c:pt>
                <c:pt idx="4">
                  <c:v>2023</c:v>
                </c:pt>
                <c:pt idx="5">
                  <c:v>2024</c:v>
                </c:pt>
              </c:numCache>
            </c:numRef>
          </c:cat>
          <c:val>
            <c:numRef>
              <c:f>'Graf def 6'!$B$11:$G$11</c:f>
              <c:numCache>
                <c:formatCode>_(* #,##0.0_);_(* \(#,##0.0\);_(* "-"??_);_(@_)</c:formatCode>
                <c:ptCount val="6"/>
                <c:pt idx="0">
                  <c:v>43.445007455660118</c:v>
                </c:pt>
                <c:pt idx="1">
                  <c:v>84.735379239590287</c:v>
                </c:pt>
                <c:pt idx="2">
                  <c:v>36.820544225087666</c:v>
                </c:pt>
                <c:pt idx="3">
                  <c:v>100</c:v>
                </c:pt>
                <c:pt idx="4">
                  <c:v>100</c:v>
                </c:pt>
                <c:pt idx="5">
                  <c:v>100</c:v>
                </c:pt>
              </c:numCache>
            </c:numRef>
          </c:val>
          <c:extLst>
            <c:ext xmlns:c16="http://schemas.microsoft.com/office/drawing/2014/chart" uri="{C3380CC4-5D6E-409C-BE32-E72D297353CC}">
              <c16:uniqueId val="{00000000-726F-4E8A-A57D-54485A039348}"/>
            </c:ext>
          </c:extLst>
        </c:ser>
        <c:ser>
          <c:idx val="1"/>
          <c:order val="1"/>
          <c:tx>
            <c:strRef>
              <c:f>'Graf def 6'!$A$12</c:f>
              <c:strCache>
                <c:ptCount val="1"/>
                <c:pt idx="0">
                  <c:v>From External Sources (Net), %</c:v>
                </c:pt>
              </c:strCache>
            </c:strRef>
          </c:tx>
          <c:spPr>
            <a:solidFill>
              <a:schemeClr val="accent2"/>
            </a:solidFill>
          </c:spPr>
          <c:invertIfNegative val="0"/>
          <c:dLbls>
            <c:spPr>
              <a:noFill/>
              <a:ln w="25400">
                <a:noFill/>
              </a:ln>
            </c:spPr>
            <c:txPr>
              <a:bodyPr wrap="square" lIns="38100" tIns="19050" rIns="38100" bIns="19050" anchor="ctr">
                <a:spAutoFit/>
              </a:bodyPr>
              <a:lstStyle/>
              <a:p>
                <a:pPr>
                  <a:defRPr sz="1200" b="1"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def 6'!$B$10:$G$10</c:f>
              <c:numCache>
                <c:formatCode>General</c:formatCode>
                <c:ptCount val="6"/>
                <c:pt idx="0">
                  <c:v>2019</c:v>
                </c:pt>
                <c:pt idx="1">
                  <c:v>2020</c:v>
                </c:pt>
                <c:pt idx="2">
                  <c:v>2021</c:v>
                </c:pt>
                <c:pt idx="3">
                  <c:v>2022</c:v>
                </c:pt>
                <c:pt idx="4">
                  <c:v>2023</c:v>
                </c:pt>
                <c:pt idx="5">
                  <c:v>2024</c:v>
                </c:pt>
              </c:numCache>
            </c:numRef>
          </c:cat>
          <c:val>
            <c:numRef>
              <c:f>'Graf def 6'!$B$12:$G$12</c:f>
              <c:numCache>
                <c:formatCode>_(* #,##0.0_);_(* \(#,##0.0\);_(* "-"??_);_(@_)</c:formatCode>
                <c:ptCount val="6"/>
                <c:pt idx="0">
                  <c:v>56.554992544339889</c:v>
                </c:pt>
                <c:pt idx="1">
                  <c:v>15.26462076040972</c:v>
                </c:pt>
                <c:pt idx="2">
                  <c:v>63.179455774912327</c:v>
                </c:pt>
                <c:pt idx="3">
                  <c:v>0</c:v>
                </c:pt>
                <c:pt idx="4">
                  <c:v>0</c:v>
                </c:pt>
                <c:pt idx="5">
                  <c:v>0</c:v>
                </c:pt>
              </c:numCache>
            </c:numRef>
          </c:val>
          <c:extLst>
            <c:ext xmlns:c16="http://schemas.microsoft.com/office/drawing/2014/chart" uri="{C3380CC4-5D6E-409C-BE32-E72D297353CC}">
              <c16:uniqueId val="{00000001-726F-4E8A-A57D-54485A039348}"/>
            </c:ext>
          </c:extLst>
        </c:ser>
        <c:dLbls>
          <c:showLegendKey val="0"/>
          <c:showVal val="0"/>
          <c:showCatName val="0"/>
          <c:showSerName val="0"/>
          <c:showPercent val="0"/>
          <c:showBubbleSize val="0"/>
        </c:dLbls>
        <c:gapWidth val="67"/>
        <c:overlap val="100"/>
        <c:axId val="149966848"/>
        <c:axId val="149968384"/>
      </c:barChart>
      <c:catAx>
        <c:axId val="149966848"/>
        <c:scaling>
          <c:orientation val="minMax"/>
        </c:scaling>
        <c:delete val="0"/>
        <c:axPos val="l"/>
        <c:numFmt formatCode="General" sourceLinked="0"/>
        <c:majorTickMark val="out"/>
        <c:minorTickMark val="none"/>
        <c:tickLblPos val="nextTo"/>
        <c:txPr>
          <a:bodyPr rot="0" vert="horz"/>
          <a:lstStyle/>
          <a:p>
            <a:pPr>
              <a:defRPr sz="1200" b="0" i="0" u="none" strike="noStrike" baseline="0">
                <a:solidFill>
                  <a:srgbClr val="000000"/>
                </a:solidFill>
                <a:latin typeface="GHEA Grapalat"/>
                <a:ea typeface="GHEA Grapalat"/>
                <a:cs typeface="GHEA Grapalat"/>
              </a:defRPr>
            </a:pPr>
            <a:endParaRPr lang="en-US"/>
          </a:p>
        </c:txPr>
        <c:crossAx val="149968384"/>
        <c:crosses val="autoZero"/>
        <c:auto val="1"/>
        <c:lblAlgn val="ctr"/>
        <c:lblOffset val="100"/>
        <c:noMultiLvlLbl val="0"/>
      </c:catAx>
      <c:valAx>
        <c:axId val="149968384"/>
        <c:scaling>
          <c:orientation val="minMax"/>
          <c:min val="0"/>
        </c:scaling>
        <c:delete val="0"/>
        <c:axPos val="b"/>
        <c:majorGridlines/>
        <c:numFmt formatCode="0%" sourceLinked="1"/>
        <c:majorTickMark val="out"/>
        <c:minorTickMark val="none"/>
        <c:tickLblPos val="nextTo"/>
        <c:txPr>
          <a:bodyPr rot="0" vert="horz"/>
          <a:lstStyle/>
          <a:p>
            <a:pPr>
              <a:defRPr sz="1200" b="0" i="0" u="none" strike="noStrike" baseline="0">
                <a:solidFill>
                  <a:srgbClr val="000000"/>
                </a:solidFill>
                <a:latin typeface="GHEA Grapalat" pitchFamily="50" charset="0"/>
                <a:ea typeface="Calibri"/>
                <a:cs typeface="Calibri"/>
              </a:defRPr>
            </a:pPr>
            <a:endParaRPr lang="en-US"/>
          </a:p>
        </c:txPr>
        <c:crossAx val="149966848"/>
        <c:crosses val="autoZero"/>
        <c:crossBetween val="between"/>
        <c:majorUnit val="0.1"/>
      </c:valAx>
    </c:plotArea>
    <c:legend>
      <c:legendPos val="r"/>
      <c:layout>
        <c:manualLayout>
          <c:xMode val="edge"/>
          <c:yMode val="edge"/>
          <c:x val="0.11478748677014625"/>
          <c:y val="0.90735538251624359"/>
          <c:w val="0.76664275347065491"/>
          <c:h val="7.8642416976583418E-2"/>
        </c:manualLayout>
      </c:layout>
      <c:overlay val="0"/>
      <c:txPr>
        <a:bodyPr/>
        <a:lstStyle/>
        <a:p>
          <a:pPr>
            <a:defRPr sz="1200" b="0" i="0" u="none" strike="noStrike" baseline="0">
              <a:solidFill>
                <a:srgbClr val="000000"/>
              </a:solidFill>
              <a:latin typeface="GHEA Grapalat" pitchFamily="50" charset="0"/>
              <a:ea typeface="GHEA Grapalat"/>
              <a:cs typeface="Estrangelo Edessa" pitchFamily="66" charset="0"/>
            </a:defRPr>
          </a:pPr>
          <a:endParaRPr lang="en-US"/>
        </a:p>
      </c:txPr>
    </c:legend>
    <c:plotVisOnly val="1"/>
    <c:dispBlanksAs val="gap"/>
    <c:showDLblsOverMax val="0"/>
  </c:chart>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253568591489883E-2"/>
          <c:y val="4.8428453267162865E-2"/>
          <c:w val="0.89242128342871663"/>
          <c:h val="0.64896491386852895"/>
        </c:manualLayout>
      </c:layout>
      <c:barChart>
        <c:barDir val="col"/>
        <c:grouping val="clustered"/>
        <c:varyColors val="0"/>
        <c:ser>
          <c:idx val="1"/>
          <c:order val="0"/>
          <c:tx>
            <c:strRef>
              <c:f>'Graf 4'!$A$4</c:f>
              <c:strCache>
                <c:ptCount val="1"/>
                <c:pt idx="0">
                  <c:v>Արտարժութային արտաքին ակտիվներ (%)</c:v>
                </c:pt>
              </c:strCache>
            </c:strRef>
          </c:tx>
          <c:spPr>
            <a:solidFill>
              <a:sysClr val="window" lastClr="FFFFFF"/>
            </a:solidFill>
            <a:ln>
              <a:solidFill>
                <a:schemeClr val="tx1"/>
              </a:solidFill>
            </a:ln>
            <a:effectLst/>
          </c:spPr>
          <c:invertIfNegative val="0"/>
          <c:cat>
            <c:strRef>
              <c:f>'Graf 4'!$E$3:$H$3</c:f>
              <c:strCache>
                <c:ptCount val="4"/>
                <c:pt idx="0">
                  <c:v>2021
forecast</c:v>
                </c:pt>
                <c:pt idx="1">
                  <c:v>2022
forecast</c:v>
                </c:pt>
                <c:pt idx="2">
                  <c:v>2023
forecast</c:v>
                </c:pt>
                <c:pt idx="3">
                  <c:v>2024
forecast</c:v>
                </c:pt>
              </c:strCache>
            </c:strRef>
          </c:cat>
          <c:val>
            <c:numRef>
              <c:f>'Graf 4'!$E$4:$H$4</c:f>
              <c:numCache>
                <c:formatCode>0%</c:formatCode>
                <c:ptCount val="4"/>
                <c:pt idx="0">
                  <c:v>1</c:v>
                </c:pt>
                <c:pt idx="1">
                  <c:v>1</c:v>
                </c:pt>
                <c:pt idx="2">
                  <c:v>1</c:v>
                </c:pt>
                <c:pt idx="3">
                  <c:v>1</c:v>
                </c:pt>
              </c:numCache>
            </c:numRef>
          </c:val>
          <c:extLst>
            <c:ext xmlns:c16="http://schemas.microsoft.com/office/drawing/2014/chart" uri="{C3380CC4-5D6E-409C-BE32-E72D297353CC}">
              <c16:uniqueId val="{00000000-E336-411D-B34E-CAC5553B8DB2}"/>
            </c:ext>
          </c:extLst>
        </c:ser>
        <c:ser>
          <c:idx val="0"/>
          <c:order val="1"/>
          <c:tx>
            <c:strRef>
              <c:f>'Graf 4'!$A$5</c:f>
              <c:strCache>
                <c:ptCount val="1"/>
                <c:pt idx="0">
                  <c:v>The share of the RA Government foreign currency denominated debt redemprions and interest payments in the coming year in the foreign currency assets at the end of the same year (%) </c:v>
                </c:pt>
              </c:strCache>
            </c:strRef>
          </c:tx>
          <c:spPr>
            <a:solidFill>
              <a:srgbClr val="31859C"/>
            </a:solidFill>
            <a:ln>
              <a:solidFill>
                <a:schemeClr val="tx1"/>
              </a:solidFill>
            </a:ln>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GHEA Grapalat"/>
                    <a:ea typeface="GHEA Grapalat"/>
                    <a:cs typeface="GHEA Grapalat"/>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 4'!$E$3:$H$3</c:f>
              <c:strCache>
                <c:ptCount val="4"/>
                <c:pt idx="0">
                  <c:v>2021
forecast</c:v>
                </c:pt>
                <c:pt idx="1">
                  <c:v>2022
forecast</c:v>
                </c:pt>
                <c:pt idx="2">
                  <c:v>2023
forecast</c:v>
                </c:pt>
                <c:pt idx="3">
                  <c:v>2024
forecast</c:v>
                </c:pt>
              </c:strCache>
            </c:strRef>
          </c:cat>
          <c:val>
            <c:numRef>
              <c:f>'Graf 4'!$E$5:$H$5</c:f>
              <c:numCache>
                <c:formatCode>0.0%</c:formatCode>
                <c:ptCount val="4"/>
                <c:pt idx="0">
                  <c:v>0.15188377477767862</c:v>
                </c:pt>
                <c:pt idx="1">
                  <c:v>0.18892152182648575</c:v>
                </c:pt>
                <c:pt idx="2">
                  <c:v>0.40696865907382473</c:v>
                </c:pt>
                <c:pt idx="3">
                  <c:v>0.14513315732042173</c:v>
                </c:pt>
              </c:numCache>
            </c:numRef>
          </c:val>
          <c:extLst>
            <c:ext xmlns:c16="http://schemas.microsoft.com/office/drawing/2014/chart" uri="{C3380CC4-5D6E-409C-BE32-E72D297353CC}">
              <c16:uniqueId val="{00000001-E336-411D-B34E-CAC5553B8DB2}"/>
            </c:ext>
          </c:extLst>
        </c:ser>
        <c:dLbls>
          <c:showLegendKey val="0"/>
          <c:showVal val="0"/>
          <c:showCatName val="0"/>
          <c:showSerName val="0"/>
          <c:showPercent val="0"/>
          <c:showBubbleSize val="0"/>
        </c:dLbls>
        <c:gapWidth val="150"/>
        <c:overlap val="100"/>
        <c:axId val="223738368"/>
        <c:axId val="223330304"/>
      </c:barChart>
      <c:catAx>
        <c:axId val="22373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50" b="0" i="0" u="none" strike="noStrike" baseline="0">
                <a:solidFill>
                  <a:srgbClr val="000000"/>
                </a:solidFill>
                <a:latin typeface="GHEA Grapalat"/>
                <a:ea typeface="GHEA Grapalat"/>
                <a:cs typeface="GHEA Grapalat"/>
              </a:defRPr>
            </a:pPr>
            <a:endParaRPr lang="en-US"/>
          </a:p>
        </c:txPr>
        <c:crossAx val="223330304"/>
        <c:crosses val="autoZero"/>
        <c:auto val="1"/>
        <c:lblAlgn val="ctr"/>
        <c:lblOffset val="100"/>
        <c:noMultiLvlLbl val="0"/>
      </c:catAx>
      <c:valAx>
        <c:axId val="223330304"/>
        <c:scaling>
          <c:orientation val="minMax"/>
          <c:max val="1"/>
        </c:scaling>
        <c:delete val="0"/>
        <c:axPos val="l"/>
        <c:majorGridlines>
          <c:spPr>
            <a:ln w="9525" cap="flat" cmpd="sng" algn="ctr">
              <a:gradFill>
                <a:gsLst>
                  <a:gs pos="0">
                    <a:schemeClr val="accent1">
                      <a:lumMod val="45000"/>
                      <a:lumOff val="55000"/>
                    </a:schemeClr>
                  </a:gs>
                  <a:gs pos="83000">
                    <a:schemeClr val="accent1">
                      <a:lumMod val="45000"/>
                      <a:lumOff val="55000"/>
                    </a:schemeClr>
                  </a:gs>
                  <a:gs pos="100000">
                    <a:schemeClr val="accent1">
                      <a:lumMod val="40000"/>
                      <a:lumOff val="60000"/>
                    </a:schemeClr>
                  </a:gs>
                </a:gsLst>
                <a:lin ang="5400000" scaled="1"/>
              </a:gradFill>
              <a:round/>
            </a:ln>
            <a:effectLst/>
          </c:spPr>
        </c:majorGridlines>
        <c:numFmt formatCode="0%" sourceLinked="1"/>
        <c:majorTickMark val="none"/>
        <c:minorTickMark val="none"/>
        <c:tickLblPos val="nextTo"/>
        <c:spPr>
          <a:ln w="9525">
            <a:noFill/>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223738368"/>
        <c:crosses val="autoZero"/>
        <c:crossBetween val="between"/>
      </c:valAx>
      <c:spPr>
        <a:noFill/>
        <a:ln w="25400">
          <a:noFill/>
        </a:ln>
      </c:spPr>
    </c:plotArea>
    <c:legend>
      <c:legendPos val="r"/>
      <c:legendEntry>
        <c:idx val="0"/>
        <c:delete val="1"/>
      </c:legendEntry>
      <c:layout>
        <c:manualLayout>
          <c:xMode val="edge"/>
          <c:yMode val="edge"/>
          <c:x val="4.9864981805328064E-2"/>
          <c:y val="0.8771813627720052"/>
          <c:w val="0.89961891832351504"/>
          <c:h val="9.2999594744152397E-2"/>
        </c:manualLayout>
      </c:layout>
      <c:overlay val="0"/>
      <c:spPr>
        <a:noFill/>
        <a:ln w="25400">
          <a:noFill/>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0.01628</cdr:x>
      <cdr:y>0</cdr:y>
    </cdr:from>
    <cdr:to>
      <cdr:x>0.2152</cdr:x>
      <cdr:y>0.0933</cdr:y>
    </cdr:to>
    <cdr:sp macro="" textlink="">
      <cdr:nvSpPr>
        <cdr:cNvPr id="2" name="TextBox 1"/>
        <cdr:cNvSpPr txBox="1"/>
      </cdr:nvSpPr>
      <cdr:spPr>
        <a:xfrm xmlns:a="http://schemas.openxmlformats.org/drawingml/2006/main">
          <a:off x="80387" y="0"/>
          <a:ext cx="982219" cy="27994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0.33394</cdr:x>
      <cdr:y>0.01022</cdr:y>
    </cdr:from>
    <cdr:to>
      <cdr:x>0.97984</cdr:x>
      <cdr:y>0.88093</cdr:y>
    </cdr:to>
    <cdr:sp macro="" textlink="">
      <cdr:nvSpPr>
        <cdr:cNvPr id="3" name="Rectangle 2"/>
        <cdr:cNvSpPr/>
      </cdr:nvSpPr>
      <cdr:spPr>
        <a:xfrm xmlns:a="http://schemas.openxmlformats.org/drawingml/2006/main">
          <a:off x="2110765" y="40006"/>
          <a:ext cx="4082598" cy="3406960"/>
        </a:xfrm>
        <a:prstGeom xmlns:a="http://schemas.openxmlformats.org/drawingml/2006/main" prst="rect">
          <a:avLst/>
        </a:prstGeom>
        <a:solidFill xmlns:a="http://schemas.openxmlformats.org/drawingml/2006/main">
          <a:schemeClr val="accent2">
            <a:alpha val="10000"/>
          </a:schemeClr>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0.58684</cdr:x>
      <cdr:y>0.04467</cdr:y>
    </cdr:from>
    <cdr:to>
      <cdr:x>0.76253</cdr:x>
      <cdr:y>0.10366</cdr:y>
    </cdr:to>
    <cdr:sp macro="" textlink="">
      <cdr:nvSpPr>
        <cdr:cNvPr id="4" name="ZoneTexte 3"/>
        <cdr:cNvSpPr txBox="1"/>
      </cdr:nvSpPr>
      <cdr:spPr>
        <a:xfrm xmlns:a="http://schemas.openxmlformats.org/drawingml/2006/main">
          <a:off x="3827733" y="173309"/>
          <a:ext cx="1142760" cy="22269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pPr algn="ctr"/>
          <a:r>
            <a:rPr lang="fr-CH" sz="900" b="0">
              <a:solidFill>
                <a:schemeClr val="accent2"/>
              </a:solidFill>
              <a:latin typeface="GHEA Grapalat" pitchFamily="50" charset="0"/>
            </a:rPr>
            <a:t>Forecast</a:t>
          </a:r>
        </a:p>
      </cdr:txBody>
    </cdr:sp>
  </cdr:relSizeAnchor>
</c:userShapes>
</file>

<file path=word/drawings/drawing3.xml><?xml version="1.0" encoding="utf-8"?>
<c:userShapes xmlns:c="http://schemas.openxmlformats.org/drawingml/2006/chart">
  <cdr:relSizeAnchor xmlns:cdr="http://schemas.openxmlformats.org/drawingml/2006/chartDrawing">
    <cdr:from>
      <cdr:x>0.01276</cdr:x>
      <cdr:y>0.0144</cdr:y>
    </cdr:from>
    <cdr:to>
      <cdr:x>0.15623</cdr:x>
      <cdr:y>0.10355</cdr:y>
    </cdr:to>
    <cdr:sp macro="" textlink="">
      <cdr:nvSpPr>
        <cdr:cNvPr id="2" name="TextBox 1"/>
        <cdr:cNvSpPr txBox="1"/>
      </cdr:nvSpPr>
      <cdr:spPr>
        <a:xfrm xmlns:a="http://schemas.openxmlformats.org/drawingml/2006/main">
          <a:off x="71438" y="33338"/>
          <a:ext cx="797719" cy="202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0.01276</cdr:x>
      <cdr:y>0.0144</cdr:y>
    </cdr:from>
    <cdr:to>
      <cdr:x>0.15525</cdr:x>
      <cdr:y>0.10258</cdr:y>
    </cdr:to>
    <cdr:sp macro="" textlink="">
      <cdr:nvSpPr>
        <cdr:cNvPr id="2" name="TextBox 1"/>
        <cdr:cNvSpPr txBox="1"/>
      </cdr:nvSpPr>
      <cdr:spPr>
        <a:xfrm xmlns:a="http://schemas.openxmlformats.org/drawingml/2006/main">
          <a:off x="71438" y="33338"/>
          <a:ext cx="797719" cy="202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t>
          </a:r>
        </a:p>
      </cdr:txBody>
    </cdr:sp>
  </cdr:relSizeAnchor>
</c:userShape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FC7D-40C4-450E-B5B0-4FFCD496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34</Pages>
  <Words>8861</Words>
  <Characters>50509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¶ÈàôÊ 11</vt:lpstr>
    </vt:vector>
  </TitlesOfParts>
  <Company/>
  <LinksUpToDate>false</LinksUpToDate>
  <CharactersWithSpaces>59252</CharactersWithSpaces>
  <SharedDoc>false</SharedDoc>
  <HLinks>
    <vt:vector size="84" baseType="variant">
      <vt:variant>
        <vt:i4>1310782</vt:i4>
      </vt:variant>
      <vt:variant>
        <vt:i4>80</vt:i4>
      </vt:variant>
      <vt:variant>
        <vt:i4>0</vt:i4>
      </vt:variant>
      <vt:variant>
        <vt:i4>5</vt:i4>
      </vt:variant>
      <vt:variant>
        <vt:lpwstr/>
      </vt:variant>
      <vt:variant>
        <vt:lpwstr>_Toc77434493</vt:lpwstr>
      </vt:variant>
      <vt:variant>
        <vt:i4>1376318</vt:i4>
      </vt:variant>
      <vt:variant>
        <vt:i4>74</vt:i4>
      </vt:variant>
      <vt:variant>
        <vt:i4>0</vt:i4>
      </vt:variant>
      <vt:variant>
        <vt:i4>5</vt:i4>
      </vt:variant>
      <vt:variant>
        <vt:lpwstr/>
      </vt:variant>
      <vt:variant>
        <vt:lpwstr>_Toc77434492</vt:lpwstr>
      </vt:variant>
      <vt:variant>
        <vt:i4>1441854</vt:i4>
      </vt:variant>
      <vt:variant>
        <vt:i4>68</vt:i4>
      </vt:variant>
      <vt:variant>
        <vt:i4>0</vt:i4>
      </vt:variant>
      <vt:variant>
        <vt:i4>5</vt:i4>
      </vt:variant>
      <vt:variant>
        <vt:lpwstr/>
      </vt:variant>
      <vt:variant>
        <vt:lpwstr>_Toc77434491</vt:lpwstr>
      </vt:variant>
      <vt:variant>
        <vt:i4>1507390</vt:i4>
      </vt:variant>
      <vt:variant>
        <vt:i4>62</vt:i4>
      </vt:variant>
      <vt:variant>
        <vt:i4>0</vt:i4>
      </vt:variant>
      <vt:variant>
        <vt:i4>5</vt:i4>
      </vt:variant>
      <vt:variant>
        <vt:lpwstr/>
      </vt:variant>
      <vt:variant>
        <vt:lpwstr>_Toc77434490</vt:lpwstr>
      </vt:variant>
      <vt:variant>
        <vt:i4>1966143</vt:i4>
      </vt:variant>
      <vt:variant>
        <vt:i4>56</vt:i4>
      </vt:variant>
      <vt:variant>
        <vt:i4>0</vt:i4>
      </vt:variant>
      <vt:variant>
        <vt:i4>5</vt:i4>
      </vt:variant>
      <vt:variant>
        <vt:lpwstr/>
      </vt:variant>
      <vt:variant>
        <vt:lpwstr>_Toc77434489</vt:lpwstr>
      </vt:variant>
      <vt:variant>
        <vt:i4>2031679</vt:i4>
      </vt:variant>
      <vt:variant>
        <vt:i4>50</vt:i4>
      </vt:variant>
      <vt:variant>
        <vt:i4>0</vt:i4>
      </vt:variant>
      <vt:variant>
        <vt:i4>5</vt:i4>
      </vt:variant>
      <vt:variant>
        <vt:lpwstr/>
      </vt:variant>
      <vt:variant>
        <vt:lpwstr>_Toc77434488</vt:lpwstr>
      </vt:variant>
      <vt:variant>
        <vt:i4>1048639</vt:i4>
      </vt:variant>
      <vt:variant>
        <vt:i4>44</vt:i4>
      </vt:variant>
      <vt:variant>
        <vt:i4>0</vt:i4>
      </vt:variant>
      <vt:variant>
        <vt:i4>5</vt:i4>
      </vt:variant>
      <vt:variant>
        <vt:lpwstr/>
      </vt:variant>
      <vt:variant>
        <vt:lpwstr>_Toc77434487</vt:lpwstr>
      </vt:variant>
      <vt:variant>
        <vt:i4>1114175</vt:i4>
      </vt:variant>
      <vt:variant>
        <vt:i4>38</vt:i4>
      </vt:variant>
      <vt:variant>
        <vt:i4>0</vt:i4>
      </vt:variant>
      <vt:variant>
        <vt:i4>5</vt:i4>
      </vt:variant>
      <vt:variant>
        <vt:lpwstr/>
      </vt:variant>
      <vt:variant>
        <vt:lpwstr>_Toc77434486</vt:lpwstr>
      </vt:variant>
      <vt:variant>
        <vt:i4>1179711</vt:i4>
      </vt:variant>
      <vt:variant>
        <vt:i4>32</vt:i4>
      </vt:variant>
      <vt:variant>
        <vt:i4>0</vt:i4>
      </vt:variant>
      <vt:variant>
        <vt:i4>5</vt:i4>
      </vt:variant>
      <vt:variant>
        <vt:lpwstr/>
      </vt:variant>
      <vt:variant>
        <vt:lpwstr>_Toc77434485</vt:lpwstr>
      </vt:variant>
      <vt:variant>
        <vt:i4>1245247</vt:i4>
      </vt:variant>
      <vt:variant>
        <vt:i4>26</vt:i4>
      </vt:variant>
      <vt:variant>
        <vt:i4>0</vt:i4>
      </vt:variant>
      <vt:variant>
        <vt:i4>5</vt:i4>
      </vt:variant>
      <vt:variant>
        <vt:lpwstr/>
      </vt:variant>
      <vt:variant>
        <vt:lpwstr>_Toc77434484</vt:lpwstr>
      </vt:variant>
      <vt:variant>
        <vt:i4>1310783</vt:i4>
      </vt:variant>
      <vt:variant>
        <vt:i4>20</vt:i4>
      </vt:variant>
      <vt:variant>
        <vt:i4>0</vt:i4>
      </vt:variant>
      <vt:variant>
        <vt:i4>5</vt:i4>
      </vt:variant>
      <vt:variant>
        <vt:lpwstr/>
      </vt:variant>
      <vt:variant>
        <vt:lpwstr>_Toc77434483</vt:lpwstr>
      </vt:variant>
      <vt:variant>
        <vt:i4>1376319</vt:i4>
      </vt:variant>
      <vt:variant>
        <vt:i4>14</vt:i4>
      </vt:variant>
      <vt:variant>
        <vt:i4>0</vt:i4>
      </vt:variant>
      <vt:variant>
        <vt:i4>5</vt:i4>
      </vt:variant>
      <vt:variant>
        <vt:lpwstr/>
      </vt:variant>
      <vt:variant>
        <vt:lpwstr>_Toc77434482</vt:lpwstr>
      </vt:variant>
      <vt:variant>
        <vt:i4>1441855</vt:i4>
      </vt:variant>
      <vt:variant>
        <vt:i4>8</vt:i4>
      </vt:variant>
      <vt:variant>
        <vt:i4>0</vt:i4>
      </vt:variant>
      <vt:variant>
        <vt:i4>5</vt:i4>
      </vt:variant>
      <vt:variant>
        <vt:lpwstr/>
      </vt:variant>
      <vt:variant>
        <vt:lpwstr>_Toc77434481</vt:lpwstr>
      </vt:variant>
      <vt:variant>
        <vt:i4>1507391</vt:i4>
      </vt:variant>
      <vt:variant>
        <vt:i4>2</vt:i4>
      </vt:variant>
      <vt:variant>
        <vt:i4>0</vt:i4>
      </vt:variant>
      <vt:variant>
        <vt:i4>5</vt:i4>
      </vt:variant>
      <vt:variant>
        <vt:lpwstr/>
      </vt:variant>
      <vt:variant>
        <vt:lpwstr>_Toc77434480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¶ÈàôÊ 11</dc:title>
  <dc:subject/>
  <dc:creator>mariam</dc:creator>
  <cp:keywords/>
  <dc:description/>
  <cp:lastModifiedBy>Artur Hambardzumyan</cp:lastModifiedBy>
  <cp:revision>96</cp:revision>
  <cp:lastPrinted>2021-07-19T07:23:00Z</cp:lastPrinted>
  <dcterms:created xsi:type="dcterms:W3CDTF">2021-07-22T07:43:00Z</dcterms:created>
  <dcterms:modified xsi:type="dcterms:W3CDTF">2021-08-26T07:11:00Z</dcterms:modified>
</cp:coreProperties>
</file>