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drawings/drawing1.xml" ContentType="application/vnd.openxmlformats-officedocument.drawingml.chartshapes+xml"/>
  <Override PartName="/word/charts/chart12.xml" ContentType="application/vnd.openxmlformats-officedocument.drawingml.chart+xml"/>
  <Override PartName="/word/theme/themeOverride12.xml" ContentType="application/vnd.openxmlformats-officedocument.themeOverride+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1B8" w:rsidRPr="00CD51B8" w:rsidRDefault="00CD51B8" w:rsidP="00CD51B8">
      <w:pPr>
        <w:spacing w:before="0" w:line="240" w:lineRule="auto"/>
        <w:ind w:firstLine="0"/>
        <w:contextualSpacing w:val="0"/>
        <w:jc w:val="left"/>
        <w:rPr>
          <w:rFonts w:cs="Sylfaen"/>
          <w:szCs w:val="22"/>
          <w:lang w:val="hy-AM" w:eastAsia="en-US"/>
        </w:rPr>
      </w:pPr>
    </w:p>
    <w:p w:rsidR="00CD51B8" w:rsidRPr="00CD51B8" w:rsidRDefault="00CD51B8" w:rsidP="007657DA">
      <w:pPr>
        <w:keepNext/>
        <w:numPr>
          <w:ilvl w:val="0"/>
          <w:numId w:val="32"/>
        </w:numPr>
        <w:tabs>
          <w:tab w:val="left" w:pos="851"/>
          <w:tab w:val="left" w:pos="993"/>
        </w:tabs>
        <w:spacing w:before="0" w:line="240" w:lineRule="auto"/>
        <w:ind w:left="0" w:firstLine="0"/>
        <w:contextualSpacing w:val="0"/>
        <w:jc w:val="center"/>
        <w:outlineLvl w:val="0"/>
        <w:rPr>
          <w:rFonts w:cs="Times LatArm"/>
          <w:szCs w:val="22"/>
          <w:lang w:val="hy-AM"/>
        </w:rPr>
      </w:pPr>
      <w:bookmarkStart w:id="0" w:name="_Toc525892374"/>
      <w:bookmarkStart w:id="1" w:name="_Toc525893565"/>
      <w:bookmarkStart w:id="2" w:name="_Toc525893657"/>
      <w:bookmarkStart w:id="3" w:name="_Toc26174914"/>
      <w:r w:rsidRPr="00CD51B8">
        <w:rPr>
          <w:rFonts w:cs="Times LatArm"/>
          <w:szCs w:val="22"/>
          <w:lang w:val="hy-AM"/>
        </w:rPr>
        <w:t>ՄԱԿՐՈՏՆՏԵՍԱԿԱՆ ԿԱՆԽԱՏԵՍՈՒՄՆԵՐ ԵՎ ՎԵՐԼՈՒԾՈՒԹՅՈՒՆ</w:t>
      </w:r>
      <w:bookmarkEnd w:id="0"/>
      <w:bookmarkEnd w:id="1"/>
      <w:bookmarkEnd w:id="2"/>
      <w:bookmarkEnd w:id="3"/>
    </w:p>
    <w:p w:rsidR="00CD51B8" w:rsidRPr="00CD51B8" w:rsidRDefault="00CD51B8" w:rsidP="00CD51B8">
      <w:pPr>
        <w:spacing w:before="0"/>
        <w:ind w:firstLine="0"/>
        <w:contextualSpacing w:val="0"/>
        <w:rPr>
          <w:szCs w:val="22"/>
          <w:lang w:val="en-US" w:eastAsia="en-US"/>
        </w:rPr>
      </w:pPr>
    </w:p>
    <w:p w:rsidR="008B1219" w:rsidRPr="008B1219" w:rsidRDefault="008B1219" w:rsidP="008B1219">
      <w:pPr>
        <w:keepNext/>
        <w:spacing w:before="240" w:after="60" w:line="240" w:lineRule="auto"/>
        <w:ind w:firstLine="450"/>
        <w:contextualSpacing w:val="0"/>
        <w:jc w:val="center"/>
        <w:outlineLvl w:val="2"/>
        <w:rPr>
          <w:rFonts w:cs="Arial"/>
          <w:szCs w:val="26"/>
          <w:lang w:val="hy-AM" w:eastAsia="en-US"/>
        </w:rPr>
      </w:pPr>
      <w:bookmarkStart w:id="4" w:name="_Toc525892375"/>
      <w:bookmarkStart w:id="5" w:name="_Toc525893566"/>
      <w:bookmarkStart w:id="6" w:name="_Toc525893658"/>
      <w:bookmarkStart w:id="7" w:name="_Toc26174915"/>
      <w:r w:rsidRPr="008B1219">
        <w:rPr>
          <w:rFonts w:cs="Arial"/>
          <w:szCs w:val="26"/>
          <w:lang w:val="hy-AM" w:eastAsia="en-US"/>
        </w:rPr>
        <w:t>1.1. Ներածություն</w:t>
      </w:r>
      <w:bookmarkStart w:id="8" w:name="_GoBack"/>
      <w:bookmarkEnd w:id="4"/>
      <w:bookmarkEnd w:id="5"/>
      <w:bookmarkEnd w:id="6"/>
      <w:bookmarkEnd w:id="7"/>
      <w:bookmarkEnd w:id="8"/>
    </w:p>
    <w:p w:rsidR="008B1219" w:rsidRPr="008B1219" w:rsidRDefault="008B1219" w:rsidP="008B1219">
      <w:pPr>
        <w:spacing w:before="0"/>
        <w:ind w:firstLine="450"/>
        <w:contextualSpacing w:val="0"/>
        <w:jc w:val="center"/>
        <w:rPr>
          <w:szCs w:val="22"/>
          <w:lang w:val="en-US" w:eastAsia="en-US"/>
        </w:rPr>
      </w:pPr>
      <w:r w:rsidRPr="008B1219">
        <w:rPr>
          <w:szCs w:val="22"/>
          <w:lang w:val="en-US" w:eastAsia="en-US"/>
        </w:rPr>
        <w:t xml:space="preserve">    </w:t>
      </w:r>
    </w:p>
    <w:p w:rsidR="008B1219" w:rsidRPr="008B1219" w:rsidRDefault="008B1219" w:rsidP="008B1219">
      <w:pPr>
        <w:spacing w:before="0"/>
        <w:ind w:firstLine="450"/>
        <w:contextualSpacing w:val="0"/>
        <w:rPr>
          <w:rFonts w:cs="Sylfaen"/>
          <w:b w:val="0"/>
          <w:szCs w:val="22"/>
          <w:lang w:val="en-US" w:eastAsia="en-US"/>
        </w:rPr>
      </w:pPr>
      <w:r w:rsidRPr="008B1219">
        <w:rPr>
          <w:rFonts w:cs="Sylfaen"/>
          <w:b w:val="0"/>
          <w:szCs w:val="22"/>
          <w:lang w:val="it-IT" w:eastAsia="en-US"/>
        </w:rPr>
        <w:t>Տարեկան</w:t>
      </w:r>
      <w:r w:rsidRPr="008B1219">
        <w:rPr>
          <w:rFonts w:cs="Sylfaen"/>
          <w:b w:val="0"/>
          <w:szCs w:val="22"/>
          <w:lang w:val="en-US" w:eastAsia="en-US"/>
        </w:rPr>
        <w:t xml:space="preserve"> </w:t>
      </w:r>
      <w:r w:rsidRPr="008B1219">
        <w:rPr>
          <w:rFonts w:cs="Sylfaen"/>
          <w:b w:val="0"/>
          <w:szCs w:val="22"/>
          <w:lang w:val="it-IT" w:eastAsia="en-US"/>
        </w:rPr>
        <w:t>բյուջետային</w:t>
      </w:r>
      <w:r w:rsidRPr="008B1219">
        <w:rPr>
          <w:rFonts w:cs="Sylfaen"/>
          <w:b w:val="0"/>
          <w:szCs w:val="22"/>
          <w:lang w:val="en-US" w:eastAsia="en-US"/>
        </w:rPr>
        <w:t xml:space="preserve"> </w:t>
      </w:r>
      <w:r w:rsidRPr="008B1219">
        <w:rPr>
          <w:rFonts w:cs="Sylfaen"/>
          <w:b w:val="0"/>
          <w:szCs w:val="22"/>
          <w:lang w:val="it-IT" w:eastAsia="en-US"/>
        </w:rPr>
        <w:t>ծրագրի</w:t>
      </w:r>
      <w:r w:rsidRPr="008B1219">
        <w:rPr>
          <w:rFonts w:cs="Sylfaen"/>
          <w:b w:val="0"/>
          <w:szCs w:val="22"/>
          <w:lang w:val="en-US" w:eastAsia="en-US"/>
        </w:rPr>
        <w:t xml:space="preserve"> </w:t>
      </w:r>
      <w:r w:rsidRPr="008B1219">
        <w:rPr>
          <w:rFonts w:cs="Sylfaen"/>
          <w:b w:val="0"/>
          <w:szCs w:val="22"/>
          <w:lang w:val="it-IT" w:eastAsia="en-US"/>
        </w:rPr>
        <w:t>այս</w:t>
      </w:r>
      <w:r w:rsidRPr="008B1219">
        <w:rPr>
          <w:rFonts w:cs="Sylfaen"/>
          <w:b w:val="0"/>
          <w:szCs w:val="22"/>
          <w:lang w:val="en-US" w:eastAsia="en-US"/>
        </w:rPr>
        <w:t xml:space="preserve"> </w:t>
      </w:r>
      <w:r w:rsidRPr="008B1219">
        <w:rPr>
          <w:rFonts w:cs="Sylfaen"/>
          <w:b w:val="0"/>
          <w:szCs w:val="22"/>
          <w:lang w:val="it-IT" w:eastAsia="en-US"/>
        </w:rPr>
        <w:t>հատվածը</w:t>
      </w:r>
      <w:r w:rsidRPr="008B1219">
        <w:rPr>
          <w:rFonts w:cs="Sylfaen"/>
          <w:b w:val="0"/>
          <w:szCs w:val="22"/>
          <w:lang w:val="en-US" w:eastAsia="en-US"/>
        </w:rPr>
        <w:t xml:space="preserve"> </w:t>
      </w:r>
      <w:r w:rsidRPr="008B1219">
        <w:rPr>
          <w:rFonts w:cs="Sylfaen"/>
          <w:b w:val="0"/>
          <w:szCs w:val="22"/>
          <w:lang w:val="it-IT" w:eastAsia="en-US"/>
        </w:rPr>
        <w:t>ներկայացնում</w:t>
      </w:r>
      <w:r w:rsidRPr="008B1219">
        <w:rPr>
          <w:rFonts w:cs="Sylfaen"/>
          <w:b w:val="0"/>
          <w:szCs w:val="22"/>
          <w:lang w:val="en-US" w:eastAsia="en-US"/>
        </w:rPr>
        <w:t xml:space="preserve"> </w:t>
      </w:r>
      <w:r w:rsidRPr="008B1219">
        <w:rPr>
          <w:rFonts w:cs="Sylfaen"/>
          <w:b w:val="0"/>
          <w:szCs w:val="22"/>
          <w:lang w:val="it-IT" w:eastAsia="en-US"/>
        </w:rPr>
        <w:t>է</w:t>
      </w:r>
      <w:r w:rsidRPr="008B1219">
        <w:rPr>
          <w:rFonts w:cs="Sylfaen"/>
          <w:b w:val="0"/>
          <w:szCs w:val="22"/>
          <w:lang w:val="en-US" w:eastAsia="en-US"/>
        </w:rPr>
        <w:t xml:space="preserve"> </w:t>
      </w:r>
      <w:r w:rsidRPr="008B1219">
        <w:rPr>
          <w:rFonts w:cs="Sylfaen"/>
          <w:b w:val="0"/>
          <w:szCs w:val="22"/>
          <w:lang w:val="it-IT" w:eastAsia="en-US"/>
        </w:rPr>
        <w:t>ընթացիկ</w:t>
      </w:r>
      <w:r w:rsidRPr="008B1219">
        <w:rPr>
          <w:rFonts w:cs="Sylfaen"/>
          <w:b w:val="0"/>
          <w:szCs w:val="22"/>
          <w:lang w:val="en-US" w:eastAsia="en-US"/>
        </w:rPr>
        <w:t xml:space="preserve"> </w:t>
      </w:r>
      <w:r w:rsidRPr="008B1219">
        <w:rPr>
          <w:rFonts w:cs="Sylfaen"/>
          <w:b w:val="0"/>
          <w:szCs w:val="22"/>
          <w:lang w:val="it-IT" w:eastAsia="en-US"/>
        </w:rPr>
        <w:t>տնտեսական</w:t>
      </w:r>
      <w:r w:rsidRPr="008B1219">
        <w:rPr>
          <w:rFonts w:cs="Sylfaen"/>
          <w:b w:val="0"/>
          <w:szCs w:val="22"/>
          <w:lang w:val="en-US" w:eastAsia="en-US"/>
        </w:rPr>
        <w:t xml:space="preserve"> </w:t>
      </w:r>
      <w:r w:rsidRPr="008B1219">
        <w:rPr>
          <w:rFonts w:cs="Sylfaen"/>
          <w:b w:val="0"/>
          <w:szCs w:val="22"/>
          <w:lang w:val="it-IT" w:eastAsia="en-US"/>
        </w:rPr>
        <w:t>իրավիճակը</w:t>
      </w:r>
      <w:r w:rsidRPr="008B1219">
        <w:rPr>
          <w:rFonts w:cs="Sylfaen"/>
          <w:b w:val="0"/>
          <w:szCs w:val="22"/>
          <w:lang w:val="en-US" w:eastAsia="en-US"/>
        </w:rPr>
        <w:t xml:space="preserve"> </w:t>
      </w:r>
      <w:r w:rsidRPr="008B1219">
        <w:rPr>
          <w:rFonts w:cs="Sylfaen"/>
          <w:b w:val="0"/>
          <w:szCs w:val="22"/>
          <w:lang w:val="it-IT" w:eastAsia="en-US"/>
        </w:rPr>
        <w:t>հանրապետությունում</w:t>
      </w:r>
      <w:r w:rsidRPr="008B1219">
        <w:rPr>
          <w:rFonts w:cs="Sylfaen"/>
          <w:b w:val="0"/>
          <w:szCs w:val="22"/>
          <w:lang w:val="en-US" w:eastAsia="en-US"/>
        </w:rPr>
        <w:t xml:space="preserve">, </w:t>
      </w:r>
      <w:r w:rsidRPr="008B1219">
        <w:rPr>
          <w:rFonts w:cs="Sylfaen"/>
          <w:b w:val="0"/>
          <w:szCs w:val="22"/>
          <w:lang w:val="it-IT" w:eastAsia="en-US"/>
        </w:rPr>
        <w:t>ինչպես</w:t>
      </w:r>
      <w:r w:rsidRPr="008B1219">
        <w:rPr>
          <w:rFonts w:cs="Sylfaen"/>
          <w:b w:val="0"/>
          <w:szCs w:val="22"/>
          <w:lang w:val="en-US" w:eastAsia="en-US"/>
        </w:rPr>
        <w:t xml:space="preserve"> </w:t>
      </w:r>
      <w:r w:rsidRPr="008B1219">
        <w:rPr>
          <w:rFonts w:cs="Sylfaen"/>
          <w:b w:val="0"/>
          <w:szCs w:val="22"/>
          <w:lang w:val="it-IT" w:eastAsia="en-US"/>
        </w:rPr>
        <w:t>նաև</w:t>
      </w:r>
      <w:r w:rsidRPr="008B1219">
        <w:rPr>
          <w:rFonts w:cs="Sylfaen"/>
          <w:b w:val="0"/>
          <w:szCs w:val="22"/>
          <w:lang w:val="en-US" w:eastAsia="en-US"/>
        </w:rPr>
        <w:t xml:space="preserve"> 2020 </w:t>
      </w:r>
      <w:r w:rsidRPr="008B1219">
        <w:rPr>
          <w:rFonts w:cs="Sylfaen"/>
          <w:b w:val="0"/>
          <w:szCs w:val="22"/>
          <w:lang w:val="it-IT" w:eastAsia="en-US"/>
        </w:rPr>
        <w:t>թվականի</w:t>
      </w:r>
      <w:r w:rsidRPr="008B1219">
        <w:rPr>
          <w:rFonts w:cs="Sylfaen"/>
          <w:b w:val="0"/>
          <w:szCs w:val="22"/>
          <w:lang w:val="en-US" w:eastAsia="en-US"/>
        </w:rPr>
        <w:t xml:space="preserve"> </w:t>
      </w:r>
      <w:r w:rsidRPr="008B1219">
        <w:rPr>
          <w:rFonts w:cs="Sylfaen"/>
          <w:b w:val="0"/>
          <w:szCs w:val="22"/>
          <w:lang w:val="it-IT" w:eastAsia="en-US"/>
        </w:rPr>
        <w:t>մակրոտնտեսական</w:t>
      </w:r>
      <w:r w:rsidRPr="008B1219">
        <w:rPr>
          <w:rFonts w:cs="Sylfaen"/>
          <w:b w:val="0"/>
          <w:szCs w:val="22"/>
          <w:lang w:val="en-US" w:eastAsia="en-US"/>
        </w:rPr>
        <w:t xml:space="preserve"> </w:t>
      </w:r>
      <w:r w:rsidRPr="008B1219">
        <w:rPr>
          <w:rFonts w:cs="Sylfaen"/>
          <w:b w:val="0"/>
          <w:szCs w:val="22"/>
          <w:lang w:val="it-IT" w:eastAsia="en-US"/>
        </w:rPr>
        <w:t>հեռան</w:t>
      </w:r>
      <w:r w:rsidRPr="008B1219">
        <w:rPr>
          <w:rFonts w:cs="Sylfaen"/>
          <w:b w:val="0"/>
          <w:szCs w:val="22"/>
          <w:lang w:val="en-US" w:eastAsia="en-US"/>
        </w:rPr>
        <w:softHyphen/>
      </w:r>
      <w:r w:rsidRPr="008B1219">
        <w:rPr>
          <w:rFonts w:cs="Sylfaen"/>
          <w:b w:val="0"/>
          <w:szCs w:val="22"/>
          <w:lang w:val="it-IT" w:eastAsia="en-US"/>
        </w:rPr>
        <w:t>կարները</w:t>
      </w:r>
      <w:r w:rsidRPr="008B1219">
        <w:rPr>
          <w:rFonts w:cs="Sylfaen"/>
          <w:b w:val="0"/>
          <w:szCs w:val="22"/>
          <w:lang w:val="en-US" w:eastAsia="en-US"/>
        </w:rPr>
        <w:t>:</w:t>
      </w:r>
    </w:p>
    <w:p w:rsidR="00961B35" w:rsidRPr="00961B35" w:rsidRDefault="00961B35" w:rsidP="00961B35">
      <w:pPr>
        <w:spacing w:before="0"/>
        <w:ind w:firstLine="0"/>
        <w:contextualSpacing w:val="0"/>
        <w:jc w:val="center"/>
        <w:rPr>
          <w:rFonts w:cs="Sylfaen"/>
          <w:szCs w:val="22"/>
          <w:lang w:val="en-US" w:eastAsia="en-US"/>
        </w:rPr>
      </w:pPr>
      <w:r w:rsidRPr="00961B35">
        <w:rPr>
          <w:rFonts w:cs="Sylfaen"/>
          <w:szCs w:val="22"/>
          <w:lang w:val="en-US" w:eastAsia="en-US"/>
        </w:rPr>
        <w:t>Տնտեսական</w:t>
      </w:r>
      <w:r w:rsidRPr="00961B35">
        <w:rPr>
          <w:szCs w:val="22"/>
          <w:lang w:val="en-US" w:eastAsia="en-US"/>
        </w:rPr>
        <w:t xml:space="preserve"> </w:t>
      </w:r>
      <w:r w:rsidRPr="00961B35">
        <w:rPr>
          <w:rFonts w:cs="Sylfaen"/>
          <w:szCs w:val="22"/>
          <w:lang w:val="en-US" w:eastAsia="en-US"/>
        </w:rPr>
        <w:t>կանխատեսումների</w:t>
      </w:r>
      <w:r w:rsidRPr="00961B35">
        <w:rPr>
          <w:szCs w:val="22"/>
          <w:lang w:val="en-US" w:eastAsia="en-US"/>
        </w:rPr>
        <w:t xml:space="preserve"> </w:t>
      </w:r>
      <w:r w:rsidRPr="00961B35">
        <w:rPr>
          <w:rFonts w:cs="Sylfaen"/>
          <w:szCs w:val="22"/>
          <w:lang w:val="en-US" w:eastAsia="en-US"/>
        </w:rPr>
        <w:t>նպատակը</w:t>
      </w:r>
    </w:p>
    <w:p w:rsidR="00961B35" w:rsidRPr="00961B35" w:rsidRDefault="00961B35" w:rsidP="00961B35">
      <w:pPr>
        <w:spacing w:before="0"/>
        <w:ind w:firstLine="450"/>
        <w:contextualSpacing w:val="0"/>
        <w:jc w:val="center"/>
        <w:rPr>
          <w:szCs w:val="22"/>
          <w:lang w:val="en-US" w:eastAsia="en-US"/>
        </w:rPr>
      </w:pPr>
      <w:r w:rsidRPr="00961B35">
        <w:rPr>
          <w:szCs w:val="22"/>
          <w:lang w:val="en-US" w:eastAsia="en-US"/>
        </w:rPr>
        <w:softHyphen/>
      </w:r>
    </w:p>
    <w:p w:rsidR="00961B35" w:rsidRPr="00961B35" w:rsidRDefault="00961B35" w:rsidP="00961B35">
      <w:pPr>
        <w:spacing w:before="0"/>
        <w:ind w:firstLine="450"/>
        <w:contextualSpacing w:val="0"/>
        <w:rPr>
          <w:b w:val="0"/>
          <w:szCs w:val="22"/>
          <w:lang w:val="af-ZA" w:eastAsia="en-US"/>
        </w:rPr>
      </w:pPr>
      <w:r w:rsidRPr="00961B35">
        <w:rPr>
          <w:rFonts w:cs="Sylfaen"/>
          <w:szCs w:val="22"/>
          <w:lang w:val="en-US" w:eastAsia="en-US"/>
        </w:rPr>
        <w:t>Հայաստանի</w:t>
      </w:r>
      <w:r w:rsidRPr="00961B35">
        <w:rPr>
          <w:rFonts w:cs="Sylfaen"/>
          <w:szCs w:val="22"/>
          <w:lang w:val="af-ZA" w:eastAsia="en-US"/>
        </w:rPr>
        <w:t xml:space="preserve"> </w:t>
      </w:r>
      <w:r w:rsidRPr="00961B35">
        <w:rPr>
          <w:rFonts w:cs="Sylfaen"/>
          <w:szCs w:val="22"/>
          <w:lang w:val="en-US" w:eastAsia="en-US"/>
        </w:rPr>
        <w:t>տնտեսության</w:t>
      </w:r>
      <w:r w:rsidRPr="00961B35">
        <w:rPr>
          <w:rFonts w:cs="Sylfaen"/>
          <w:szCs w:val="22"/>
          <w:lang w:val="af-ZA" w:eastAsia="en-US"/>
        </w:rPr>
        <w:t xml:space="preserve"> </w:t>
      </w:r>
      <w:r w:rsidRPr="00961B35">
        <w:rPr>
          <w:rFonts w:cs="Sylfaen"/>
          <w:szCs w:val="22"/>
          <w:lang w:val="en-US" w:eastAsia="en-US"/>
        </w:rPr>
        <w:t>իրավիճակի</w:t>
      </w:r>
      <w:r w:rsidRPr="00961B35">
        <w:rPr>
          <w:rFonts w:cs="Sylfaen"/>
          <w:szCs w:val="22"/>
          <w:lang w:val="af-ZA" w:eastAsia="en-US"/>
        </w:rPr>
        <w:t xml:space="preserve"> </w:t>
      </w:r>
      <w:r w:rsidRPr="00961B35">
        <w:rPr>
          <w:rFonts w:cs="Sylfaen"/>
          <w:szCs w:val="22"/>
          <w:lang w:val="en-US" w:eastAsia="en-US"/>
        </w:rPr>
        <w:t>կանխատեսումները</w:t>
      </w:r>
      <w:r w:rsidRPr="00961B35">
        <w:rPr>
          <w:rFonts w:cs="Sylfaen"/>
          <w:szCs w:val="22"/>
          <w:lang w:val="af-ZA" w:eastAsia="en-US"/>
        </w:rPr>
        <w:t xml:space="preserve"> </w:t>
      </w:r>
      <w:r w:rsidRPr="00961B35">
        <w:rPr>
          <w:rFonts w:cs="Sylfaen"/>
          <w:szCs w:val="22"/>
          <w:lang w:val="en-US" w:eastAsia="en-US"/>
        </w:rPr>
        <w:t>նկարագրում</w:t>
      </w:r>
      <w:r w:rsidRPr="00961B35">
        <w:rPr>
          <w:rFonts w:cs="Sylfaen"/>
          <w:szCs w:val="22"/>
          <w:lang w:val="af-ZA" w:eastAsia="en-US"/>
        </w:rPr>
        <w:t xml:space="preserve"> </w:t>
      </w:r>
      <w:r w:rsidRPr="00961B35">
        <w:rPr>
          <w:rFonts w:cs="Sylfaen"/>
          <w:szCs w:val="22"/>
          <w:lang w:val="en-US" w:eastAsia="en-US"/>
        </w:rPr>
        <w:t>են</w:t>
      </w:r>
      <w:r w:rsidRPr="00961B35">
        <w:rPr>
          <w:rFonts w:cs="Sylfaen"/>
          <w:szCs w:val="22"/>
          <w:lang w:val="af-ZA" w:eastAsia="en-US"/>
        </w:rPr>
        <w:t xml:space="preserve"> </w:t>
      </w:r>
      <w:r w:rsidRPr="00961B35">
        <w:rPr>
          <w:rFonts w:cs="Sylfaen"/>
          <w:szCs w:val="22"/>
          <w:lang w:val="en-US" w:eastAsia="en-US"/>
        </w:rPr>
        <w:t>այն</w:t>
      </w:r>
      <w:r w:rsidRPr="00961B35">
        <w:rPr>
          <w:rFonts w:cs="Sylfaen"/>
          <w:szCs w:val="22"/>
          <w:lang w:val="af-ZA" w:eastAsia="en-US"/>
        </w:rPr>
        <w:t xml:space="preserve"> </w:t>
      </w:r>
      <w:r w:rsidRPr="00961B35">
        <w:rPr>
          <w:rFonts w:cs="Sylfaen"/>
          <w:szCs w:val="22"/>
          <w:lang w:val="en-US" w:eastAsia="en-US"/>
        </w:rPr>
        <w:t>իրական</w:t>
      </w:r>
      <w:r w:rsidRPr="00961B35">
        <w:rPr>
          <w:rFonts w:cs="Sylfaen"/>
          <w:szCs w:val="22"/>
          <w:lang w:val="af-ZA" w:eastAsia="en-US"/>
        </w:rPr>
        <w:t xml:space="preserve"> </w:t>
      </w:r>
      <w:r w:rsidRPr="00961B35">
        <w:rPr>
          <w:rFonts w:cs="Sylfaen"/>
          <w:szCs w:val="22"/>
          <w:lang w:val="en-US" w:eastAsia="en-US"/>
        </w:rPr>
        <w:t>միջավայր</w:t>
      </w:r>
      <w:r w:rsidRPr="00961B35">
        <w:rPr>
          <w:rFonts w:cs="Sylfaen"/>
          <w:szCs w:val="22"/>
          <w:lang w:val="hy-AM" w:eastAsia="en-US"/>
        </w:rPr>
        <w:t>ը,</w:t>
      </w:r>
      <w:r w:rsidRPr="00961B35">
        <w:rPr>
          <w:rFonts w:cs="Sylfaen"/>
          <w:szCs w:val="22"/>
          <w:lang w:val="af-ZA" w:eastAsia="en-US"/>
        </w:rPr>
        <w:t xml:space="preserve"> </w:t>
      </w:r>
      <w:r w:rsidRPr="00961B35">
        <w:rPr>
          <w:rFonts w:cs="Sylfaen"/>
          <w:szCs w:val="22"/>
          <w:lang w:val="en-US" w:eastAsia="en-US"/>
        </w:rPr>
        <w:t>որի</w:t>
      </w:r>
      <w:r w:rsidRPr="00961B35">
        <w:rPr>
          <w:rFonts w:cs="Sylfaen"/>
          <w:szCs w:val="22"/>
          <w:lang w:val="af-ZA" w:eastAsia="en-US"/>
        </w:rPr>
        <w:t xml:space="preserve"> </w:t>
      </w:r>
      <w:r w:rsidRPr="00961B35">
        <w:rPr>
          <w:rFonts w:cs="Sylfaen"/>
          <w:szCs w:val="22"/>
          <w:lang w:val="en-US" w:eastAsia="en-US"/>
        </w:rPr>
        <w:t>պայմաններ</w:t>
      </w:r>
      <w:r w:rsidRPr="00961B35">
        <w:rPr>
          <w:rFonts w:cs="Sylfaen"/>
          <w:szCs w:val="22"/>
          <w:lang w:eastAsia="en-US"/>
        </w:rPr>
        <w:t>ում</w:t>
      </w:r>
      <w:r w:rsidRPr="00961B35">
        <w:rPr>
          <w:rFonts w:cs="Sylfaen"/>
          <w:szCs w:val="22"/>
          <w:lang w:val="af-ZA" w:eastAsia="en-US"/>
        </w:rPr>
        <w:t xml:space="preserve"> </w:t>
      </w:r>
      <w:r w:rsidRPr="00961B35">
        <w:rPr>
          <w:rFonts w:cs="Sylfaen"/>
          <w:szCs w:val="22"/>
          <w:lang w:eastAsia="en-US"/>
        </w:rPr>
        <w:t>գ</w:t>
      </w:r>
      <w:r w:rsidRPr="00961B35">
        <w:rPr>
          <w:rFonts w:cs="Sylfaen"/>
          <w:szCs w:val="22"/>
          <w:lang w:val="en-US" w:eastAsia="en-US"/>
        </w:rPr>
        <w:t>ործելու</w:t>
      </w:r>
      <w:r w:rsidRPr="00961B35">
        <w:rPr>
          <w:rFonts w:cs="Sylfaen"/>
          <w:szCs w:val="22"/>
          <w:lang w:val="af-ZA" w:eastAsia="en-US"/>
        </w:rPr>
        <w:t xml:space="preserve"> </w:t>
      </w:r>
      <w:r w:rsidRPr="00961B35">
        <w:rPr>
          <w:rFonts w:cs="Sylfaen"/>
          <w:szCs w:val="22"/>
          <w:lang w:val="en-US" w:eastAsia="en-US"/>
        </w:rPr>
        <w:t>է</w:t>
      </w:r>
      <w:r w:rsidRPr="00961B35">
        <w:rPr>
          <w:rFonts w:cs="Sylfaen"/>
          <w:szCs w:val="22"/>
          <w:lang w:val="af-ZA" w:eastAsia="en-US"/>
        </w:rPr>
        <w:t xml:space="preserve"> </w:t>
      </w:r>
      <w:r w:rsidRPr="00961B35">
        <w:rPr>
          <w:rFonts w:cs="Sylfaen"/>
          <w:szCs w:val="22"/>
          <w:lang w:val="en-US" w:eastAsia="en-US"/>
        </w:rPr>
        <w:t>կառա</w:t>
      </w:r>
      <w:r w:rsidRPr="00961B35">
        <w:rPr>
          <w:rFonts w:cs="Sylfaen"/>
          <w:szCs w:val="22"/>
          <w:lang w:val="af-ZA" w:eastAsia="en-US"/>
        </w:rPr>
        <w:softHyphen/>
      </w:r>
      <w:r w:rsidRPr="00961B35">
        <w:rPr>
          <w:rFonts w:cs="Sylfaen"/>
          <w:szCs w:val="22"/>
          <w:lang w:val="en-US" w:eastAsia="en-US"/>
        </w:rPr>
        <w:t>վարությունը</w:t>
      </w:r>
      <w:r w:rsidRPr="00961B35">
        <w:rPr>
          <w:szCs w:val="22"/>
          <w:lang w:val="af-ZA" w:eastAsia="en-US"/>
        </w:rPr>
        <w:t xml:space="preserve">: </w:t>
      </w:r>
      <w:r w:rsidRPr="00961B35">
        <w:rPr>
          <w:b w:val="0"/>
          <w:szCs w:val="22"/>
          <w:lang w:val="it-IT" w:eastAsia="en-US"/>
        </w:rPr>
        <w:t>Մյուս կողմից կառավարության հարկաբյուջետային քաղաքականությունն ազդում է մակրոտնտեսական միջավայրի վրա</w:t>
      </w:r>
      <w:r w:rsidRPr="00961B35">
        <w:rPr>
          <w:b w:val="0"/>
          <w:szCs w:val="22"/>
          <w:lang w:val="af-ZA" w:eastAsia="en-US"/>
        </w:rPr>
        <w:t xml:space="preserve">, </w:t>
      </w:r>
      <w:r w:rsidRPr="00961B35">
        <w:rPr>
          <w:b w:val="0"/>
          <w:szCs w:val="22"/>
          <w:lang w:val="it-IT" w:eastAsia="en-US"/>
        </w:rPr>
        <w:t>հետևա</w:t>
      </w:r>
      <w:r w:rsidRPr="00961B35">
        <w:rPr>
          <w:b w:val="0"/>
          <w:szCs w:val="22"/>
          <w:lang w:val="it-IT" w:eastAsia="en-US"/>
        </w:rPr>
        <w:softHyphen/>
        <w:t>բար մակրոտնտեսական կանխատեսումները հնարա</w:t>
      </w:r>
      <w:r w:rsidRPr="00961B35">
        <w:rPr>
          <w:b w:val="0"/>
          <w:szCs w:val="22"/>
          <w:lang w:val="af-ZA" w:eastAsia="en-US"/>
        </w:rPr>
        <w:softHyphen/>
      </w:r>
      <w:r w:rsidRPr="00961B35">
        <w:rPr>
          <w:b w:val="0"/>
          <w:szCs w:val="22"/>
          <w:lang w:val="it-IT" w:eastAsia="en-US"/>
        </w:rPr>
        <w:t>վորություն են տալիս հասկանալու</w:t>
      </w:r>
      <w:r w:rsidRPr="00961B35">
        <w:rPr>
          <w:b w:val="0"/>
          <w:szCs w:val="22"/>
          <w:lang w:val="af-ZA" w:eastAsia="en-US"/>
        </w:rPr>
        <w:t xml:space="preserve">, </w:t>
      </w:r>
      <w:r w:rsidRPr="00961B35">
        <w:rPr>
          <w:b w:val="0"/>
          <w:szCs w:val="22"/>
          <w:lang w:val="it-IT" w:eastAsia="en-US"/>
        </w:rPr>
        <w:t>թե կառա</w:t>
      </w:r>
      <w:r w:rsidRPr="00961B35">
        <w:rPr>
          <w:b w:val="0"/>
          <w:szCs w:val="22"/>
          <w:lang w:val="it-IT" w:eastAsia="en-US"/>
        </w:rPr>
        <w:softHyphen/>
        <w:t>վա</w:t>
      </w:r>
      <w:r w:rsidRPr="00961B35">
        <w:rPr>
          <w:b w:val="0"/>
          <w:szCs w:val="22"/>
          <w:lang w:val="it-IT" w:eastAsia="en-US"/>
        </w:rPr>
        <w:softHyphen/>
        <w:t>րության որդեգրած հարկա</w:t>
      </w:r>
      <w:r w:rsidRPr="00961B35">
        <w:rPr>
          <w:b w:val="0"/>
          <w:szCs w:val="22"/>
          <w:lang w:val="af-ZA" w:eastAsia="en-US"/>
        </w:rPr>
        <w:softHyphen/>
      </w:r>
      <w:r w:rsidRPr="00961B35">
        <w:rPr>
          <w:b w:val="0"/>
          <w:szCs w:val="22"/>
          <w:lang w:val="it-IT" w:eastAsia="en-US"/>
        </w:rPr>
        <w:t>բյու</w:t>
      </w:r>
      <w:r w:rsidRPr="00961B35">
        <w:rPr>
          <w:b w:val="0"/>
          <w:szCs w:val="22"/>
          <w:lang w:val="af-ZA" w:eastAsia="en-US"/>
        </w:rPr>
        <w:softHyphen/>
      </w:r>
      <w:r w:rsidRPr="00961B35">
        <w:rPr>
          <w:b w:val="0"/>
          <w:szCs w:val="22"/>
          <w:lang w:val="it-IT" w:eastAsia="en-US"/>
        </w:rPr>
        <w:t>ջետային քաղաքականությունը որքանով է համահունչ տնտեսու</w:t>
      </w:r>
      <w:r w:rsidRPr="00961B35">
        <w:rPr>
          <w:b w:val="0"/>
          <w:szCs w:val="22"/>
          <w:lang w:val="it-IT" w:eastAsia="en-US"/>
        </w:rPr>
        <w:softHyphen/>
        <w:t>թյան այլ հատվածների զարգացման միտումներին</w:t>
      </w:r>
      <w:r w:rsidRPr="00961B35">
        <w:rPr>
          <w:b w:val="0"/>
          <w:szCs w:val="22"/>
          <w:lang w:val="af-ZA" w:eastAsia="en-US"/>
        </w:rPr>
        <w:t xml:space="preserve">: </w:t>
      </w:r>
    </w:p>
    <w:p w:rsidR="00961B35" w:rsidRPr="00961B35" w:rsidRDefault="00961B35" w:rsidP="00961B35">
      <w:pPr>
        <w:spacing w:before="0"/>
        <w:ind w:firstLine="450"/>
        <w:contextualSpacing w:val="0"/>
        <w:rPr>
          <w:b w:val="0"/>
          <w:szCs w:val="22"/>
          <w:lang w:val="af-ZA" w:eastAsia="en-US"/>
        </w:rPr>
      </w:pPr>
      <w:r w:rsidRPr="00961B35">
        <w:rPr>
          <w:rFonts w:cs="Sylfaen"/>
          <w:szCs w:val="22"/>
          <w:lang w:val="en-US" w:eastAsia="en-US"/>
        </w:rPr>
        <w:t>Տնտեսական</w:t>
      </w:r>
      <w:r w:rsidRPr="00961B35">
        <w:rPr>
          <w:rFonts w:cs="Sylfaen"/>
          <w:szCs w:val="22"/>
          <w:lang w:val="af-ZA" w:eastAsia="en-US"/>
        </w:rPr>
        <w:t xml:space="preserve"> </w:t>
      </w:r>
      <w:r w:rsidRPr="00961B35">
        <w:rPr>
          <w:rFonts w:cs="Sylfaen"/>
          <w:szCs w:val="22"/>
          <w:lang w:val="en-US" w:eastAsia="en-US"/>
        </w:rPr>
        <w:t>կանխատեսումների</w:t>
      </w:r>
      <w:r w:rsidRPr="00961B35">
        <w:rPr>
          <w:rFonts w:cs="Sylfaen"/>
          <w:szCs w:val="22"/>
          <w:lang w:val="af-ZA" w:eastAsia="en-US"/>
        </w:rPr>
        <w:t xml:space="preserve"> </w:t>
      </w:r>
      <w:r w:rsidRPr="00961B35">
        <w:rPr>
          <w:rFonts w:cs="Sylfaen"/>
          <w:szCs w:val="22"/>
          <w:lang w:val="en-US" w:eastAsia="en-US"/>
        </w:rPr>
        <w:t>իրականացման</w:t>
      </w:r>
      <w:r w:rsidRPr="00961B35">
        <w:rPr>
          <w:rFonts w:cs="Sylfaen"/>
          <w:szCs w:val="22"/>
          <w:lang w:val="af-ZA" w:eastAsia="en-US"/>
        </w:rPr>
        <w:t xml:space="preserve"> </w:t>
      </w:r>
      <w:r w:rsidRPr="00961B35">
        <w:rPr>
          <w:rFonts w:cs="Sylfaen"/>
          <w:szCs w:val="22"/>
          <w:lang w:val="en-US" w:eastAsia="en-US"/>
        </w:rPr>
        <w:t>երկրորդ</w:t>
      </w:r>
      <w:r w:rsidRPr="00961B35">
        <w:rPr>
          <w:rFonts w:cs="Sylfaen"/>
          <w:szCs w:val="22"/>
          <w:lang w:val="af-ZA" w:eastAsia="en-US"/>
        </w:rPr>
        <w:t xml:space="preserve"> </w:t>
      </w:r>
      <w:r w:rsidRPr="00961B35">
        <w:rPr>
          <w:rFonts w:cs="Sylfaen"/>
          <w:szCs w:val="22"/>
          <w:lang w:val="en-US" w:eastAsia="en-US"/>
        </w:rPr>
        <w:t>կարևոր</w:t>
      </w:r>
      <w:r w:rsidRPr="00961B35">
        <w:rPr>
          <w:rFonts w:cs="Sylfaen"/>
          <w:szCs w:val="22"/>
          <w:lang w:val="af-ZA" w:eastAsia="en-US"/>
        </w:rPr>
        <w:t xml:space="preserve"> </w:t>
      </w:r>
      <w:r w:rsidRPr="00961B35">
        <w:rPr>
          <w:rFonts w:cs="Sylfaen"/>
          <w:szCs w:val="22"/>
          <w:lang w:val="en-US" w:eastAsia="en-US"/>
        </w:rPr>
        <w:t>հիմնավորումն</w:t>
      </w:r>
      <w:r w:rsidRPr="00961B35">
        <w:rPr>
          <w:rFonts w:cs="Sylfaen"/>
          <w:szCs w:val="22"/>
          <w:lang w:val="af-ZA" w:eastAsia="en-US"/>
        </w:rPr>
        <w:t xml:space="preserve"> </w:t>
      </w:r>
      <w:r w:rsidRPr="00961B35">
        <w:rPr>
          <w:rFonts w:cs="Sylfaen"/>
          <w:szCs w:val="22"/>
          <w:lang w:val="en-US" w:eastAsia="en-US"/>
        </w:rPr>
        <w:t>այն</w:t>
      </w:r>
      <w:r w:rsidRPr="00961B35">
        <w:rPr>
          <w:rFonts w:cs="Sylfaen"/>
          <w:szCs w:val="22"/>
          <w:lang w:val="af-ZA" w:eastAsia="en-US"/>
        </w:rPr>
        <w:t xml:space="preserve"> </w:t>
      </w:r>
      <w:r w:rsidRPr="00961B35">
        <w:rPr>
          <w:rFonts w:cs="Sylfaen"/>
          <w:szCs w:val="22"/>
          <w:lang w:val="en-US" w:eastAsia="en-US"/>
        </w:rPr>
        <w:t>է</w:t>
      </w:r>
      <w:r w:rsidRPr="00961B35">
        <w:rPr>
          <w:szCs w:val="22"/>
          <w:lang w:val="af-ZA" w:eastAsia="en-US"/>
        </w:rPr>
        <w:t xml:space="preserve">, </w:t>
      </w:r>
      <w:r w:rsidRPr="00961B35">
        <w:rPr>
          <w:rFonts w:cs="Sylfaen"/>
          <w:szCs w:val="22"/>
          <w:lang w:val="en-US" w:eastAsia="en-US"/>
        </w:rPr>
        <w:t>որ</w:t>
      </w:r>
      <w:r w:rsidRPr="00961B35">
        <w:rPr>
          <w:rFonts w:cs="Sylfaen"/>
          <w:szCs w:val="22"/>
          <w:lang w:val="af-ZA" w:eastAsia="en-US"/>
        </w:rPr>
        <w:t xml:space="preserve"> </w:t>
      </w:r>
      <w:r w:rsidRPr="00961B35">
        <w:rPr>
          <w:rFonts w:cs="Sylfaen"/>
          <w:szCs w:val="22"/>
          <w:lang w:val="en-US" w:eastAsia="en-US"/>
        </w:rPr>
        <w:t>ազ</w:t>
      </w:r>
      <w:r w:rsidRPr="00961B35">
        <w:rPr>
          <w:rFonts w:cs="Sylfaen"/>
          <w:szCs w:val="22"/>
          <w:lang w:eastAsia="en-US"/>
        </w:rPr>
        <w:t>գ</w:t>
      </w:r>
      <w:r w:rsidRPr="00961B35">
        <w:rPr>
          <w:rFonts w:cs="Sylfaen"/>
          <w:szCs w:val="22"/>
          <w:lang w:val="en-US" w:eastAsia="en-US"/>
        </w:rPr>
        <w:t>ային</w:t>
      </w:r>
      <w:r w:rsidRPr="00961B35">
        <w:rPr>
          <w:rFonts w:cs="Sylfaen"/>
          <w:szCs w:val="22"/>
          <w:lang w:val="af-ZA" w:eastAsia="en-US"/>
        </w:rPr>
        <w:t xml:space="preserve"> </w:t>
      </w:r>
      <w:r w:rsidRPr="00961B35">
        <w:rPr>
          <w:rFonts w:cs="Sylfaen"/>
          <w:szCs w:val="22"/>
          <w:lang w:val="en-US" w:eastAsia="en-US"/>
        </w:rPr>
        <w:t>տնտեսության</w:t>
      </w:r>
      <w:r w:rsidRPr="00961B35">
        <w:rPr>
          <w:rFonts w:cs="Sylfaen"/>
          <w:szCs w:val="22"/>
          <w:lang w:val="af-ZA" w:eastAsia="en-US"/>
        </w:rPr>
        <w:t xml:space="preserve"> </w:t>
      </w:r>
      <w:r w:rsidRPr="00961B35">
        <w:rPr>
          <w:rFonts w:cs="Sylfaen"/>
          <w:szCs w:val="22"/>
          <w:lang w:val="en-US" w:eastAsia="en-US"/>
        </w:rPr>
        <w:t>իրավիճակը</w:t>
      </w:r>
      <w:r w:rsidRPr="00961B35">
        <w:rPr>
          <w:rFonts w:cs="Sylfaen"/>
          <w:szCs w:val="22"/>
          <w:lang w:val="af-ZA" w:eastAsia="en-US"/>
        </w:rPr>
        <w:t xml:space="preserve"> </w:t>
      </w:r>
      <w:r w:rsidRPr="00961B35">
        <w:rPr>
          <w:rFonts w:cs="Sylfaen"/>
          <w:szCs w:val="22"/>
          <w:lang w:val="en-US" w:eastAsia="en-US"/>
        </w:rPr>
        <w:t>մեծ</w:t>
      </w:r>
      <w:r w:rsidRPr="00961B35">
        <w:rPr>
          <w:rFonts w:cs="Sylfaen"/>
          <w:szCs w:val="22"/>
          <w:lang w:val="af-ZA" w:eastAsia="en-US"/>
        </w:rPr>
        <w:t xml:space="preserve"> </w:t>
      </w:r>
      <w:r w:rsidRPr="00961B35">
        <w:rPr>
          <w:rFonts w:cs="Sylfaen"/>
          <w:szCs w:val="22"/>
          <w:lang w:val="en-US" w:eastAsia="en-US"/>
        </w:rPr>
        <w:t>ազդեցություն</w:t>
      </w:r>
      <w:r w:rsidRPr="00961B35">
        <w:rPr>
          <w:rFonts w:cs="Sylfaen"/>
          <w:szCs w:val="22"/>
          <w:lang w:val="af-ZA" w:eastAsia="en-US"/>
        </w:rPr>
        <w:t xml:space="preserve"> </w:t>
      </w:r>
      <w:r w:rsidRPr="00961B35">
        <w:rPr>
          <w:rFonts w:cs="Sylfaen"/>
          <w:szCs w:val="22"/>
          <w:lang w:val="en-US" w:eastAsia="en-US"/>
        </w:rPr>
        <w:t>ունի</w:t>
      </w:r>
      <w:r w:rsidRPr="00961B35">
        <w:rPr>
          <w:rFonts w:cs="Sylfaen"/>
          <w:szCs w:val="22"/>
          <w:lang w:val="af-ZA" w:eastAsia="en-US"/>
        </w:rPr>
        <w:t xml:space="preserve"> </w:t>
      </w:r>
      <w:r w:rsidRPr="00961B35">
        <w:rPr>
          <w:rFonts w:cs="Sylfaen"/>
          <w:szCs w:val="22"/>
          <w:lang w:val="en-US" w:eastAsia="en-US"/>
        </w:rPr>
        <w:t>կառավարության</w:t>
      </w:r>
      <w:r w:rsidRPr="00961B35">
        <w:rPr>
          <w:rFonts w:cs="Sylfaen"/>
          <w:szCs w:val="22"/>
          <w:lang w:val="af-ZA" w:eastAsia="en-US"/>
        </w:rPr>
        <w:t xml:space="preserve"> </w:t>
      </w:r>
      <w:r w:rsidRPr="00961B35">
        <w:rPr>
          <w:rFonts w:cs="Sylfaen"/>
          <w:szCs w:val="22"/>
          <w:lang w:val="en-US" w:eastAsia="en-US"/>
        </w:rPr>
        <w:t>ֆինանսական</w:t>
      </w:r>
      <w:r w:rsidRPr="00961B35">
        <w:rPr>
          <w:rFonts w:cs="Sylfaen"/>
          <w:szCs w:val="22"/>
          <w:lang w:val="af-ZA" w:eastAsia="en-US"/>
        </w:rPr>
        <w:t xml:space="preserve"> </w:t>
      </w:r>
      <w:r w:rsidRPr="00961B35">
        <w:rPr>
          <w:rFonts w:cs="Sylfaen"/>
          <w:szCs w:val="22"/>
          <w:lang w:val="en-US" w:eastAsia="en-US"/>
        </w:rPr>
        <w:t>ռեսուրսների</w:t>
      </w:r>
      <w:r w:rsidRPr="00961B35">
        <w:rPr>
          <w:rFonts w:cs="Sylfaen"/>
          <w:szCs w:val="22"/>
          <w:lang w:val="af-ZA" w:eastAsia="en-US"/>
        </w:rPr>
        <w:t xml:space="preserve"> </w:t>
      </w:r>
      <w:r w:rsidRPr="00961B35">
        <w:rPr>
          <w:rFonts w:cs="Sylfaen"/>
          <w:szCs w:val="22"/>
          <w:lang w:val="en-US" w:eastAsia="en-US"/>
        </w:rPr>
        <w:t>վրա</w:t>
      </w:r>
      <w:r w:rsidRPr="00961B35">
        <w:rPr>
          <w:szCs w:val="22"/>
          <w:lang w:val="af-ZA" w:eastAsia="en-US"/>
        </w:rPr>
        <w:t xml:space="preserve">: </w:t>
      </w:r>
      <w:r w:rsidRPr="00961B35">
        <w:rPr>
          <w:rFonts w:cs="Sylfaen"/>
          <w:b w:val="0"/>
          <w:szCs w:val="22"/>
          <w:lang w:val="en-US" w:eastAsia="en-US"/>
        </w:rPr>
        <w:t>Տնտեսական</w:t>
      </w:r>
      <w:r w:rsidRPr="00961B35">
        <w:rPr>
          <w:rFonts w:cs="Sylfaen"/>
          <w:b w:val="0"/>
          <w:szCs w:val="22"/>
          <w:lang w:val="af-ZA" w:eastAsia="en-US"/>
        </w:rPr>
        <w:t xml:space="preserve"> </w:t>
      </w:r>
      <w:r w:rsidRPr="00961B35">
        <w:rPr>
          <w:rFonts w:cs="Sylfaen"/>
          <w:b w:val="0"/>
          <w:szCs w:val="22"/>
          <w:lang w:val="en-US" w:eastAsia="en-US"/>
        </w:rPr>
        <w:t>բարձր</w:t>
      </w:r>
      <w:r w:rsidRPr="00961B35">
        <w:rPr>
          <w:rFonts w:cs="Sylfaen"/>
          <w:b w:val="0"/>
          <w:szCs w:val="22"/>
          <w:lang w:val="af-ZA" w:eastAsia="en-US"/>
        </w:rPr>
        <w:t xml:space="preserve"> </w:t>
      </w:r>
      <w:r w:rsidRPr="00961B35">
        <w:rPr>
          <w:rFonts w:cs="Sylfaen"/>
          <w:b w:val="0"/>
          <w:szCs w:val="22"/>
          <w:lang w:val="en-US" w:eastAsia="en-US"/>
        </w:rPr>
        <w:t>աճն</w:t>
      </w:r>
      <w:r w:rsidRPr="00961B35">
        <w:rPr>
          <w:rFonts w:cs="Sylfaen"/>
          <w:b w:val="0"/>
          <w:szCs w:val="22"/>
          <w:lang w:val="af-ZA" w:eastAsia="en-US"/>
        </w:rPr>
        <w:t xml:space="preserve"> </w:t>
      </w:r>
      <w:r w:rsidRPr="00961B35">
        <w:rPr>
          <w:rFonts w:cs="Sylfaen"/>
          <w:b w:val="0"/>
          <w:szCs w:val="22"/>
          <w:lang w:val="en-US" w:eastAsia="en-US"/>
        </w:rPr>
        <w:t>ապահովում</w:t>
      </w:r>
      <w:r w:rsidRPr="00961B35">
        <w:rPr>
          <w:rFonts w:cs="Sylfaen"/>
          <w:b w:val="0"/>
          <w:szCs w:val="22"/>
          <w:lang w:val="af-ZA" w:eastAsia="en-US"/>
        </w:rPr>
        <w:t xml:space="preserve"> </w:t>
      </w:r>
      <w:r w:rsidRPr="00961B35">
        <w:rPr>
          <w:rFonts w:cs="Sylfaen"/>
          <w:b w:val="0"/>
          <w:szCs w:val="22"/>
          <w:lang w:val="en-US" w:eastAsia="en-US"/>
        </w:rPr>
        <w:t>է</w:t>
      </w:r>
      <w:r w:rsidRPr="00961B35">
        <w:rPr>
          <w:rFonts w:cs="Sylfaen"/>
          <w:b w:val="0"/>
          <w:szCs w:val="22"/>
          <w:lang w:val="af-ZA" w:eastAsia="en-US"/>
        </w:rPr>
        <w:t xml:space="preserve"> </w:t>
      </w:r>
      <w:r w:rsidRPr="00961B35">
        <w:rPr>
          <w:rFonts w:cs="Sylfaen"/>
          <w:b w:val="0"/>
          <w:szCs w:val="22"/>
          <w:lang w:eastAsia="en-US"/>
        </w:rPr>
        <w:t>գ</w:t>
      </w:r>
      <w:r w:rsidRPr="00961B35">
        <w:rPr>
          <w:rFonts w:cs="Sylfaen"/>
          <w:b w:val="0"/>
          <w:szCs w:val="22"/>
          <w:lang w:val="en-US" w:eastAsia="en-US"/>
        </w:rPr>
        <w:t>ործարարների</w:t>
      </w:r>
      <w:r w:rsidRPr="00961B35">
        <w:rPr>
          <w:rFonts w:cs="Sylfaen"/>
          <w:b w:val="0"/>
          <w:szCs w:val="22"/>
          <w:lang w:val="af-ZA" w:eastAsia="en-US"/>
        </w:rPr>
        <w:t xml:space="preserve"> </w:t>
      </w:r>
      <w:r w:rsidRPr="00961B35">
        <w:rPr>
          <w:rFonts w:cs="Sylfaen"/>
          <w:b w:val="0"/>
          <w:szCs w:val="22"/>
          <w:lang w:val="en-US" w:eastAsia="en-US"/>
        </w:rPr>
        <w:t>ավելի</w:t>
      </w:r>
      <w:r w:rsidRPr="00961B35">
        <w:rPr>
          <w:rFonts w:cs="Sylfaen"/>
          <w:b w:val="0"/>
          <w:szCs w:val="22"/>
          <w:lang w:val="af-ZA" w:eastAsia="en-US"/>
        </w:rPr>
        <w:t xml:space="preserve"> </w:t>
      </w:r>
      <w:r w:rsidRPr="00961B35">
        <w:rPr>
          <w:rFonts w:cs="Sylfaen"/>
          <w:b w:val="0"/>
          <w:szCs w:val="22"/>
          <w:lang w:val="en-US" w:eastAsia="en-US"/>
        </w:rPr>
        <w:t>մեծ</w:t>
      </w:r>
      <w:r w:rsidRPr="00961B35">
        <w:rPr>
          <w:rFonts w:cs="Sylfaen"/>
          <w:b w:val="0"/>
          <w:szCs w:val="22"/>
          <w:lang w:val="af-ZA" w:eastAsia="en-US"/>
        </w:rPr>
        <w:t xml:space="preserve"> </w:t>
      </w:r>
      <w:r w:rsidRPr="00961B35">
        <w:rPr>
          <w:rFonts w:cs="Sylfaen"/>
          <w:b w:val="0"/>
          <w:szCs w:val="22"/>
          <w:lang w:val="en-US" w:eastAsia="en-US"/>
        </w:rPr>
        <w:t>եկամուտներ</w:t>
      </w:r>
      <w:r w:rsidRPr="00961B35">
        <w:rPr>
          <w:b w:val="0"/>
          <w:szCs w:val="22"/>
          <w:lang w:val="af-ZA" w:eastAsia="en-US"/>
        </w:rPr>
        <w:t xml:space="preserve">, </w:t>
      </w:r>
      <w:r w:rsidRPr="00961B35">
        <w:rPr>
          <w:rFonts w:cs="Sylfaen"/>
          <w:b w:val="0"/>
          <w:szCs w:val="22"/>
          <w:lang w:val="en-US" w:eastAsia="en-US"/>
        </w:rPr>
        <w:t>որոնք</w:t>
      </w:r>
      <w:r w:rsidRPr="00961B35">
        <w:rPr>
          <w:rFonts w:cs="Sylfaen"/>
          <w:b w:val="0"/>
          <w:szCs w:val="22"/>
          <w:lang w:val="af-ZA" w:eastAsia="en-US"/>
        </w:rPr>
        <w:t xml:space="preserve"> </w:t>
      </w:r>
      <w:r w:rsidRPr="00961B35">
        <w:rPr>
          <w:rFonts w:cs="Sylfaen"/>
          <w:b w:val="0"/>
          <w:szCs w:val="22"/>
          <w:lang w:val="en-US" w:eastAsia="en-US"/>
        </w:rPr>
        <w:t>իրենց</w:t>
      </w:r>
      <w:r w:rsidRPr="00961B35">
        <w:rPr>
          <w:rFonts w:cs="Sylfaen"/>
          <w:b w:val="0"/>
          <w:szCs w:val="22"/>
          <w:lang w:val="af-ZA" w:eastAsia="en-US"/>
        </w:rPr>
        <w:t xml:space="preserve"> </w:t>
      </w:r>
      <w:r w:rsidRPr="00961B35">
        <w:rPr>
          <w:rFonts w:cs="Sylfaen"/>
          <w:b w:val="0"/>
          <w:szCs w:val="22"/>
          <w:lang w:val="en-US" w:eastAsia="en-US"/>
        </w:rPr>
        <w:t>հերթին</w:t>
      </w:r>
      <w:r w:rsidRPr="00961B35">
        <w:rPr>
          <w:rFonts w:cs="Sylfaen"/>
          <w:b w:val="0"/>
          <w:szCs w:val="22"/>
          <w:lang w:val="af-ZA" w:eastAsia="en-US"/>
        </w:rPr>
        <w:t xml:space="preserve"> </w:t>
      </w:r>
      <w:r w:rsidRPr="00961B35">
        <w:rPr>
          <w:rFonts w:cs="Sylfaen"/>
          <w:b w:val="0"/>
          <w:szCs w:val="22"/>
          <w:lang w:val="en-US" w:eastAsia="en-US"/>
        </w:rPr>
        <w:t>կառավարության</w:t>
      </w:r>
      <w:r w:rsidRPr="00961B35">
        <w:rPr>
          <w:rFonts w:cs="Sylfaen"/>
          <w:b w:val="0"/>
          <w:szCs w:val="22"/>
          <w:lang w:val="af-ZA" w:eastAsia="en-US"/>
        </w:rPr>
        <w:t xml:space="preserve"> </w:t>
      </w:r>
      <w:r w:rsidRPr="00961B35">
        <w:rPr>
          <w:rFonts w:cs="Sylfaen"/>
          <w:b w:val="0"/>
          <w:szCs w:val="22"/>
          <w:lang w:val="en-US" w:eastAsia="en-US"/>
        </w:rPr>
        <w:t>համար</w:t>
      </w:r>
      <w:r w:rsidRPr="00961B35">
        <w:rPr>
          <w:rFonts w:cs="Sylfaen"/>
          <w:b w:val="0"/>
          <w:szCs w:val="22"/>
          <w:lang w:val="af-ZA" w:eastAsia="en-US"/>
        </w:rPr>
        <w:t xml:space="preserve"> </w:t>
      </w:r>
      <w:r w:rsidRPr="00961B35">
        <w:rPr>
          <w:rFonts w:cs="Sylfaen"/>
          <w:b w:val="0"/>
          <w:szCs w:val="22"/>
          <w:lang w:val="en-US" w:eastAsia="en-US"/>
        </w:rPr>
        <w:t>ապահովում</w:t>
      </w:r>
      <w:r w:rsidRPr="00961B35">
        <w:rPr>
          <w:rFonts w:cs="Sylfaen"/>
          <w:b w:val="0"/>
          <w:szCs w:val="22"/>
          <w:lang w:val="af-ZA" w:eastAsia="en-US"/>
        </w:rPr>
        <w:t xml:space="preserve"> </w:t>
      </w:r>
      <w:r w:rsidRPr="00961B35">
        <w:rPr>
          <w:rFonts w:cs="Sylfaen"/>
          <w:b w:val="0"/>
          <w:szCs w:val="22"/>
          <w:lang w:val="en-US" w:eastAsia="en-US"/>
        </w:rPr>
        <w:t>են</w:t>
      </w:r>
      <w:r w:rsidRPr="00961B35">
        <w:rPr>
          <w:rFonts w:cs="Sylfaen"/>
          <w:b w:val="0"/>
          <w:szCs w:val="22"/>
          <w:lang w:val="af-ZA" w:eastAsia="en-US"/>
        </w:rPr>
        <w:t xml:space="preserve"> </w:t>
      </w:r>
      <w:r w:rsidRPr="00961B35">
        <w:rPr>
          <w:rFonts w:cs="Sylfaen"/>
          <w:b w:val="0"/>
          <w:szCs w:val="22"/>
          <w:lang w:val="en-US" w:eastAsia="en-US"/>
        </w:rPr>
        <w:t>ավելի</w:t>
      </w:r>
      <w:r w:rsidRPr="00961B35">
        <w:rPr>
          <w:rFonts w:cs="Sylfaen"/>
          <w:b w:val="0"/>
          <w:szCs w:val="22"/>
          <w:lang w:val="af-ZA" w:eastAsia="en-US"/>
        </w:rPr>
        <w:t xml:space="preserve"> </w:t>
      </w:r>
      <w:r w:rsidRPr="00961B35">
        <w:rPr>
          <w:rFonts w:cs="Sylfaen"/>
          <w:b w:val="0"/>
          <w:szCs w:val="22"/>
          <w:lang w:val="en-US" w:eastAsia="en-US"/>
        </w:rPr>
        <w:t>մեծ</w:t>
      </w:r>
      <w:r w:rsidRPr="00961B35">
        <w:rPr>
          <w:rFonts w:cs="Sylfaen"/>
          <w:b w:val="0"/>
          <w:szCs w:val="22"/>
          <w:lang w:val="af-ZA" w:eastAsia="en-US"/>
        </w:rPr>
        <w:t xml:space="preserve"> </w:t>
      </w:r>
      <w:r w:rsidRPr="00961B35">
        <w:rPr>
          <w:rFonts w:cs="Sylfaen"/>
          <w:b w:val="0"/>
          <w:szCs w:val="22"/>
          <w:lang w:val="en-US" w:eastAsia="en-US"/>
        </w:rPr>
        <w:t>հարկային</w:t>
      </w:r>
      <w:r w:rsidRPr="00961B35">
        <w:rPr>
          <w:rFonts w:cs="Sylfaen"/>
          <w:b w:val="0"/>
          <w:szCs w:val="22"/>
          <w:lang w:val="af-ZA" w:eastAsia="en-US"/>
        </w:rPr>
        <w:t xml:space="preserve"> </w:t>
      </w:r>
      <w:r w:rsidRPr="00961B35">
        <w:rPr>
          <w:rFonts w:cs="Sylfaen"/>
          <w:b w:val="0"/>
          <w:szCs w:val="22"/>
          <w:lang w:val="en-US" w:eastAsia="en-US"/>
        </w:rPr>
        <w:t>եկամուտներ</w:t>
      </w:r>
      <w:r w:rsidRPr="00961B35">
        <w:rPr>
          <w:b w:val="0"/>
          <w:szCs w:val="22"/>
          <w:lang w:val="af-ZA" w:eastAsia="en-US"/>
        </w:rPr>
        <w:t xml:space="preserve">: </w:t>
      </w:r>
      <w:r w:rsidRPr="00961B35">
        <w:rPr>
          <w:rFonts w:cs="Sylfaen"/>
          <w:b w:val="0"/>
          <w:szCs w:val="22"/>
          <w:lang w:val="en-US" w:eastAsia="en-US"/>
        </w:rPr>
        <w:t>Եվ</w:t>
      </w:r>
      <w:r w:rsidRPr="00961B35">
        <w:rPr>
          <w:rFonts w:cs="Sylfaen"/>
          <w:b w:val="0"/>
          <w:szCs w:val="22"/>
          <w:lang w:val="af-ZA" w:eastAsia="en-US"/>
        </w:rPr>
        <w:t xml:space="preserve"> </w:t>
      </w:r>
      <w:r w:rsidRPr="00961B35">
        <w:rPr>
          <w:rFonts w:cs="Sylfaen"/>
          <w:b w:val="0"/>
          <w:szCs w:val="22"/>
          <w:lang w:val="en-US" w:eastAsia="en-US"/>
        </w:rPr>
        <w:t>հակառակը</w:t>
      </w:r>
      <w:r w:rsidRPr="00961B35">
        <w:rPr>
          <w:b w:val="0"/>
          <w:szCs w:val="22"/>
          <w:lang w:val="af-ZA" w:eastAsia="en-US"/>
        </w:rPr>
        <w:t xml:space="preserve">,  </w:t>
      </w:r>
      <w:r w:rsidRPr="00961B35">
        <w:rPr>
          <w:rFonts w:cs="Sylfaen"/>
          <w:b w:val="0"/>
          <w:szCs w:val="22"/>
          <w:lang w:val="en-US" w:eastAsia="en-US"/>
        </w:rPr>
        <w:t>տնտեսական</w:t>
      </w:r>
      <w:r w:rsidRPr="00961B35">
        <w:rPr>
          <w:rFonts w:cs="Sylfaen"/>
          <w:b w:val="0"/>
          <w:szCs w:val="22"/>
          <w:lang w:val="af-ZA" w:eastAsia="en-US"/>
        </w:rPr>
        <w:t xml:space="preserve"> </w:t>
      </w:r>
      <w:r w:rsidRPr="00961B35">
        <w:rPr>
          <w:rFonts w:cs="Sylfaen"/>
          <w:b w:val="0"/>
          <w:szCs w:val="22"/>
          <w:lang w:val="en-US" w:eastAsia="en-US"/>
        </w:rPr>
        <w:t>աճի</w:t>
      </w:r>
      <w:r w:rsidRPr="00961B35">
        <w:rPr>
          <w:rFonts w:cs="Sylfaen"/>
          <w:b w:val="0"/>
          <w:szCs w:val="22"/>
          <w:lang w:val="af-ZA" w:eastAsia="en-US"/>
        </w:rPr>
        <w:t xml:space="preserve"> </w:t>
      </w:r>
      <w:r w:rsidRPr="00961B35">
        <w:rPr>
          <w:rFonts w:cs="Sylfaen"/>
          <w:b w:val="0"/>
          <w:szCs w:val="22"/>
          <w:lang w:val="en-US" w:eastAsia="en-US"/>
        </w:rPr>
        <w:t>ցածր</w:t>
      </w:r>
      <w:r w:rsidRPr="00961B35">
        <w:rPr>
          <w:rFonts w:cs="Sylfaen"/>
          <w:b w:val="0"/>
          <w:szCs w:val="22"/>
          <w:lang w:val="af-ZA" w:eastAsia="en-US"/>
        </w:rPr>
        <w:t xml:space="preserve"> </w:t>
      </w:r>
      <w:r w:rsidRPr="00961B35">
        <w:rPr>
          <w:rFonts w:cs="Sylfaen"/>
          <w:b w:val="0"/>
          <w:szCs w:val="22"/>
          <w:lang w:val="en-US" w:eastAsia="en-US"/>
        </w:rPr>
        <w:t>մակարդակը</w:t>
      </w:r>
      <w:r w:rsidRPr="00961B35">
        <w:rPr>
          <w:rFonts w:cs="Sylfaen"/>
          <w:b w:val="0"/>
          <w:szCs w:val="22"/>
          <w:lang w:val="af-ZA" w:eastAsia="en-US"/>
        </w:rPr>
        <w:t xml:space="preserve"> </w:t>
      </w:r>
      <w:r w:rsidRPr="00961B35">
        <w:rPr>
          <w:rFonts w:cs="Sylfaen"/>
          <w:b w:val="0"/>
          <w:szCs w:val="22"/>
          <w:lang w:val="en-US" w:eastAsia="en-US"/>
        </w:rPr>
        <w:t>բերում</w:t>
      </w:r>
      <w:r w:rsidRPr="00961B35">
        <w:rPr>
          <w:rFonts w:cs="Sylfaen"/>
          <w:b w:val="0"/>
          <w:szCs w:val="22"/>
          <w:lang w:val="af-ZA" w:eastAsia="en-US"/>
        </w:rPr>
        <w:t xml:space="preserve"> </w:t>
      </w:r>
      <w:r w:rsidRPr="00961B35">
        <w:rPr>
          <w:rFonts w:cs="Sylfaen"/>
          <w:b w:val="0"/>
          <w:szCs w:val="22"/>
          <w:lang w:val="en-US" w:eastAsia="en-US"/>
        </w:rPr>
        <w:t>է</w:t>
      </w:r>
      <w:r w:rsidRPr="00961B35">
        <w:rPr>
          <w:rFonts w:cs="Sylfaen"/>
          <w:b w:val="0"/>
          <w:szCs w:val="22"/>
          <w:lang w:val="af-ZA" w:eastAsia="en-US"/>
        </w:rPr>
        <w:t xml:space="preserve"> </w:t>
      </w:r>
      <w:r w:rsidRPr="00961B35">
        <w:rPr>
          <w:rFonts w:cs="Sylfaen"/>
          <w:b w:val="0"/>
          <w:szCs w:val="22"/>
          <w:lang w:val="en-US" w:eastAsia="en-US"/>
        </w:rPr>
        <w:t>հարկերի</w:t>
      </w:r>
      <w:r w:rsidRPr="00961B35">
        <w:rPr>
          <w:rFonts w:cs="Sylfaen"/>
          <w:b w:val="0"/>
          <w:szCs w:val="22"/>
          <w:lang w:val="af-ZA" w:eastAsia="en-US"/>
        </w:rPr>
        <w:t xml:space="preserve"> </w:t>
      </w:r>
      <w:r w:rsidRPr="00961B35">
        <w:rPr>
          <w:rFonts w:cs="Sylfaen"/>
          <w:b w:val="0"/>
          <w:szCs w:val="22"/>
          <w:lang w:val="en-US" w:eastAsia="en-US"/>
        </w:rPr>
        <w:t>ավելի</w:t>
      </w:r>
      <w:r w:rsidRPr="00961B35">
        <w:rPr>
          <w:rFonts w:cs="Sylfaen"/>
          <w:b w:val="0"/>
          <w:szCs w:val="22"/>
          <w:lang w:val="af-ZA" w:eastAsia="en-US"/>
        </w:rPr>
        <w:t xml:space="preserve"> </w:t>
      </w:r>
      <w:r w:rsidRPr="00961B35">
        <w:rPr>
          <w:rFonts w:cs="Sylfaen"/>
          <w:b w:val="0"/>
          <w:szCs w:val="22"/>
          <w:lang w:val="en-US" w:eastAsia="en-US"/>
        </w:rPr>
        <w:t>ցածր</w:t>
      </w:r>
      <w:r w:rsidRPr="00961B35">
        <w:rPr>
          <w:rFonts w:cs="Sylfaen"/>
          <w:b w:val="0"/>
          <w:szCs w:val="22"/>
          <w:lang w:val="af-ZA" w:eastAsia="en-US"/>
        </w:rPr>
        <w:t xml:space="preserve"> </w:t>
      </w:r>
      <w:r w:rsidRPr="00961B35">
        <w:rPr>
          <w:rFonts w:cs="Sylfaen"/>
          <w:b w:val="0"/>
          <w:szCs w:val="22"/>
          <w:lang w:val="en-US" w:eastAsia="en-US"/>
        </w:rPr>
        <w:t>մակարդակի</w:t>
      </w:r>
      <w:r w:rsidRPr="00961B35">
        <w:rPr>
          <w:rFonts w:cs="Sylfaen"/>
          <w:b w:val="0"/>
          <w:szCs w:val="22"/>
          <w:lang w:val="af-ZA" w:eastAsia="en-US"/>
        </w:rPr>
        <w:t xml:space="preserve"> </w:t>
      </w:r>
      <w:r w:rsidRPr="00961B35">
        <w:rPr>
          <w:rFonts w:cs="Sylfaen"/>
          <w:b w:val="0"/>
          <w:szCs w:val="22"/>
          <w:lang w:val="en-US" w:eastAsia="en-US"/>
        </w:rPr>
        <w:t>և</w:t>
      </w:r>
      <w:r w:rsidRPr="00961B35">
        <w:rPr>
          <w:rFonts w:cs="Sylfaen"/>
          <w:b w:val="0"/>
          <w:szCs w:val="22"/>
          <w:lang w:val="af-ZA" w:eastAsia="en-US"/>
        </w:rPr>
        <w:t xml:space="preserve"> </w:t>
      </w:r>
      <w:r w:rsidRPr="00961B35">
        <w:rPr>
          <w:rFonts w:cs="Sylfaen"/>
          <w:b w:val="0"/>
          <w:szCs w:val="22"/>
          <w:lang w:val="en-US" w:eastAsia="en-US"/>
        </w:rPr>
        <w:t>կառավարության</w:t>
      </w:r>
      <w:r w:rsidRPr="00961B35">
        <w:rPr>
          <w:rFonts w:cs="Sylfaen"/>
          <w:b w:val="0"/>
          <w:szCs w:val="22"/>
          <w:lang w:val="af-ZA" w:eastAsia="en-US"/>
        </w:rPr>
        <w:t xml:space="preserve"> </w:t>
      </w:r>
      <w:r w:rsidRPr="00961B35">
        <w:rPr>
          <w:rFonts w:cs="Sylfaen"/>
          <w:b w:val="0"/>
          <w:szCs w:val="22"/>
          <w:lang w:val="en-US" w:eastAsia="en-US"/>
        </w:rPr>
        <w:t>կողմից</w:t>
      </w:r>
      <w:r w:rsidRPr="00961B35">
        <w:rPr>
          <w:rFonts w:cs="Sylfaen"/>
          <w:b w:val="0"/>
          <w:szCs w:val="22"/>
          <w:lang w:val="af-ZA" w:eastAsia="en-US"/>
        </w:rPr>
        <w:t xml:space="preserve"> </w:t>
      </w:r>
      <w:r w:rsidRPr="00961B35">
        <w:rPr>
          <w:rFonts w:cs="Sylfaen"/>
          <w:b w:val="0"/>
          <w:szCs w:val="22"/>
          <w:lang w:val="en-US" w:eastAsia="en-US"/>
        </w:rPr>
        <w:t>տրամադրվող</w:t>
      </w:r>
      <w:r w:rsidRPr="00961B35">
        <w:rPr>
          <w:rFonts w:cs="Sylfaen"/>
          <w:b w:val="0"/>
          <w:szCs w:val="22"/>
          <w:lang w:val="af-ZA" w:eastAsia="en-US"/>
        </w:rPr>
        <w:t xml:space="preserve"> </w:t>
      </w:r>
      <w:r w:rsidRPr="00961B35">
        <w:rPr>
          <w:rFonts w:cs="Sylfaen"/>
          <w:b w:val="0"/>
          <w:szCs w:val="22"/>
          <w:lang w:val="en-US" w:eastAsia="en-US"/>
        </w:rPr>
        <w:t>սոցիալական</w:t>
      </w:r>
      <w:r w:rsidRPr="00961B35">
        <w:rPr>
          <w:rFonts w:cs="Sylfaen"/>
          <w:b w:val="0"/>
          <w:szCs w:val="22"/>
          <w:lang w:val="af-ZA" w:eastAsia="en-US"/>
        </w:rPr>
        <w:t xml:space="preserve"> </w:t>
      </w:r>
      <w:r w:rsidRPr="00961B35">
        <w:rPr>
          <w:rFonts w:cs="Sylfaen"/>
          <w:b w:val="0"/>
          <w:szCs w:val="22"/>
          <w:lang w:val="en-US" w:eastAsia="en-US"/>
        </w:rPr>
        <w:t>աջակցության</w:t>
      </w:r>
      <w:r w:rsidRPr="00961B35">
        <w:rPr>
          <w:rFonts w:cs="Sylfaen"/>
          <w:b w:val="0"/>
          <w:szCs w:val="22"/>
          <w:lang w:val="af-ZA" w:eastAsia="en-US"/>
        </w:rPr>
        <w:t xml:space="preserve"> </w:t>
      </w:r>
      <w:r w:rsidRPr="00961B35">
        <w:rPr>
          <w:rFonts w:cs="Sylfaen"/>
          <w:b w:val="0"/>
          <w:szCs w:val="22"/>
          <w:lang w:val="en-US" w:eastAsia="en-US"/>
        </w:rPr>
        <w:t>և</w:t>
      </w:r>
      <w:r w:rsidRPr="00961B35">
        <w:rPr>
          <w:rFonts w:cs="Sylfaen"/>
          <w:b w:val="0"/>
          <w:szCs w:val="22"/>
          <w:lang w:val="af-ZA" w:eastAsia="en-US"/>
        </w:rPr>
        <w:t xml:space="preserve"> </w:t>
      </w:r>
      <w:r w:rsidRPr="00961B35">
        <w:rPr>
          <w:rFonts w:cs="Sylfaen"/>
          <w:b w:val="0"/>
          <w:szCs w:val="22"/>
          <w:lang w:val="en-US" w:eastAsia="en-US"/>
        </w:rPr>
        <w:t>օժանդակության</w:t>
      </w:r>
      <w:r w:rsidRPr="00961B35">
        <w:rPr>
          <w:rFonts w:cs="Sylfaen"/>
          <w:b w:val="0"/>
          <w:szCs w:val="22"/>
          <w:lang w:val="af-ZA" w:eastAsia="en-US"/>
        </w:rPr>
        <w:t xml:space="preserve"> </w:t>
      </w:r>
      <w:r w:rsidRPr="00961B35">
        <w:rPr>
          <w:rFonts w:cs="Sylfaen"/>
          <w:b w:val="0"/>
          <w:szCs w:val="22"/>
          <w:lang w:val="en-US" w:eastAsia="en-US"/>
        </w:rPr>
        <w:t>ավելի</w:t>
      </w:r>
      <w:r w:rsidRPr="00961B35">
        <w:rPr>
          <w:rFonts w:cs="Sylfaen"/>
          <w:b w:val="0"/>
          <w:szCs w:val="22"/>
          <w:lang w:val="af-ZA" w:eastAsia="en-US"/>
        </w:rPr>
        <w:t xml:space="preserve"> </w:t>
      </w:r>
      <w:r w:rsidRPr="00961B35">
        <w:rPr>
          <w:rFonts w:cs="Sylfaen"/>
          <w:b w:val="0"/>
          <w:szCs w:val="22"/>
          <w:lang w:val="en-US" w:eastAsia="en-US"/>
        </w:rPr>
        <w:t>մեծ</w:t>
      </w:r>
      <w:r w:rsidRPr="00961B35">
        <w:rPr>
          <w:rFonts w:cs="Sylfaen"/>
          <w:b w:val="0"/>
          <w:szCs w:val="22"/>
          <w:lang w:val="af-ZA" w:eastAsia="en-US"/>
        </w:rPr>
        <w:t xml:space="preserve"> </w:t>
      </w:r>
      <w:r w:rsidRPr="00961B35">
        <w:rPr>
          <w:rFonts w:cs="Sylfaen"/>
          <w:b w:val="0"/>
          <w:szCs w:val="22"/>
          <w:lang w:val="en-US" w:eastAsia="en-US"/>
        </w:rPr>
        <w:t>պահանջարկի</w:t>
      </w:r>
      <w:r w:rsidRPr="00961B35">
        <w:rPr>
          <w:b w:val="0"/>
          <w:szCs w:val="22"/>
          <w:lang w:val="af-ZA" w:eastAsia="en-US"/>
        </w:rPr>
        <w:t xml:space="preserve">: </w:t>
      </w:r>
      <w:r w:rsidRPr="00961B35">
        <w:rPr>
          <w:rFonts w:cs="Sylfaen"/>
          <w:b w:val="0"/>
          <w:szCs w:val="22"/>
          <w:lang w:val="en-US" w:eastAsia="en-US"/>
        </w:rPr>
        <w:t>Մակրոտնտեսական</w:t>
      </w:r>
      <w:r w:rsidRPr="00961B35">
        <w:rPr>
          <w:rFonts w:cs="Sylfaen"/>
          <w:b w:val="0"/>
          <w:szCs w:val="22"/>
          <w:lang w:val="af-ZA" w:eastAsia="en-US"/>
        </w:rPr>
        <w:t xml:space="preserve"> </w:t>
      </w:r>
      <w:r w:rsidRPr="00961B35">
        <w:rPr>
          <w:rFonts w:cs="Sylfaen"/>
          <w:b w:val="0"/>
          <w:szCs w:val="22"/>
          <w:lang w:val="en-US" w:eastAsia="en-US"/>
        </w:rPr>
        <w:t>կանխատեսումները</w:t>
      </w:r>
      <w:r w:rsidRPr="00961B35">
        <w:rPr>
          <w:rFonts w:cs="Sylfaen"/>
          <w:b w:val="0"/>
          <w:szCs w:val="22"/>
          <w:lang w:val="af-ZA" w:eastAsia="en-US"/>
        </w:rPr>
        <w:t xml:space="preserve"> </w:t>
      </w:r>
      <w:r w:rsidRPr="00961B35">
        <w:rPr>
          <w:rFonts w:cs="Sylfaen"/>
          <w:b w:val="0"/>
          <w:szCs w:val="22"/>
          <w:lang w:val="en-US" w:eastAsia="en-US"/>
        </w:rPr>
        <w:t>նաև</w:t>
      </w:r>
      <w:r w:rsidRPr="00961B35">
        <w:rPr>
          <w:rFonts w:cs="Sylfaen"/>
          <w:b w:val="0"/>
          <w:szCs w:val="22"/>
          <w:lang w:val="af-ZA" w:eastAsia="en-US"/>
        </w:rPr>
        <w:t xml:space="preserve"> </w:t>
      </w:r>
      <w:r w:rsidRPr="00961B35">
        <w:rPr>
          <w:rFonts w:cs="Sylfaen"/>
          <w:b w:val="0"/>
          <w:szCs w:val="22"/>
          <w:lang w:val="en-US" w:eastAsia="en-US"/>
        </w:rPr>
        <w:t>հիմք</w:t>
      </w:r>
      <w:r w:rsidRPr="00961B35">
        <w:rPr>
          <w:rFonts w:cs="Sylfaen"/>
          <w:b w:val="0"/>
          <w:szCs w:val="22"/>
          <w:lang w:val="af-ZA" w:eastAsia="en-US"/>
        </w:rPr>
        <w:t xml:space="preserve"> </w:t>
      </w:r>
      <w:r w:rsidRPr="00961B35">
        <w:rPr>
          <w:rFonts w:cs="Sylfaen"/>
          <w:b w:val="0"/>
          <w:szCs w:val="22"/>
          <w:lang w:val="en-US" w:eastAsia="en-US"/>
        </w:rPr>
        <w:t>են</w:t>
      </w:r>
      <w:r w:rsidRPr="00961B35">
        <w:rPr>
          <w:rFonts w:cs="Sylfaen"/>
          <w:b w:val="0"/>
          <w:szCs w:val="22"/>
          <w:lang w:val="af-ZA" w:eastAsia="en-US"/>
        </w:rPr>
        <w:t xml:space="preserve"> </w:t>
      </w:r>
      <w:r w:rsidRPr="00961B35">
        <w:rPr>
          <w:rFonts w:cs="Sylfaen"/>
          <w:b w:val="0"/>
          <w:szCs w:val="22"/>
          <w:lang w:val="en-US" w:eastAsia="en-US"/>
        </w:rPr>
        <w:t>հանդիսանում</w:t>
      </w:r>
      <w:r w:rsidRPr="00961B35">
        <w:rPr>
          <w:rFonts w:cs="Sylfaen"/>
          <w:b w:val="0"/>
          <w:szCs w:val="22"/>
          <w:lang w:val="af-ZA" w:eastAsia="en-US"/>
        </w:rPr>
        <w:t xml:space="preserve"> </w:t>
      </w:r>
      <w:r w:rsidRPr="00961B35">
        <w:rPr>
          <w:rFonts w:cs="Sylfaen"/>
          <w:b w:val="0"/>
          <w:szCs w:val="22"/>
          <w:lang w:val="en-US" w:eastAsia="en-US"/>
        </w:rPr>
        <w:t>ապա</w:t>
      </w:r>
      <w:r w:rsidRPr="00961B35">
        <w:rPr>
          <w:rFonts w:cs="Sylfaen"/>
          <w:b w:val="0"/>
          <w:szCs w:val="22"/>
          <w:lang w:eastAsia="en-US"/>
        </w:rPr>
        <w:t>գ</w:t>
      </w:r>
      <w:r w:rsidRPr="00961B35">
        <w:rPr>
          <w:rFonts w:cs="Sylfaen"/>
          <w:b w:val="0"/>
          <w:szCs w:val="22"/>
          <w:lang w:val="en-US" w:eastAsia="en-US"/>
        </w:rPr>
        <w:t>այում</w:t>
      </w:r>
      <w:r w:rsidRPr="00961B35">
        <w:rPr>
          <w:rFonts w:cs="Sylfaen"/>
          <w:b w:val="0"/>
          <w:szCs w:val="22"/>
          <w:lang w:val="af-ZA" w:eastAsia="en-US"/>
        </w:rPr>
        <w:t xml:space="preserve"> </w:t>
      </w:r>
      <w:r w:rsidRPr="00961B35">
        <w:rPr>
          <w:rFonts w:cs="Sylfaen"/>
          <w:b w:val="0"/>
          <w:szCs w:val="22"/>
          <w:lang w:val="en-US" w:eastAsia="en-US"/>
        </w:rPr>
        <w:t>բյուջեի</w:t>
      </w:r>
      <w:r w:rsidRPr="00961B35">
        <w:rPr>
          <w:rFonts w:cs="Sylfaen"/>
          <w:b w:val="0"/>
          <w:szCs w:val="22"/>
          <w:lang w:val="af-ZA" w:eastAsia="en-US"/>
        </w:rPr>
        <w:t xml:space="preserve"> </w:t>
      </w:r>
      <w:r w:rsidRPr="00961B35">
        <w:rPr>
          <w:rFonts w:cs="Sylfaen"/>
          <w:b w:val="0"/>
          <w:szCs w:val="22"/>
          <w:lang w:val="en-US" w:eastAsia="en-US"/>
        </w:rPr>
        <w:t>վրա</w:t>
      </w:r>
      <w:r w:rsidRPr="00961B35">
        <w:rPr>
          <w:rFonts w:cs="Sylfaen"/>
          <w:b w:val="0"/>
          <w:szCs w:val="22"/>
          <w:lang w:val="af-ZA" w:eastAsia="en-US"/>
        </w:rPr>
        <w:t xml:space="preserve"> </w:t>
      </w:r>
      <w:r w:rsidRPr="00961B35">
        <w:rPr>
          <w:rFonts w:cs="Sylfaen"/>
          <w:b w:val="0"/>
          <w:szCs w:val="22"/>
          <w:lang w:val="en-US" w:eastAsia="en-US"/>
        </w:rPr>
        <w:t>հնարավոր</w:t>
      </w:r>
      <w:r w:rsidRPr="00961B35">
        <w:rPr>
          <w:rFonts w:cs="Sylfaen"/>
          <w:b w:val="0"/>
          <w:szCs w:val="22"/>
          <w:lang w:val="af-ZA" w:eastAsia="en-US"/>
        </w:rPr>
        <w:t xml:space="preserve"> </w:t>
      </w:r>
      <w:r w:rsidRPr="00961B35">
        <w:rPr>
          <w:rFonts w:cs="Sylfaen"/>
          <w:b w:val="0"/>
          <w:szCs w:val="22"/>
          <w:lang w:val="en-US" w:eastAsia="en-US"/>
        </w:rPr>
        <w:t>ծանրաբեռնվածության</w:t>
      </w:r>
      <w:r w:rsidRPr="00961B35">
        <w:rPr>
          <w:rFonts w:cs="Sylfaen"/>
          <w:b w:val="0"/>
          <w:szCs w:val="22"/>
          <w:lang w:val="af-ZA" w:eastAsia="en-US"/>
        </w:rPr>
        <w:t xml:space="preserve"> </w:t>
      </w:r>
      <w:r w:rsidRPr="00961B35">
        <w:rPr>
          <w:rFonts w:cs="Sylfaen"/>
          <w:b w:val="0"/>
          <w:szCs w:val="22"/>
          <w:lang w:val="en-US" w:eastAsia="en-US"/>
        </w:rPr>
        <w:t>մեծացման</w:t>
      </w:r>
      <w:r w:rsidRPr="00961B35">
        <w:rPr>
          <w:rFonts w:cs="Sylfaen"/>
          <w:b w:val="0"/>
          <w:szCs w:val="22"/>
          <w:lang w:val="af-ZA" w:eastAsia="en-US"/>
        </w:rPr>
        <w:t xml:space="preserve"> </w:t>
      </w:r>
      <w:r w:rsidRPr="00961B35">
        <w:rPr>
          <w:rFonts w:cs="Sylfaen"/>
          <w:b w:val="0"/>
          <w:szCs w:val="22"/>
          <w:lang w:val="en-US" w:eastAsia="en-US"/>
        </w:rPr>
        <w:t>հետ</w:t>
      </w:r>
      <w:r w:rsidRPr="00961B35">
        <w:rPr>
          <w:rFonts w:cs="Sylfaen"/>
          <w:b w:val="0"/>
          <w:szCs w:val="22"/>
          <w:lang w:val="af-ZA" w:eastAsia="en-US"/>
        </w:rPr>
        <w:t xml:space="preserve"> </w:t>
      </w:r>
      <w:r w:rsidRPr="00961B35">
        <w:rPr>
          <w:rFonts w:cs="Sylfaen"/>
          <w:b w:val="0"/>
          <w:szCs w:val="22"/>
          <w:lang w:val="en-US" w:eastAsia="en-US"/>
        </w:rPr>
        <w:t>կապված</w:t>
      </w:r>
      <w:r w:rsidRPr="00961B35">
        <w:rPr>
          <w:rFonts w:cs="Sylfaen"/>
          <w:b w:val="0"/>
          <w:szCs w:val="22"/>
          <w:lang w:val="af-ZA" w:eastAsia="en-US"/>
        </w:rPr>
        <w:t xml:space="preserve"> </w:t>
      </w:r>
      <w:r w:rsidRPr="00961B35">
        <w:rPr>
          <w:rFonts w:cs="Sylfaen"/>
          <w:b w:val="0"/>
          <w:szCs w:val="22"/>
          <w:lang w:val="en-US" w:eastAsia="en-US"/>
        </w:rPr>
        <w:t>ռիսկերի</w:t>
      </w:r>
      <w:r w:rsidRPr="00961B35">
        <w:rPr>
          <w:rFonts w:cs="Sylfaen"/>
          <w:b w:val="0"/>
          <w:szCs w:val="22"/>
          <w:lang w:val="af-ZA" w:eastAsia="en-US"/>
        </w:rPr>
        <w:t xml:space="preserve"> </w:t>
      </w:r>
      <w:r w:rsidRPr="00961B35">
        <w:rPr>
          <w:rFonts w:cs="Sylfaen"/>
          <w:b w:val="0"/>
          <w:szCs w:val="22"/>
          <w:lang w:eastAsia="en-US"/>
        </w:rPr>
        <w:t>գ</w:t>
      </w:r>
      <w:r w:rsidRPr="00961B35">
        <w:rPr>
          <w:rFonts w:cs="Sylfaen"/>
          <w:b w:val="0"/>
          <w:szCs w:val="22"/>
          <w:lang w:val="en-US" w:eastAsia="en-US"/>
        </w:rPr>
        <w:t>նահատման</w:t>
      </w:r>
      <w:r w:rsidRPr="00961B35">
        <w:rPr>
          <w:rFonts w:cs="Sylfaen"/>
          <w:b w:val="0"/>
          <w:szCs w:val="22"/>
          <w:lang w:val="af-ZA" w:eastAsia="en-US"/>
        </w:rPr>
        <w:t xml:space="preserve"> </w:t>
      </w:r>
      <w:r w:rsidRPr="00961B35">
        <w:rPr>
          <w:rFonts w:cs="Sylfaen"/>
          <w:b w:val="0"/>
          <w:szCs w:val="22"/>
          <w:lang w:val="en-US" w:eastAsia="en-US"/>
        </w:rPr>
        <w:t>համար</w:t>
      </w:r>
      <w:r w:rsidRPr="00961B35">
        <w:rPr>
          <w:b w:val="0"/>
          <w:szCs w:val="22"/>
          <w:lang w:val="af-ZA" w:eastAsia="en-US"/>
        </w:rPr>
        <w:t>:</w:t>
      </w:r>
    </w:p>
    <w:p w:rsidR="00961B35" w:rsidRPr="00961B35" w:rsidRDefault="00961B35" w:rsidP="00961B35">
      <w:pPr>
        <w:spacing w:before="0"/>
        <w:ind w:firstLine="450"/>
        <w:contextualSpacing w:val="0"/>
        <w:jc w:val="center"/>
        <w:rPr>
          <w:rFonts w:cs="Sylfaen"/>
          <w:szCs w:val="22"/>
          <w:lang w:val="af-ZA" w:eastAsia="en-US"/>
        </w:rPr>
      </w:pPr>
    </w:p>
    <w:p w:rsidR="00961B35" w:rsidRPr="00961B35" w:rsidRDefault="00961B35" w:rsidP="00961B35">
      <w:pPr>
        <w:spacing w:before="0"/>
        <w:ind w:firstLine="0"/>
        <w:contextualSpacing w:val="0"/>
        <w:jc w:val="center"/>
        <w:rPr>
          <w:rFonts w:cs="Sylfaen"/>
          <w:szCs w:val="22"/>
          <w:lang w:val="af-ZA" w:eastAsia="en-US"/>
        </w:rPr>
      </w:pPr>
      <w:r w:rsidRPr="00961B35">
        <w:rPr>
          <w:rFonts w:cs="Sylfaen"/>
          <w:szCs w:val="22"/>
          <w:lang w:val="en-US" w:eastAsia="en-US"/>
        </w:rPr>
        <w:t>Տնտեսության</w:t>
      </w:r>
      <w:r w:rsidRPr="00961B35">
        <w:rPr>
          <w:szCs w:val="22"/>
          <w:lang w:val="af-ZA" w:eastAsia="en-US"/>
        </w:rPr>
        <w:t xml:space="preserve"> </w:t>
      </w:r>
      <w:r w:rsidRPr="00961B35">
        <w:rPr>
          <w:rFonts w:cs="Sylfaen"/>
          <w:szCs w:val="22"/>
          <w:lang w:val="en-US" w:eastAsia="en-US"/>
        </w:rPr>
        <w:t>նկարա</w:t>
      </w:r>
      <w:r w:rsidRPr="00961B35">
        <w:rPr>
          <w:rFonts w:cs="Sylfaen"/>
          <w:szCs w:val="22"/>
          <w:lang w:eastAsia="en-US"/>
        </w:rPr>
        <w:t>գ</w:t>
      </w:r>
      <w:r w:rsidRPr="00961B35">
        <w:rPr>
          <w:rFonts w:cs="Sylfaen"/>
          <w:szCs w:val="22"/>
          <w:lang w:val="en-US" w:eastAsia="en-US"/>
        </w:rPr>
        <w:t>րություն</w:t>
      </w:r>
    </w:p>
    <w:p w:rsidR="00961B35" w:rsidRPr="00961B35" w:rsidRDefault="00961B35" w:rsidP="00961B35">
      <w:pPr>
        <w:spacing w:before="0"/>
        <w:ind w:firstLine="450"/>
        <w:contextualSpacing w:val="0"/>
        <w:jc w:val="center"/>
        <w:rPr>
          <w:szCs w:val="22"/>
          <w:lang w:val="af-ZA" w:eastAsia="en-US"/>
        </w:rPr>
      </w:pPr>
    </w:p>
    <w:p w:rsidR="00961B35" w:rsidRPr="00961B35" w:rsidRDefault="00961B35" w:rsidP="00961B35">
      <w:pPr>
        <w:spacing w:before="0"/>
        <w:ind w:firstLine="450"/>
        <w:contextualSpacing w:val="0"/>
        <w:rPr>
          <w:b w:val="0"/>
          <w:szCs w:val="22"/>
          <w:lang w:val="af-ZA" w:eastAsia="en-US"/>
        </w:rPr>
      </w:pPr>
      <w:r w:rsidRPr="00961B35">
        <w:rPr>
          <w:rFonts w:cs="Sylfaen"/>
          <w:szCs w:val="22"/>
          <w:lang w:val="en-US" w:eastAsia="en-US"/>
        </w:rPr>
        <w:t>Տնտեսությունը</w:t>
      </w:r>
      <w:r w:rsidRPr="00961B35">
        <w:rPr>
          <w:rFonts w:cs="Sylfaen"/>
          <w:szCs w:val="22"/>
          <w:lang w:val="hy-AM" w:eastAsia="en-US"/>
        </w:rPr>
        <w:t xml:space="preserve"> </w:t>
      </w:r>
      <w:r w:rsidRPr="00961B35">
        <w:rPr>
          <w:rFonts w:cs="Sylfaen"/>
          <w:szCs w:val="22"/>
          <w:lang w:val="en-US" w:eastAsia="en-US"/>
        </w:rPr>
        <w:t>կարելի</w:t>
      </w:r>
      <w:r w:rsidRPr="00961B35">
        <w:rPr>
          <w:rFonts w:cs="Sylfaen"/>
          <w:szCs w:val="22"/>
          <w:lang w:val="hy-AM" w:eastAsia="en-US"/>
        </w:rPr>
        <w:t xml:space="preserve"> </w:t>
      </w:r>
      <w:r w:rsidRPr="00961B35">
        <w:rPr>
          <w:rFonts w:cs="Sylfaen"/>
          <w:szCs w:val="22"/>
          <w:lang w:val="en-US" w:eastAsia="en-US"/>
        </w:rPr>
        <w:t>է</w:t>
      </w:r>
      <w:r w:rsidRPr="00961B35">
        <w:rPr>
          <w:rFonts w:cs="Sylfaen"/>
          <w:szCs w:val="22"/>
          <w:lang w:val="hy-AM" w:eastAsia="en-US"/>
        </w:rPr>
        <w:t xml:space="preserve"> </w:t>
      </w:r>
      <w:r w:rsidRPr="00961B35">
        <w:rPr>
          <w:rFonts w:cs="Sylfaen"/>
          <w:szCs w:val="22"/>
          <w:lang w:val="en-US" w:eastAsia="en-US"/>
        </w:rPr>
        <w:t>նկարագրել</w:t>
      </w:r>
      <w:r w:rsidRPr="00961B35">
        <w:rPr>
          <w:rFonts w:cs="Sylfaen"/>
          <w:szCs w:val="22"/>
          <w:lang w:val="hy-AM" w:eastAsia="en-US"/>
        </w:rPr>
        <w:t xml:space="preserve"> ցուցանիշների հետևյալ </w:t>
      </w:r>
      <w:r w:rsidRPr="00961B35">
        <w:rPr>
          <w:rFonts w:cs="Sylfaen"/>
          <w:szCs w:val="22"/>
          <w:lang w:val="en-US" w:eastAsia="en-US"/>
        </w:rPr>
        <w:t>հիմնական</w:t>
      </w:r>
      <w:r w:rsidRPr="00961B35">
        <w:rPr>
          <w:rFonts w:cs="Sylfaen"/>
          <w:szCs w:val="22"/>
          <w:lang w:val="hy-AM" w:eastAsia="en-US"/>
        </w:rPr>
        <w:t xml:space="preserve"> խմբերով</w:t>
      </w:r>
      <w:r w:rsidRPr="00961B35">
        <w:rPr>
          <w:b w:val="0"/>
          <w:szCs w:val="22"/>
          <w:lang w:val="af-ZA" w:eastAsia="en-US"/>
        </w:rPr>
        <w:t>.</w:t>
      </w:r>
    </w:p>
    <w:p w:rsidR="00961B35" w:rsidRPr="00961B35" w:rsidRDefault="00961B35" w:rsidP="00961B35">
      <w:pPr>
        <w:numPr>
          <w:ilvl w:val="0"/>
          <w:numId w:val="31"/>
        </w:numPr>
        <w:spacing w:before="0" w:line="240" w:lineRule="auto"/>
        <w:ind w:left="0" w:firstLine="450"/>
        <w:contextualSpacing w:val="0"/>
        <w:jc w:val="left"/>
        <w:rPr>
          <w:b w:val="0"/>
          <w:szCs w:val="22"/>
          <w:lang w:val="af-ZA" w:eastAsia="en-US"/>
        </w:rPr>
      </w:pPr>
      <w:r w:rsidRPr="00961B35">
        <w:rPr>
          <w:rFonts w:cs="Sylfaen"/>
          <w:b w:val="0"/>
          <w:szCs w:val="22"/>
          <w:lang w:val="en-US" w:eastAsia="en-US"/>
        </w:rPr>
        <w:t>Համախառն</w:t>
      </w:r>
      <w:r w:rsidRPr="00961B35">
        <w:rPr>
          <w:rFonts w:cs="Sylfaen"/>
          <w:b w:val="0"/>
          <w:szCs w:val="22"/>
          <w:lang w:val="af-ZA" w:eastAsia="en-US"/>
        </w:rPr>
        <w:t xml:space="preserve"> </w:t>
      </w:r>
      <w:r w:rsidRPr="00961B35">
        <w:rPr>
          <w:rFonts w:cs="Sylfaen"/>
          <w:b w:val="0"/>
          <w:szCs w:val="22"/>
          <w:lang w:val="en-US" w:eastAsia="en-US"/>
        </w:rPr>
        <w:t>առաջարկ</w:t>
      </w:r>
      <w:r w:rsidRPr="00961B35">
        <w:rPr>
          <w:rFonts w:cs="Sylfaen"/>
          <w:b w:val="0"/>
          <w:szCs w:val="22"/>
          <w:lang w:val="af-ZA" w:eastAsia="en-US"/>
        </w:rPr>
        <w:t xml:space="preserve"> (</w:t>
      </w:r>
      <w:r w:rsidRPr="00961B35">
        <w:rPr>
          <w:rFonts w:cs="Sylfaen"/>
          <w:b w:val="0"/>
          <w:szCs w:val="22"/>
          <w:lang w:val="en-US" w:eastAsia="en-US"/>
        </w:rPr>
        <w:t>չափվում</w:t>
      </w:r>
      <w:r w:rsidRPr="00961B35">
        <w:rPr>
          <w:rFonts w:cs="Sylfaen"/>
          <w:b w:val="0"/>
          <w:szCs w:val="22"/>
          <w:lang w:val="af-ZA" w:eastAsia="en-US"/>
        </w:rPr>
        <w:t xml:space="preserve"> </w:t>
      </w:r>
      <w:r w:rsidRPr="00961B35">
        <w:rPr>
          <w:rFonts w:cs="Sylfaen"/>
          <w:b w:val="0"/>
          <w:szCs w:val="22"/>
          <w:lang w:val="en-US" w:eastAsia="en-US"/>
        </w:rPr>
        <w:t>է</w:t>
      </w:r>
      <w:r w:rsidRPr="00961B35">
        <w:rPr>
          <w:rFonts w:cs="Sylfaen"/>
          <w:b w:val="0"/>
          <w:szCs w:val="22"/>
          <w:lang w:val="af-ZA" w:eastAsia="en-US"/>
        </w:rPr>
        <w:t xml:space="preserve"> </w:t>
      </w:r>
      <w:r w:rsidRPr="00961B35">
        <w:rPr>
          <w:rFonts w:cs="Sylfaen"/>
          <w:b w:val="0"/>
          <w:szCs w:val="22"/>
          <w:lang w:val="en-US" w:eastAsia="en-US"/>
        </w:rPr>
        <w:t>տնտեսության</w:t>
      </w:r>
      <w:r w:rsidRPr="00961B35">
        <w:rPr>
          <w:rFonts w:cs="Sylfaen"/>
          <w:b w:val="0"/>
          <w:szCs w:val="22"/>
          <w:lang w:val="af-ZA" w:eastAsia="en-US"/>
        </w:rPr>
        <w:t xml:space="preserve"> </w:t>
      </w:r>
      <w:r w:rsidRPr="00961B35">
        <w:rPr>
          <w:rFonts w:cs="Sylfaen"/>
          <w:b w:val="0"/>
          <w:szCs w:val="22"/>
          <w:lang w:val="en-US" w:eastAsia="en-US"/>
        </w:rPr>
        <w:t>առանձին</w:t>
      </w:r>
      <w:r w:rsidRPr="00961B35">
        <w:rPr>
          <w:rFonts w:cs="Sylfaen"/>
          <w:b w:val="0"/>
          <w:szCs w:val="22"/>
          <w:lang w:val="af-ZA" w:eastAsia="en-US"/>
        </w:rPr>
        <w:t xml:space="preserve"> </w:t>
      </w:r>
      <w:r w:rsidRPr="00961B35">
        <w:rPr>
          <w:rFonts w:cs="Sylfaen"/>
          <w:b w:val="0"/>
          <w:szCs w:val="22"/>
          <w:lang w:val="en-US" w:eastAsia="en-US"/>
        </w:rPr>
        <w:t>ճյուղերում</w:t>
      </w:r>
      <w:r w:rsidRPr="00961B35">
        <w:rPr>
          <w:rFonts w:cs="Sylfaen"/>
          <w:b w:val="0"/>
          <w:szCs w:val="22"/>
          <w:lang w:val="af-ZA" w:eastAsia="en-US"/>
        </w:rPr>
        <w:t xml:space="preserve"> </w:t>
      </w:r>
      <w:r w:rsidRPr="00961B35">
        <w:rPr>
          <w:rFonts w:cs="Sylfaen"/>
          <w:b w:val="0"/>
          <w:szCs w:val="22"/>
          <w:lang w:val="en-US" w:eastAsia="en-US"/>
        </w:rPr>
        <w:t>ստեղծված</w:t>
      </w:r>
      <w:r w:rsidRPr="00961B35">
        <w:rPr>
          <w:rFonts w:cs="Sylfaen"/>
          <w:b w:val="0"/>
          <w:szCs w:val="22"/>
          <w:lang w:val="af-ZA" w:eastAsia="en-US"/>
        </w:rPr>
        <w:t xml:space="preserve"> </w:t>
      </w:r>
      <w:r w:rsidRPr="00961B35">
        <w:rPr>
          <w:rFonts w:cs="Sylfaen"/>
          <w:b w:val="0"/>
          <w:szCs w:val="22"/>
          <w:lang w:val="en-US" w:eastAsia="en-US"/>
        </w:rPr>
        <w:t>ավելաց</w:t>
      </w:r>
      <w:r w:rsidRPr="00961B35">
        <w:rPr>
          <w:rFonts w:cs="Sylfaen"/>
          <w:b w:val="0"/>
          <w:szCs w:val="22"/>
          <w:lang w:val="af-ZA" w:eastAsia="en-US"/>
        </w:rPr>
        <w:softHyphen/>
      </w:r>
      <w:r w:rsidRPr="00961B35">
        <w:rPr>
          <w:rFonts w:cs="Sylfaen"/>
          <w:b w:val="0"/>
          <w:szCs w:val="22"/>
          <w:lang w:val="en-US" w:eastAsia="en-US"/>
        </w:rPr>
        <w:t>ված</w:t>
      </w:r>
      <w:r w:rsidRPr="00961B35">
        <w:rPr>
          <w:rFonts w:cs="Sylfaen"/>
          <w:b w:val="0"/>
          <w:szCs w:val="22"/>
          <w:lang w:val="af-ZA" w:eastAsia="en-US"/>
        </w:rPr>
        <w:t xml:space="preserve"> </w:t>
      </w:r>
      <w:r w:rsidRPr="00961B35">
        <w:rPr>
          <w:rFonts w:cs="Sylfaen"/>
          <w:b w:val="0"/>
          <w:szCs w:val="22"/>
          <w:lang w:val="en-US" w:eastAsia="en-US"/>
        </w:rPr>
        <w:t>արժեքների</w:t>
      </w:r>
      <w:r w:rsidRPr="00961B35">
        <w:rPr>
          <w:rFonts w:cs="Sylfaen"/>
          <w:b w:val="0"/>
          <w:szCs w:val="22"/>
          <w:lang w:val="af-ZA" w:eastAsia="en-US"/>
        </w:rPr>
        <w:t xml:space="preserve"> </w:t>
      </w:r>
      <w:r w:rsidRPr="00961B35">
        <w:rPr>
          <w:rFonts w:cs="Sylfaen"/>
          <w:b w:val="0"/>
          <w:szCs w:val="22"/>
          <w:lang w:val="en-US" w:eastAsia="en-US"/>
        </w:rPr>
        <w:t>իրական</w:t>
      </w:r>
      <w:r w:rsidRPr="00961B35">
        <w:rPr>
          <w:rFonts w:cs="Sylfaen"/>
          <w:b w:val="0"/>
          <w:szCs w:val="22"/>
          <w:lang w:val="af-ZA" w:eastAsia="en-US"/>
        </w:rPr>
        <w:t xml:space="preserve"> </w:t>
      </w:r>
      <w:r w:rsidRPr="00961B35">
        <w:rPr>
          <w:rFonts w:cs="Sylfaen"/>
          <w:b w:val="0"/>
          <w:szCs w:val="22"/>
          <w:lang w:val="en-US" w:eastAsia="en-US"/>
        </w:rPr>
        <w:t>աճերով</w:t>
      </w:r>
      <w:r w:rsidRPr="00961B35">
        <w:rPr>
          <w:rFonts w:cs="Sylfaen"/>
          <w:b w:val="0"/>
          <w:szCs w:val="22"/>
          <w:lang w:val="af-ZA" w:eastAsia="en-US"/>
        </w:rPr>
        <w:t xml:space="preserve"> </w:t>
      </w:r>
      <w:r w:rsidRPr="00961B35">
        <w:rPr>
          <w:rFonts w:cs="Sylfaen"/>
          <w:b w:val="0"/>
          <w:szCs w:val="22"/>
          <w:lang w:val="it-IT" w:eastAsia="en-US"/>
        </w:rPr>
        <w:t xml:space="preserve">և </w:t>
      </w:r>
      <w:r w:rsidRPr="00961B35">
        <w:rPr>
          <w:rFonts w:cs="Sylfaen"/>
          <w:b w:val="0"/>
          <w:szCs w:val="22"/>
          <w:lang w:val="en-US" w:eastAsia="en-US"/>
        </w:rPr>
        <w:t>համախառն</w:t>
      </w:r>
      <w:r w:rsidRPr="00961B35">
        <w:rPr>
          <w:rFonts w:cs="Sylfaen"/>
          <w:b w:val="0"/>
          <w:szCs w:val="22"/>
          <w:lang w:val="af-ZA" w:eastAsia="en-US"/>
        </w:rPr>
        <w:t xml:space="preserve"> </w:t>
      </w:r>
      <w:r w:rsidRPr="00961B35">
        <w:rPr>
          <w:rFonts w:cs="Sylfaen"/>
          <w:b w:val="0"/>
          <w:szCs w:val="22"/>
          <w:lang w:val="en-US" w:eastAsia="en-US"/>
        </w:rPr>
        <w:t>ներքին</w:t>
      </w:r>
      <w:r w:rsidRPr="00961B35">
        <w:rPr>
          <w:rFonts w:cs="Sylfaen"/>
          <w:b w:val="0"/>
          <w:szCs w:val="22"/>
          <w:lang w:val="af-ZA" w:eastAsia="en-US"/>
        </w:rPr>
        <w:t xml:space="preserve"> </w:t>
      </w:r>
      <w:r w:rsidRPr="00961B35">
        <w:rPr>
          <w:rFonts w:cs="Sylfaen"/>
          <w:b w:val="0"/>
          <w:szCs w:val="22"/>
          <w:lang w:val="en-US" w:eastAsia="en-US"/>
        </w:rPr>
        <w:t>արդյունքի</w:t>
      </w:r>
      <w:r w:rsidRPr="00961B35">
        <w:rPr>
          <w:rFonts w:cs="Sylfaen"/>
          <w:b w:val="0"/>
          <w:szCs w:val="22"/>
          <w:lang w:val="af-ZA" w:eastAsia="en-US"/>
        </w:rPr>
        <w:t xml:space="preserve"> (</w:t>
      </w:r>
      <w:r w:rsidRPr="00961B35">
        <w:rPr>
          <w:rFonts w:cs="Sylfaen"/>
          <w:b w:val="0"/>
          <w:szCs w:val="22"/>
          <w:lang w:val="en-US" w:eastAsia="en-US"/>
        </w:rPr>
        <w:t>ՀՆԱ</w:t>
      </w:r>
      <w:r w:rsidRPr="00961B35">
        <w:rPr>
          <w:rFonts w:cs="Sylfaen"/>
          <w:b w:val="0"/>
          <w:szCs w:val="22"/>
          <w:lang w:val="af-ZA" w:eastAsia="en-US"/>
        </w:rPr>
        <w:t xml:space="preserve">) </w:t>
      </w:r>
      <w:r w:rsidRPr="00961B35">
        <w:rPr>
          <w:rFonts w:cs="Sylfaen"/>
          <w:b w:val="0"/>
          <w:szCs w:val="22"/>
          <w:lang w:val="en-US" w:eastAsia="en-US"/>
        </w:rPr>
        <w:t>իրական</w:t>
      </w:r>
      <w:r w:rsidRPr="00961B35">
        <w:rPr>
          <w:rFonts w:cs="Sylfaen"/>
          <w:b w:val="0"/>
          <w:szCs w:val="22"/>
          <w:lang w:val="af-ZA" w:eastAsia="en-US"/>
        </w:rPr>
        <w:t xml:space="preserve"> </w:t>
      </w:r>
      <w:r w:rsidRPr="00961B35">
        <w:rPr>
          <w:rFonts w:cs="Sylfaen"/>
          <w:b w:val="0"/>
          <w:szCs w:val="22"/>
          <w:lang w:val="en-US" w:eastAsia="en-US"/>
        </w:rPr>
        <w:t>աճով</w:t>
      </w:r>
      <w:r w:rsidRPr="00961B35">
        <w:rPr>
          <w:rFonts w:cs="Sylfaen"/>
          <w:b w:val="0"/>
          <w:szCs w:val="22"/>
          <w:lang w:val="af-ZA" w:eastAsia="en-US"/>
        </w:rPr>
        <w:t>),</w:t>
      </w:r>
    </w:p>
    <w:p w:rsidR="00961B35" w:rsidRPr="00961B35" w:rsidRDefault="00961B35" w:rsidP="00961B35">
      <w:pPr>
        <w:numPr>
          <w:ilvl w:val="0"/>
          <w:numId w:val="31"/>
        </w:numPr>
        <w:spacing w:before="0" w:line="240" w:lineRule="auto"/>
        <w:ind w:left="0" w:firstLine="450"/>
        <w:contextualSpacing w:val="0"/>
        <w:jc w:val="left"/>
        <w:rPr>
          <w:b w:val="0"/>
          <w:szCs w:val="22"/>
          <w:lang w:val="af-ZA" w:eastAsia="en-US"/>
        </w:rPr>
      </w:pPr>
      <w:r w:rsidRPr="00961B35">
        <w:rPr>
          <w:rFonts w:cs="Sylfaen"/>
          <w:b w:val="0"/>
          <w:szCs w:val="22"/>
          <w:lang w:val="en-US" w:eastAsia="en-US"/>
        </w:rPr>
        <w:t>Համախառն</w:t>
      </w:r>
      <w:r w:rsidRPr="00961B35">
        <w:rPr>
          <w:rFonts w:cs="Sylfaen"/>
          <w:b w:val="0"/>
          <w:szCs w:val="22"/>
          <w:lang w:val="af-ZA" w:eastAsia="en-US"/>
        </w:rPr>
        <w:t xml:space="preserve"> </w:t>
      </w:r>
      <w:r w:rsidRPr="00961B35">
        <w:rPr>
          <w:rFonts w:cs="Sylfaen"/>
          <w:b w:val="0"/>
          <w:szCs w:val="22"/>
          <w:lang w:val="en-US" w:eastAsia="en-US"/>
        </w:rPr>
        <w:t>պահանջարկ</w:t>
      </w:r>
      <w:r w:rsidRPr="00961B35">
        <w:rPr>
          <w:b w:val="0"/>
          <w:szCs w:val="22"/>
          <w:lang w:val="af-ZA" w:eastAsia="en-US"/>
        </w:rPr>
        <w:t xml:space="preserve"> (</w:t>
      </w:r>
      <w:r w:rsidRPr="00961B35">
        <w:rPr>
          <w:rFonts w:cs="Sylfaen"/>
          <w:b w:val="0"/>
          <w:szCs w:val="22"/>
          <w:lang w:val="en-US" w:eastAsia="en-US"/>
        </w:rPr>
        <w:t>չափվում</w:t>
      </w:r>
      <w:r w:rsidRPr="00961B35">
        <w:rPr>
          <w:rFonts w:cs="Sylfaen"/>
          <w:b w:val="0"/>
          <w:szCs w:val="22"/>
          <w:lang w:val="af-ZA" w:eastAsia="en-US"/>
        </w:rPr>
        <w:t xml:space="preserve"> </w:t>
      </w:r>
      <w:r w:rsidRPr="00961B35">
        <w:rPr>
          <w:rFonts w:cs="Sylfaen"/>
          <w:b w:val="0"/>
          <w:szCs w:val="22"/>
          <w:lang w:val="en-US" w:eastAsia="en-US"/>
        </w:rPr>
        <w:t>է</w:t>
      </w:r>
      <w:r w:rsidRPr="00961B35">
        <w:rPr>
          <w:rFonts w:cs="Sylfaen"/>
          <w:b w:val="0"/>
          <w:szCs w:val="22"/>
          <w:lang w:val="af-ZA" w:eastAsia="en-US"/>
        </w:rPr>
        <w:t xml:space="preserve"> </w:t>
      </w:r>
      <w:r w:rsidRPr="00961B35">
        <w:rPr>
          <w:rFonts w:cs="Sylfaen"/>
          <w:b w:val="0"/>
          <w:szCs w:val="22"/>
          <w:lang w:val="en-US" w:eastAsia="en-US"/>
        </w:rPr>
        <w:t>պետական</w:t>
      </w:r>
      <w:r w:rsidRPr="00961B35">
        <w:rPr>
          <w:b w:val="0"/>
          <w:szCs w:val="22"/>
          <w:lang w:val="af-ZA" w:eastAsia="en-US"/>
        </w:rPr>
        <w:t xml:space="preserve">, </w:t>
      </w:r>
      <w:r w:rsidRPr="00961B35">
        <w:rPr>
          <w:rFonts w:cs="Sylfaen"/>
          <w:b w:val="0"/>
          <w:szCs w:val="22"/>
          <w:lang w:val="en-US" w:eastAsia="en-US"/>
        </w:rPr>
        <w:t>մասնավոր</w:t>
      </w:r>
      <w:r w:rsidRPr="00961B35">
        <w:rPr>
          <w:rFonts w:cs="Sylfaen"/>
          <w:b w:val="0"/>
          <w:szCs w:val="22"/>
          <w:lang w:val="af-ZA" w:eastAsia="en-US"/>
        </w:rPr>
        <w:t xml:space="preserve"> </w:t>
      </w:r>
      <w:r w:rsidRPr="00961B35">
        <w:rPr>
          <w:rFonts w:cs="Sylfaen"/>
          <w:b w:val="0"/>
          <w:szCs w:val="22"/>
          <w:lang w:val="en-US" w:eastAsia="en-US"/>
        </w:rPr>
        <w:t>հատվածների</w:t>
      </w:r>
      <w:r w:rsidRPr="00961B35">
        <w:rPr>
          <w:rFonts w:cs="Sylfaen"/>
          <w:b w:val="0"/>
          <w:szCs w:val="22"/>
          <w:lang w:val="af-ZA" w:eastAsia="en-US"/>
        </w:rPr>
        <w:t xml:space="preserve"> </w:t>
      </w:r>
      <w:r w:rsidRPr="00961B35">
        <w:rPr>
          <w:rFonts w:cs="Sylfaen"/>
          <w:b w:val="0"/>
          <w:szCs w:val="22"/>
          <w:lang w:val="en-US" w:eastAsia="en-US"/>
        </w:rPr>
        <w:t>և</w:t>
      </w:r>
      <w:r w:rsidRPr="00961B35">
        <w:rPr>
          <w:rFonts w:cs="Sylfaen"/>
          <w:b w:val="0"/>
          <w:szCs w:val="22"/>
          <w:lang w:val="af-ZA" w:eastAsia="en-US"/>
        </w:rPr>
        <w:t xml:space="preserve"> </w:t>
      </w:r>
      <w:r w:rsidRPr="00961B35">
        <w:rPr>
          <w:rFonts w:cs="Sylfaen"/>
          <w:b w:val="0"/>
          <w:szCs w:val="22"/>
          <w:lang w:val="en-US" w:eastAsia="en-US"/>
        </w:rPr>
        <w:t>արտաքին</w:t>
      </w:r>
      <w:r w:rsidRPr="00961B35">
        <w:rPr>
          <w:rFonts w:cs="Sylfaen"/>
          <w:b w:val="0"/>
          <w:szCs w:val="22"/>
          <w:lang w:val="af-ZA" w:eastAsia="en-US"/>
        </w:rPr>
        <w:t xml:space="preserve"> </w:t>
      </w:r>
      <w:r w:rsidRPr="00961B35">
        <w:rPr>
          <w:rFonts w:cs="Sylfaen"/>
          <w:b w:val="0"/>
          <w:szCs w:val="22"/>
          <w:lang w:val="en-US" w:eastAsia="en-US"/>
        </w:rPr>
        <w:t>աշխարհի</w:t>
      </w:r>
      <w:r w:rsidRPr="00961B35">
        <w:rPr>
          <w:rFonts w:cs="Sylfaen"/>
          <w:b w:val="0"/>
          <w:szCs w:val="22"/>
          <w:lang w:val="af-ZA" w:eastAsia="en-US"/>
        </w:rPr>
        <w:t xml:space="preserve"> </w:t>
      </w:r>
      <w:r w:rsidRPr="00961B35">
        <w:rPr>
          <w:rFonts w:cs="Sylfaen"/>
          <w:b w:val="0"/>
          <w:szCs w:val="22"/>
          <w:lang w:val="en-US" w:eastAsia="en-US"/>
        </w:rPr>
        <w:t>կողմից</w:t>
      </w:r>
      <w:r w:rsidRPr="00961B35">
        <w:rPr>
          <w:rFonts w:cs="Sylfaen"/>
          <w:b w:val="0"/>
          <w:szCs w:val="22"/>
          <w:lang w:val="af-ZA" w:eastAsia="en-US"/>
        </w:rPr>
        <w:t xml:space="preserve"> </w:t>
      </w:r>
      <w:r w:rsidRPr="00961B35">
        <w:rPr>
          <w:rFonts w:cs="Sylfaen"/>
          <w:b w:val="0"/>
          <w:szCs w:val="22"/>
          <w:lang w:val="en-US" w:eastAsia="en-US"/>
        </w:rPr>
        <w:t>ապրանքների</w:t>
      </w:r>
      <w:r w:rsidRPr="00961B35">
        <w:rPr>
          <w:rFonts w:cs="Sylfaen"/>
          <w:b w:val="0"/>
          <w:szCs w:val="22"/>
          <w:lang w:val="af-ZA" w:eastAsia="en-US"/>
        </w:rPr>
        <w:t xml:space="preserve"> </w:t>
      </w:r>
      <w:r w:rsidRPr="00961B35">
        <w:rPr>
          <w:rFonts w:cs="Sylfaen"/>
          <w:b w:val="0"/>
          <w:szCs w:val="22"/>
          <w:lang w:val="en-US" w:eastAsia="en-US"/>
        </w:rPr>
        <w:t>և</w:t>
      </w:r>
      <w:r w:rsidRPr="00961B35">
        <w:rPr>
          <w:rFonts w:cs="Sylfaen"/>
          <w:b w:val="0"/>
          <w:szCs w:val="22"/>
          <w:lang w:val="af-ZA" w:eastAsia="en-US"/>
        </w:rPr>
        <w:t xml:space="preserve"> </w:t>
      </w:r>
      <w:r w:rsidRPr="00961B35">
        <w:rPr>
          <w:rFonts w:cs="Sylfaen"/>
          <w:b w:val="0"/>
          <w:szCs w:val="22"/>
          <w:lang w:val="en-US" w:eastAsia="en-US"/>
        </w:rPr>
        <w:t>ծառայությունների</w:t>
      </w:r>
      <w:r w:rsidRPr="00961B35">
        <w:rPr>
          <w:rFonts w:cs="Sylfaen"/>
          <w:b w:val="0"/>
          <w:szCs w:val="22"/>
          <w:lang w:val="af-ZA" w:eastAsia="en-US"/>
        </w:rPr>
        <w:t xml:space="preserve"> </w:t>
      </w:r>
      <w:r w:rsidRPr="00961B35">
        <w:rPr>
          <w:rFonts w:cs="Sylfaen"/>
          <w:b w:val="0"/>
          <w:szCs w:val="22"/>
          <w:lang w:val="en-US" w:eastAsia="en-US"/>
        </w:rPr>
        <w:t>վրա</w:t>
      </w:r>
      <w:r w:rsidRPr="00961B35">
        <w:rPr>
          <w:rFonts w:cs="Sylfaen"/>
          <w:b w:val="0"/>
          <w:szCs w:val="22"/>
          <w:lang w:val="af-ZA" w:eastAsia="en-US"/>
        </w:rPr>
        <w:t xml:space="preserve"> </w:t>
      </w:r>
      <w:r w:rsidRPr="00961B35">
        <w:rPr>
          <w:rFonts w:cs="Sylfaen"/>
          <w:b w:val="0"/>
          <w:szCs w:val="22"/>
          <w:lang w:val="en-US" w:eastAsia="en-US"/>
        </w:rPr>
        <w:t>կատարվող</w:t>
      </w:r>
      <w:r w:rsidRPr="00961B35">
        <w:rPr>
          <w:rFonts w:cs="Sylfaen"/>
          <w:b w:val="0"/>
          <w:szCs w:val="22"/>
          <w:lang w:val="af-ZA" w:eastAsia="en-US"/>
        </w:rPr>
        <w:t xml:space="preserve"> </w:t>
      </w:r>
      <w:r w:rsidRPr="00961B35">
        <w:rPr>
          <w:rFonts w:cs="Sylfaen"/>
          <w:b w:val="0"/>
          <w:szCs w:val="22"/>
          <w:lang w:val="en-US" w:eastAsia="en-US"/>
        </w:rPr>
        <w:t>ծախսումներով</w:t>
      </w:r>
      <w:r w:rsidRPr="00961B35">
        <w:rPr>
          <w:b w:val="0"/>
          <w:szCs w:val="22"/>
          <w:lang w:val="af-ZA" w:eastAsia="en-US"/>
        </w:rPr>
        <w:t xml:space="preserve"> (</w:t>
      </w:r>
      <w:r w:rsidRPr="00961B35">
        <w:rPr>
          <w:rFonts w:cs="Sylfaen"/>
          <w:b w:val="0"/>
          <w:szCs w:val="22"/>
          <w:lang w:val="en-US" w:eastAsia="en-US"/>
        </w:rPr>
        <w:t>սպառում</w:t>
      </w:r>
      <w:r w:rsidRPr="00961B35">
        <w:rPr>
          <w:b w:val="0"/>
          <w:szCs w:val="22"/>
          <w:lang w:val="af-ZA" w:eastAsia="en-US"/>
        </w:rPr>
        <w:t>/</w:t>
      </w:r>
      <w:r w:rsidRPr="00961B35">
        <w:rPr>
          <w:rFonts w:cs="Sylfaen"/>
          <w:b w:val="0"/>
          <w:szCs w:val="22"/>
          <w:lang w:val="en-US" w:eastAsia="en-US"/>
        </w:rPr>
        <w:t>ՀՆԱ</w:t>
      </w:r>
      <w:r w:rsidRPr="00961B35">
        <w:rPr>
          <w:b w:val="0"/>
          <w:szCs w:val="22"/>
          <w:lang w:val="af-ZA" w:eastAsia="en-US"/>
        </w:rPr>
        <w:t xml:space="preserve">, </w:t>
      </w:r>
      <w:r w:rsidRPr="00961B35">
        <w:rPr>
          <w:rFonts w:cs="Sylfaen"/>
          <w:b w:val="0"/>
          <w:szCs w:val="22"/>
          <w:lang w:val="en-US" w:eastAsia="en-US"/>
        </w:rPr>
        <w:t>ներդրում</w:t>
      </w:r>
      <w:r w:rsidRPr="00961B35">
        <w:rPr>
          <w:b w:val="0"/>
          <w:szCs w:val="22"/>
          <w:lang w:val="af-ZA" w:eastAsia="en-US"/>
        </w:rPr>
        <w:t>/</w:t>
      </w:r>
      <w:r w:rsidRPr="00961B35">
        <w:rPr>
          <w:rFonts w:cs="Sylfaen"/>
          <w:b w:val="0"/>
          <w:szCs w:val="22"/>
          <w:lang w:val="en-US" w:eastAsia="en-US"/>
        </w:rPr>
        <w:t>ՀՆԱ</w:t>
      </w:r>
      <w:r w:rsidRPr="00961B35">
        <w:rPr>
          <w:b w:val="0"/>
          <w:szCs w:val="22"/>
          <w:lang w:val="af-ZA" w:eastAsia="en-US"/>
        </w:rPr>
        <w:t xml:space="preserve">, </w:t>
      </w:r>
      <w:r w:rsidRPr="00961B35">
        <w:rPr>
          <w:rFonts w:cs="Sylfaen"/>
          <w:b w:val="0"/>
          <w:szCs w:val="22"/>
          <w:lang w:val="en-US" w:eastAsia="en-US"/>
        </w:rPr>
        <w:t>զուտ</w:t>
      </w:r>
      <w:r w:rsidRPr="00961B35">
        <w:rPr>
          <w:rFonts w:cs="Sylfaen"/>
          <w:b w:val="0"/>
          <w:szCs w:val="22"/>
          <w:lang w:val="af-ZA" w:eastAsia="en-US"/>
        </w:rPr>
        <w:t xml:space="preserve"> </w:t>
      </w:r>
      <w:r w:rsidRPr="00961B35">
        <w:rPr>
          <w:rFonts w:cs="Sylfaen"/>
          <w:b w:val="0"/>
          <w:szCs w:val="22"/>
          <w:lang w:val="en-US" w:eastAsia="en-US"/>
        </w:rPr>
        <w:t>արտահանում</w:t>
      </w:r>
      <w:r w:rsidRPr="00961B35">
        <w:rPr>
          <w:b w:val="0"/>
          <w:szCs w:val="22"/>
          <w:lang w:val="af-ZA" w:eastAsia="en-US"/>
        </w:rPr>
        <w:t>/</w:t>
      </w:r>
      <w:r w:rsidRPr="00961B35">
        <w:rPr>
          <w:rFonts w:cs="Sylfaen"/>
          <w:b w:val="0"/>
          <w:szCs w:val="22"/>
          <w:lang w:val="en-US" w:eastAsia="en-US"/>
        </w:rPr>
        <w:t>ՀՆԱ</w:t>
      </w:r>
      <w:r w:rsidRPr="00961B35">
        <w:rPr>
          <w:rFonts w:cs="Sylfaen"/>
          <w:b w:val="0"/>
          <w:szCs w:val="22"/>
          <w:lang w:val="af-ZA" w:eastAsia="en-US"/>
        </w:rPr>
        <w:t>)</w:t>
      </w:r>
      <w:r w:rsidRPr="00961B35">
        <w:rPr>
          <w:b w:val="0"/>
          <w:szCs w:val="22"/>
          <w:lang w:val="af-ZA" w:eastAsia="en-US"/>
        </w:rPr>
        <w:t>),</w:t>
      </w:r>
    </w:p>
    <w:p w:rsidR="00961B35" w:rsidRPr="00961B35" w:rsidRDefault="00961B35" w:rsidP="00961B35">
      <w:pPr>
        <w:numPr>
          <w:ilvl w:val="0"/>
          <w:numId w:val="31"/>
        </w:numPr>
        <w:spacing w:before="0" w:line="240" w:lineRule="auto"/>
        <w:ind w:left="0" w:firstLine="450"/>
        <w:contextualSpacing w:val="0"/>
        <w:jc w:val="left"/>
        <w:rPr>
          <w:b w:val="0"/>
          <w:szCs w:val="22"/>
          <w:lang w:val="af-ZA" w:eastAsia="en-US"/>
        </w:rPr>
      </w:pPr>
      <w:r w:rsidRPr="00961B35">
        <w:rPr>
          <w:rFonts w:cs="Sylfaen"/>
          <w:b w:val="0"/>
          <w:szCs w:val="22"/>
          <w:lang w:val="en-US" w:eastAsia="en-US"/>
        </w:rPr>
        <w:lastRenderedPageBreak/>
        <w:t>Գնային</w:t>
      </w:r>
      <w:r w:rsidRPr="00961B35">
        <w:rPr>
          <w:rFonts w:cs="Sylfaen"/>
          <w:b w:val="0"/>
          <w:szCs w:val="22"/>
          <w:lang w:val="af-ZA" w:eastAsia="en-US"/>
        </w:rPr>
        <w:t xml:space="preserve"> </w:t>
      </w:r>
      <w:r w:rsidRPr="00961B35">
        <w:rPr>
          <w:rFonts w:cs="Sylfaen"/>
          <w:b w:val="0"/>
          <w:szCs w:val="22"/>
          <w:lang w:val="en-US" w:eastAsia="en-US"/>
        </w:rPr>
        <w:t>փոփոխականներ</w:t>
      </w:r>
      <w:r w:rsidRPr="00961B35">
        <w:rPr>
          <w:b w:val="0"/>
          <w:szCs w:val="22"/>
          <w:lang w:val="af-ZA" w:eastAsia="en-US"/>
        </w:rPr>
        <w:t xml:space="preserve"> (</w:t>
      </w:r>
      <w:r w:rsidRPr="00961B35">
        <w:rPr>
          <w:rFonts w:cs="Sylfaen"/>
          <w:b w:val="0"/>
          <w:szCs w:val="22"/>
          <w:lang w:val="en-US" w:eastAsia="en-US"/>
        </w:rPr>
        <w:t>ՀՆԱ</w:t>
      </w:r>
      <w:r w:rsidRPr="00961B35">
        <w:rPr>
          <w:rFonts w:cs="Sylfaen"/>
          <w:b w:val="0"/>
          <w:szCs w:val="22"/>
          <w:lang w:val="af-ZA" w:eastAsia="en-US"/>
        </w:rPr>
        <w:t xml:space="preserve"> </w:t>
      </w:r>
      <w:r w:rsidRPr="00961B35">
        <w:rPr>
          <w:rFonts w:cs="Sylfaen"/>
          <w:b w:val="0"/>
          <w:szCs w:val="22"/>
          <w:lang w:val="en-US" w:eastAsia="en-US"/>
        </w:rPr>
        <w:t>դեֆլյատոր</w:t>
      </w:r>
      <w:r w:rsidRPr="00961B35">
        <w:rPr>
          <w:b w:val="0"/>
          <w:szCs w:val="22"/>
          <w:lang w:val="af-ZA" w:eastAsia="en-US"/>
        </w:rPr>
        <w:t xml:space="preserve">, </w:t>
      </w:r>
      <w:r w:rsidRPr="00961B35">
        <w:rPr>
          <w:rFonts w:cs="Sylfaen"/>
          <w:b w:val="0"/>
          <w:szCs w:val="22"/>
          <w:lang w:val="en-US" w:eastAsia="en-US"/>
        </w:rPr>
        <w:t>որն</w:t>
      </w:r>
      <w:r w:rsidRPr="00961B35">
        <w:rPr>
          <w:rFonts w:cs="Sylfaen"/>
          <w:b w:val="0"/>
          <w:szCs w:val="22"/>
          <w:lang w:val="af-ZA" w:eastAsia="en-US"/>
        </w:rPr>
        <w:t xml:space="preserve"> </w:t>
      </w:r>
      <w:r w:rsidRPr="00961B35">
        <w:rPr>
          <w:rFonts w:cs="Sylfaen"/>
          <w:b w:val="0"/>
          <w:szCs w:val="22"/>
          <w:lang w:val="en-US" w:eastAsia="en-US"/>
        </w:rPr>
        <w:t>իրենից</w:t>
      </w:r>
      <w:r w:rsidRPr="00961B35">
        <w:rPr>
          <w:rFonts w:cs="Sylfaen"/>
          <w:b w:val="0"/>
          <w:szCs w:val="22"/>
          <w:lang w:val="af-ZA" w:eastAsia="en-US"/>
        </w:rPr>
        <w:t xml:space="preserve"> </w:t>
      </w:r>
      <w:r w:rsidRPr="00961B35">
        <w:rPr>
          <w:rFonts w:cs="Sylfaen"/>
          <w:b w:val="0"/>
          <w:szCs w:val="22"/>
          <w:lang w:val="en-US" w:eastAsia="en-US"/>
        </w:rPr>
        <w:t>ներկայացնում</w:t>
      </w:r>
      <w:r w:rsidRPr="00961B35">
        <w:rPr>
          <w:rFonts w:cs="Sylfaen"/>
          <w:b w:val="0"/>
          <w:szCs w:val="22"/>
          <w:lang w:val="af-ZA" w:eastAsia="en-US"/>
        </w:rPr>
        <w:t xml:space="preserve"> </w:t>
      </w:r>
      <w:r w:rsidRPr="00961B35">
        <w:rPr>
          <w:rFonts w:cs="Sylfaen"/>
          <w:b w:val="0"/>
          <w:szCs w:val="22"/>
          <w:lang w:val="en-US" w:eastAsia="en-US"/>
        </w:rPr>
        <w:t>է</w:t>
      </w:r>
      <w:r w:rsidRPr="00961B35">
        <w:rPr>
          <w:rFonts w:cs="Sylfaen"/>
          <w:b w:val="0"/>
          <w:szCs w:val="22"/>
          <w:lang w:val="af-ZA" w:eastAsia="en-US"/>
        </w:rPr>
        <w:t xml:space="preserve"> </w:t>
      </w:r>
      <w:r w:rsidRPr="00961B35">
        <w:rPr>
          <w:rFonts w:cs="Sylfaen"/>
          <w:b w:val="0"/>
          <w:szCs w:val="22"/>
          <w:lang w:val="en-US" w:eastAsia="en-US"/>
        </w:rPr>
        <w:t>տնտեսությունում</w:t>
      </w:r>
      <w:r w:rsidRPr="00961B35">
        <w:rPr>
          <w:rFonts w:cs="Sylfaen"/>
          <w:b w:val="0"/>
          <w:szCs w:val="22"/>
          <w:lang w:val="af-ZA" w:eastAsia="en-US"/>
        </w:rPr>
        <w:t xml:space="preserve"> </w:t>
      </w:r>
      <w:r w:rsidRPr="00961B35">
        <w:rPr>
          <w:rFonts w:cs="Sylfaen"/>
          <w:b w:val="0"/>
          <w:szCs w:val="22"/>
          <w:lang w:val="en-US" w:eastAsia="en-US"/>
        </w:rPr>
        <w:t>ստեղծված</w:t>
      </w:r>
      <w:r w:rsidRPr="00961B35">
        <w:rPr>
          <w:rFonts w:cs="Sylfaen"/>
          <w:b w:val="0"/>
          <w:szCs w:val="22"/>
          <w:lang w:val="af-ZA" w:eastAsia="en-US"/>
        </w:rPr>
        <w:t xml:space="preserve"> </w:t>
      </w:r>
      <w:r w:rsidRPr="00961B35">
        <w:rPr>
          <w:rFonts w:cs="Sylfaen"/>
          <w:b w:val="0"/>
          <w:szCs w:val="22"/>
          <w:lang w:val="en-US" w:eastAsia="en-US"/>
        </w:rPr>
        <w:t>ՀՆԱ</w:t>
      </w:r>
      <w:r w:rsidRPr="00961B35">
        <w:rPr>
          <w:b w:val="0"/>
          <w:szCs w:val="22"/>
          <w:lang w:val="af-ZA" w:eastAsia="en-US"/>
        </w:rPr>
        <w:t>-</w:t>
      </w:r>
      <w:r w:rsidRPr="00961B35">
        <w:rPr>
          <w:rFonts w:cs="Sylfaen"/>
          <w:b w:val="0"/>
          <w:szCs w:val="22"/>
          <w:lang w:val="en-US" w:eastAsia="en-US"/>
        </w:rPr>
        <w:t>ի</w:t>
      </w:r>
      <w:r w:rsidRPr="00961B35">
        <w:rPr>
          <w:rFonts w:cs="Sylfaen"/>
          <w:b w:val="0"/>
          <w:szCs w:val="22"/>
          <w:lang w:val="af-ZA" w:eastAsia="en-US"/>
        </w:rPr>
        <w:t xml:space="preserve"> </w:t>
      </w:r>
      <w:r w:rsidRPr="00961B35">
        <w:rPr>
          <w:rFonts w:cs="Sylfaen"/>
          <w:b w:val="0"/>
          <w:szCs w:val="22"/>
          <w:lang w:eastAsia="en-US"/>
        </w:rPr>
        <w:t>գ</w:t>
      </w:r>
      <w:r w:rsidRPr="00961B35">
        <w:rPr>
          <w:rFonts w:cs="Sylfaen"/>
          <w:b w:val="0"/>
          <w:szCs w:val="22"/>
          <w:lang w:val="en-US" w:eastAsia="en-US"/>
        </w:rPr>
        <w:t>ների</w:t>
      </w:r>
      <w:r w:rsidRPr="00961B35">
        <w:rPr>
          <w:rFonts w:cs="Sylfaen"/>
          <w:b w:val="0"/>
          <w:szCs w:val="22"/>
          <w:lang w:val="af-ZA" w:eastAsia="en-US"/>
        </w:rPr>
        <w:t xml:space="preserve"> </w:t>
      </w:r>
      <w:r w:rsidRPr="00961B35">
        <w:rPr>
          <w:rFonts w:cs="Sylfaen"/>
          <w:b w:val="0"/>
          <w:szCs w:val="22"/>
          <w:lang w:val="en-US" w:eastAsia="en-US"/>
        </w:rPr>
        <w:t>փոփոխությունը</w:t>
      </w:r>
      <w:r w:rsidRPr="00961B35">
        <w:rPr>
          <w:rFonts w:cs="Sylfaen"/>
          <w:b w:val="0"/>
          <w:szCs w:val="22"/>
          <w:lang w:val="af-ZA" w:eastAsia="en-US"/>
        </w:rPr>
        <w:t xml:space="preserve">, </w:t>
      </w:r>
      <w:r w:rsidRPr="00961B35">
        <w:rPr>
          <w:rFonts w:cs="Sylfaen"/>
          <w:b w:val="0"/>
          <w:szCs w:val="22"/>
          <w:lang w:val="en-US" w:eastAsia="en-US"/>
        </w:rPr>
        <w:t>և</w:t>
      </w:r>
      <w:r w:rsidRPr="00961B35">
        <w:rPr>
          <w:rFonts w:cs="Sylfaen"/>
          <w:b w:val="0"/>
          <w:szCs w:val="22"/>
          <w:lang w:val="af-ZA" w:eastAsia="en-US"/>
        </w:rPr>
        <w:t xml:space="preserve"> </w:t>
      </w:r>
      <w:r w:rsidRPr="00961B35">
        <w:rPr>
          <w:rFonts w:cs="Sylfaen"/>
          <w:b w:val="0"/>
          <w:szCs w:val="22"/>
          <w:lang w:eastAsia="en-US"/>
        </w:rPr>
        <w:t>գ</w:t>
      </w:r>
      <w:r w:rsidRPr="00961B35">
        <w:rPr>
          <w:rFonts w:cs="Sylfaen"/>
          <w:b w:val="0"/>
          <w:szCs w:val="22"/>
          <w:lang w:val="en-US" w:eastAsia="en-US"/>
        </w:rPr>
        <w:t>նաճ</w:t>
      </w:r>
      <w:r w:rsidRPr="00961B35">
        <w:rPr>
          <w:b w:val="0"/>
          <w:szCs w:val="22"/>
          <w:lang w:val="af-ZA" w:eastAsia="en-US"/>
        </w:rPr>
        <w:t xml:space="preserve">, </w:t>
      </w:r>
      <w:r w:rsidRPr="00961B35">
        <w:rPr>
          <w:rFonts w:cs="Sylfaen"/>
          <w:b w:val="0"/>
          <w:szCs w:val="22"/>
          <w:lang w:val="en-US" w:eastAsia="en-US"/>
        </w:rPr>
        <w:t>որը</w:t>
      </w:r>
      <w:r w:rsidRPr="00961B35">
        <w:rPr>
          <w:rFonts w:cs="Sylfaen"/>
          <w:b w:val="0"/>
          <w:szCs w:val="22"/>
          <w:lang w:val="af-ZA" w:eastAsia="en-US"/>
        </w:rPr>
        <w:t xml:space="preserve"> </w:t>
      </w:r>
      <w:r w:rsidRPr="00961B35">
        <w:rPr>
          <w:rFonts w:cs="Sylfaen"/>
          <w:b w:val="0"/>
          <w:szCs w:val="22"/>
          <w:lang w:val="en-US" w:eastAsia="en-US"/>
        </w:rPr>
        <w:t>չափվում</w:t>
      </w:r>
      <w:r w:rsidRPr="00961B35">
        <w:rPr>
          <w:rFonts w:cs="Sylfaen"/>
          <w:b w:val="0"/>
          <w:szCs w:val="22"/>
          <w:lang w:val="af-ZA" w:eastAsia="en-US"/>
        </w:rPr>
        <w:t xml:space="preserve"> </w:t>
      </w:r>
      <w:r w:rsidRPr="00961B35">
        <w:rPr>
          <w:rFonts w:cs="Sylfaen"/>
          <w:b w:val="0"/>
          <w:szCs w:val="22"/>
          <w:lang w:val="en-US" w:eastAsia="en-US"/>
        </w:rPr>
        <w:t>է</w:t>
      </w:r>
      <w:r w:rsidRPr="00961B35">
        <w:rPr>
          <w:rFonts w:cs="Sylfaen"/>
          <w:b w:val="0"/>
          <w:szCs w:val="22"/>
          <w:lang w:val="af-ZA" w:eastAsia="en-US"/>
        </w:rPr>
        <w:t xml:space="preserve"> </w:t>
      </w:r>
      <w:r w:rsidRPr="00961B35">
        <w:rPr>
          <w:rFonts w:cs="Sylfaen"/>
          <w:b w:val="0"/>
          <w:szCs w:val="22"/>
          <w:lang w:val="en-US" w:eastAsia="en-US"/>
        </w:rPr>
        <w:t>սպառողական</w:t>
      </w:r>
      <w:r w:rsidRPr="00961B35">
        <w:rPr>
          <w:rFonts w:cs="Sylfaen"/>
          <w:b w:val="0"/>
          <w:szCs w:val="22"/>
          <w:lang w:val="af-ZA" w:eastAsia="en-US"/>
        </w:rPr>
        <w:t xml:space="preserve"> </w:t>
      </w:r>
      <w:r w:rsidRPr="00961B35">
        <w:rPr>
          <w:rFonts w:cs="Sylfaen"/>
          <w:b w:val="0"/>
          <w:szCs w:val="22"/>
          <w:lang w:eastAsia="en-US"/>
        </w:rPr>
        <w:t>գ</w:t>
      </w:r>
      <w:r w:rsidRPr="00961B35">
        <w:rPr>
          <w:rFonts w:cs="Sylfaen"/>
          <w:b w:val="0"/>
          <w:szCs w:val="22"/>
          <w:lang w:val="en-US" w:eastAsia="en-US"/>
        </w:rPr>
        <w:t>ների</w:t>
      </w:r>
      <w:r w:rsidRPr="00961B35">
        <w:rPr>
          <w:rFonts w:cs="Sylfaen"/>
          <w:b w:val="0"/>
          <w:szCs w:val="22"/>
          <w:lang w:val="af-ZA" w:eastAsia="en-US"/>
        </w:rPr>
        <w:t xml:space="preserve"> </w:t>
      </w:r>
      <w:r w:rsidRPr="00961B35">
        <w:rPr>
          <w:rFonts w:cs="Sylfaen"/>
          <w:b w:val="0"/>
          <w:szCs w:val="22"/>
          <w:lang w:val="en-US" w:eastAsia="en-US"/>
        </w:rPr>
        <w:t>ինդեք</w:t>
      </w:r>
      <w:r w:rsidRPr="00961B35">
        <w:rPr>
          <w:rFonts w:cs="Sylfaen"/>
          <w:b w:val="0"/>
          <w:szCs w:val="22"/>
          <w:lang w:val="af-ZA" w:eastAsia="en-US"/>
        </w:rPr>
        <w:softHyphen/>
      </w:r>
      <w:r w:rsidRPr="00961B35">
        <w:rPr>
          <w:rFonts w:cs="Sylfaen"/>
          <w:b w:val="0"/>
          <w:szCs w:val="22"/>
          <w:lang w:val="en-US" w:eastAsia="en-US"/>
        </w:rPr>
        <w:t>սով</w:t>
      </w:r>
      <w:r w:rsidRPr="00961B35">
        <w:rPr>
          <w:b w:val="0"/>
          <w:szCs w:val="22"/>
          <w:lang w:val="af-ZA" w:eastAsia="en-US"/>
        </w:rPr>
        <w:t xml:space="preserve"> (</w:t>
      </w:r>
      <w:r w:rsidRPr="00961B35">
        <w:rPr>
          <w:rFonts w:cs="Sylfaen"/>
          <w:b w:val="0"/>
          <w:szCs w:val="22"/>
          <w:lang w:val="en-US" w:eastAsia="en-US"/>
        </w:rPr>
        <w:t>ներառյալ</w:t>
      </w:r>
      <w:r w:rsidRPr="00961B35">
        <w:rPr>
          <w:rFonts w:cs="Sylfaen"/>
          <w:b w:val="0"/>
          <w:szCs w:val="22"/>
          <w:lang w:val="af-ZA" w:eastAsia="en-US"/>
        </w:rPr>
        <w:t xml:space="preserve"> </w:t>
      </w:r>
      <w:r w:rsidRPr="00961B35">
        <w:rPr>
          <w:rFonts w:cs="Sylfaen"/>
          <w:b w:val="0"/>
          <w:szCs w:val="22"/>
          <w:lang w:val="en-US" w:eastAsia="en-US"/>
        </w:rPr>
        <w:t>ներմուծված</w:t>
      </w:r>
      <w:r w:rsidRPr="00961B35">
        <w:rPr>
          <w:rFonts w:cs="Sylfaen"/>
          <w:b w:val="0"/>
          <w:szCs w:val="22"/>
          <w:lang w:val="af-ZA" w:eastAsia="en-US"/>
        </w:rPr>
        <w:t xml:space="preserve"> </w:t>
      </w:r>
      <w:r w:rsidRPr="00961B35">
        <w:rPr>
          <w:rFonts w:cs="Sylfaen"/>
          <w:b w:val="0"/>
          <w:szCs w:val="22"/>
          <w:lang w:val="en-US" w:eastAsia="en-US"/>
        </w:rPr>
        <w:t>սպառողական</w:t>
      </w:r>
      <w:r w:rsidRPr="00961B35">
        <w:rPr>
          <w:rFonts w:cs="Sylfaen"/>
          <w:b w:val="0"/>
          <w:szCs w:val="22"/>
          <w:lang w:val="af-ZA" w:eastAsia="en-US"/>
        </w:rPr>
        <w:t xml:space="preserve"> </w:t>
      </w:r>
      <w:r w:rsidRPr="00961B35">
        <w:rPr>
          <w:rFonts w:cs="Sylfaen"/>
          <w:b w:val="0"/>
          <w:szCs w:val="22"/>
          <w:lang w:val="en-US" w:eastAsia="en-US"/>
        </w:rPr>
        <w:t>ապրանքների</w:t>
      </w:r>
      <w:r w:rsidRPr="00961B35">
        <w:rPr>
          <w:rFonts w:cs="Sylfaen"/>
          <w:b w:val="0"/>
          <w:szCs w:val="22"/>
          <w:lang w:val="af-ZA" w:eastAsia="en-US"/>
        </w:rPr>
        <w:t xml:space="preserve"> </w:t>
      </w:r>
      <w:r w:rsidRPr="00961B35">
        <w:rPr>
          <w:rFonts w:cs="Sylfaen"/>
          <w:b w:val="0"/>
          <w:szCs w:val="22"/>
          <w:lang w:eastAsia="en-US"/>
        </w:rPr>
        <w:t>գ</w:t>
      </w:r>
      <w:r w:rsidRPr="00961B35">
        <w:rPr>
          <w:rFonts w:cs="Sylfaen"/>
          <w:b w:val="0"/>
          <w:szCs w:val="22"/>
          <w:lang w:val="en-US" w:eastAsia="en-US"/>
        </w:rPr>
        <w:t>ները</w:t>
      </w:r>
      <w:r w:rsidRPr="00961B35">
        <w:rPr>
          <w:b w:val="0"/>
          <w:szCs w:val="22"/>
          <w:lang w:val="af-ZA" w:eastAsia="en-US"/>
        </w:rPr>
        <w:t>) (</w:t>
      </w:r>
      <w:r w:rsidRPr="00961B35">
        <w:rPr>
          <w:rFonts w:cs="Sylfaen"/>
          <w:b w:val="0"/>
          <w:szCs w:val="22"/>
          <w:lang w:val="en-US" w:eastAsia="en-US"/>
        </w:rPr>
        <w:t>ՍԳԻ</w:t>
      </w:r>
      <w:r w:rsidRPr="00961B35">
        <w:rPr>
          <w:b w:val="0"/>
          <w:szCs w:val="22"/>
          <w:lang w:val="af-ZA" w:eastAsia="en-US"/>
        </w:rPr>
        <w:t>)),</w:t>
      </w:r>
    </w:p>
    <w:p w:rsidR="00961B35" w:rsidRPr="00961B35" w:rsidRDefault="00961B35" w:rsidP="00961B35">
      <w:pPr>
        <w:numPr>
          <w:ilvl w:val="0"/>
          <w:numId w:val="31"/>
        </w:numPr>
        <w:spacing w:before="0" w:line="240" w:lineRule="auto"/>
        <w:ind w:left="0" w:firstLine="450"/>
        <w:contextualSpacing w:val="0"/>
        <w:jc w:val="left"/>
        <w:rPr>
          <w:b w:val="0"/>
          <w:szCs w:val="22"/>
          <w:lang w:val="af-ZA" w:eastAsia="en-US"/>
        </w:rPr>
      </w:pPr>
      <w:r w:rsidRPr="00961B35">
        <w:rPr>
          <w:rFonts w:cs="Sylfaen"/>
          <w:b w:val="0"/>
          <w:szCs w:val="22"/>
          <w:lang w:val="en-US" w:eastAsia="en-US"/>
        </w:rPr>
        <w:t>Ֆինանսական</w:t>
      </w:r>
      <w:r w:rsidRPr="00961B35">
        <w:rPr>
          <w:rFonts w:cs="Sylfaen"/>
          <w:b w:val="0"/>
          <w:szCs w:val="22"/>
          <w:lang w:val="hy-AM" w:eastAsia="en-US"/>
        </w:rPr>
        <w:t xml:space="preserve"> </w:t>
      </w:r>
      <w:r w:rsidRPr="00961B35">
        <w:rPr>
          <w:rFonts w:cs="Sylfaen"/>
          <w:b w:val="0"/>
          <w:szCs w:val="22"/>
          <w:lang w:val="en-US" w:eastAsia="en-US"/>
        </w:rPr>
        <w:t>համակար</w:t>
      </w:r>
      <w:r w:rsidRPr="00961B35">
        <w:rPr>
          <w:rFonts w:cs="Sylfaen"/>
          <w:b w:val="0"/>
          <w:szCs w:val="22"/>
          <w:lang w:eastAsia="en-US"/>
        </w:rPr>
        <w:t>գ</w:t>
      </w:r>
      <w:r w:rsidRPr="00961B35">
        <w:rPr>
          <w:rFonts w:cs="Sylfaen"/>
          <w:b w:val="0"/>
          <w:szCs w:val="22"/>
          <w:lang w:val="en-US" w:eastAsia="en-US"/>
        </w:rPr>
        <w:t>ի</w:t>
      </w:r>
      <w:r w:rsidRPr="00961B35">
        <w:rPr>
          <w:rFonts w:cs="Sylfaen"/>
          <w:b w:val="0"/>
          <w:szCs w:val="22"/>
          <w:lang w:val="hy-AM" w:eastAsia="en-US"/>
        </w:rPr>
        <w:t xml:space="preserve"> </w:t>
      </w:r>
      <w:r w:rsidRPr="00961B35">
        <w:rPr>
          <w:rFonts w:cs="Sylfaen"/>
          <w:b w:val="0"/>
          <w:szCs w:val="22"/>
          <w:lang w:val="en-US" w:eastAsia="en-US"/>
        </w:rPr>
        <w:t>խորություն</w:t>
      </w:r>
      <w:r w:rsidRPr="00961B35">
        <w:rPr>
          <w:b w:val="0"/>
          <w:szCs w:val="22"/>
          <w:lang w:val="af-ZA" w:eastAsia="en-US"/>
        </w:rPr>
        <w:t xml:space="preserve"> (</w:t>
      </w:r>
      <w:r w:rsidRPr="00961B35">
        <w:rPr>
          <w:rFonts w:cs="Sylfaen"/>
          <w:b w:val="0"/>
          <w:szCs w:val="22"/>
          <w:lang w:val="en-US" w:eastAsia="en-US"/>
        </w:rPr>
        <w:t>չափվում</w:t>
      </w:r>
      <w:r w:rsidRPr="00961B35">
        <w:rPr>
          <w:rFonts w:cs="Sylfaen"/>
          <w:b w:val="0"/>
          <w:szCs w:val="22"/>
          <w:lang w:val="hy-AM" w:eastAsia="en-US"/>
        </w:rPr>
        <w:t xml:space="preserve"> </w:t>
      </w:r>
      <w:r w:rsidRPr="00961B35">
        <w:rPr>
          <w:rFonts w:cs="Sylfaen"/>
          <w:b w:val="0"/>
          <w:szCs w:val="22"/>
          <w:lang w:val="en-US" w:eastAsia="en-US"/>
        </w:rPr>
        <w:t>է</w:t>
      </w:r>
      <w:r w:rsidRPr="00961B35">
        <w:rPr>
          <w:rFonts w:cs="Sylfaen"/>
          <w:b w:val="0"/>
          <w:szCs w:val="22"/>
          <w:lang w:val="hy-AM" w:eastAsia="en-US"/>
        </w:rPr>
        <w:t xml:space="preserve"> </w:t>
      </w:r>
      <w:r w:rsidRPr="00961B35">
        <w:rPr>
          <w:rFonts w:cs="Sylfaen"/>
          <w:b w:val="0"/>
          <w:szCs w:val="22"/>
          <w:lang w:val="en-US" w:eastAsia="en-US"/>
        </w:rPr>
        <w:t>հետևյալ</w:t>
      </w:r>
      <w:r w:rsidRPr="00961B35">
        <w:rPr>
          <w:rFonts w:cs="Sylfaen"/>
          <w:b w:val="0"/>
          <w:szCs w:val="22"/>
          <w:lang w:val="hy-AM" w:eastAsia="en-US"/>
        </w:rPr>
        <w:t xml:space="preserve"> </w:t>
      </w:r>
      <w:r w:rsidRPr="00961B35">
        <w:rPr>
          <w:rFonts w:cs="Sylfaen"/>
          <w:b w:val="0"/>
          <w:szCs w:val="22"/>
          <w:lang w:val="en-US" w:eastAsia="en-US"/>
        </w:rPr>
        <w:t>փոփոխականներով</w:t>
      </w:r>
      <w:r w:rsidRPr="00961B35">
        <w:rPr>
          <w:b w:val="0"/>
          <w:szCs w:val="22"/>
          <w:lang w:val="af-ZA" w:eastAsia="en-US"/>
        </w:rPr>
        <w:t xml:space="preserve">` </w:t>
      </w:r>
      <w:r w:rsidRPr="00961B35">
        <w:rPr>
          <w:rFonts w:cs="Sylfaen"/>
          <w:b w:val="0"/>
          <w:szCs w:val="22"/>
          <w:lang w:eastAsia="en-US"/>
        </w:rPr>
        <w:t>փ</w:t>
      </w:r>
      <w:r w:rsidRPr="00961B35">
        <w:rPr>
          <w:rFonts w:cs="Sylfaen"/>
          <w:b w:val="0"/>
          <w:szCs w:val="22"/>
          <w:lang w:val="en-US" w:eastAsia="en-US"/>
        </w:rPr>
        <w:t>ողի</w:t>
      </w:r>
      <w:r w:rsidRPr="00961B35">
        <w:rPr>
          <w:rFonts w:cs="Sylfaen"/>
          <w:b w:val="0"/>
          <w:szCs w:val="22"/>
          <w:lang w:val="af-ZA" w:eastAsia="en-US"/>
        </w:rPr>
        <w:t xml:space="preserve"> </w:t>
      </w:r>
      <w:r w:rsidRPr="00961B35">
        <w:rPr>
          <w:rFonts w:cs="Sylfaen"/>
          <w:b w:val="0"/>
          <w:szCs w:val="22"/>
          <w:lang w:val="en-US" w:eastAsia="en-US"/>
        </w:rPr>
        <w:t>ա</w:t>
      </w:r>
      <w:r w:rsidRPr="00961B35">
        <w:rPr>
          <w:rFonts w:cs="Sylfaen"/>
          <w:b w:val="0"/>
          <w:szCs w:val="22"/>
          <w:lang w:eastAsia="en-US"/>
        </w:rPr>
        <w:t>գ</w:t>
      </w:r>
      <w:r w:rsidRPr="00961B35">
        <w:rPr>
          <w:rFonts w:cs="Sylfaen"/>
          <w:b w:val="0"/>
          <w:szCs w:val="22"/>
          <w:lang w:val="en-US" w:eastAsia="en-US"/>
        </w:rPr>
        <w:t>րե</w:t>
      </w:r>
      <w:r w:rsidRPr="00961B35">
        <w:rPr>
          <w:rFonts w:cs="Sylfaen"/>
          <w:b w:val="0"/>
          <w:szCs w:val="22"/>
          <w:lang w:val="af-ZA" w:eastAsia="en-US"/>
        </w:rPr>
        <w:softHyphen/>
      </w:r>
      <w:r w:rsidRPr="00961B35">
        <w:rPr>
          <w:rFonts w:cs="Sylfaen"/>
          <w:b w:val="0"/>
          <w:szCs w:val="22"/>
          <w:lang w:eastAsia="en-US"/>
        </w:rPr>
        <w:t>գ</w:t>
      </w:r>
      <w:r w:rsidRPr="00961B35">
        <w:rPr>
          <w:rFonts w:cs="Sylfaen"/>
          <w:b w:val="0"/>
          <w:szCs w:val="22"/>
          <w:lang w:val="en-US" w:eastAsia="en-US"/>
        </w:rPr>
        <w:t>ատներ</w:t>
      </w:r>
      <w:r w:rsidRPr="00961B35">
        <w:rPr>
          <w:b w:val="0"/>
          <w:szCs w:val="22"/>
          <w:lang w:val="af-ZA" w:eastAsia="en-US"/>
        </w:rPr>
        <w:t>/</w:t>
      </w:r>
      <w:r w:rsidRPr="00961B35">
        <w:rPr>
          <w:rFonts w:cs="Sylfaen"/>
          <w:b w:val="0"/>
          <w:szCs w:val="22"/>
          <w:lang w:val="en-US" w:eastAsia="en-US"/>
        </w:rPr>
        <w:t>ՀՆԱ</w:t>
      </w:r>
      <w:r w:rsidRPr="00961B35">
        <w:rPr>
          <w:b w:val="0"/>
          <w:szCs w:val="22"/>
          <w:lang w:val="af-ZA" w:eastAsia="en-US"/>
        </w:rPr>
        <w:t xml:space="preserve">, </w:t>
      </w:r>
      <w:r w:rsidRPr="00961B35">
        <w:rPr>
          <w:rFonts w:cs="Sylfaen"/>
          <w:b w:val="0"/>
          <w:szCs w:val="22"/>
          <w:lang w:val="en-US" w:eastAsia="en-US"/>
        </w:rPr>
        <w:t>վարկեր</w:t>
      </w:r>
      <w:r w:rsidRPr="00961B35">
        <w:rPr>
          <w:b w:val="0"/>
          <w:szCs w:val="22"/>
          <w:lang w:val="af-ZA" w:eastAsia="en-US"/>
        </w:rPr>
        <w:t>/</w:t>
      </w:r>
      <w:r w:rsidRPr="00961B35">
        <w:rPr>
          <w:rFonts w:cs="Sylfaen"/>
          <w:b w:val="0"/>
          <w:szCs w:val="22"/>
          <w:lang w:val="en-US" w:eastAsia="en-US"/>
        </w:rPr>
        <w:t>ՀՆԱ</w:t>
      </w:r>
      <w:r w:rsidRPr="00961B35">
        <w:rPr>
          <w:b w:val="0"/>
          <w:szCs w:val="22"/>
          <w:lang w:val="af-ZA" w:eastAsia="en-US"/>
        </w:rPr>
        <w:t xml:space="preserve">, </w:t>
      </w:r>
      <w:r w:rsidRPr="00961B35">
        <w:rPr>
          <w:rFonts w:cs="Sylfaen"/>
          <w:b w:val="0"/>
          <w:szCs w:val="22"/>
          <w:lang w:val="en-US" w:eastAsia="en-US"/>
        </w:rPr>
        <w:t>ավանդներ</w:t>
      </w:r>
      <w:r w:rsidRPr="00961B35">
        <w:rPr>
          <w:b w:val="0"/>
          <w:szCs w:val="22"/>
          <w:lang w:val="af-ZA" w:eastAsia="en-US"/>
        </w:rPr>
        <w:t>/</w:t>
      </w:r>
      <w:r w:rsidRPr="00961B35">
        <w:rPr>
          <w:rFonts w:cs="Sylfaen"/>
          <w:b w:val="0"/>
          <w:szCs w:val="22"/>
          <w:lang w:val="en-US" w:eastAsia="en-US"/>
        </w:rPr>
        <w:t>ՀՆԱ</w:t>
      </w:r>
      <w:r w:rsidRPr="00961B35">
        <w:rPr>
          <w:b w:val="0"/>
          <w:szCs w:val="22"/>
          <w:lang w:val="af-ZA" w:eastAsia="en-US"/>
        </w:rPr>
        <w:t xml:space="preserve">, և </w:t>
      </w:r>
      <w:r w:rsidRPr="00961B35">
        <w:rPr>
          <w:rFonts w:cs="Sylfaen"/>
          <w:b w:val="0"/>
          <w:szCs w:val="22"/>
          <w:lang w:val="en-US" w:eastAsia="en-US"/>
        </w:rPr>
        <w:t>ցույց</w:t>
      </w:r>
      <w:r w:rsidRPr="00961B35">
        <w:rPr>
          <w:rFonts w:cs="Sylfaen"/>
          <w:b w:val="0"/>
          <w:szCs w:val="22"/>
          <w:lang w:val="af-ZA" w:eastAsia="en-US"/>
        </w:rPr>
        <w:t xml:space="preserve"> </w:t>
      </w:r>
      <w:r w:rsidRPr="00961B35">
        <w:rPr>
          <w:rFonts w:cs="Sylfaen"/>
          <w:b w:val="0"/>
          <w:szCs w:val="22"/>
          <w:lang w:val="en-US" w:eastAsia="en-US"/>
        </w:rPr>
        <w:t>է</w:t>
      </w:r>
      <w:r w:rsidRPr="00961B35">
        <w:rPr>
          <w:rFonts w:cs="Sylfaen"/>
          <w:b w:val="0"/>
          <w:szCs w:val="22"/>
          <w:lang w:val="af-ZA" w:eastAsia="en-US"/>
        </w:rPr>
        <w:t xml:space="preserve"> </w:t>
      </w:r>
      <w:r w:rsidRPr="00961B35">
        <w:rPr>
          <w:rFonts w:cs="Sylfaen"/>
          <w:b w:val="0"/>
          <w:szCs w:val="22"/>
          <w:lang w:val="en-US" w:eastAsia="en-US"/>
        </w:rPr>
        <w:t>տալիս</w:t>
      </w:r>
      <w:r w:rsidRPr="00961B35">
        <w:rPr>
          <w:rFonts w:cs="Sylfaen"/>
          <w:b w:val="0"/>
          <w:szCs w:val="22"/>
          <w:lang w:val="af-ZA" w:eastAsia="en-US"/>
        </w:rPr>
        <w:t xml:space="preserve">, </w:t>
      </w:r>
      <w:r w:rsidRPr="00961B35">
        <w:rPr>
          <w:rFonts w:cs="Sylfaen"/>
          <w:b w:val="0"/>
          <w:szCs w:val="22"/>
          <w:lang w:val="en-US" w:eastAsia="en-US"/>
        </w:rPr>
        <w:t>թե</w:t>
      </w:r>
      <w:r w:rsidRPr="00961B35">
        <w:rPr>
          <w:rFonts w:cs="Sylfaen"/>
          <w:b w:val="0"/>
          <w:szCs w:val="22"/>
          <w:lang w:val="af-ZA" w:eastAsia="en-US"/>
        </w:rPr>
        <w:t xml:space="preserve"> </w:t>
      </w:r>
      <w:r w:rsidRPr="00961B35">
        <w:rPr>
          <w:rFonts w:cs="Sylfaen"/>
          <w:b w:val="0"/>
          <w:szCs w:val="22"/>
          <w:lang w:val="en-US" w:eastAsia="en-US"/>
        </w:rPr>
        <w:t>ֆինանսական</w:t>
      </w:r>
      <w:r w:rsidRPr="00961B35">
        <w:rPr>
          <w:rFonts w:cs="Sylfaen"/>
          <w:b w:val="0"/>
          <w:szCs w:val="22"/>
          <w:lang w:val="af-ZA" w:eastAsia="en-US"/>
        </w:rPr>
        <w:t xml:space="preserve"> </w:t>
      </w:r>
      <w:r w:rsidRPr="00961B35">
        <w:rPr>
          <w:rFonts w:cs="Sylfaen"/>
          <w:b w:val="0"/>
          <w:szCs w:val="22"/>
          <w:lang w:val="en-US" w:eastAsia="en-US"/>
        </w:rPr>
        <w:t>համա</w:t>
      </w:r>
      <w:r w:rsidRPr="00961B35">
        <w:rPr>
          <w:rFonts w:cs="Sylfaen"/>
          <w:b w:val="0"/>
          <w:szCs w:val="22"/>
          <w:lang w:val="af-ZA" w:eastAsia="en-US"/>
        </w:rPr>
        <w:softHyphen/>
      </w:r>
      <w:r w:rsidRPr="00961B35">
        <w:rPr>
          <w:rFonts w:cs="Sylfaen"/>
          <w:b w:val="0"/>
          <w:szCs w:val="22"/>
          <w:lang w:val="en-US" w:eastAsia="en-US"/>
        </w:rPr>
        <w:t>կար</w:t>
      </w:r>
      <w:r w:rsidRPr="00961B35">
        <w:rPr>
          <w:rFonts w:cs="Sylfaen"/>
          <w:b w:val="0"/>
          <w:szCs w:val="22"/>
          <w:lang w:eastAsia="en-US"/>
        </w:rPr>
        <w:t>գ</w:t>
      </w:r>
      <w:r w:rsidRPr="00961B35">
        <w:rPr>
          <w:rFonts w:cs="Sylfaen"/>
          <w:b w:val="0"/>
          <w:szCs w:val="22"/>
          <w:lang w:val="en-US" w:eastAsia="en-US"/>
        </w:rPr>
        <w:t>ը</w:t>
      </w:r>
      <w:r w:rsidRPr="00961B35">
        <w:rPr>
          <w:rFonts w:cs="Sylfaen"/>
          <w:b w:val="0"/>
          <w:szCs w:val="22"/>
          <w:lang w:val="af-ZA" w:eastAsia="en-US"/>
        </w:rPr>
        <w:t xml:space="preserve"> </w:t>
      </w:r>
      <w:r w:rsidRPr="00961B35">
        <w:rPr>
          <w:rFonts w:cs="Sylfaen"/>
          <w:b w:val="0"/>
          <w:szCs w:val="22"/>
          <w:lang w:val="en-US" w:eastAsia="en-US"/>
        </w:rPr>
        <w:t>որքանով</w:t>
      </w:r>
      <w:r w:rsidRPr="00961B35">
        <w:rPr>
          <w:rFonts w:cs="Sylfaen"/>
          <w:b w:val="0"/>
          <w:szCs w:val="22"/>
          <w:lang w:val="af-ZA" w:eastAsia="en-US"/>
        </w:rPr>
        <w:t xml:space="preserve"> </w:t>
      </w:r>
      <w:r w:rsidRPr="00961B35">
        <w:rPr>
          <w:rFonts w:cs="Sylfaen"/>
          <w:b w:val="0"/>
          <w:szCs w:val="22"/>
          <w:lang w:val="en-US" w:eastAsia="en-US"/>
        </w:rPr>
        <w:t>է</w:t>
      </w:r>
      <w:r w:rsidRPr="00961B35">
        <w:rPr>
          <w:rFonts w:cs="Sylfaen"/>
          <w:b w:val="0"/>
          <w:szCs w:val="22"/>
          <w:lang w:val="af-ZA" w:eastAsia="en-US"/>
        </w:rPr>
        <w:t xml:space="preserve"> </w:t>
      </w:r>
      <w:r w:rsidRPr="00961B35">
        <w:rPr>
          <w:rFonts w:cs="Sylfaen"/>
          <w:b w:val="0"/>
          <w:szCs w:val="22"/>
          <w:lang w:val="en-US" w:eastAsia="en-US"/>
        </w:rPr>
        <w:t>ներ</w:t>
      </w:r>
      <w:r w:rsidRPr="00961B35">
        <w:rPr>
          <w:rFonts w:cs="Sylfaen"/>
          <w:b w:val="0"/>
          <w:szCs w:val="22"/>
          <w:lang w:eastAsia="en-US"/>
        </w:rPr>
        <w:t>գ</w:t>
      </w:r>
      <w:r w:rsidRPr="00961B35">
        <w:rPr>
          <w:rFonts w:cs="Sylfaen"/>
          <w:b w:val="0"/>
          <w:szCs w:val="22"/>
          <w:lang w:val="en-US" w:eastAsia="en-US"/>
        </w:rPr>
        <w:t>րավված</w:t>
      </w:r>
      <w:r w:rsidRPr="00961B35">
        <w:rPr>
          <w:rFonts w:cs="Sylfaen"/>
          <w:b w:val="0"/>
          <w:szCs w:val="22"/>
          <w:lang w:val="af-ZA" w:eastAsia="en-US"/>
        </w:rPr>
        <w:t xml:space="preserve"> </w:t>
      </w:r>
      <w:r w:rsidRPr="00961B35">
        <w:rPr>
          <w:rFonts w:cs="Sylfaen"/>
          <w:b w:val="0"/>
          <w:szCs w:val="22"/>
          <w:lang w:val="en-US" w:eastAsia="en-US"/>
        </w:rPr>
        <w:t>երկրի</w:t>
      </w:r>
      <w:r w:rsidRPr="00961B35">
        <w:rPr>
          <w:rFonts w:cs="Sylfaen"/>
          <w:b w:val="0"/>
          <w:szCs w:val="22"/>
          <w:lang w:val="af-ZA" w:eastAsia="en-US"/>
        </w:rPr>
        <w:t xml:space="preserve"> </w:t>
      </w:r>
      <w:r w:rsidRPr="00961B35">
        <w:rPr>
          <w:rFonts w:cs="Sylfaen"/>
          <w:b w:val="0"/>
          <w:szCs w:val="22"/>
          <w:lang w:val="en-US" w:eastAsia="en-US"/>
        </w:rPr>
        <w:t>տնտեսական</w:t>
      </w:r>
      <w:r w:rsidRPr="00961B35">
        <w:rPr>
          <w:rFonts w:cs="Sylfaen"/>
          <w:b w:val="0"/>
          <w:szCs w:val="22"/>
          <w:lang w:val="af-ZA" w:eastAsia="en-US"/>
        </w:rPr>
        <w:t xml:space="preserve"> </w:t>
      </w:r>
      <w:r w:rsidRPr="00961B35">
        <w:rPr>
          <w:rFonts w:cs="Sylfaen"/>
          <w:b w:val="0"/>
          <w:szCs w:val="22"/>
          <w:lang w:val="en-US" w:eastAsia="en-US"/>
        </w:rPr>
        <w:t>կյանքում</w:t>
      </w:r>
      <w:r w:rsidRPr="00961B35">
        <w:rPr>
          <w:b w:val="0"/>
          <w:szCs w:val="22"/>
          <w:lang w:val="af-ZA" w:eastAsia="en-US"/>
        </w:rPr>
        <w:t>),</w:t>
      </w:r>
    </w:p>
    <w:p w:rsidR="00961B35" w:rsidRPr="00961B35" w:rsidRDefault="00961B35" w:rsidP="00961B35">
      <w:pPr>
        <w:numPr>
          <w:ilvl w:val="0"/>
          <w:numId w:val="31"/>
        </w:numPr>
        <w:spacing w:before="0" w:line="240" w:lineRule="auto"/>
        <w:ind w:left="0" w:firstLine="450"/>
        <w:contextualSpacing w:val="0"/>
        <w:jc w:val="left"/>
        <w:rPr>
          <w:b w:val="0"/>
          <w:szCs w:val="22"/>
          <w:lang w:val="af-ZA" w:eastAsia="en-US"/>
        </w:rPr>
      </w:pPr>
      <w:r w:rsidRPr="00961B35">
        <w:rPr>
          <w:rFonts w:cs="Sylfaen"/>
          <w:b w:val="0"/>
          <w:szCs w:val="22"/>
          <w:lang w:val="en-US" w:eastAsia="en-US"/>
        </w:rPr>
        <w:t>Արտաքին</w:t>
      </w:r>
      <w:r w:rsidRPr="00961B35">
        <w:rPr>
          <w:rFonts w:cs="Sylfaen"/>
          <w:b w:val="0"/>
          <w:szCs w:val="22"/>
          <w:lang w:val="af-ZA" w:eastAsia="en-US"/>
        </w:rPr>
        <w:t xml:space="preserve"> </w:t>
      </w:r>
      <w:r w:rsidRPr="00961B35">
        <w:rPr>
          <w:rFonts w:cs="Sylfaen"/>
          <w:b w:val="0"/>
          <w:szCs w:val="22"/>
          <w:lang w:val="en-US" w:eastAsia="en-US"/>
        </w:rPr>
        <w:t>աշխարհի</w:t>
      </w:r>
      <w:r w:rsidRPr="00961B35">
        <w:rPr>
          <w:rFonts w:cs="Sylfaen"/>
          <w:b w:val="0"/>
          <w:szCs w:val="22"/>
          <w:lang w:val="af-ZA" w:eastAsia="en-US"/>
        </w:rPr>
        <w:t xml:space="preserve"> </w:t>
      </w:r>
      <w:r w:rsidRPr="00961B35">
        <w:rPr>
          <w:rFonts w:cs="Sylfaen"/>
          <w:b w:val="0"/>
          <w:szCs w:val="22"/>
          <w:lang w:val="en-US" w:eastAsia="en-US"/>
        </w:rPr>
        <w:t>հետ</w:t>
      </w:r>
      <w:r w:rsidRPr="00961B35">
        <w:rPr>
          <w:rFonts w:cs="Sylfaen"/>
          <w:b w:val="0"/>
          <w:szCs w:val="22"/>
          <w:lang w:val="af-ZA" w:eastAsia="en-US"/>
        </w:rPr>
        <w:t xml:space="preserve"> </w:t>
      </w:r>
      <w:r w:rsidRPr="00961B35">
        <w:rPr>
          <w:rFonts w:cs="Sylfaen"/>
          <w:b w:val="0"/>
          <w:szCs w:val="22"/>
          <w:lang w:val="en-US" w:eastAsia="en-US"/>
        </w:rPr>
        <w:t>տնտեսական</w:t>
      </w:r>
      <w:r w:rsidRPr="00961B35">
        <w:rPr>
          <w:rFonts w:cs="Sylfaen"/>
          <w:b w:val="0"/>
          <w:szCs w:val="22"/>
          <w:lang w:val="af-ZA" w:eastAsia="en-US"/>
        </w:rPr>
        <w:t xml:space="preserve"> </w:t>
      </w:r>
      <w:r w:rsidRPr="00961B35">
        <w:rPr>
          <w:rFonts w:cs="Sylfaen"/>
          <w:b w:val="0"/>
          <w:szCs w:val="22"/>
          <w:lang w:val="en-US" w:eastAsia="en-US"/>
        </w:rPr>
        <w:t>հարաբերություններ</w:t>
      </w:r>
      <w:r w:rsidRPr="00961B35">
        <w:rPr>
          <w:b w:val="0"/>
          <w:szCs w:val="22"/>
          <w:lang w:val="af-ZA" w:eastAsia="en-US"/>
        </w:rPr>
        <w:t xml:space="preserve"> (</w:t>
      </w:r>
      <w:r w:rsidRPr="00961B35">
        <w:rPr>
          <w:rFonts w:cs="Sylfaen"/>
          <w:b w:val="0"/>
          <w:szCs w:val="22"/>
          <w:lang w:val="en-US" w:eastAsia="en-US"/>
        </w:rPr>
        <w:t>չափվում</w:t>
      </w:r>
      <w:r w:rsidRPr="00961B35">
        <w:rPr>
          <w:rFonts w:cs="Sylfaen"/>
          <w:b w:val="0"/>
          <w:szCs w:val="22"/>
          <w:lang w:val="af-ZA" w:eastAsia="en-US"/>
        </w:rPr>
        <w:t xml:space="preserve"> </w:t>
      </w:r>
      <w:r w:rsidRPr="00961B35">
        <w:rPr>
          <w:rFonts w:cs="Sylfaen"/>
          <w:b w:val="0"/>
          <w:szCs w:val="22"/>
          <w:lang w:val="en-US" w:eastAsia="en-US"/>
        </w:rPr>
        <w:t>է</w:t>
      </w:r>
      <w:r w:rsidRPr="00961B35">
        <w:rPr>
          <w:rFonts w:cs="Sylfaen"/>
          <w:b w:val="0"/>
          <w:szCs w:val="22"/>
          <w:lang w:val="af-ZA" w:eastAsia="en-US"/>
        </w:rPr>
        <w:t xml:space="preserve"> </w:t>
      </w:r>
      <w:r w:rsidRPr="00961B35">
        <w:rPr>
          <w:rFonts w:cs="Sylfaen"/>
          <w:b w:val="0"/>
          <w:szCs w:val="22"/>
          <w:lang w:val="en-US" w:eastAsia="en-US"/>
        </w:rPr>
        <w:t>հիմնականում</w:t>
      </w:r>
      <w:r w:rsidRPr="00961B35">
        <w:rPr>
          <w:rFonts w:cs="Sylfaen"/>
          <w:b w:val="0"/>
          <w:szCs w:val="22"/>
          <w:lang w:val="af-ZA" w:eastAsia="en-US"/>
        </w:rPr>
        <w:t xml:space="preserve"> </w:t>
      </w:r>
      <w:r w:rsidRPr="00961B35">
        <w:rPr>
          <w:rFonts w:cs="Sylfaen"/>
          <w:b w:val="0"/>
          <w:szCs w:val="22"/>
          <w:lang w:val="en-US" w:eastAsia="en-US"/>
        </w:rPr>
        <w:t>երկրի</w:t>
      </w:r>
      <w:r w:rsidRPr="00961B35">
        <w:rPr>
          <w:rFonts w:cs="Sylfaen"/>
          <w:b w:val="0"/>
          <w:szCs w:val="22"/>
          <w:lang w:val="af-ZA" w:eastAsia="en-US"/>
        </w:rPr>
        <w:t xml:space="preserve"> </w:t>
      </w:r>
      <w:r w:rsidRPr="00961B35">
        <w:rPr>
          <w:rFonts w:cs="Sylfaen"/>
          <w:b w:val="0"/>
          <w:szCs w:val="22"/>
          <w:lang w:val="en-US" w:eastAsia="en-US"/>
        </w:rPr>
        <w:t>ընթացիկ</w:t>
      </w:r>
      <w:r w:rsidRPr="00961B35">
        <w:rPr>
          <w:rFonts w:cs="Sylfaen"/>
          <w:b w:val="0"/>
          <w:szCs w:val="22"/>
          <w:lang w:val="af-ZA" w:eastAsia="en-US"/>
        </w:rPr>
        <w:t xml:space="preserve"> </w:t>
      </w:r>
      <w:r w:rsidRPr="00961B35">
        <w:rPr>
          <w:rFonts w:cs="Sylfaen"/>
          <w:b w:val="0"/>
          <w:szCs w:val="22"/>
          <w:lang w:val="en-US" w:eastAsia="en-US"/>
        </w:rPr>
        <w:t>հաշվի</w:t>
      </w:r>
      <w:r w:rsidRPr="00961B35">
        <w:rPr>
          <w:rFonts w:cs="Sylfaen"/>
          <w:b w:val="0"/>
          <w:szCs w:val="22"/>
          <w:lang w:val="af-ZA" w:eastAsia="en-US"/>
        </w:rPr>
        <w:t xml:space="preserve"> </w:t>
      </w:r>
      <w:r w:rsidRPr="00961B35">
        <w:rPr>
          <w:rFonts w:cs="Sylfaen"/>
          <w:b w:val="0"/>
          <w:szCs w:val="22"/>
          <w:lang w:val="en-US" w:eastAsia="en-US"/>
        </w:rPr>
        <w:t>հաշվեկշռով</w:t>
      </w:r>
      <w:r w:rsidRPr="00961B35">
        <w:rPr>
          <w:b w:val="0"/>
          <w:szCs w:val="22"/>
          <w:lang w:val="af-ZA" w:eastAsia="en-US"/>
        </w:rPr>
        <w:t>),</w:t>
      </w:r>
    </w:p>
    <w:p w:rsidR="00961B35" w:rsidRPr="00961B35" w:rsidRDefault="00961B35" w:rsidP="00961B35">
      <w:pPr>
        <w:numPr>
          <w:ilvl w:val="0"/>
          <w:numId w:val="31"/>
        </w:numPr>
        <w:spacing w:before="0" w:line="240" w:lineRule="auto"/>
        <w:ind w:left="0" w:firstLine="450"/>
        <w:contextualSpacing w:val="0"/>
        <w:jc w:val="left"/>
        <w:rPr>
          <w:b w:val="0"/>
          <w:szCs w:val="22"/>
          <w:lang w:val="af-ZA" w:eastAsia="en-US"/>
        </w:rPr>
      </w:pPr>
      <w:r w:rsidRPr="00961B35">
        <w:rPr>
          <w:rFonts w:cs="Sylfaen"/>
          <w:b w:val="0"/>
          <w:szCs w:val="22"/>
          <w:lang w:val="en-US" w:eastAsia="en-US"/>
        </w:rPr>
        <w:t>Պետական</w:t>
      </w:r>
      <w:r w:rsidRPr="00961B35">
        <w:rPr>
          <w:rFonts w:cs="Sylfaen"/>
          <w:b w:val="0"/>
          <w:szCs w:val="22"/>
          <w:lang w:val="af-ZA" w:eastAsia="en-US"/>
        </w:rPr>
        <w:t xml:space="preserve"> </w:t>
      </w:r>
      <w:r w:rsidRPr="00961B35">
        <w:rPr>
          <w:rFonts w:cs="Sylfaen"/>
          <w:b w:val="0"/>
          <w:szCs w:val="22"/>
          <w:lang w:val="en-US" w:eastAsia="en-US"/>
        </w:rPr>
        <w:t>հատվածի</w:t>
      </w:r>
      <w:r w:rsidRPr="00961B35">
        <w:rPr>
          <w:rFonts w:cs="Sylfaen"/>
          <w:b w:val="0"/>
          <w:szCs w:val="22"/>
          <w:lang w:val="af-ZA" w:eastAsia="en-US"/>
        </w:rPr>
        <w:t xml:space="preserve"> </w:t>
      </w:r>
      <w:r w:rsidRPr="00961B35">
        <w:rPr>
          <w:rFonts w:cs="Sylfaen"/>
          <w:b w:val="0"/>
          <w:szCs w:val="22"/>
          <w:lang w:val="en-US" w:eastAsia="en-US"/>
        </w:rPr>
        <w:t>դիրքը</w:t>
      </w:r>
      <w:r w:rsidRPr="00961B35">
        <w:rPr>
          <w:rFonts w:cs="Sylfaen"/>
          <w:b w:val="0"/>
          <w:szCs w:val="22"/>
          <w:lang w:val="af-ZA" w:eastAsia="en-US"/>
        </w:rPr>
        <w:t xml:space="preserve"> </w:t>
      </w:r>
      <w:r w:rsidRPr="00961B35">
        <w:rPr>
          <w:rFonts w:cs="Sylfaen"/>
          <w:b w:val="0"/>
          <w:szCs w:val="22"/>
          <w:lang w:val="en-US" w:eastAsia="en-US"/>
        </w:rPr>
        <w:t>տնտեսությունում</w:t>
      </w:r>
      <w:r w:rsidRPr="00961B35">
        <w:rPr>
          <w:b w:val="0"/>
          <w:szCs w:val="22"/>
          <w:lang w:val="af-ZA" w:eastAsia="en-US"/>
        </w:rPr>
        <w:t xml:space="preserve"> (</w:t>
      </w:r>
      <w:r w:rsidRPr="00961B35">
        <w:rPr>
          <w:rFonts w:cs="Sylfaen"/>
          <w:b w:val="0"/>
          <w:szCs w:val="22"/>
          <w:lang w:val="en-US" w:eastAsia="en-US"/>
        </w:rPr>
        <w:t>չափվում</w:t>
      </w:r>
      <w:r w:rsidRPr="00961B35">
        <w:rPr>
          <w:rFonts w:cs="Sylfaen"/>
          <w:b w:val="0"/>
          <w:szCs w:val="22"/>
          <w:lang w:val="af-ZA" w:eastAsia="en-US"/>
        </w:rPr>
        <w:t xml:space="preserve"> </w:t>
      </w:r>
      <w:r w:rsidRPr="00961B35">
        <w:rPr>
          <w:rFonts w:cs="Sylfaen"/>
          <w:b w:val="0"/>
          <w:szCs w:val="22"/>
          <w:lang w:val="en-US" w:eastAsia="en-US"/>
        </w:rPr>
        <w:t>է</w:t>
      </w:r>
      <w:r w:rsidRPr="00961B35">
        <w:rPr>
          <w:rFonts w:cs="Sylfaen"/>
          <w:b w:val="0"/>
          <w:szCs w:val="22"/>
          <w:lang w:val="af-ZA" w:eastAsia="en-US"/>
        </w:rPr>
        <w:t xml:space="preserve"> </w:t>
      </w:r>
      <w:r w:rsidRPr="00961B35">
        <w:rPr>
          <w:rFonts w:cs="Sylfaen"/>
          <w:b w:val="0"/>
          <w:szCs w:val="22"/>
          <w:lang w:val="en-US" w:eastAsia="en-US"/>
        </w:rPr>
        <w:t>հիմնականում</w:t>
      </w:r>
      <w:r w:rsidRPr="00961B35">
        <w:rPr>
          <w:rFonts w:cs="Sylfaen"/>
          <w:b w:val="0"/>
          <w:szCs w:val="22"/>
          <w:lang w:val="af-ZA" w:eastAsia="en-US"/>
        </w:rPr>
        <w:t xml:space="preserve"> </w:t>
      </w:r>
      <w:r w:rsidRPr="00961B35">
        <w:rPr>
          <w:rFonts w:cs="Sylfaen"/>
          <w:b w:val="0"/>
          <w:szCs w:val="22"/>
          <w:lang w:val="en-US" w:eastAsia="en-US"/>
        </w:rPr>
        <w:t>պետական</w:t>
      </w:r>
      <w:r w:rsidRPr="00961B35">
        <w:rPr>
          <w:rFonts w:cs="Sylfaen"/>
          <w:b w:val="0"/>
          <w:szCs w:val="22"/>
          <w:lang w:val="af-ZA" w:eastAsia="en-US"/>
        </w:rPr>
        <w:t xml:space="preserve"> </w:t>
      </w:r>
      <w:r w:rsidRPr="00961B35">
        <w:rPr>
          <w:rFonts w:cs="Sylfaen"/>
          <w:b w:val="0"/>
          <w:szCs w:val="22"/>
          <w:lang w:val="en-US" w:eastAsia="en-US"/>
        </w:rPr>
        <w:t>հատ</w:t>
      </w:r>
      <w:r w:rsidRPr="00961B35">
        <w:rPr>
          <w:rFonts w:cs="Sylfaen"/>
          <w:b w:val="0"/>
          <w:szCs w:val="22"/>
          <w:lang w:val="af-ZA" w:eastAsia="en-US"/>
        </w:rPr>
        <w:softHyphen/>
      </w:r>
      <w:r w:rsidRPr="00961B35">
        <w:rPr>
          <w:rFonts w:cs="Sylfaen"/>
          <w:b w:val="0"/>
          <w:szCs w:val="22"/>
          <w:lang w:val="en-US" w:eastAsia="en-US"/>
        </w:rPr>
        <w:t>վածի</w:t>
      </w:r>
      <w:r w:rsidRPr="00961B35">
        <w:rPr>
          <w:rFonts w:cs="Sylfaen"/>
          <w:b w:val="0"/>
          <w:szCs w:val="22"/>
          <w:lang w:val="af-ZA" w:eastAsia="en-US"/>
        </w:rPr>
        <w:t xml:space="preserve"> </w:t>
      </w:r>
      <w:r w:rsidRPr="00961B35">
        <w:rPr>
          <w:rFonts w:cs="Sylfaen"/>
          <w:b w:val="0"/>
          <w:szCs w:val="22"/>
          <w:lang w:val="en-US" w:eastAsia="en-US"/>
        </w:rPr>
        <w:t>ծախսերի</w:t>
      </w:r>
      <w:r w:rsidRPr="00961B35">
        <w:rPr>
          <w:rFonts w:cs="Sylfaen"/>
          <w:b w:val="0"/>
          <w:szCs w:val="22"/>
          <w:lang w:val="af-ZA" w:eastAsia="en-US"/>
        </w:rPr>
        <w:t xml:space="preserve"> </w:t>
      </w:r>
      <w:r w:rsidRPr="00961B35">
        <w:rPr>
          <w:rFonts w:cs="Sylfaen"/>
          <w:b w:val="0"/>
          <w:szCs w:val="22"/>
          <w:lang w:val="en-US" w:eastAsia="en-US"/>
        </w:rPr>
        <w:t>և</w:t>
      </w:r>
      <w:r w:rsidRPr="00961B35">
        <w:rPr>
          <w:rFonts w:cs="Sylfaen"/>
          <w:b w:val="0"/>
          <w:szCs w:val="22"/>
          <w:lang w:val="af-ZA" w:eastAsia="en-US"/>
        </w:rPr>
        <w:t xml:space="preserve"> </w:t>
      </w:r>
      <w:r w:rsidRPr="00961B35">
        <w:rPr>
          <w:rFonts w:cs="Sylfaen"/>
          <w:b w:val="0"/>
          <w:szCs w:val="22"/>
          <w:lang w:val="en-US" w:eastAsia="en-US"/>
        </w:rPr>
        <w:t>եկամուտների</w:t>
      </w:r>
      <w:r w:rsidRPr="00961B35">
        <w:rPr>
          <w:rFonts w:cs="Sylfaen"/>
          <w:b w:val="0"/>
          <w:szCs w:val="22"/>
          <w:lang w:val="af-ZA" w:eastAsia="en-US"/>
        </w:rPr>
        <w:t xml:space="preserve"> </w:t>
      </w:r>
      <w:r w:rsidRPr="00961B35">
        <w:rPr>
          <w:rFonts w:cs="Sylfaen"/>
          <w:b w:val="0"/>
          <w:szCs w:val="22"/>
          <w:lang w:val="en-US" w:eastAsia="en-US"/>
        </w:rPr>
        <w:t>ծավալով</w:t>
      </w:r>
      <w:r w:rsidRPr="00961B35">
        <w:rPr>
          <w:rFonts w:cs="Sylfaen"/>
          <w:b w:val="0"/>
          <w:szCs w:val="22"/>
          <w:lang w:val="af-ZA" w:eastAsia="en-US"/>
        </w:rPr>
        <w:t xml:space="preserve"> </w:t>
      </w:r>
      <w:r w:rsidRPr="00961B35">
        <w:rPr>
          <w:b w:val="0"/>
          <w:szCs w:val="22"/>
          <w:lang w:val="af-ZA" w:eastAsia="en-US"/>
        </w:rPr>
        <w:t>(</w:t>
      </w:r>
      <w:r w:rsidRPr="00961B35">
        <w:rPr>
          <w:rFonts w:cs="Sylfaen"/>
          <w:b w:val="0"/>
          <w:szCs w:val="22"/>
          <w:lang w:val="en-US" w:eastAsia="en-US"/>
        </w:rPr>
        <w:t>պետական</w:t>
      </w:r>
      <w:r w:rsidRPr="00961B35">
        <w:rPr>
          <w:rFonts w:cs="Sylfaen"/>
          <w:b w:val="0"/>
          <w:szCs w:val="22"/>
          <w:lang w:val="af-ZA" w:eastAsia="en-US"/>
        </w:rPr>
        <w:t xml:space="preserve"> </w:t>
      </w:r>
      <w:r w:rsidRPr="00961B35">
        <w:rPr>
          <w:rFonts w:cs="Sylfaen"/>
          <w:b w:val="0"/>
          <w:szCs w:val="22"/>
          <w:lang w:val="en-US" w:eastAsia="en-US"/>
        </w:rPr>
        <w:t>ծախսեր</w:t>
      </w:r>
      <w:r w:rsidRPr="00961B35">
        <w:rPr>
          <w:b w:val="0"/>
          <w:szCs w:val="22"/>
          <w:lang w:val="af-ZA" w:eastAsia="en-US"/>
        </w:rPr>
        <w:t>/</w:t>
      </w:r>
      <w:r w:rsidRPr="00961B35">
        <w:rPr>
          <w:rFonts w:cs="Sylfaen"/>
          <w:b w:val="0"/>
          <w:szCs w:val="22"/>
          <w:lang w:val="en-US" w:eastAsia="en-US"/>
        </w:rPr>
        <w:t>ՀՆԱ</w:t>
      </w:r>
      <w:r w:rsidRPr="00961B35">
        <w:rPr>
          <w:b w:val="0"/>
          <w:szCs w:val="22"/>
          <w:lang w:val="af-ZA" w:eastAsia="en-US"/>
        </w:rPr>
        <w:t xml:space="preserve">, </w:t>
      </w:r>
      <w:r w:rsidRPr="00961B35">
        <w:rPr>
          <w:rFonts w:cs="Sylfaen"/>
          <w:b w:val="0"/>
          <w:szCs w:val="22"/>
          <w:lang w:val="en-US" w:eastAsia="en-US"/>
        </w:rPr>
        <w:t>հարկային</w:t>
      </w:r>
      <w:r w:rsidRPr="00961B35">
        <w:rPr>
          <w:rFonts w:cs="Sylfaen"/>
          <w:b w:val="0"/>
          <w:szCs w:val="22"/>
          <w:lang w:val="af-ZA" w:eastAsia="en-US"/>
        </w:rPr>
        <w:t xml:space="preserve"> </w:t>
      </w:r>
      <w:r w:rsidRPr="00961B35">
        <w:rPr>
          <w:rFonts w:cs="Sylfaen"/>
          <w:b w:val="0"/>
          <w:szCs w:val="22"/>
          <w:lang w:val="en-US" w:eastAsia="en-US"/>
        </w:rPr>
        <w:t>եկա</w:t>
      </w:r>
      <w:r w:rsidRPr="00961B35">
        <w:rPr>
          <w:rFonts w:cs="Sylfaen"/>
          <w:b w:val="0"/>
          <w:szCs w:val="22"/>
          <w:lang w:val="af-ZA" w:eastAsia="en-US"/>
        </w:rPr>
        <w:softHyphen/>
      </w:r>
      <w:r w:rsidRPr="00961B35">
        <w:rPr>
          <w:rFonts w:cs="Sylfaen"/>
          <w:b w:val="0"/>
          <w:szCs w:val="22"/>
          <w:lang w:val="en-US" w:eastAsia="en-US"/>
        </w:rPr>
        <w:t>մուտներ</w:t>
      </w:r>
      <w:r w:rsidRPr="00961B35">
        <w:rPr>
          <w:b w:val="0"/>
          <w:szCs w:val="22"/>
          <w:lang w:val="af-ZA" w:eastAsia="en-US"/>
        </w:rPr>
        <w:t>/</w:t>
      </w:r>
      <w:r w:rsidRPr="00961B35">
        <w:rPr>
          <w:rFonts w:cs="Sylfaen"/>
          <w:b w:val="0"/>
          <w:szCs w:val="22"/>
          <w:lang w:val="en-US" w:eastAsia="en-US"/>
        </w:rPr>
        <w:t>ՀՆԱ</w:t>
      </w:r>
      <w:r w:rsidRPr="00961B35">
        <w:rPr>
          <w:b w:val="0"/>
          <w:szCs w:val="22"/>
          <w:lang w:val="af-ZA" w:eastAsia="en-US"/>
        </w:rPr>
        <w:t xml:space="preserve">)): </w:t>
      </w:r>
    </w:p>
    <w:p w:rsidR="00961B35" w:rsidRPr="00961B35" w:rsidRDefault="00961B35" w:rsidP="00961B35">
      <w:pPr>
        <w:spacing w:before="0"/>
        <w:ind w:firstLine="450"/>
        <w:contextualSpacing w:val="0"/>
        <w:rPr>
          <w:rFonts w:cs="Sylfaen"/>
          <w:b w:val="0"/>
          <w:szCs w:val="22"/>
          <w:lang w:val="af-ZA" w:eastAsia="en-US"/>
        </w:rPr>
      </w:pPr>
      <w:r w:rsidRPr="00961B35">
        <w:rPr>
          <w:rFonts w:cs="Sylfaen"/>
          <w:b w:val="0"/>
          <w:szCs w:val="22"/>
          <w:lang w:val="it-IT" w:eastAsia="en-US"/>
        </w:rPr>
        <w:t>Աղյուսակ</w:t>
      </w:r>
      <w:r w:rsidRPr="00961B35">
        <w:rPr>
          <w:rFonts w:cs="Sylfaen"/>
          <w:b w:val="0"/>
          <w:szCs w:val="22"/>
          <w:lang w:val="af-ZA" w:eastAsia="en-US"/>
        </w:rPr>
        <w:t xml:space="preserve"> 1.1-</w:t>
      </w:r>
      <w:r w:rsidRPr="00961B35">
        <w:rPr>
          <w:rFonts w:cs="Sylfaen"/>
          <w:b w:val="0"/>
          <w:szCs w:val="22"/>
          <w:lang w:val="it-IT" w:eastAsia="en-US"/>
        </w:rPr>
        <w:t>ում</w:t>
      </w:r>
      <w:r w:rsidRPr="00961B35">
        <w:rPr>
          <w:rFonts w:cs="Sylfaen"/>
          <w:b w:val="0"/>
          <w:szCs w:val="22"/>
          <w:lang w:val="af-ZA" w:eastAsia="en-US"/>
        </w:rPr>
        <w:t xml:space="preserve"> </w:t>
      </w:r>
      <w:r w:rsidRPr="00961B35">
        <w:rPr>
          <w:rFonts w:cs="Sylfaen"/>
          <w:b w:val="0"/>
          <w:szCs w:val="22"/>
          <w:lang w:val="it-IT" w:eastAsia="en-US"/>
        </w:rPr>
        <w:t>ներկայացված</w:t>
      </w:r>
      <w:r w:rsidRPr="00961B35">
        <w:rPr>
          <w:rFonts w:cs="Sylfaen"/>
          <w:b w:val="0"/>
          <w:szCs w:val="22"/>
          <w:lang w:val="af-ZA" w:eastAsia="en-US"/>
        </w:rPr>
        <w:t xml:space="preserve"> </w:t>
      </w:r>
      <w:r w:rsidRPr="00961B35">
        <w:rPr>
          <w:rFonts w:cs="Sylfaen"/>
          <w:b w:val="0"/>
          <w:szCs w:val="22"/>
          <w:lang w:val="it-IT" w:eastAsia="en-US"/>
        </w:rPr>
        <w:t>է</w:t>
      </w:r>
      <w:r w:rsidRPr="00961B35">
        <w:rPr>
          <w:rFonts w:cs="Sylfaen"/>
          <w:b w:val="0"/>
          <w:szCs w:val="22"/>
          <w:lang w:val="af-ZA" w:eastAsia="en-US"/>
        </w:rPr>
        <w:t xml:space="preserve"> </w:t>
      </w:r>
      <w:r w:rsidRPr="00961B35">
        <w:rPr>
          <w:rFonts w:cs="Sylfaen"/>
          <w:b w:val="0"/>
          <w:szCs w:val="22"/>
          <w:lang w:val="it-IT" w:eastAsia="en-US"/>
        </w:rPr>
        <w:t>տնտեսության</w:t>
      </w:r>
      <w:r w:rsidRPr="00961B35">
        <w:rPr>
          <w:rFonts w:cs="Sylfaen"/>
          <w:b w:val="0"/>
          <w:szCs w:val="22"/>
          <w:lang w:val="af-ZA" w:eastAsia="en-US"/>
        </w:rPr>
        <w:t xml:space="preserve"> </w:t>
      </w:r>
      <w:r w:rsidRPr="00961B35">
        <w:rPr>
          <w:rFonts w:cs="Sylfaen"/>
          <w:b w:val="0"/>
          <w:szCs w:val="22"/>
          <w:lang w:val="it-IT" w:eastAsia="en-US"/>
        </w:rPr>
        <w:t>ներկա</w:t>
      </w:r>
      <w:r w:rsidRPr="00961B35">
        <w:rPr>
          <w:rFonts w:cs="Sylfaen"/>
          <w:b w:val="0"/>
          <w:szCs w:val="22"/>
          <w:lang w:val="af-ZA" w:eastAsia="en-US"/>
        </w:rPr>
        <w:t xml:space="preserve"> </w:t>
      </w:r>
      <w:r w:rsidRPr="00961B35">
        <w:rPr>
          <w:rFonts w:cs="Sylfaen"/>
          <w:b w:val="0"/>
          <w:szCs w:val="22"/>
          <w:lang w:val="it-IT" w:eastAsia="en-US"/>
        </w:rPr>
        <w:t>իրավիճակի</w:t>
      </w:r>
      <w:r w:rsidRPr="00961B35">
        <w:rPr>
          <w:rFonts w:cs="Sylfaen"/>
          <w:b w:val="0"/>
          <w:szCs w:val="22"/>
          <w:lang w:val="af-ZA" w:eastAsia="en-US"/>
        </w:rPr>
        <w:t xml:space="preserve"> </w:t>
      </w:r>
      <w:r w:rsidRPr="00961B35">
        <w:rPr>
          <w:rFonts w:cs="Sylfaen"/>
          <w:b w:val="0"/>
          <w:szCs w:val="22"/>
          <w:lang w:val="it-IT" w:eastAsia="en-US"/>
        </w:rPr>
        <w:t>հակիրճ</w:t>
      </w:r>
      <w:r w:rsidRPr="00961B35">
        <w:rPr>
          <w:rFonts w:cs="Sylfaen"/>
          <w:b w:val="0"/>
          <w:szCs w:val="22"/>
          <w:lang w:val="af-ZA" w:eastAsia="en-US"/>
        </w:rPr>
        <w:t xml:space="preserve"> </w:t>
      </w:r>
      <w:r w:rsidRPr="00961B35">
        <w:rPr>
          <w:rFonts w:cs="Sylfaen"/>
          <w:b w:val="0"/>
          <w:szCs w:val="22"/>
          <w:lang w:val="it-IT" w:eastAsia="en-US"/>
        </w:rPr>
        <w:t>նկարագրու</w:t>
      </w:r>
      <w:r w:rsidRPr="00961B35">
        <w:rPr>
          <w:rFonts w:cs="Sylfaen"/>
          <w:b w:val="0"/>
          <w:szCs w:val="22"/>
          <w:lang w:val="af-ZA" w:eastAsia="en-US"/>
        </w:rPr>
        <w:softHyphen/>
      </w:r>
      <w:r w:rsidRPr="00961B35">
        <w:rPr>
          <w:rFonts w:cs="Sylfaen"/>
          <w:b w:val="0"/>
          <w:szCs w:val="22"/>
          <w:lang w:val="it-IT" w:eastAsia="en-US"/>
        </w:rPr>
        <w:t>թյունը</w:t>
      </w:r>
      <w:r w:rsidRPr="00961B35">
        <w:rPr>
          <w:rFonts w:cs="Sylfaen"/>
          <w:b w:val="0"/>
          <w:szCs w:val="22"/>
          <w:lang w:val="af-ZA" w:eastAsia="en-US"/>
        </w:rPr>
        <w:t xml:space="preserve">` </w:t>
      </w:r>
      <w:r w:rsidRPr="00961B35">
        <w:rPr>
          <w:rFonts w:cs="Sylfaen"/>
          <w:b w:val="0"/>
          <w:szCs w:val="22"/>
          <w:lang w:val="it-IT" w:eastAsia="en-US"/>
        </w:rPr>
        <w:t>ըստ</w:t>
      </w:r>
      <w:r w:rsidRPr="00961B35">
        <w:rPr>
          <w:rFonts w:cs="Sylfaen"/>
          <w:b w:val="0"/>
          <w:szCs w:val="22"/>
          <w:lang w:val="af-ZA" w:eastAsia="en-US"/>
        </w:rPr>
        <w:t xml:space="preserve"> </w:t>
      </w:r>
      <w:r w:rsidRPr="00961B35">
        <w:rPr>
          <w:rFonts w:cs="Sylfaen"/>
          <w:b w:val="0"/>
          <w:szCs w:val="22"/>
          <w:lang w:val="it-IT" w:eastAsia="en-US"/>
        </w:rPr>
        <w:t>վերը</w:t>
      </w:r>
      <w:r w:rsidRPr="00961B35">
        <w:rPr>
          <w:rFonts w:cs="Sylfaen"/>
          <w:b w:val="0"/>
          <w:szCs w:val="22"/>
          <w:lang w:val="af-ZA" w:eastAsia="en-US"/>
        </w:rPr>
        <w:t xml:space="preserve"> </w:t>
      </w:r>
      <w:r w:rsidRPr="00961B35">
        <w:rPr>
          <w:rFonts w:cs="Sylfaen"/>
          <w:b w:val="0"/>
          <w:szCs w:val="22"/>
          <w:lang w:val="it-IT" w:eastAsia="en-US"/>
        </w:rPr>
        <w:t>նշված</w:t>
      </w:r>
      <w:r w:rsidRPr="00961B35">
        <w:rPr>
          <w:rFonts w:cs="Sylfaen"/>
          <w:b w:val="0"/>
          <w:szCs w:val="22"/>
          <w:lang w:val="af-ZA" w:eastAsia="en-US"/>
        </w:rPr>
        <w:t xml:space="preserve"> </w:t>
      </w:r>
      <w:r w:rsidRPr="00961B35">
        <w:rPr>
          <w:rFonts w:cs="Sylfaen"/>
          <w:b w:val="0"/>
          <w:szCs w:val="22"/>
          <w:lang w:val="it-IT" w:eastAsia="en-US"/>
        </w:rPr>
        <w:t>վեց</w:t>
      </w:r>
      <w:r w:rsidRPr="00961B35">
        <w:rPr>
          <w:rFonts w:cs="Sylfaen"/>
          <w:b w:val="0"/>
          <w:szCs w:val="22"/>
          <w:lang w:val="af-ZA" w:eastAsia="en-US"/>
        </w:rPr>
        <w:t xml:space="preserve"> </w:t>
      </w:r>
      <w:r w:rsidRPr="00961B35">
        <w:rPr>
          <w:rFonts w:cs="Sylfaen"/>
          <w:b w:val="0"/>
          <w:szCs w:val="22"/>
          <w:lang w:val="it-IT" w:eastAsia="en-US"/>
        </w:rPr>
        <w:t>գլխավոր</w:t>
      </w:r>
      <w:r w:rsidRPr="00961B35">
        <w:rPr>
          <w:rFonts w:cs="Sylfaen"/>
          <w:b w:val="0"/>
          <w:szCs w:val="22"/>
          <w:lang w:val="af-ZA" w:eastAsia="en-US"/>
        </w:rPr>
        <w:t xml:space="preserve"> </w:t>
      </w:r>
      <w:r w:rsidRPr="00961B35">
        <w:rPr>
          <w:rFonts w:cs="Sylfaen"/>
          <w:b w:val="0"/>
          <w:szCs w:val="22"/>
          <w:lang w:val="it-IT" w:eastAsia="en-US"/>
        </w:rPr>
        <w:t>տնտեսական</w:t>
      </w:r>
      <w:r w:rsidRPr="00961B35">
        <w:rPr>
          <w:rFonts w:cs="Sylfaen"/>
          <w:b w:val="0"/>
          <w:szCs w:val="22"/>
          <w:lang w:val="af-ZA" w:eastAsia="en-US"/>
        </w:rPr>
        <w:t xml:space="preserve"> </w:t>
      </w:r>
      <w:r w:rsidRPr="00961B35">
        <w:rPr>
          <w:rFonts w:cs="Sylfaen"/>
          <w:b w:val="0"/>
          <w:szCs w:val="22"/>
          <w:lang w:val="it-IT" w:eastAsia="en-US"/>
        </w:rPr>
        <w:t>բնութագրիչների</w:t>
      </w:r>
      <w:r w:rsidRPr="00961B35">
        <w:rPr>
          <w:rFonts w:cs="Sylfaen"/>
          <w:b w:val="0"/>
          <w:szCs w:val="22"/>
          <w:lang w:val="af-ZA" w:eastAsia="en-US"/>
        </w:rPr>
        <w:t xml:space="preserve">: </w:t>
      </w:r>
      <w:r w:rsidRPr="00961B35">
        <w:rPr>
          <w:rFonts w:cs="Sylfaen"/>
          <w:b w:val="0"/>
          <w:szCs w:val="22"/>
          <w:lang w:val="it-IT" w:eastAsia="en-US"/>
        </w:rPr>
        <w:t>ՀՀ</w:t>
      </w:r>
      <w:r w:rsidRPr="00961B35">
        <w:rPr>
          <w:rFonts w:cs="Sylfaen"/>
          <w:b w:val="0"/>
          <w:szCs w:val="22"/>
          <w:lang w:val="af-ZA" w:eastAsia="en-US"/>
        </w:rPr>
        <w:t xml:space="preserve"> </w:t>
      </w:r>
      <w:r w:rsidRPr="00961B35">
        <w:rPr>
          <w:rFonts w:cs="Sylfaen"/>
          <w:b w:val="0"/>
          <w:szCs w:val="22"/>
          <w:lang w:val="it-IT" w:eastAsia="en-US"/>
        </w:rPr>
        <w:t>կառավարության</w:t>
      </w:r>
      <w:r w:rsidRPr="00961B35">
        <w:rPr>
          <w:rFonts w:cs="Sylfaen"/>
          <w:b w:val="0"/>
          <w:szCs w:val="22"/>
          <w:lang w:val="af-ZA" w:eastAsia="en-US"/>
        </w:rPr>
        <w:t xml:space="preserve"> </w:t>
      </w:r>
      <w:r w:rsidRPr="00961B35">
        <w:rPr>
          <w:rFonts w:cs="Sylfaen"/>
          <w:b w:val="0"/>
          <w:szCs w:val="22"/>
          <w:lang w:val="it-IT" w:eastAsia="en-US"/>
        </w:rPr>
        <w:t>բյուջետային</w:t>
      </w:r>
      <w:r w:rsidRPr="00961B35">
        <w:rPr>
          <w:rFonts w:cs="Sylfaen"/>
          <w:b w:val="0"/>
          <w:szCs w:val="22"/>
          <w:lang w:val="af-ZA" w:eastAsia="en-US"/>
        </w:rPr>
        <w:t xml:space="preserve"> </w:t>
      </w:r>
      <w:r w:rsidRPr="00961B35">
        <w:rPr>
          <w:rFonts w:cs="Sylfaen"/>
          <w:b w:val="0"/>
          <w:szCs w:val="22"/>
          <w:lang w:val="it-IT" w:eastAsia="en-US"/>
        </w:rPr>
        <w:t>ուղերձի</w:t>
      </w:r>
      <w:r w:rsidRPr="00961B35">
        <w:rPr>
          <w:rFonts w:cs="Sylfaen"/>
          <w:b w:val="0"/>
          <w:szCs w:val="22"/>
          <w:lang w:val="af-ZA" w:eastAsia="en-US"/>
        </w:rPr>
        <w:t xml:space="preserve"> </w:t>
      </w:r>
      <w:r w:rsidRPr="00961B35">
        <w:rPr>
          <w:rFonts w:cs="Sylfaen"/>
          <w:b w:val="0"/>
          <w:szCs w:val="22"/>
          <w:lang w:val="it-IT" w:eastAsia="en-US"/>
        </w:rPr>
        <w:t>այս</w:t>
      </w:r>
      <w:r w:rsidRPr="00961B35">
        <w:rPr>
          <w:rFonts w:cs="Sylfaen"/>
          <w:b w:val="0"/>
          <w:szCs w:val="22"/>
          <w:lang w:val="af-ZA" w:eastAsia="en-US"/>
        </w:rPr>
        <w:t xml:space="preserve"> </w:t>
      </w:r>
      <w:r w:rsidRPr="00961B35">
        <w:rPr>
          <w:rFonts w:cs="Sylfaen"/>
          <w:b w:val="0"/>
          <w:szCs w:val="22"/>
          <w:lang w:val="it-IT" w:eastAsia="en-US"/>
        </w:rPr>
        <w:t>հատվածում</w:t>
      </w:r>
      <w:r w:rsidRPr="00961B35">
        <w:rPr>
          <w:rFonts w:cs="Sylfaen"/>
          <w:b w:val="0"/>
          <w:szCs w:val="22"/>
          <w:lang w:val="af-ZA" w:eastAsia="en-US"/>
        </w:rPr>
        <w:t xml:space="preserve"> </w:t>
      </w:r>
      <w:r w:rsidRPr="00961B35">
        <w:rPr>
          <w:rFonts w:cs="Sylfaen"/>
          <w:b w:val="0"/>
          <w:szCs w:val="22"/>
          <w:lang w:val="it-IT" w:eastAsia="en-US"/>
        </w:rPr>
        <w:t>նկարագրված</w:t>
      </w:r>
      <w:r w:rsidRPr="00961B35">
        <w:rPr>
          <w:rFonts w:cs="Sylfaen"/>
          <w:b w:val="0"/>
          <w:szCs w:val="22"/>
          <w:lang w:val="af-ZA" w:eastAsia="en-US"/>
        </w:rPr>
        <w:t xml:space="preserve"> </w:t>
      </w:r>
      <w:r w:rsidRPr="00961B35">
        <w:rPr>
          <w:rFonts w:cs="Sylfaen"/>
          <w:b w:val="0"/>
          <w:szCs w:val="22"/>
          <w:lang w:val="it-IT" w:eastAsia="en-US"/>
        </w:rPr>
        <w:t>են</w:t>
      </w:r>
      <w:r w:rsidRPr="00961B35">
        <w:rPr>
          <w:rFonts w:cs="Sylfaen"/>
          <w:b w:val="0"/>
          <w:szCs w:val="22"/>
          <w:lang w:val="af-ZA" w:eastAsia="en-US"/>
        </w:rPr>
        <w:t xml:space="preserve"> </w:t>
      </w:r>
      <w:r w:rsidRPr="00961B35">
        <w:rPr>
          <w:rFonts w:cs="Sylfaen"/>
          <w:b w:val="0"/>
          <w:szCs w:val="22"/>
          <w:lang w:val="it-IT" w:eastAsia="en-US"/>
        </w:rPr>
        <w:t>նաև</w:t>
      </w:r>
      <w:r w:rsidRPr="00961B35">
        <w:rPr>
          <w:rFonts w:cs="Sylfaen"/>
          <w:b w:val="0"/>
          <w:szCs w:val="22"/>
          <w:lang w:val="af-ZA" w:eastAsia="en-US"/>
        </w:rPr>
        <w:t xml:space="preserve"> </w:t>
      </w:r>
      <w:r w:rsidRPr="00961B35">
        <w:rPr>
          <w:rFonts w:cs="Sylfaen"/>
          <w:b w:val="0"/>
          <w:szCs w:val="22"/>
          <w:lang w:val="it-IT" w:eastAsia="en-US"/>
        </w:rPr>
        <w:t>այն</w:t>
      </w:r>
      <w:r w:rsidRPr="00961B35">
        <w:rPr>
          <w:rFonts w:cs="Sylfaen"/>
          <w:b w:val="0"/>
          <w:szCs w:val="22"/>
          <w:lang w:val="af-ZA" w:eastAsia="en-US"/>
        </w:rPr>
        <w:t xml:space="preserve"> </w:t>
      </w:r>
      <w:r w:rsidRPr="00961B35">
        <w:rPr>
          <w:rFonts w:cs="Sylfaen"/>
          <w:b w:val="0"/>
          <w:szCs w:val="22"/>
          <w:lang w:val="it-IT" w:eastAsia="en-US"/>
        </w:rPr>
        <w:t>հիմնական</w:t>
      </w:r>
      <w:r w:rsidRPr="00961B35">
        <w:rPr>
          <w:rFonts w:cs="Sylfaen"/>
          <w:b w:val="0"/>
          <w:szCs w:val="22"/>
          <w:lang w:val="af-ZA" w:eastAsia="en-US"/>
        </w:rPr>
        <w:t xml:space="preserve"> </w:t>
      </w:r>
      <w:r w:rsidRPr="00961B35">
        <w:rPr>
          <w:rFonts w:cs="Sylfaen"/>
          <w:b w:val="0"/>
          <w:szCs w:val="22"/>
          <w:lang w:val="it-IT" w:eastAsia="en-US"/>
        </w:rPr>
        <w:t>գործոններն</w:t>
      </w:r>
      <w:r w:rsidRPr="00961B35">
        <w:rPr>
          <w:rFonts w:cs="Sylfaen"/>
          <w:b w:val="0"/>
          <w:szCs w:val="22"/>
          <w:lang w:val="af-ZA" w:eastAsia="en-US"/>
        </w:rPr>
        <w:t xml:space="preserve"> </w:t>
      </w:r>
      <w:r w:rsidRPr="00961B35">
        <w:rPr>
          <w:rFonts w:cs="Sylfaen"/>
          <w:b w:val="0"/>
          <w:szCs w:val="22"/>
          <w:lang w:val="it-IT" w:eastAsia="en-US"/>
        </w:rPr>
        <w:t>ու</w:t>
      </w:r>
      <w:r w:rsidRPr="00961B35">
        <w:rPr>
          <w:rFonts w:cs="Sylfaen"/>
          <w:b w:val="0"/>
          <w:szCs w:val="22"/>
          <w:lang w:val="af-ZA" w:eastAsia="en-US"/>
        </w:rPr>
        <w:t xml:space="preserve"> </w:t>
      </w:r>
      <w:r w:rsidRPr="00961B35">
        <w:rPr>
          <w:rFonts w:cs="Sylfaen"/>
          <w:b w:val="0"/>
          <w:szCs w:val="22"/>
          <w:lang w:val="it-IT" w:eastAsia="en-US"/>
        </w:rPr>
        <w:t>միտումները</w:t>
      </w:r>
      <w:r w:rsidRPr="00961B35">
        <w:rPr>
          <w:rFonts w:cs="Sylfaen"/>
          <w:b w:val="0"/>
          <w:szCs w:val="22"/>
          <w:lang w:val="af-ZA" w:eastAsia="en-US"/>
        </w:rPr>
        <w:t xml:space="preserve">, </w:t>
      </w:r>
      <w:r w:rsidRPr="00961B35">
        <w:rPr>
          <w:rFonts w:cs="Sylfaen"/>
          <w:b w:val="0"/>
          <w:szCs w:val="22"/>
          <w:lang w:val="it-IT" w:eastAsia="en-US"/>
        </w:rPr>
        <w:t>որոնք</w:t>
      </w:r>
      <w:r w:rsidRPr="00961B35">
        <w:rPr>
          <w:rFonts w:cs="Sylfaen"/>
          <w:b w:val="0"/>
          <w:szCs w:val="22"/>
          <w:lang w:val="af-ZA" w:eastAsia="en-US"/>
        </w:rPr>
        <w:t xml:space="preserve"> </w:t>
      </w:r>
      <w:r w:rsidRPr="00961B35">
        <w:rPr>
          <w:rFonts w:cs="Sylfaen"/>
          <w:b w:val="0"/>
          <w:szCs w:val="22"/>
          <w:lang w:val="it-IT" w:eastAsia="en-US"/>
        </w:rPr>
        <w:t>պայմանավորում</w:t>
      </w:r>
      <w:r w:rsidRPr="00961B35">
        <w:rPr>
          <w:rFonts w:cs="Sylfaen"/>
          <w:b w:val="0"/>
          <w:szCs w:val="22"/>
          <w:lang w:val="af-ZA" w:eastAsia="en-US"/>
        </w:rPr>
        <w:t xml:space="preserve"> </w:t>
      </w:r>
      <w:r w:rsidRPr="00961B35">
        <w:rPr>
          <w:rFonts w:cs="Sylfaen"/>
          <w:b w:val="0"/>
          <w:szCs w:val="22"/>
          <w:lang w:val="it-IT" w:eastAsia="en-US"/>
        </w:rPr>
        <w:t>են</w:t>
      </w:r>
      <w:r w:rsidRPr="00961B35">
        <w:rPr>
          <w:rFonts w:cs="Sylfaen"/>
          <w:b w:val="0"/>
          <w:szCs w:val="22"/>
          <w:lang w:val="af-ZA" w:eastAsia="en-US"/>
        </w:rPr>
        <w:t xml:space="preserve"> </w:t>
      </w:r>
      <w:r w:rsidRPr="00961B35">
        <w:rPr>
          <w:rFonts w:cs="Sylfaen"/>
          <w:b w:val="0"/>
          <w:szCs w:val="22"/>
          <w:lang w:val="it-IT" w:eastAsia="en-US"/>
        </w:rPr>
        <w:t>Աղյուսակ</w:t>
      </w:r>
      <w:r w:rsidRPr="00961B35">
        <w:rPr>
          <w:rFonts w:cs="Sylfaen"/>
          <w:b w:val="0"/>
          <w:szCs w:val="22"/>
          <w:lang w:val="af-ZA" w:eastAsia="en-US"/>
        </w:rPr>
        <w:t xml:space="preserve"> 1.1-</w:t>
      </w:r>
      <w:r w:rsidRPr="00961B35">
        <w:rPr>
          <w:rFonts w:cs="Sylfaen"/>
          <w:b w:val="0"/>
          <w:szCs w:val="22"/>
          <w:lang w:val="it-IT" w:eastAsia="en-US"/>
        </w:rPr>
        <w:t>ում</w:t>
      </w:r>
      <w:r w:rsidRPr="00961B35">
        <w:rPr>
          <w:rFonts w:cs="Sylfaen"/>
          <w:b w:val="0"/>
          <w:szCs w:val="22"/>
          <w:lang w:val="af-ZA" w:eastAsia="en-US"/>
        </w:rPr>
        <w:t xml:space="preserve"> </w:t>
      </w:r>
      <w:r w:rsidRPr="00961B35">
        <w:rPr>
          <w:rFonts w:cs="Sylfaen"/>
          <w:b w:val="0"/>
          <w:szCs w:val="22"/>
          <w:lang w:val="it-IT" w:eastAsia="en-US"/>
        </w:rPr>
        <w:t>նշված</w:t>
      </w:r>
      <w:r w:rsidRPr="00961B35">
        <w:rPr>
          <w:rFonts w:cs="Sylfaen"/>
          <w:b w:val="0"/>
          <w:szCs w:val="22"/>
          <w:lang w:val="af-ZA" w:eastAsia="en-US"/>
        </w:rPr>
        <w:t xml:space="preserve"> </w:t>
      </w:r>
      <w:r w:rsidRPr="00961B35">
        <w:rPr>
          <w:rFonts w:cs="Sylfaen"/>
          <w:b w:val="0"/>
          <w:szCs w:val="22"/>
          <w:lang w:val="it-IT" w:eastAsia="en-US"/>
        </w:rPr>
        <w:t>ցուցանիշերը</w:t>
      </w:r>
      <w:r w:rsidRPr="00961B35">
        <w:rPr>
          <w:rFonts w:cs="Sylfaen"/>
          <w:b w:val="0"/>
          <w:szCs w:val="22"/>
          <w:lang w:val="af-ZA" w:eastAsia="en-US"/>
        </w:rPr>
        <w:t xml:space="preserve"> </w:t>
      </w:r>
      <w:r w:rsidRPr="00961B35">
        <w:rPr>
          <w:rFonts w:cs="Sylfaen"/>
          <w:b w:val="0"/>
          <w:szCs w:val="22"/>
          <w:lang w:val="it-IT" w:eastAsia="en-US"/>
        </w:rPr>
        <w:t>և</w:t>
      </w:r>
      <w:r w:rsidRPr="00961B35">
        <w:rPr>
          <w:rFonts w:cs="Sylfaen"/>
          <w:b w:val="0"/>
          <w:szCs w:val="22"/>
          <w:lang w:val="af-ZA" w:eastAsia="en-US"/>
        </w:rPr>
        <w:t xml:space="preserve"> </w:t>
      </w:r>
      <w:r w:rsidRPr="00961B35">
        <w:rPr>
          <w:rFonts w:cs="Sylfaen"/>
          <w:b w:val="0"/>
          <w:szCs w:val="22"/>
          <w:lang w:val="it-IT" w:eastAsia="en-US"/>
        </w:rPr>
        <w:t>տնտեսու</w:t>
      </w:r>
      <w:r w:rsidRPr="00961B35">
        <w:rPr>
          <w:rFonts w:cs="Sylfaen"/>
          <w:b w:val="0"/>
          <w:szCs w:val="22"/>
          <w:lang w:val="af-ZA" w:eastAsia="en-US"/>
        </w:rPr>
        <w:softHyphen/>
      </w:r>
      <w:r w:rsidRPr="00961B35">
        <w:rPr>
          <w:rFonts w:cs="Sylfaen"/>
          <w:b w:val="0"/>
          <w:szCs w:val="22"/>
          <w:lang w:val="it-IT" w:eastAsia="en-US"/>
        </w:rPr>
        <w:t>թյան</w:t>
      </w:r>
      <w:r w:rsidRPr="00961B35">
        <w:rPr>
          <w:rFonts w:cs="Sylfaen"/>
          <w:b w:val="0"/>
          <w:szCs w:val="22"/>
          <w:lang w:val="af-ZA" w:eastAsia="en-US"/>
        </w:rPr>
        <w:t xml:space="preserve"> </w:t>
      </w:r>
      <w:r w:rsidRPr="00961B35">
        <w:rPr>
          <w:rFonts w:cs="Sylfaen"/>
          <w:b w:val="0"/>
          <w:szCs w:val="22"/>
          <w:lang w:val="it-IT" w:eastAsia="en-US"/>
        </w:rPr>
        <w:t>զարգացման</w:t>
      </w:r>
      <w:r w:rsidRPr="00961B35">
        <w:rPr>
          <w:rFonts w:cs="Sylfaen"/>
          <w:b w:val="0"/>
          <w:szCs w:val="22"/>
          <w:lang w:val="af-ZA" w:eastAsia="en-US"/>
        </w:rPr>
        <w:t xml:space="preserve"> </w:t>
      </w:r>
      <w:r w:rsidRPr="00961B35">
        <w:rPr>
          <w:rFonts w:cs="Sylfaen"/>
          <w:b w:val="0"/>
          <w:szCs w:val="22"/>
          <w:lang w:val="it-IT" w:eastAsia="en-US"/>
        </w:rPr>
        <w:t>հեռանկարները</w:t>
      </w:r>
      <w:r w:rsidRPr="00961B35">
        <w:rPr>
          <w:rFonts w:cs="Sylfaen"/>
          <w:b w:val="0"/>
          <w:szCs w:val="22"/>
          <w:lang w:val="af-ZA" w:eastAsia="en-US"/>
        </w:rPr>
        <w:t>:</w:t>
      </w:r>
    </w:p>
    <w:p w:rsidR="00961B35" w:rsidRPr="00961B35" w:rsidRDefault="00961B35" w:rsidP="00961B35">
      <w:pPr>
        <w:spacing w:before="0"/>
        <w:ind w:firstLine="450"/>
        <w:contextualSpacing w:val="0"/>
        <w:rPr>
          <w:rFonts w:cs="Sylfaen"/>
          <w:szCs w:val="22"/>
          <w:u w:val="single"/>
          <w:lang w:val="af-ZA" w:eastAsia="en-US"/>
        </w:rPr>
      </w:pPr>
      <w:r w:rsidRPr="00961B35">
        <w:rPr>
          <w:rFonts w:cs="Sylfaen"/>
          <w:szCs w:val="22"/>
          <w:u w:val="single"/>
          <w:lang w:val="en-US" w:eastAsia="en-US"/>
        </w:rPr>
        <w:t>Աղյուսակ</w:t>
      </w:r>
      <w:r w:rsidRPr="00961B35">
        <w:rPr>
          <w:rFonts w:cs="Sylfaen"/>
          <w:szCs w:val="22"/>
          <w:u w:val="single"/>
          <w:lang w:val="af-ZA" w:eastAsia="en-US"/>
        </w:rPr>
        <w:t xml:space="preserve"> 1.1.1 </w:t>
      </w:r>
      <w:r w:rsidRPr="00961B35">
        <w:rPr>
          <w:rFonts w:cs="Sylfaen"/>
          <w:szCs w:val="22"/>
          <w:u w:val="single"/>
          <w:lang w:val="en-US" w:eastAsia="en-US"/>
        </w:rPr>
        <w:t>ՀՀ</w:t>
      </w:r>
      <w:r w:rsidRPr="00961B35">
        <w:rPr>
          <w:rFonts w:cs="Sylfaen"/>
          <w:szCs w:val="22"/>
          <w:u w:val="single"/>
          <w:lang w:val="af-ZA" w:eastAsia="en-US"/>
        </w:rPr>
        <w:t xml:space="preserve"> 2020 </w:t>
      </w:r>
      <w:r w:rsidRPr="00961B35">
        <w:rPr>
          <w:rFonts w:cs="Sylfaen"/>
          <w:szCs w:val="22"/>
          <w:u w:val="single"/>
          <w:lang w:val="en-US" w:eastAsia="en-US"/>
        </w:rPr>
        <w:t>թվականի</w:t>
      </w:r>
      <w:r w:rsidRPr="00961B35">
        <w:rPr>
          <w:rFonts w:cs="Sylfaen"/>
          <w:szCs w:val="22"/>
          <w:u w:val="single"/>
          <w:lang w:val="af-ZA" w:eastAsia="en-US"/>
        </w:rPr>
        <w:t xml:space="preserve"> </w:t>
      </w:r>
      <w:r w:rsidRPr="00961B35">
        <w:rPr>
          <w:rFonts w:cs="Sylfaen"/>
          <w:szCs w:val="22"/>
          <w:u w:val="single"/>
          <w:lang w:val="en-US" w:eastAsia="en-US"/>
        </w:rPr>
        <w:t>պետական</w:t>
      </w:r>
      <w:r w:rsidRPr="00961B35">
        <w:rPr>
          <w:rFonts w:cs="Sylfaen"/>
          <w:szCs w:val="22"/>
          <w:u w:val="single"/>
          <w:lang w:val="af-ZA" w:eastAsia="en-US"/>
        </w:rPr>
        <w:t xml:space="preserve"> </w:t>
      </w:r>
      <w:r w:rsidRPr="00961B35">
        <w:rPr>
          <w:rFonts w:cs="Sylfaen"/>
          <w:szCs w:val="22"/>
          <w:u w:val="single"/>
          <w:lang w:val="en-US" w:eastAsia="en-US"/>
        </w:rPr>
        <w:t>բյուջեի</w:t>
      </w:r>
      <w:r w:rsidRPr="00961B35">
        <w:rPr>
          <w:rFonts w:cs="Sylfaen"/>
          <w:szCs w:val="22"/>
          <w:u w:val="single"/>
          <w:lang w:val="af-ZA" w:eastAsia="en-US"/>
        </w:rPr>
        <w:t xml:space="preserve"> </w:t>
      </w:r>
      <w:r w:rsidRPr="00961B35">
        <w:rPr>
          <w:rFonts w:cs="Sylfaen"/>
          <w:szCs w:val="22"/>
          <w:u w:val="single"/>
          <w:lang w:val="en-US" w:eastAsia="en-US"/>
        </w:rPr>
        <w:t>հիմքում</w:t>
      </w:r>
      <w:r w:rsidRPr="00961B35">
        <w:rPr>
          <w:rFonts w:cs="Sylfaen"/>
          <w:szCs w:val="22"/>
          <w:u w:val="single"/>
          <w:lang w:val="af-ZA" w:eastAsia="en-US"/>
        </w:rPr>
        <w:t xml:space="preserve"> </w:t>
      </w:r>
      <w:r w:rsidRPr="00961B35">
        <w:rPr>
          <w:rFonts w:cs="Sylfaen"/>
          <w:szCs w:val="22"/>
          <w:u w:val="single"/>
          <w:lang w:val="en-US" w:eastAsia="en-US"/>
        </w:rPr>
        <w:t>դրված</w:t>
      </w:r>
      <w:r w:rsidRPr="00961B35">
        <w:rPr>
          <w:rFonts w:cs="Sylfaen"/>
          <w:szCs w:val="22"/>
          <w:u w:val="single"/>
          <w:lang w:val="af-ZA" w:eastAsia="en-US"/>
        </w:rPr>
        <w:t xml:space="preserve"> </w:t>
      </w:r>
      <w:r w:rsidRPr="00961B35">
        <w:rPr>
          <w:rFonts w:cs="Sylfaen"/>
          <w:szCs w:val="22"/>
          <w:u w:val="single"/>
          <w:lang w:val="en-US" w:eastAsia="en-US"/>
        </w:rPr>
        <w:t>հիմնական</w:t>
      </w:r>
      <w:r w:rsidRPr="00961B35">
        <w:rPr>
          <w:rFonts w:cs="Sylfaen"/>
          <w:szCs w:val="22"/>
          <w:u w:val="single"/>
          <w:lang w:val="af-ZA" w:eastAsia="en-US"/>
        </w:rPr>
        <w:t xml:space="preserve"> </w:t>
      </w:r>
      <w:r w:rsidRPr="00961B35">
        <w:rPr>
          <w:rFonts w:cs="Sylfaen"/>
          <w:szCs w:val="22"/>
          <w:u w:val="single"/>
          <w:lang w:val="en-US" w:eastAsia="en-US"/>
        </w:rPr>
        <w:t>տնտեսական</w:t>
      </w:r>
      <w:r w:rsidRPr="00961B35">
        <w:rPr>
          <w:rFonts w:cs="Sylfaen"/>
          <w:szCs w:val="22"/>
          <w:u w:val="single"/>
          <w:lang w:val="af-ZA" w:eastAsia="en-US"/>
        </w:rPr>
        <w:t xml:space="preserve"> </w:t>
      </w:r>
      <w:r w:rsidRPr="00961B35">
        <w:rPr>
          <w:rFonts w:cs="Sylfaen"/>
          <w:szCs w:val="22"/>
          <w:u w:val="single"/>
          <w:lang w:val="en-US" w:eastAsia="en-US"/>
        </w:rPr>
        <w:t>չափորոշիչներ</w:t>
      </w:r>
    </w:p>
    <w:tbl>
      <w:tblPr>
        <w:tblStyle w:val="TableGrid10"/>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8"/>
        <w:gridCol w:w="1170"/>
        <w:gridCol w:w="1080"/>
        <w:gridCol w:w="1170"/>
        <w:gridCol w:w="990"/>
        <w:gridCol w:w="990"/>
      </w:tblGrid>
      <w:tr w:rsidR="00961B35" w:rsidRPr="00961B35" w:rsidTr="00E52D4A">
        <w:trPr>
          <w:trHeight w:val="365"/>
        </w:trPr>
        <w:tc>
          <w:tcPr>
            <w:tcW w:w="5148" w:type="dxa"/>
            <w:vMerge w:val="restart"/>
            <w:noWrap/>
            <w:vAlign w:val="center"/>
            <w:hideMark/>
          </w:tcPr>
          <w:p w:rsidR="00961B35" w:rsidRPr="00961B35" w:rsidRDefault="00961B35" w:rsidP="00961B35">
            <w:pPr>
              <w:spacing w:before="0" w:line="276" w:lineRule="auto"/>
              <w:ind w:firstLine="450"/>
              <w:contextualSpacing w:val="0"/>
              <w:jc w:val="center"/>
              <w:rPr>
                <w:bCs/>
                <w:sz w:val="20"/>
                <w:szCs w:val="20"/>
                <w:lang w:val="en-US" w:eastAsia="en-US"/>
              </w:rPr>
            </w:pPr>
            <w:r w:rsidRPr="00961B35">
              <w:rPr>
                <w:bCs/>
                <w:sz w:val="20"/>
                <w:szCs w:val="20"/>
                <w:lang w:val="en-US" w:eastAsia="en-US"/>
              </w:rPr>
              <w:t>Չափորոշիչ</w:t>
            </w:r>
          </w:p>
        </w:tc>
        <w:tc>
          <w:tcPr>
            <w:tcW w:w="1170" w:type="dxa"/>
            <w:vAlign w:val="center"/>
          </w:tcPr>
          <w:p w:rsidR="00961B35" w:rsidRPr="00961B35" w:rsidRDefault="00961B35" w:rsidP="00961B35">
            <w:pPr>
              <w:spacing w:before="0" w:line="276" w:lineRule="auto"/>
              <w:ind w:firstLine="0"/>
              <w:contextualSpacing w:val="0"/>
              <w:jc w:val="center"/>
              <w:rPr>
                <w:rFonts w:cs="Arial"/>
                <w:sz w:val="20"/>
                <w:szCs w:val="20"/>
                <w:lang w:eastAsia="en-US"/>
              </w:rPr>
            </w:pPr>
            <w:r w:rsidRPr="00961B35">
              <w:rPr>
                <w:rFonts w:cs="Arial"/>
                <w:sz w:val="20"/>
                <w:szCs w:val="20"/>
                <w:lang w:val="it-IT" w:eastAsia="en-US"/>
              </w:rPr>
              <w:t>201</w:t>
            </w:r>
            <w:r w:rsidRPr="00961B35">
              <w:rPr>
                <w:rFonts w:cs="Arial"/>
                <w:sz w:val="20"/>
                <w:szCs w:val="20"/>
                <w:lang w:val="hy-AM" w:eastAsia="en-US"/>
              </w:rPr>
              <w:t>6</w:t>
            </w:r>
          </w:p>
        </w:tc>
        <w:tc>
          <w:tcPr>
            <w:tcW w:w="1080" w:type="dxa"/>
            <w:vAlign w:val="center"/>
          </w:tcPr>
          <w:p w:rsidR="00961B35" w:rsidRPr="00961B35" w:rsidRDefault="00961B35" w:rsidP="00961B35">
            <w:pPr>
              <w:spacing w:before="0" w:line="276" w:lineRule="auto"/>
              <w:ind w:firstLine="0"/>
              <w:contextualSpacing w:val="0"/>
              <w:jc w:val="center"/>
              <w:rPr>
                <w:rFonts w:cs="Arial"/>
                <w:sz w:val="20"/>
                <w:szCs w:val="20"/>
                <w:lang w:val="hy-AM" w:eastAsia="en-US"/>
              </w:rPr>
            </w:pPr>
            <w:r w:rsidRPr="00961B35">
              <w:rPr>
                <w:rFonts w:cs="Arial"/>
                <w:sz w:val="20"/>
                <w:szCs w:val="20"/>
                <w:lang w:val="it-IT" w:eastAsia="en-US"/>
              </w:rPr>
              <w:t>201</w:t>
            </w:r>
            <w:r w:rsidRPr="00961B35">
              <w:rPr>
                <w:rFonts w:cs="Arial"/>
                <w:sz w:val="20"/>
                <w:szCs w:val="20"/>
                <w:lang w:eastAsia="en-US"/>
              </w:rPr>
              <w:t>7</w:t>
            </w:r>
          </w:p>
        </w:tc>
        <w:tc>
          <w:tcPr>
            <w:tcW w:w="1170" w:type="dxa"/>
            <w:vAlign w:val="center"/>
          </w:tcPr>
          <w:p w:rsidR="00961B35" w:rsidRPr="00961B35" w:rsidRDefault="00961B35" w:rsidP="00961B35">
            <w:pPr>
              <w:spacing w:before="0" w:line="276" w:lineRule="auto"/>
              <w:ind w:firstLine="0"/>
              <w:contextualSpacing w:val="0"/>
              <w:jc w:val="center"/>
              <w:rPr>
                <w:rFonts w:cs="Arial"/>
                <w:sz w:val="20"/>
                <w:szCs w:val="20"/>
                <w:lang w:eastAsia="en-US"/>
              </w:rPr>
            </w:pPr>
            <w:r w:rsidRPr="00961B35">
              <w:rPr>
                <w:rFonts w:cs="Arial"/>
                <w:sz w:val="20"/>
                <w:szCs w:val="20"/>
                <w:lang w:val="it-IT" w:eastAsia="en-US"/>
              </w:rPr>
              <w:t>2018</w:t>
            </w:r>
          </w:p>
        </w:tc>
        <w:tc>
          <w:tcPr>
            <w:tcW w:w="990" w:type="dxa"/>
            <w:vAlign w:val="center"/>
          </w:tcPr>
          <w:p w:rsidR="00961B35" w:rsidRPr="00961B35" w:rsidRDefault="00961B35" w:rsidP="00961B35">
            <w:pPr>
              <w:spacing w:before="0" w:line="276" w:lineRule="auto"/>
              <w:ind w:firstLine="0"/>
              <w:contextualSpacing w:val="0"/>
              <w:jc w:val="center"/>
              <w:rPr>
                <w:rFonts w:cs="Arial"/>
                <w:sz w:val="20"/>
                <w:szCs w:val="20"/>
                <w:lang w:val="it-IT" w:eastAsia="en-US"/>
              </w:rPr>
            </w:pPr>
            <w:r w:rsidRPr="00961B35">
              <w:rPr>
                <w:rFonts w:cs="Arial"/>
                <w:sz w:val="20"/>
                <w:szCs w:val="20"/>
                <w:lang w:val="it-IT" w:eastAsia="en-US"/>
              </w:rPr>
              <w:t>2019</w:t>
            </w:r>
          </w:p>
        </w:tc>
        <w:tc>
          <w:tcPr>
            <w:tcW w:w="990" w:type="dxa"/>
            <w:vAlign w:val="center"/>
          </w:tcPr>
          <w:p w:rsidR="00961B35" w:rsidRPr="00961B35" w:rsidRDefault="00961B35" w:rsidP="00961B35">
            <w:pPr>
              <w:spacing w:before="0" w:line="276" w:lineRule="auto"/>
              <w:ind w:firstLine="0"/>
              <w:contextualSpacing w:val="0"/>
              <w:jc w:val="center"/>
              <w:rPr>
                <w:rFonts w:cs="Arial"/>
                <w:sz w:val="20"/>
                <w:szCs w:val="20"/>
                <w:lang w:val="it-IT" w:eastAsia="en-US"/>
              </w:rPr>
            </w:pPr>
            <w:r w:rsidRPr="00961B35">
              <w:rPr>
                <w:rFonts w:cs="Arial"/>
                <w:sz w:val="20"/>
                <w:szCs w:val="20"/>
                <w:lang w:val="it-IT" w:eastAsia="en-US"/>
              </w:rPr>
              <w:t>2020</w:t>
            </w:r>
          </w:p>
        </w:tc>
      </w:tr>
      <w:tr w:rsidR="00961B35" w:rsidRPr="00961B35" w:rsidTr="00E52D4A">
        <w:trPr>
          <w:trHeight w:val="146"/>
        </w:trPr>
        <w:tc>
          <w:tcPr>
            <w:tcW w:w="5148" w:type="dxa"/>
            <w:vMerge/>
            <w:vAlign w:val="center"/>
            <w:hideMark/>
          </w:tcPr>
          <w:p w:rsidR="00961B35" w:rsidRPr="00961B35" w:rsidRDefault="00961B35" w:rsidP="00961B35">
            <w:pPr>
              <w:spacing w:before="0" w:line="240" w:lineRule="auto"/>
              <w:ind w:firstLine="450"/>
              <w:contextualSpacing w:val="0"/>
              <w:jc w:val="left"/>
              <w:rPr>
                <w:bCs/>
                <w:sz w:val="20"/>
                <w:szCs w:val="20"/>
                <w:lang w:val="en-US" w:eastAsia="en-US"/>
              </w:rPr>
            </w:pPr>
          </w:p>
        </w:tc>
        <w:tc>
          <w:tcPr>
            <w:tcW w:w="1170" w:type="dxa"/>
            <w:vAlign w:val="center"/>
          </w:tcPr>
          <w:p w:rsidR="00961B35" w:rsidRPr="00961B35" w:rsidRDefault="00961B35" w:rsidP="00961B35">
            <w:pPr>
              <w:spacing w:before="0" w:line="276" w:lineRule="auto"/>
              <w:ind w:firstLine="0"/>
              <w:contextualSpacing w:val="0"/>
              <w:jc w:val="center"/>
              <w:rPr>
                <w:sz w:val="20"/>
                <w:szCs w:val="20"/>
                <w:lang w:val="en-US" w:eastAsia="en-US"/>
              </w:rPr>
            </w:pPr>
            <w:r w:rsidRPr="00961B35">
              <w:rPr>
                <w:rFonts w:cs="Sylfaen"/>
                <w:sz w:val="20"/>
                <w:szCs w:val="20"/>
                <w:lang w:val="en-US" w:eastAsia="en-US"/>
              </w:rPr>
              <w:t>փաստ</w:t>
            </w:r>
            <w:r w:rsidRPr="00961B35">
              <w:rPr>
                <w:rFonts w:cs="Sylfaen"/>
                <w:sz w:val="20"/>
                <w:szCs w:val="20"/>
                <w:lang w:val="it-IT" w:eastAsia="en-US"/>
              </w:rPr>
              <w:t>.</w:t>
            </w:r>
          </w:p>
        </w:tc>
        <w:tc>
          <w:tcPr>
            <w:tcW w:w="1080" w:type="dxa"/>
            <w:vAlign w:val="center"/>
          </w:tcPr>
          <w:p w:rsidR="00961B35" w:rsidRPr="00961B35" w:rsidRDefault="00961B35" w:rsidP="00961B35">
            <w:pPr>
              <w:spacing w:before="0" w:line="276" w:lineRule="auto"/>
              <w:ind w:firstLine="0"/>
              <w:contextualSpacing w:val="0"/>
              <w:jc w:val="center"/>
              <w:rPr>
                <w:sz w:val="20"/>
                <w:szCs w:val="20"/>
                <w:lang w:val="en-US" w:eastAsia="en-US"/>
              </w:rPr>
            </w:pPr>
            <w:r w:rsidRPr="00961B35">
              <w:rPr>
                <w:rFonts w:cs="Sylfaen"/>
                <w:sz w:val="20"/>
                <w:szCs w:val="20"/>
                <w:lang w:val="en-US" w:eastAsia="en-US"/>
              </w:rPr>
              <w:t>փաստ</w:t>
            </w:r>
            <w:r w:rsidRPr="00961B35">
              <w:rPr>
                <w:rFonts w:cs="Sylfaen"/>
                <w:sz w:val="20"/>
                <w:szCs w:val="20"/>
                <w:lang w:val="it-IT" w:eastAsia="en-US"/>
              </w:rPr>
              <w:t>.</w:t>
            </w:r>
          </w:p>
        </w:tc>
        <w:tc>
          <w:tcPr>
            <w:tcW w:w="1170" w:type="dxa"/>
          </w:tcPr>
          <w:p w:rsidR="00961B35" w:rsidRPr="00961B35" w:rsidRDefault="00961B35" w:rsidP="00961B35">
            <w:pPr>
              <w:spacing w:before="0" w:line="276" w:lineRule="auto"/>
              <w:ind w:firstLine="0"/>
              <w:contextualSpacing w:val="0"/>
              <w:jc w:val="center"/>
              <w:rPr>
                <w:rFonts w:cs="Sylfaen"/>
                <w:sz w:val="20"/>
                <w:szCs w:val="20"/>
                <w:lang w:val="en-US" w:eastAsia="en-US"/>
              </w:rPr>
            </w:pPr>
            <w:r w:rsidRPr="00961B35">
              <w:rPr>
                <w:rFonts w:cs="Sylfaen"/>
                <w:sz w:val="20"/>
                <w:szCs w:val="20"/>
                <w:lang w:val="en-US" w:eastAsia="en-US"/>
              </w:rPr>
              <w:t>փաստ</w:t>
            </w:r>
            <w:r w:rsidRPr="00961B35">
              <w:rPr>
                <w:rFonts w:cs="Sylfaen"/>
                <w:sz w:val="20"/>
                <w:szCs w:val="20"/>
                <w:lang w:val="it-IT" w:eastAsia="en-US"/>
              </w:rPr>
              <w:t>.</w:t>
            </w:r>
          </w:p>
        </w:tc>
        <w:tc>
          <w:tcPr>
            <w:tcW w:w="990" w:type="dxa"/>
            <w:vAlign w:val="center"/>
          </w:tcPr>
          <w:p w:rsidR="00961B35" w:rsidRPr="00961B35" w:rsidRDefault="00961B35" w:rsidP="00961B35">
            <w:pPr>
              <w:spacing w:before="0" w:line="240" w:lineRule="auto"/>
              <w:ind w:firstLine="0"/>
              <w:contextualSpacing w:val="0"/>
              <w:jc w:val="left"/>
              <w:rPr>
                <w:sz w:val="20"/>
                <w:szCs w:val="20"/>
                <w:lang w:val="en-US" w:eastAsia="en-US"/>
              </w:rPr>
            </w:pPr>
            <w:r w:rsidRPr="00961B35">
              <w:rPr>
                <w:rFonts w:cs="Sylfaen"/>
                <w:sz w:val="20"/>
                <w:szCs w:val="20"/>
                <w:lang w:val="en-US" w:eastAsia="en-US"/>
              </w:rPr>
              <w:t>կանխ</w:t>
            </w:r>
          </w:p>
        </w:tc>
        <w:tc>
          <w:tcPr>
            <w:tcW w:w="990" w:type="dxa"/>
            <w:vAlign w:val="center"/>
          </w:tcPr>
          <w:p w:rsidR="00961B35" w:rsidRPr="00961B35" w:rsidRDefault="00961B35" w:rsidP="00961B35">
            <w:pPr>
              <w:spacing w:before="0" w:line="276" w:lineRule="auto"/>
              <w:ind w:firstLine="0"/>
              <w:contextualSpacing w:val="0"/>
              <w:jc w:val="center"/>
              <w:rPr>
                <w:rFonts w:cs="Sylfaen"/>
                <w:sz w:val="20"/>
                <w:szCs w:val="20"/>
                <w:lang w:val="en-US" w:eastAsia="en-US"/>
              </w:rPr>
            </w:pPr>
            <w:r w:rsidRPr="00961B35">
              <w:rPr>
                <w:rFonts w:cs="Sylfaen"/>
                <w:sz w:val="20"/>
                <w:szCs w:val="20"/>
                <w:lang w:val="en-US" w:eastAsia="en-US"/>
              </w:rPr>
              <w:t>Կանխ</w:t>
            </w:r>
          </w:p>
        </w:tc>
      </w:tr>
      <w:tr w:rsidR="00961B35" w:rsidRPr="00961B35" w:rsidTr="00E52D4A">
        <w:trPr>
          <w:trHeight w:val="257"/>
        </w:trPr>
        <w:tc>
          <w:tcPr>
            <w:tcW w:w="5148" w:type="dxa"/>
            <w:noWrap/>
            <w:hideMark/>
          </w:tcPr>
          <w:p w:rsidR="00961B35" w:rsidRPr="00961B35" w:rsidRDefault="00961B35" w:rsidP="00961B35">
            <w:pPr>
              <w:spacing w:before="0" w:line="276" w:lineRule="auto"/>
              <w:ind w:firstLine="0"/>
              <w:contextualSpacing w:val="0"/>
              <w:jc w:val="left"/>
              <w:rPr>
                <w:rFonts w:cs="Sylfaen"/>
                <w:sz w:val="20"/>
                <w:szCs w:val="20"/>
                <w:lang w:eastAsia="en-US"/>
              </w:rPr>
            </w:pPr>
            <w:r w:rsidRPr="00961B35">
              <w:rPr>
                <w:rFonts w:cs="Sylfaen"/>
                <w:sz w:val="20"/>
                <w:szCs w:val="20"/>
                <w:lang w:eastAsia="en-US"/>
              </w:rPr>
              <w:t>Տնտեսական աճ (ՀՆԱ % փոփոխություն)</w:t>
            </w:r>
          </w:p>
        </w:tc>
        <w:tc>
          <w:tcPr>
            <w:tcW w:w="1170" w:type="dxa"/>
            <w:noWrap/>
            <w:vAlign w:val="center"/>
          </w:tcPr>
          <w:p w:rsidR="00961B35" w:rsidRPr="00961B35" w:rsidRDefault="00961B35" w:rsidP="00961B35">
            <w:pPr>
              <w:spacing w:before="0" w:line="276" w:lineRule="auto"/>
              <w:ind w:firstLine="0"/>
              <w:contextualSpacing w:val="0"/>
              <w:jc w:val="center"/>
              <w:rPr>
                <w:sz w:val="20"/>
                <w:szCs w:val="20"/>
                <w:lang w:val="en-US" w:eastAsia="en-US"/>
              </w:rPr>
            </w:pPr>
            <w:r w:rsidRPr="00961B35">
              <w:rPr>
                <w:sz w:val="20"/>
                <w:szCs w:val="20"/>
                <w:lang w:val="en-US" w:eastAsia="en-US"/>
              </w:rPr>
              <w:t>0.2</w:t>
            </w:r>
          </w:p>
        </w:tc>
        <w:tc>
          <w:tcPr>
            <w:tcW w:w="1080" w:type="dxa"/>
            <w:vAlign w:val="center"/>
          </w:tcPr>
          <w:p w:rsidR="00961B35" w:rsidRPr="00961B35" w:rsidRDefault="00961B35" w:rsidP="00961B35">
            <w:pPr>
              <w:spacing w:before="0" w:line="276" w:lineRule="auto"/>
              <w:ind w:firstLine="0"/>
              <w:contextualSpacing w:val="0"/>
              <w:jc w:val="center"/>
              <w:rPr>
                <w:sz w:val="20"/>
                <w:szCs w:val="20"/>
                <w:lang w:val="en-US" w:eastAsia="en-US"/>
              </w:rPr>
            </w:pPr>
            <w:r w:rsidRPr="00961B35">
              <w:rPr>
                <w:sz w:val="20"/>
                <w:szCs w:val="20"/>
                <w:lang w:val="en-US" w:eastAsia="en-US"/>
              </w:rPr>
              <w:t>7.5</w:t>
            </w:r>
          </w:p>
        </w:tc>
        <w:tc>
          <w:tcPr>
            <w:tcW w:w="1170" w:type="dxa"/>
            <w:vAlign w:val="center"/>
          </w:tcPr>
          <w:p w:rsidR="00961B35" w:rsidRPr="00961B35" w:rsidRDefault="00961B35" w:rsidP="00961B35">
            <w:pPr>
              <w:spacing w:before="0" w:line="276" w:lineRule="auto"/>
              <w:ind w:firstLine="0"/>
              <w:contextualSpacing w:val="0"/>
              <w:jc w:val="center"/>
              <w:rPr>
                <w:sz w:val="20"/>
                <w:szCs w:val="20"/>
                <w:lang w:val="en-US" w:eastAsia="en-US"/>
              </w:rPr>
            </w:pPr>
            <w:r w:rsidRPr="00961B35">
              <w:rPr>
                <w:sz w:val="20"/>
                <w:szCs w:val="20"/>
                <w:lang w:val="en-US" w:eastAsia="en-US"/>
              </w:rPr>
              <w:t>5.2</w:t>
            </w:r>
          </w:p>
        </w:tc>
        <w:tc>
          <w:tcPr>
            <w:tcW w:w="990" w:type="dxa"/>
            <w:vAlign w:val="center"/>
          </w:tcPr>
          <w:p w:rsidR="00961B35" w:rsidRPr="00961B35" w:rsidRDefault="00961B35" w:rsidP="00961B35">
            <w:pPr>
              <w:spacing w:before="0" w:line="276" w:lineRule="auto"/>
              <w:ind w:firstLine="0"/>
              <w:contextualSpacing w:val="0"/>
              <w:jc w:val="center"/>
              <w:rPr>
                <w:sz w:val="20"/>
                <w:szCs w:val="20"/>
                <w:lang w:val="en-US" w:eastAsia="en-US"/>
              </w:rPr>
            </w:pPr>
            <w:r w:rsidRPr="00961B35">
              <w:rPr>
                <w:sz w:val="20"/>
                <w:szCs w:val="20"/>
                <w:lang w:val="en-US" w:eastAsia="en-US"/>
              </w:rPr>
              <w:t>6.3</w:t>
            </w:r>
          </w:p>
        </w:tc>
        <w:tc>
          <w:tcPr>
            <w:tcW w:w="990" w:type="dxa"/>
            <w:vAlign w:val="center"/>
          </w:tcPr>
          <w:p w:rsidR="00961B35" w:rsidRPr="00961B35" w:rsidRDefault="00961B35" w:rsidP="00961B35">
            <w:pPr>
              <w:spacing w:before="0" w:line="276" w:lineRule="auto"/>
              <w:ind w:firstLine="0"/>
              <w:contextualSpacing w:val="0"/>
              <w:jc w:val="center"/>
              <w:rPr>
                <w:sz w:val="20"/>
                <w:szCs w:val="20"/>
                <w:lang w:val="en-US" w:eastAsia="en-US"/>
              </w:rPr>
            </w:pPr>
            <w:r w:rsidRPr="00961B35">
              <w:rPr>
                <w:sz w:val="20"/>
                <w:szCs w:val="20"/>
                <w:lang w:val="en-US" w:eastAsia="en-US"/>
              </w:rPr>
              <w:t>4.9</w:t>
            </w:r>
          </w:p>
        </w:tc>
      </w:tr>
      <w:tr w:rsidR="00961B35" w:rsidRPr="00961B35" w:rsidTr="00E52D4A">
        <w:trPr>
          <w:trHeight w:val="257"/>
        </w:trPr>
        <w:tc>
          <w:tcPr>
            <w:tcW w:w="5148" w:type="dxa"/>
            <w:noWrap/>
            <w:hideMark/>
          </w:tcPr>
          <w:p w:rsidR="00961B35" w:rsidRPr="00961B35" w:rsidRDefault="00961B35" w:rsidP="00961B35">
            <w:pPr>
              <w:spacing w:before="0" w:line="276" w:lineRule="auto"/>
              <w:ind w:firstLine="0"/>
              <w:contextualSpacing w:val="0"/>
              <w:jc w:val="left"/>
              <w:rPr>
                <w:rFonts w:cs="Sylfaen"/>
                <w:sz w:val="20"/>
                <w:szCs w:val="20"/>
                <w:lang w:eastAsia="en-US"/>
              </w:rPr>
            </w:pPr>
            <w:r w:rsidRPr="00961B35">
              <w:rPr>
                <w:rFonts w:cs="Sylfaen"/>
                <w:sz w:val="20"/>
                <w:szCs w:val="20"/>
                <w:lang w:eastAsia="en-US"/>
              </w:rPr>
              <w:t>Ներդրումների մակարդակ (Ներդրում/ՀՆԱ %)</w:t>
            </w:r>
          </w:p>
        </w:tc>
        <w:tc>
          <w:tcPr>
            <w:tcW w:w="1170" w:type="dxa"/>
            <w:noWrap/>
            <w:vAlign w:val="center"/>
          </w:tcPr>
          <w:p w:rsidR="00961B35" w:rsidRPr="00961B35" w:rsidRDefault="00961B35" w:rsidP="00961B35">
            <w:pPr>
              <w:spacing w:before="0" w:line="276" w:lineRule="auto"/>
              <w:ind w:firstLine="0"/>
              <w:contextualSpacing w:val="0"/>
              <w:jc w:val="center"/>
              <w:rPr>
                <w:bCs/>
                <w:sz w:val="20"/>
                <w:szCs w:val="20"/>
                <w:lang w:val="en-US" w:eastAsia="en-US"/>
              </w:rPr>
            </w:pPr>
            <w:r w:rsidRPr="00961B35">
              <w:rPr>
                <w:bCs/>
                <w:sz w:val="20"/>
                <w:szCs w:val="20"/>
                <w:lang w:val="en-US" w:eastAsia="en-US"/>
              </w:rPr>
              <w:t>18.0</w:t>
            </w:r>
          </w:p>
        </w:tc>
        <w:tc>
          <w:tcPr>
            <w:tcW w:w="1080" w:type="dxa"/>
            <w:vAlign w:val="center"/>
          </w:tcPr>
          <w:p w:rsidR="00961B35" w:rsidRPr="00961B35" w:rsidRDefault="00961B35" w:rsidP="00961B35">
            <w:pPr>
              <w:spacing w:before="0" w:line="276" w:lineRule="auto"/>
              <w:ind w:firstLine="0"/>
              <w:contextualSpacing w:val="0"/>
              <w:jc w:val="center"/>
              <w:rPr>
                <w:bCs/>
                <w:sz w:val="20"/>
                <w:szCs w:val="20"/>
                <w:lang w:val="en-US" w:eastAsia="en-US"/>
              </w:rPr>
            </w:pPr>
            <w:r w:rsidRPr="00961B35">
              <w:rPr>
                <w:bCs/>
                <w:sz w:val="20"/>
                <w:szCs w:val="20"/>
                <w:lang w:val="en-US" w:eastAsia="en-US"/>
              </w:rPr>
              <w:t>19.</w:t>
            </w:r>
            <w:r w:rsidRPr="00961B35">
              <w:rPr>
                <w:bCs/>
                <w:sz w:val="20"/>
                <w:szCs w:val="20"/>
                <w:lang w:val="hy-AM" w:eastAsia="en-US"/>
              </w:rPr>
              <w:t>3</w:t>
            </w:r>
          </w:p>
        </w:tc>
        <w:tc>
          <w:tcPr>
            <w:tcW w:w="1170" w:type="dxa"/>
            <w:vAlign w:val="center"/>
          </w:tcPr>
          <w:p w:rsidR="00961B35" w:rsidRPr="00961B35" w:rsidRDefault="00961B35" w:rsidP="00961B35">
            <w:pPr>
              <w:spacing w:before="0" w:line="276" w:lineRule="auto"/>
              <w:ind w:firstLine="0"/>
              <w:contextualSpacing w:val="0"/>
              <w:jc w:val="center"/>
              <w:rPr>
                <w:bCs/>
                <w:sz w:val="20"/>
                <w:szCs w:val="20"/>
                <w:lang w:val="en-US" w:eastAsia="en-US"/>
              </w:rPr>
            </w:pPr>
            <w:r w:rsidRPr="00961B35">
              <w:rPr>
                <w:bCs/>
                <w:sz w:val="20"/>
                <w:szCs w:val="20"/>
                <w:lang w:val="en-US" w:eastAsia="en-US"/>
              </w:rPr>
              <w:t>22.4</w:t>
            </w:r>
          </w:p>
        </w:tc>
        <w:tc>
          <w:tcPr>
            <w:tcW w:w="990" w:type="dxa"/>
            <w:vAlign w:val="center"/>
          </w:tcPr>
          <w:p w:rsidR="00961B35" w:rsidRPr="00961B35" w:rsidRDefault="00961B35" w:rsidP="00961B35">
            <w:pPr>
              <w:spacing w:before="0" w:line="276" w:lineRule="auto"/>
              <w:ind w:firstLine="0"/>
              <w:contextualSpacing w:val="0"/>
              <w:jc w:val="center"/>
              <w:rPr>
                <w:bCs/>
                <w:sz w:val="20"/>
                <w:szCs w:val="20"/>
                <w:lang w:val="en-US" w:eastAsia="en-US"/>
              </w:rPr>
            </w:pPr>
            <w:r w:rsidRPr="00961B35">
              <w:rPr>
                <w:bCs/>
                <w:sz w:val="20"/>
                <w:szCs w:val="20"/>
                <w:lang w:val="en-US" w:eastAsia="en-US"/>
              </w:rPr>
              <w:t>22.3</w:t>
            </w:r>
          </w:p>
        </w:tc>
        <w:tc>
          <w:tcPr>
            <w:tcW w:w="990" w:type="dxa"/>
            <w:vAlign w:val="center"/>
          </w:tcPr>
          <w:p w:rsidR="00961B35" w:rsidRPr="00961B35" w:rsidRDefault="00961B35" w:rsidP="00961B35">
            <w:pPr>
              <w:spacing w:before="0" w:line="276" w:lineRule="auto"/>
              <w:ind w:firstLine="0"/>
              <w:contextualSpacing w:val="0"/>
              <w:jc w:val="center"/>
              <w:rPr>
                <w:bCs/>
                <w:sz w:val="20"/>
                <w:szCs w:val="20"/>
                <w:lang w:val="en-US" w:eastAsia="en-US"/>
              </w:rPr>
            </w:pPr>
            <w:r w:rsidRPr="00961B35">
              <w:rPr>
                <w:bCs/>
                <w:sz w:val="20"/>
                <w:szCs w:val="20"/>
                <w:lang w:val="en-US" w:eastAsia="en-US"/>
              </w:rPr>
              <w:t>22.6</w:t>
            </w:r>
          </w:p>
        </w:tc>
      </w:tr>
      <w:tr w:rsidR="00961B35" w:rsidRPr="00961B35" w:rsidTr="00E52D4A">
        <w:trPr>
          <w:trHeight w:val="257"/>
        </w:trPr>
        <w:tc>
          <w:tcPr>
            <w:tcW w:w="5148" w:type="dxa"/>
            <w:noWrap/>
            <w:hideMark/>
          </w:tcPr>
          <w:p w:rsidR="00961B35" w:rsidRPr="00961B35" w:rsidRDefault="00961B35" w:rsidP="00961B35">
            <w:pPr>
              <w:spacing w:before="0" w:line="276" w:lineRule="auto"/>
              <w:ind w:firstLine="0"/>
              <w:contextualSpacing w:val="0"/>
              <w:jc w:val="left"/>
              <w:rPr>
                <w:rFonts w:cs="Sylfaen"/>
                <w:sz w:val="20"/>
                <w:szCs w:val="20"/>
                <w:lang w:eastAsia="en-US"/>
              </w:rPr>
            </w:pPr>
            <w:r w:rsidRPr="00961B35">
              <w:rPr>
                <w:rFonts w:cs="Sylfaen"/>
                <w:sz w:val="20"/>
                <w:szCs w:val="20"/>
                <w:lang w:eastAsia="en-US"/>
              </w:rPr>
              <w:t>Սպառման մակարդակ (Սպառում/ՀՆԱ %)</w:t>
            </w:r>
          </w:p>
        </w:tc>
        <w:tc>
          <w:tcPr>
            <w:tcW w:w="1170" w:type="dxa"/>
            <w:noWrap/>
            <w:vAlign w:val="center"/>
          </w:tcPr>
          <w:p w:rsidR="00961B35" w:rsidRPr="00961B35" w:rsidRDefault="00961B35" w:rsidP="00961B35">
            <w:pPr>
              <w:spacing w:before="0" w:line="276" w:lineRule="auto"/>
              <w:ind w:firstLine="0"/>
              <w:contextualSpacing w:val="0"/>
              <w:jc w:val="center"/>
              <w:rPr>
                <w:bCs/>
                <w:sz w:val="20"/>
                <w:szCs w:val="20"/>
                <w:lang w:val="en-US" w:eastAsia="en-US"/>
              </w:rPr>
            </w:pPr>
            <w:r w:rsidRPr="00961B35">
              <w:rPr>
                <w:bCs/>
                <w:sz w:val="20"/>
                <w:szCs w:val="20"/>
                <w:lang w:val="en-US" w:eastAsia="en-US"/>
              </w:rPr>
              <w:t>90.8</w:t>
            </w:r>
          </w:p>
        </w:tc>
        <w:tc>
          <w:tcPr>
            <w:tcW w:w="1080" w:type="dxa"/>
            <w:vAlign w:val="center"/>
          </w:tcPr>
          <w:p w:rsidR="00961B35" w:rsidRPr="00961B35" w:rsidRDefault="00961B35" w:rsidP="00961B35">
            <w:pPr>
              <w:spacing w:before="0" w:line="276" w:lineRule="auto"/>
              <w:ind w:firstLine="0"/>
              <w:contextualSpacing w:val="0"/>
              <w:jc w:val="center"/>
              <w:rPr>
                <w:bCs/>
                <w:sz w:val="20"/>
                <w:szCs w:val="20"/>
                <w:lang w:val="en-US" w:eastAsia="en-US"/>
              </w:rPr>
            </w:pPr>
            <w:r w:rsidRPr="00961B35">
              <w:rPr>
                <w:bCs/>
                <w:sz w:val="20"/>
                <w:szCs w:val="20"/>
                <w:lang w:val="en-US" w:eastAsia="en-US"/>
              </w:rPr>
              <w:t>92.3</w:t>
            </w:r>
          </w:p>
        </w:tc>
        <w:tc>
          <w:tcPr>
            <w:tcW w:w="1170" w:type="dxa"/>
            <w:vAlign w:val="center"/>
          </w:tcPr>
          <w:p w:rsidR="00961B35" w:rsidRPr="00961B35" w:rsidRDefault="00961B35" w:rsidP="00961B35">
            <w:pPr>
              <w:spacing w:before="0" w:line="276" w:lineRule="auto"/>
              <w:ind w:firstLine="0"/>
              <w:contextualSpacing w:val="0"/>
              <w:jc w:val="center"/>
              <w:rPr>
                <w:bCs/>
                <w:sz w:val="20"/>
                <w:szCs w:val="20"/>
                <w:lang w:val="en-US" w:eastAsia="en-US"/>
              </w:rPr>
            </w:pPr>
            <w:r w:rsidRPr="00961B35">
              <w:rPr>
                <w:bCs/>
                <w:sz w:val="20"/>
                <w:szCs w:val="20"/>
                <w:lang w:val="en-US" w:eastAsia="en-US"/>
              </w:rPr>
              <w:t>92.7</w:t>
            </w:r>
          </w:p>
        </w:tc>
        <w:tc>
          <w:tcPr>
            <w:tcW w:w="990" w:type="dxa"/>
            <w:vAlign w:val="center"/>
          </w:tcPr>
          <w:p w:rsidR="00961B35" w:rsidRPr="00961B35" w:rsidRDefault="00961B35" w:rsidP="00961B35">
            <w:pPr>
              <w:spacing w:before="0" w:line="276" w:lineRule="auto"/>
              <w:ind w:firstLine="0"/>
              <w:contextualSpacing w:val="0"/>
              <w:jc w:val="center"/>
              <w:rPr>
                <w:bCs/>
                <w:sz w:val="20"/>
                <w:szCs w:val="20"/>
                <w:lang w:val="en-US" w:eastAsia="en-US"/>
              </w:rPr>
            </w:pPr>
            <w:r w:rsidRPr="00961B35">
              <w:rPr>
                <w:bCs/>
                <w:sz w:val="20"/>
                <w:szCs w:val="20"/>
                <w:lang w:val="en-US" w:eastAsia="en-US"/>
              </w:rPr>
              <w:t>93.3</w:t>
            </w:r>
          </w:p>
        </w:tc>
        <w:tc>
          <w:tcPr>
            <w:tcW w:w="990" w:type="dxa"/>
            <w:vAlign w:val="center"/>
          </w:tcPr>
          <w:p w:rsidR="00961B35" w:rsidRPr="00961B35" w:rsidRDefault="00961B35" w:rsidP="00961B35">
            <w:pPr>
              <w:spacing w:before="0" w:line="276" w:lineRule="auto"/>
              <w:ind w:firstLine="0"/>
              <w:contextualSpacing w:val="0"/>
              <w:jc w:val="center"/>
              <w:rPr>
                <w:bCs/>
                <w:sz w:val="20"/>
                <w:szCs w:val="20"/>
                <w:lang w:val="en-US" w:eastAsia="en-US"/>
              </w:rPr>
            </w:pPr>
            <w:r w:rsidRPr="00961B35">
              <w:rPr>
                <w:bCs/>
                <w:sz w:val="20"/>
                <w:szCs w:val="20"/>
                <w:lang w:val="en-US" w:eastAsia="en-US"/>
              </w:rPr>
              <w:t>92.5</w:t>
            </w:r>
          </w:p>
        </w:tc>
      </w:tr>
      <w:tr w:rsidR="00961B35" w:rsidRPr="00961B35" w:rsidTr="00E52D4A">
        <w:trPr>
          <w:trHeight w:val="257"/>
        </w:trPr>
        <w:tc>
          <w:tcPr>
            <w:tcW w:w="5148" w:type="dxa"/>
            <w:noWrap/>
            <w:hideMark/>
          </w:tcPr>
          <w:p w:rsidR="00961B35" w:rsidRPr="00961B35" w:rsidRDefault="00961B35" w:rsidP="00961B35">
            <w:pPr>
              <w:spacing w:before="0" w:line="276" w:lineRule="auto"/>
              <w:ind w:firstLine="0"/>
              <w:contextualSpacing w:val="0"/>
              <w:jc w:val="left"/>
              <w:rPr>
                <w:rFonts w:cs="Sylfaen"/>
                <w:sz w:val="20"/>
                <w:szCs w:val="20"/>
                <w:lang w:eastAsia="en-US"/>
              </w:rPr>
            </w:pPr>
            <w:r w:rsidRPr="00961B35">
              <w:rPr>
                <w:rFonts w:cs="Sylfaen"/>
                <w:sz w:val="20"/>
                <w:szCs w:val="20"/>
                <w:lang w:eastAsia="en-US"/>
              </w:rPr>
              <w:t>ՀՆԱ</w:t>
            </w:r>
            <w:r w:rsidRPr="00961B35">
              <w:rPr>
                <w:rFonts w:cs="Sylfaen"/>
                <w:sz w:val="20"/>
                <w:szCs w:val="20"/>
                <w:lang w:val="en-US" w:eastAsia="en-US"/>
              </w:rPr>
              <w:t xml:space="preserve"> ինդեքս</w:t>
            </w:r>
            <w:r w:rsidRPr="00961B35">
              <w:rPr>
                <w:rFonts w:cs="Sylfaen"/>
                <w:sz w:val="20"/>
                <w:szCs w:val="20"/>
                <w:lang w:eastAsia="en-US"/>
              </w:rPr>
              <w:t xml:space="preserve"> դեֆլյատոր</w:t>
            </w:r>
          </w:p>
        </w:tc>
        <w:tc>
          <w:tcPr>
            <w:tcW w:w="1170" w:type="dxa"/>
            <w:noWrap/>
            <w:vAlign w:val="center"/>
          </w:tcPr>
          <w:p w:rsidR="00961B35" w:rsidRPr="00961B35" w:rsidRDefault="00961B35" w:rsidP="00961B35">
            <w:pPr>
              <w:spacing w:before="0" w:line="276" w:lineRule="auto"/>
              <w:ind w:firstLine="0"/>
              <w:contextualSpacing w:val="0"/>
              <w:jc w:val="center"/>
              <w:rPr>
                <w:bCs/>
                <w:sz w:val="20"/>
                <w:szCs w:val="20"/>
                <w:lang w:val="en-US" w:eastAsia="en-US"/>
              </w:rPr>
            </w:pPr>
            <w:r w:rsidRPr="00961B35">
              <w:rPr>
                <w:bCs/>
                <w:sz w:val="20"/>
                <w:szCs w:val="20"/>
                <w:lang w:val="en-US" w:eastAsia="en-US"/>
              </w:rPr>
              <w:t>100.3</w:t>
            </w:r>
          </w:p>
        </w:tc>
        <w:tc>
          <w:tcPr>
            <w:tcW w:w="1080" w:type="dxa"/>
          </w:tcPr>
          <w:p w:rsidR="00961B35" w:rsidRPr="00961B35" w:rsidRDefault="00961B35" w:rsidP="00961B35">
            <w:pPr>
              <w:spacing w:before="0" w:line="276" w:lineRule="auto"/>
              <w:ind w:firstLine="0"/>
              <w:contextualSpacing w:val="0"/>
              <w:jc w:val="center"/>
              <w:rPr>
                <w:bCs/>
                <w:sz w:val="20"/>
                <w:szCs w:val="20"/>
                <w:lang w:val="en-US" w:eastAsia="en-US"/>
              </w:rPr>
            </w:pPr>
            <w:r w:rsidRPr="00961B35">
              <w:rPr>
                <w:bCs/>
                <w:sz w:val="20"/>
                <w:szCs w:val="20"/>
                <w:lang w:val="en-US" w:eastAsia="en-US"/>
              </w:rPr>
              <w:t>102.2</w:t>
            </w:r>
          </w:p>
        </w:tc>
        <w:tc>
          <w:tcPr>
            <w:tcW w:w="1170" w:type="dxa"/>
          </w:tcPr>
          <w:p w:rsidR="00961B35" w:rsidRPr="00961B35" w:rsidRDefault="00961B35" w:rsidP="00961B35">
            <w:pPr>
              <w:spacing w:before="0" w:line="276" w:lineRule="auto"/>
              <w:ind w:firstLine="0"/>
              <w:contextualSpacing w:val="0"/>
              <w:jc w:val="center"/>
              <w:rPr>
                <w:bCs/>
                <w:sz w:val="20"/>
                <w:szCs w:val="20"/>
                <w:lang w:val="en-US" w:eastAsia="en-US"/>
              </w:rPr>
            </w:pPr>
            <w:r w:rsidRPr="00961B35">
              <w:rPr>
                <w:bCs/>
                <w:sz w:val="20"/>
                <w:szCs w:val="20"/>
                <w:lang w:val="en-US" w:eastAsia="en-US"/>
              </w:rPr>
              <w:t>2.5</w:t>
            </w:r>
          </w:p>
        </w:tc>
        <w:tc>
          <w:tcPr>
            <w:tcW w:w="990" w:type="dxa"/>
          </w:tcPr>
          <w:p w:rsidR="00961B35" w:rsidRPr="00961B35" w:rsidRDefault="00961B35" w:rsidP="00961B35">
            <w:pPr>
              <w:spacing w:before="0" w:line="276" w:lineRule="auto"/>
              <w:ind w:firstLine="0"/>
              <w:contextualSpacing w:val="0"/>
              <w:jc w:val="center"/>
              <w:rPr>
                <w:bCs/>
                <w:sz w:val="20"/>
                <w:szCs w:val="20"/>
                <w:lang w:val="en-US" w:eastAsia="en-US"/>
              </w:rPr>
            </w:pPr>
            <w:r w:rsidRPr="00961B35">
              <w:rPr>
                <w:bCs/>
                <w:sz w:val="20"/>
                <w:szCs w:val="20"/>
                <w:lang w:val="en-US" w:eastAsia="en-US"/>
              </w:rPr>
              <w:t>2.9</w:t>
            </w:r>
          </w:p>
        </w:tc>
        <w:tc>
          <w:tcPr>
            <w:tcW w:w="990" w:type="dxa"/>
          </w:tcPr>
          <w:p w:rsidR="00961B35" w:rsidRPr="00961B35" w:rsidRDefault="00961B35" w:rsidP="00961B35">
            <w:pPr>
              <w:spacing w:before="0" w:line="276" w:lineRule="auto"/>
              <w:ind w:firstLine="0"/>
              <w:contextualSpacing w:val="0"/>
              <w:jc w:val="center"/>
              <w:rPr>
                <w:bCs/>
                <w:sz w:val="20"/>
                <w:szCs w:val="20"/>
                <w:lang w:val="en-US" w:eastAsia="en-US"/>
              </w:rPr>
            </w:pPr>
            <w:r w:rsidRPr="00961B35">
              <w:rPr>
                <w:bCs/>
                <w:sz w:val="20"/>
                <w:szCs w:val="20"/>
                <w:lang w:val="en-US" w:eastAsia="en-US"/>
              </w:rPr>
              <w:t>3.0</w:t>
            </w:r>
          </w:p>
        </w:tc>
      </w:tr>
      <w:tr w:rsidR="00961B35" w:rsidRPr="00961B35" w:rsidTr="00E52D4A">
        <w:trPr>
          <w:trHeight w:val="257"/>
        </w:trPr>
        <w:tc>
          <w:tcPr>
            <w:tcW w:w="5148" w:type="dxa"/>
            <w:noWrap/>
            <w:hideMark/>
          </w:tcPr>
          <w:p w:rsidR="00961B35" w:rsidRPr="00961B35" w:rsidRDefault="00961B35" w:rsidP="00961B35">
            <w:pPr>
              <w:spacing w:before="0" w:line="276" w:lineRule="auto"/>
              <w:ind w:firstLine="0"/>
              <w:contextualSpacing w:val="0"/>
              <w:jc w:val="left"/>
              <w:rPr>
                <w:rFonts w:cs="Sylfaen"/>
                <w:sz w:val="20"/>
                <w:szCs w:val="20"/>
                <w:lang w:eastAsia="en-US"/>
              </w:rPr>
            </w:pPr>
            <w:r w:rsidRPr="00961B35">
              <w:rPr>
                <w:rFonts w:cs="Sylfaen"/>
                <w:sz w:val="20"/>
                <w:szCs w:val="20"/>
                <w:lang w:eastAsia="en-US"/>
              </w:rPr>
              <w:t>Գնաճ միջին</w:t>
            </w:r>
          </w:p>
        </w:tc>
        <w:tc>
          <w:tcPr>
            <w:tcW w:w="1170" w:type="dxa"/>
            <w:noWrap/>
            <w:vAlign w:val="center"/>
          </w:tcPr>
          <w:p w:rsidR="00961B35" w:rsidRPr="00961B35" w:rsidRDefault="00961B35" w:rsidP="00961B35">
            <w:pPr>
              <w:spacing w:before="0" w:line="240" w:lineRule="auto"/>
              <w:ind w:firstLine="0"/>
              <w:contextualSpacing w:val="0"/>
              <w:jc w:val="center"/>
              <w:rPr>
                <w:sz w:val="20"/>
                <w:szCs w:val="20"/>
                <w:lang w:val="en-US" w:eastAsia="en-US"/>
              </w:rPr>
            </w:pPr>
            <w:r w:rsidRPr="00961B35">
              <w:rPr>
                <w:sz w:val="20"/>
                <w:szCs w:val="20"/>
                <w:lang w:val="en-US" w:eastAsia="en-US"/>
              </w:rPr>
              <w:t>-1.1</w:t>
            </w:r>
          </w:p>
        </w:tc>
        <w:tc>
          <w:tcPr>
            <w:tcW w:w="1080" w:type="dxa"/>
            <w:vAlign w:val="center"/>
          </w:tcPr>
          <w:p w:rsidR="00961B35" w:rsidRPr="00961B35" w:rsidRDefault="00961B35" w:rsidP="00961B35">
            <w:pPr>
              <w:spacing w:before="0" w:line="240" w:lineRule="auto"/>
              <w:ind w:firstLine="0"/>
              <w:contextualSpacing w:val="0"/>
              <w:jc w:val="center"/>
              <w:rPr>
                <w:sz w:val="20"/>
                <w:szCs w:val="20"/>
                <w:lang w:val="en-US" w:eastAsia="en-US"/>
              </w:rPr>
            </w:pPr>
            <w:r w:rsidRPr="00961B35">
              <w:rPr>
                <w:sz w:val="20"/>
                <w:szCs w:val="20"/>
                <w:lang w:val="en-US" w:eastAsia="en-US"/>
              </w:rPr>
              <w:t>1.0</w:t>
            </w:r>
          </w:p>
        </w:tc>
        <w:tc>
          <w:tcPr>
            <w:tcW w:w="1170" w:type="dxa"/>
          </w:tcPr>
          <w:p w:rsidR="00961B35" w:rsidRPr="00961B35" w:rsidRDefault="00961B35" w:rsidP="00961B35">
            <w:pPr>
              <w:spacing w:before="0" w:line="240" w:lineRule="auto"/>
              <w:ind w:firstLine="0"/>
              <w:contextualSpacing w:val="0"/>
              <w:jc w:val="center"/>
              <w:rPr>
                <w:sz w:val="20"/>
                <w:szCs w:val="20"/>
                <w:lang w:val="en-US" w:eastAsia="en-US"/>
              </w:rPr>
            </w:pPr>
            <w:r w:rsidRPr="00961B35">
              <w:rPr>
                <w:sz w:val="20"/>
                <w:szCs w:val="20"/>
                <w:lang w:val="en-US" w:eastAsia="en-US"/>
              </w:rPr>
              <w:t>2.5</w:t>
            </w:r>
          </w:p>
        </w:tc>
        <w:tc>
          <w:tcPr>
            <w:tcW w:w="990" w:type="dxa"/>
            <w:vAlign w:val="center"/>
          </w:tcPr>
          <w:p w:rsidR="00961B35" w:rsidRPr="00961B35" w:rsidRDefault="00961B35" w:rsidP="00961B35">
            <w:pPr>
              <w:spacing w:before="0" w:line="276" w:lineRule="auto"/>
              <w:ind w:firstLine="0"/>
              <w:contextualSpacing w:val="0"/>
              <w:jc w:val="center"/>
              <w:rPr>
                <w:sz w:val="20"/>
                <w:szCs w:val="20"/>
                <w:lang w:val="en-US" w:eastAsia="en-US"/>
              </w:rPr>
            </w:pPr>
            <w:r w:rsidRPr="00961B35">
              <w:rPr>
                <w:sz w:val="20"/>
                <w:szCs w:val="20"/>
                <w:lang w:val="en-US" w:eastAsia="en-US"/>
              </w:rPr>
              <w:t>1.7</w:t>
            </w:r>
          </w:p>
        </w:tc>
        <w:tc>
          <w:tcPr>
            <w:tcW w:w="990" w:type="dxa"/>
            <w:vAlign w:val="center"/>
          </w:tcPr>
          <w:p w:rsidR="00961B35" w:rsidRPr="00961B35" w:rsidRDefault="00961B35" w:rsidP="00961B35">
            <w:pPr>
              <w:spacing w:before="0" w:line="276" w:lineRule="auto"/>
              <w:ind w:firstLine="0"/>
              <w:contextualSpacing w:val="0"/>
              <w:jc w:val="center"/>
              <w:rPr>
                <w:sz w:val="20"/>
                <w:szCs w:val="20"/>
                <w:lang w:val="en-US" w:eastAsia="en-US"/>
              </w:rPr>
            </w:pPr>
            <w:r w:rsidRPr="00961B35">
              <w:rPr>
                <w:sz w:val="20"/>
                <w:szCs w:val="20"/>
                <w:lang w:val="en-US" w:eastAsia="en-US"/>
              </w:rPr>
              <w:t>2.1</w:t>
            </w:r>
          </w:p>
        </w:tc>
      </w:tr>
      <w:tr w:rsidR="00961B35" w:rsidRPr="00961B35" w:rsidTr="00E52D4A">
        <w:trPr>
          <w:trHeight w:val="257"/>
        </w:trPr>
        <w:tc>
          <w:tcPr>
            <w:tcW w:w="5148" w:type="dxa"/>
            <w:noWrap/>
            <w:hideMark/>
          </w:tcPr>
          <w:p w:rsidR="00961B35" w:rsidRPr="00961B35" w:rsidRDefault="00961B35" w:rsidP="00961B35">
            <w:pPr>
              <w:spacing w:before="0" w:line="276" w:lineRule="auto"/>
              <w:ind w:firstLine="0"/>
              <w:contextualSpacing w:val="0"/>
              <w:jc w:val="left"/>
              <w:rPr>
                <w:rFonts w:cs="Sylfaen"/>
                <w:sz w:val="20"/>
                <w:szCs w:val="20"/>
                <w:lang w:val="en-US" w:eastAsia="en-US"/>
              </w:rPr>
            </w:pPr>
            <w:r w:rsidRPr="00961B35">
              <w:rPr>
                <w:rFonts w:cs="Sylfaen"/>
                <w:sz w:val="20"/>
                <w:szCs w:val="20"/>
                <w:lang w:eastAsia="en-US"/>
              </w:rPr>
              <w:t>Գնաճ</w:t>
            </w:r>
            <w:r w:rsidRPr="00961B35">
              <w:rPr>
                <w:rFonts w:cs="Sylfaen"/>
                <w:sz w:val="20"/>
                <w:szCs w:val="20"/>
                <w:lang w:val="en-US" w:eastAsia="en-US"/>
              </w:rPr>
              <w:t xml:space="preserve"> 12-</w:t>
            </w:r>
            <w:r w:rsidRPr="00961B35">
              <w:rPr>
                <w:rFonts w:cs="Sylfaen"/>
                <w:sz w:val="20"/>
                <w:szCs w:val="20"/>
                <w:lang w:eastAsia="en-US"/>
              </w:rPr>
              <w:t>ամսյա</w:t>
            </w:r>
          </w:p>
        </w:tc>
        <w:tc>
          <w:tcPr>
            <w:tcW w:w="1170" w:type="dxa"/>
            <w:noWrap/>
            <w:vAlign w:val="center"/>
          </w:tcPr>
          <w:p w:rsidR="00961B35" w:rsidRPr="00961B35" w:rsidRDefault="00961B35" w:rsidP="00961B35">
            <w:pPr>
              <w:spacing w:before="0" w:line="240" w:lineRule="auto"/>
              <w:ind w:firstLine="0"/>
              <w:contextualSpacing w:val="0"/>
              <w:jc w:val="center"/>
              <w:rPr>
                <w:sz w:val="20"/>
                <w:szCs w:val="20"/>
                <w:lang w:val="en-US" w:eastAsia="en-US"/>
              </w:rPr>
            </w:pPr>
            <w:r w:rsidRPr="00961B35">
              <w:rPr>
                <w:sz w:val="20"/>
                <w:szCs w:val="20"/>
                <w:lang w:val="en-US" w:eastAsia="en-US"/>
              </w:rPr>
              <w:t>-1.4</w:t>
            </w:r>
          </w:p>
        </w:tc>
        <w:tc>
          <w:tcPr>
            <w:tcW w:w="1080" w:type="dxa"/>
            <w:vAlign w:val="center"/>
          </w:tcPr>
          <w:p w:rsidR="00961B35" w:rsidRPr="00961B35" w:rsidRDefault="00961B35" w:rsidP="00961B35">
            <w:pPr>
              <w:spacing w:before="0" w:line="240" w:lineRule="auto"/>
              <w:ind w:firstLine="0"/>
              <w:contextualSpacing w:val="0"/>
              <w:jc w:val="center"/>
              <w:rPr>
                <w:sz w:val="20"/>
                <w:szCs w:val="20"/>
                <w:lang w:val="en-US" w:eastAsia="en-US"/>
              </w:rPr>
            </w:pPr>
            <w:r w:rsidRPr="00961B35">
              <w:rPr>
                <w:sz w:val="20"/>
                <w:szCs w:val="20"/>
                <w:lang w:val="en-US" w:eastAsia="en-US"/>
              </w:rPr>
              <w:t>2.6</w:t>
            </w:r>
          </w:p>
        </w:tc>
        <w:tc>
          <w:tcPr>
            <w:tcW w:w="1170" w:type="dxa"/>
          </w:tcPr>
          <w:p w:rsidR="00961B35" w:rsidRPr="00961B35" w:rsidRDefault="00961B35" w:rsidP="00961B35">
            <w:pPr>
              <w:spacing w:before="0" w:line="240" w:lineRule="auto"/>
              <w:ind w:firstLine="0"/>
              <w:contextualSpacing w:val="0"/>
              <w:jc w:val="center"/>
              <w:rPr>
                <w:sz w:val="20"/>
                <w:szCs w:val="20"/>
                <w:lang w:val="en-US" w:eastAsia="en-US"/>
              </w:rPr>
            </w:pPr>
            <w:r w:rsidRPr="00961B35">
              <w:rPr>
                <w:sz w:val="20"/>
                <w:szCs w:val="20"/>
                <w:lang w:val="en-US" w:eastAsia="en-US"/>
              </w:rPr>
              <w:t>1.8</w:t>
            </w:r>
          </w:p>
        </w:tc>
        <w:tc>
          <w:tcPr>
            <w:tcW w:w="990" w:type="dxa"/>
            <w:vAlign w:val="center"/>
          </w:tcPr>
          <w:p w:rsidR="00961B35" w:rsidRPr="00961B35" w:rsidRDefault="00961B35" w:rsidP="00961B35">
            <w:pPr>
              <w:spacing w:before="0" w:line="276" w:lineRule="auto"/>
              <w:ind w:firstLine="0"/>
              <w:contextualSpacing w:val="0"/>
              <w:jc w:val="center"/>
              <w:rPr>
                <w:sz w:val="20"/>
                <w:szCs w:val="20"/>
                <w:lang w:val="en-US" w:eastAsia="en-US"/>
              </w:rPr>
            </w:pPr>
            <w:r w:rsidRPr="00961B35">
              <w:rPr>
                <w:sz w:val="20"/>
                <w:szCs w:val="20"/>
                <w:lang w:val="en-US" w:eastAsia="en-US"/>
              </w:rPr>
              <w:t>2.0</w:t>
            </w:r>
          </w:p>
        </w:tc>
        <w:tc>
          <w:tcPr>
            <w:tcW w:w="990" w:type="dxa"/>
            <w:vAlign w:val="center"/>
          </w:tcPr>
          <w:p w:rsidR="00961B35" w:rsidRPr="00961B35" w:rsidRDefault="00961B35" w:rsidP="00961B35">
            <w:pPr>
              <w:spacing w:before="0" w:line="276" w:lineRule="auto"/>
              <w:ind w:firstLine="0"/>
              <w:contextualSpacing w:val="0"/>
              <w:jc w:val="center"/>
              <w:rPr>
                <w:sz w:val="20"/>
                <w:szCs w:val="20"/>
                <w:lang w:val="en-US" w:eastAsia="en-US"/>
              </w:rPr>
            </w:pPr>
            <w:r w:rsidRPr="00961B35">
              <w:rPr>
                <w:sz w:val="20"/>
                <w:szCs w:val="20"/>
                <w:lang w:val="en-US" w:eastAsia="en-US"/>
              </w:rPr>
              <w:t>2.5</w:t>
            </w:r>
          </w:p>
        </w:tc>
      </w:tr>
      <w:tr w:rsidR="00961B35" w:rsidRPr="00961B35" w:rsidTr="00E52D4A">
        <w:trPr>
          <w:trHeight w:val="257"/>
        </w:trPr>
        <w:tc>
          <w:tcPr>
            <w:tcW w:w="5148" w:type="dxa"/>
            <w:noWrap/>
            <w:hideMark/>
          </w:tcPr>
          <w:p w:rsidR="00961B35" w:rsidRPr="00961B35" w:rsidRDefault="00961B35" w:rsidP="00961B35">
            <w:pPr>
              <w:spacing w:before="0" w:line="276" w:lineRule="auto"/>
              <w:ind w:firstLine="0"/>
              <w:contextualSpacing w:val="0"/>
              <w:jc w:val="left"/>
              <w:rPr>
                <w:rFonts w:cs="Sylfaen"/>
                <w:sz w:val="20"/>
                <w:szCs w:val="20"/>
                <w:lang w:val="en-US" w:eastAsia="en-US"/>
              </w:rPr>
            </w:pPr>
            <w:r w:rsidRPr="00961B35">
              <w:rPr>
                <w:rFonts w:cs="Sylfaen"/>
                <w:sz w:val="20"/>
                <w:szCs w:val="20"/>
                <w:lang w:eastAsia="en-US"/>
              </w:rPr>
              <w:t>Պետական</w:t>
            </w:r>
            <w:r w:rsidRPr="00961B35">
              <w:rPr>
                <w:rFonts w:cs="Sylfaen"/>
                <w:sz w:val="20"/>
                <w:szCs w:val="20"/>
                <w:lang w:val="en-US" w:eastAsia="en-US"/>
              </w:rPr>
              <w:t xml:space="preserve"> </w:t>
            </w:r>
            <w:r w:rsidRPr="00961B35">
              <w:rPr>
                <w:rFonts w:cs="Sylfaen"/>
                <w:sz w:val="20"/>
                <w:szCs w:val="20"/>
                <w:lang w:eastAsia="en-US"/>
              </w:rPr>
              <w:t>բյուջեի</w:t>
            </w:r>
            <w:r w:rsidRPr="00961B35">
              <w:rPr>
                <w:rFonts w:cs="Sylfaen"/>
                <w:sz w:val="20"/>
                <w:szCs w:val="20"/>
                <w:lang w:val="en-US" w:eastAsia="en-US"/>
              </w:rPr>
              <w:t xml:space="preserve"> </w:t>
            </w:r>
            <w:r w:rsidRPr="00961B35">
              <w:rPr>
                <w:rFonts w:cs="Sylfaen"/>
                <w:sz w:val="20"/>
                <w:szCs w:val="20"/>
                <w:lang w:eastAsia="en-US"/>
              </w:rPr>
              <w:t>պակասուրդ</w:t>
            </w:r>
            <w:r w:rsidRPr="00961B35">
              <w:rPr>
                <w:rFonts w:cs="Sylfaen"/>
                <w:sz w:val="20"/>
                <w:szCs w:val="20"/>
                <w:lang w:val="en-US" w:eastAsia="en-US"/>
              </w:rPr>
              <w:t>/</w:t>
            </w:r>
            <w:r w:rsidRPr="00961B35">
              <w:rPr>
                <w:rFonts w:cs="Sylfaen"/>
                <w:sz w:val="20"/>
                <w:szCs w:val="20"/>
                <w:lang w:eastAsia="en-US"/>
              </w:rPr>
              <w:t>ՀՆԱ</w:t>
            </w:r>
            <w:r w:rsidRPr="00961B35">
              <w:rPr>
                <w:rFonts w:cs="Sylfaen"/>
                <w:sz w:val="20"/>
                <w:szCs w:val="20"/>
                <w:lang w:val="en-US" w:eastAsia="en-US"/>
              </w:rPr>
              <w:t xml:space="preserve"> %</w:t>
            </w:r>
          </w:p>
        </w:tc>
        <w:tc>
          <w:tcPr>
            <w:tcW w:w="1170" w:type="dxa"/>
            <w:noWrap/>
            <w:vAlign w:val="center"/>
          </w:tcPr>
          <w:p w:rsidR="00961B35" w:rsidRPr="00961B35" w:rsidRDefault="00961B35" w:rsidP="00961B35">
            <w:pPr>
              <w:spacing w:before="0" w:line="240" w:lineRule="auto"/>
              <w:ind w:firstLine="0"/>
              <w:contextualSpacing w:val="0"/>
              <w:jc w:val="center"/>
              <w:rPr>
                <w:sz w:val="20"/>
                <w:szCs w:val="20"/>
                <w:lang w:val="en-US" w:eastAsia="en-US"/>
              </w:rPr>
            </w:pPr>
            <w:r w:rsidRPr="00961B35">
              <w:rPr>
                <w:sz w:val="20"/>
                <w:szCs w:val="20"/>
                <w:lang w:val="en-US" w:eastAsia="en-US"/>
              </w:rPr>
              <w:t>-5.5</w:t>
            </w:r>
          </w:p>
        </w:tc>
        <w:tc>
          <w:tcPr>
            <w:tcW w:w="1080" w:type="dxa"/>
            <w:vAlign w:val="center"/>
          </w:tcPr>
          <w:p w:rsidR="00961B35" w:rsidRPr="00961B35" w:rsidRDefault="00961B35" w:rsidP="00961B35">
            <w:pPr>
              <w:spacing w:before="0" w:line="240" w:lineRule="auto"/>
              <w:ind w:firstLine="0"/>
              <w:contextualSpacing w:val="0"/>
              <w:jc w:val="center"/>
              <w:rPr>
                <w:sz w:val="20"/>
                <w:szCs w:val="20"/>
                <w:lang w:val="en-US" w:eastAsia="en-US"/>
              </w:rPr>
            </w:pPr>
            <w:r w:rsidRPr="00961B35">
              <w:rPr>
                <w:sz w:val="20"/>
                <w:szCs w:val="20"/>
                <w:lang w:val="en-US" w:eastAsia="en-US"/>
              </w:rPr>
              <w:t>-4.8</w:t>
            </w:r>
          </w:p>
        </w:tc>
        <w:tc>
          <w:tcPr>
            <w:tcW w:w="1170" w:type="dxa"/>
            <w:vAlign w:val="center"/>
          </w:tcPr>
          <w:p w:rsidR="00961B35" w:rsidRPr="00961B35" w:rsidRDefault="00961B35" w:rsidP="00961B35">
            <w:pPr>
              <w:spacing w:before="0" w:line="240" w:lineRule="auto"/>
              <w:ind w:firstLine="0"/>
              <w:contextualSpacing w:val="0"/>
              <w:jc w:val="center"/>
              <w:rPr>
                <w:sz w:val="20"/>
                <w:szCs w:val="20"/>
                <w:lang w:val="en-US" w:eastAsia="en-US"/>
              </w:rPr>
            </w:pPr>
            <w:r w:rsidRPr="00961B35">
              <w:rPr>
                <w:sz w:val="20"/>
                <w:szCs w:val="20"/>
                <w:lang w:val="en-US" w:eastAsia="en-US"/>
              </w:rPr>
              <w:t>-1.8</w:t>
            </w:r>
          </w:p>
        </w:tc>
        <w:tc>
          <w:tcPr>
            <w:tcW w:w="990" w:type="dxa"/>
            <w:vAlign w:val="center"/>
          </w:tcPr>
          <w:p w:rsidR="00961B35" w:rsidRPr="00961B35" w:rsidRDefault="00961B35" w:rsidP="00961B35">
            <w:pPr>
              <w:spacing w:before="0" w:line="276" w:lineRule="auto"/>
              <w:ind w:firstLine="0"/>
              <w:contextualSpacing w:val="0"/>
              <w:jc w:val="center"/>
              <w:rPr>
                <w:sz w:val="20"/>
                <w:szCs w:val="20"/>
                <w:lang w:val="en-US" w:eastAsia="en-US"/>
              </w:rPr>
            </w:pPr>
            <w:r w:rsidRPr="00961B35">
              <w:rPr>
                <w:sz w:val="20"/>
                <w:szCs w:val="20"/>
                <w:lang w:val="en-US" w:eastAsia="en-US"/>
              </w:rPr>
              <w:t>-0.6</w:t>
            </w:r>
          </w:p>
        </w:tc>
        <w:tc>
          <w:tcPr>
            <w:tcW w:w="990" w:type="dxa"/>
            <w:vAlign w:val="center"/>
          </w:tcPr>
          <w:p w:rsidR="00961B35" w:rsidRPr="00961B35" w:rsidRDefault="00961B35" w:rsidP="00961B35">
            <w:pPr>
              <w:spacing w:before="0" w:line="276" w:lineRule="auto"/>
              <w:ind w:firstLine="0"/>
              <w:contextualSpacing w:val="0"/>
              <w:jc w:val="center"/>
              <w:rPr>
                <w:sz w:val="20"/>
                <w:szCs w:val="20"/>
                <w:lang w:val="en-US" w:eastAsia="en-US"/>
              </w:rPr>
            </w:pPr>
            <w:r w:rsidRPr="00961B35">
              <w:rPr>
                <w:sz w:val="20"/>
                <w:szCs w:val="20"/>
                <w:lang w:val="en-US" w:eastAsia="en-US"/>
              </w:rPr>
              <w:t>-2.3</w:t>
            </w:r>
          </w:p>
        </w:tc>
      </w:tr>
      <w:tr w:rsidR="00961B35" w:rsidRPr="00961B35" w:rsidTr="00E52D4A">
        <w:trPr>
          <w:trHeight w:val="257"/>
        </w:trPr>
        <w:tc>
          <w:tcPr>
            <w:tcW w:w="5148" w:type="dxa"/>
            <w:noWrap/>
            <w:hideMark/>
          </w:tcPr>
          <w:p w:rsidR="00961B35" w:rsidRPr="00961B35" w:rsidRDefault="00961B35" w:rsidP="00961B35">
            <w:pPr>
              <w:spacing w:before="0" w:line="276" w:lineRule="auto"/>
              <w:ind w:firstLine="0"/>
              <w:contextualSpacing w:val="0"/>
              <w:jc w:val="left"/>
              <w:rPr>
                <w:rFonts w:cs="Sylfaen"/>
                <w:sz w:val="20"/>
                <w:szCs w:val="20"/>
                <w:lang w:val="en-US" w:eastAsia="en-US"/>
              </w:rPr>
            </w:pPr>
            <w:r w:rsidRPr="00961B35">
              <w:rPr>
                <w:rFonts w:cs="Sylfaen"/>
                <w:sz w:val="20"/>
                <w:szCs w:val="20"/>
                <w:lang w:val="en-US" w:eastAsia="en-US"/>
              </w:rPr>
              <w:t>Ընթացիկ հաշիվ/ՀՆԱ</w:t>
            </w:r>
          </w:p>
        </w:tc>
        <w:tc>
          <w:tcPr>
            <w:tcW w:w="1170" w:type="dxa"/>
            <w:noWrap/>
          </w:tcPr>
          <w:p w:rsidR="00961B35" w:rsidRPr="00961B35" w:rsidRDefault="00961B35" w:rsidP="00961B35">
            <w:pPr>
              <w:spacing w:before="0" w:line="240" w:lineRule="auto"/>
              <w:ind w:firstLine="0"/>
              <w:contextualSpacing w:val="0"/>
              <w:jc w:val="center"/>
              <w:rPr>
                <w:sz w:val="20"/>
                <w:szCs w:val="20"/>
                <w:lang w:val="en-US" w:eastAsia="en-US"/>
              </w:rPr>
            </w:pPr>
            <w:r w:rsidRPr="00961B35">
              <w:rPr>
                <w:sz w:val="20"/>
                <w:szCs w:val="20"/>
                <w:lang w:val="en-US" w:eastAsia="en-US"/>
              </w:rPr>
              <w:t>-2.1</w:t>
            </w:r>
          </w:p>
        </w:tc>
        <w:tc>
          <w:tcPr>
            <w:tcW w:w="1080" w:type="dxa"/>
          </w:tcPr>
          <w:p w:rsidR="00961B35" w:rsidRPr="00961B35" w:rsidRDefault="00961B35" w:rsidP="00961B35">
            <w:pPr>
              <w:spacing w:before="0" w:line="240" w:lineRule="auto"/>
              <w:ind w:firstLine="0"/>
              <w:contextualSpacing w:val="0"/>
              <w:jc w:val="center"/>
              <w:rPr>
                <w:sz w:val="20"/>
                <w:szCs w:val="20"/>
                <w:lang w:val="en-US" w:eastAsia="en-US"/>
              </w:rPr>
            </w:pPr>
            <w:r w:rsidRPr="00961B35">
              <w:rPr>
                <w:sz w:val="20"/>
                <w:szCs w:val="20"/>
                <w:lang w:val="en-US" w:eastAsia="en-US"/>
              </w:rPr>
              <w:t>-3.0</w:t>
            </w:r>
          </w:p>
        </w:tc>
        <w:tc>
          <w:tcPr>
            <w:tcW w:w="1170" w:type="dxa"/>
          </w:tcPr>
          <w:p w:rsidR="00961B35" w:rsidRPr="00961B35" w:rsidRDefault="00961B35" w:rsidP="00961B35">
            <w:pPr>
              <w:spacing w:before="0" w:line="240" w:lineRule="auto"/>
              <w:ind w:firstLine="0"/>
              <w:contextualSpacing w:val="0"/>
              <w:jc w:val="center"/>
              <w:rPr>
                <w:sz w:val="20"/>
                <w:szCs w:val="20"/>
                <w:lang w:val="en-US" w:eastAsia="en-US"/>
              </w:rPr>
            </w:pPr>
            <w:r w:rsidRPr="00961B35">
              <w:rPr>
                <w:sz w:val="20"/>
                <w:szCs w:val="20"/>
                <w:lang w:val="en-US" w:eastAsia="en-US"/>
              </w:rPr>
              <w:t>-9.4</w:t>
            </w:r>
          </w:p>
        </w:tc>
        <w:tc>
          <w:tcPr>
            <w:tcW w:w="990" w:type="dxa"/>
          </w:tcPr>
          <w:p w:rsidR="00961B35" w:rsidRPr="00961B35" w:rsidRDefault="00961B35" w:rsidP="00961B35">
            <w:pPr>
              <w:spacing w:before="0" w:line="240" w:lineRule="auto"/>
              <w:ind w:firstLine="0"/>
              <w:contextualSpacing w:val="0"/>
              <w:jc w:val="center"/>
              <w:rPr>
                <w:sz w:val="20"/>
                <w:szCs w:val="20"/>
                <w:lang w:val="en-US" w:eastAsia="en-US"/>
              </w:rPr>
            </w:pPr>
            <w:r w:rsidRPr="00961B35">
              <w:rPr>
                <w:sz w:val="20"/>
                <w:szCs w:val="20"/>
                <w:lang w:val="en-US" w:eastAsia="en-US"/>
              </w:rPr>
              <w:t>-7.0</w:t>
            </w:r>
          </w:p>
        </w:tc>
        <w:tc>
          <w:tcPr>
            <w:tcW w:w="990" w:type="dxa"/>
          </w:tcPr>
          <w:p w:rsidR="00961B35" w:rsidRPr="00961B35" w:rsidRDefault="00961B35" w:rsidP="00961B35">
            <w:pPr>
              <w:spacing w:before="0" w:line="240" w:lineRule="auto"/>
              <w:ind w:firstLine="0"/>
              <w:contextualSpacing w:val="0"/>
              <w:jc w:val="center"/>
              <w:rPr>
                <w:sz w:val="20"/>
                <w:szCs w:val="20"/>
                <w:lang w:val="en-US" w:eastAsia="en-US"/>
              </w:rPr>
            </w:pPr>
            <w:r w:rsidRPr="00961B35">
              <w:rPr>
                <w:sz w:val="20"/>
                <w:szCs w:val="20"/>
                <w:lang w:val="en-US" w:eastAsia="en-US"/>
              </w:rPr>
              <w:t>-6.0</w:t>
            </w:r>
          </w:p>
        </w:tc>
      </w:tr>
    </w:tbl>
    <w:p w:rsidR="00961B35" w:rsidRPr="00961B35" w:rsidRDefault="00961B35" w:rsidP="00961B35">
      <w:pPr>
        <w:tabs>
          <w:tab w:val="right" w:pos="8640"/>
        </w:tabs>
        <w:spacing w:before="0"/>
        <w:ind w:firstLine="0"/>
        <w:contextualSpacing w:val="0"/>
        <w:jc w:val="center"/>
        <w:rPr>
          <w:rFonts w:cs="Sylfaen"/>
          <w:szCs w:val="22"/>
          <w:lang w:val="it-IT" w:eastAsia="en-US"/>
        </w:rPr>
      </w:pPr>
    </w:p>
    <w:p w:rsidR="00961B35" w:rsidRPr="00961B35" w:rsidRDefault="00961B35" w:rsidP="00961B35">
      <w:pPr>
        <w:keepNext/>
        <w:spacing w:before="240" w:after="60" w:line="240" w:lineRule="auto"/>
        <w:ind w:firstLine="450"/>
        <w:contextualSpacing w:val="0"/>
        <w:jc w:val="center"/>
        <w:outlineLvl w:val="2"/>
        <w:rPr>
          <w:rFonts w:cs="Arial"/>
          <w:szCs w:val="26"/>
          <w:lang w:val="hy-AM" w:eastAsia="en-US"/>
        </w:rPr>
      </w:pPr>
      <w:bookmarkStart w:id="9" w:name="_Toc525892376"/>
      <w:bookmarkStart w:id="10" w:name="_Toc525893567"/>
      <w:bookmarkStart w:id="11" w:name="_Toc525893659"/>
      <w:bookmarkStart w:id="12" w:name="_Toc26174916"/>
      <w:r w:rsidRPr="00961B35">
        <w:rPr>
          <w:rFonts w:cs="Arial"/>
          <w:szCs w:val="26"/>
          <w:lang w:val="hy-AM" w:eastAsia="en-US"/>
        </w:rPr>
        <w:t>1.2.  Համախառն առաջարկ</w:t>
      </w:r>
      <w:bookmarkEnd w:id="9"/>
      <w:bookmarkEnd w:id="10"/>
      <w:bookmarkEnd w:id="11"/>
      <w:bookmarkEnd w:id="12"/>
    </w:p>
    <w:p w:rsidR="00961B35" w:rsidRPr="00961B35" w:rsidRDefault="00961B35" w:rsidP="00961B35">
      <w:pPr>
        <w:spacing w:before="0"/>
        <w:ind w:firstLine="446"/>
        <w:contextualSpacing w:val="0"/>
        <w:rPr>
          <w:b w:val="0"/>
          <w:szCs w:val="22"/>
          <w:lang w:val="it-IT" w:eastAsia="en-US"/>
        </w:rPr>
      </w:pPr>
      <w:r w:rsidRPr="00961B35">
        <w:rPr>
          <w:rFonts w:cs="Sylfaen"/>
          <w:szCs w:val="22"/>
          <w:lang w:val="hy-AM" w:eastAsia="en-US"/>
        </w:rPr>
        <w:t>Երկրում</w:t>
      </w:r>
      <w:r w:rsidRPr="00961B35">
        <w:rPr>
          <w:rFonts w:cs="Sylfaen"/>
          <w:szCs w:val="22"/>
          <w:lang w:val="it-IT" w:eastAsia="en-US"/>
        </w:rPr>
        <w:t xml:space="preserve"> </w:t>
      </w:r>
      <w:r w:rsidRPr="00961B35">
        <w:rPr>
          <w:rFonts w:cs="Sylfaen"/>
          <w:szCs w:val="22"/>
          <w:lang w:val="hy-AM" w:eastAsia="en-US"/>
        </w:rPr>
        <w:t>համախառն</w:t>
      </w:r>
      <w:r w:rsidRPr="00961B35">
        <w:rPr>
          <w:rFonts w:cs="Sylfaen"/>
          <w:szCs w:val="22"/>
          <w:lang w:val="it-IT" w:eastAsia="en-US"/>
        </w:rPr>
        <w:t xml:space="preserve"> </w:t>
      </w:r>
      <w:r w:rsidRPr="00961B35">
        <w:rPr>
          <w:rFonts w:cs="Sylfaen"/>
          <w:szCs w:val="22"/>
          <w:lang w:val="hy-AM" w:eastAsia="en-US"/>
        </w:rPr>
        <w:t>առաջարկն</w:t>
      </w:r>
      <w:r w:rsidRPr="00961B35">
        <w:rPr>
          <w:rFonts w:cs="Sylfaen"/>
          <w:szCs w:val="22"/>
          <w:lang w:val="it-IT" w:eastAsia="en-US"/>
        </w:rPr>
        <w:t xml:space="preserve"> </w:t>
      </w:r>
      <w:r w:rsidRPr="00961B35">
        <w:rPr>
          <w:rFonts w:cs="Sylfaen"/>
          <w:szCs w:val="22"/>
          <w:lang w:val="hy-AM" w:eastAsia="en-US"/>
        </w:rPr>
        <w:t>իրական</w:t>
      </w:r>
      <w:r w:rsidRPr="00961B35">
        <w:rPr>
          <w:rFonts w:cs="Sylfaen"/>
          <w:szCs w:val="22"/>
          <w:lang w:val="it-IT" w:eastAsia="en-US"/>
        </w:rPr>
        <w:t xml:space="preserve"> </w:t>
      </w:r>
      <w:r w:rsidRPr="00961B35">
        <w:rPr>
          <w:rFonts w:cs="Sylfaen"/>
          <w:szCs w:val="22"/>
          <w:lang w:val="hy-AM" w:eastAsia="en-US"/>
        </w:rPr>
        <w:t>արտահայտությամբ</w:t>
      </w:r>
      <w:r w:rsidRPr="00961B35">
        <w:rPr>
          <w:rFonts w:cs="Sylfaen"/>
          <w:szCs w:val="22"/>
          <w:lang w:val="it-IT" w:eastAsia="en-US"/>
        </w:rPr>
        <w:t xml:space="preserve"> </w:t>
      </w:r>
      <w:r w:rsidRPr="00961B35">
        <w:rPr>
          <w:rFonts w:cs="Sylfaen"/>
          <w:szCs w:val="22"/>
          <w:lang w:val="hy-AM" w:eastAsia="en-US"/>
        </w:rPr>
        <w:t>չափվում</w:t>
      </w:r>
      <w:r w:rsidRPr="00961B35">
        <w:rPr>
          <w:rFonts w:cs="Sylfaen"/>
          <w:szCs w:val="22"/>
          <w:lang w:val="it-IT" w:eastAsia="en-US"/>
        </w:rPr>
        <w:t xml:space="preserve"> </w:t>
      </w:r>
      <w:r w:rsidRPr="00961B35">
        <w:rPr>
          <w:rFonts w:cs="Sylfaen"/>
          <w:szCs w:val="22"/>
          <w:lang w:val="hy-AM" w:eastAsia="en-US"/>
        </w:rPr>
        <w:t>է</w:t>
      </w:r>
      <w:r w:rsidRPr="00961B35">
        <w:rPr>
          <w:rFonts w:cs="Sylfaen"/>
          <w:szCs w:val="22"/>
          <w:lang w:val="it-IT" w:eastAsia="en-US"/>
        </w:rPr>
        <w:t xml:space="preserve"> </w:t>
      </w:r>
      <w:r w:rsidRPr="00961B35">
        <w:rPr>
          <w:rFonts w:cs="Sylfaen"/>
          <w:szCs w:val="22"/>
          <w:lang w:val="hy-AM" w:eastAsia="en-US"/>
        </w:rPr>
        <w:t>տնտեսության</w:t>
      </w:r>
      <w:r w:rsidRPr="00961B35">
        <w:rPr>
          <w:rFonts w:cs="Sylfaen"/>
          <w:szCs w:val="22"/>
          <w:lang w:val="it-IT" w:eastAsia="en-US"/>
        </w:rPr>
        <w:t xml:space="preserve"> </w:t>
      </w:r>
      <w:r w:rsidRPr="00961B35">
        <w:rPr>
          <w:rFonts w:cs="Sylfaen"/>
          <w:szCs w:val="22"/>
          <w:lang w:val="hy-AM" w:eastAsia="en-US"/>
        </w:rPr>
        <w:t>առանձին</w:t>
      </w:r>
      <w:r w:rsidRPr="00961B35">
        <w:rPr>
          <w:rFonts w:cs="Sylfaen"/>
          <w:szCs w:val="22"/>
          <w:lang w:val="it-IT" w:eastAsia="en-US"/>
        </w:rPr>
        <w:t xml:space="preserve"> </w:t>
      </w:r>
      <w:r w:rsidRPr="00961B35">
        <w:rPr>
          <w:rFonts w:cs="Sylfaen"/>
          <w:szCs w:val="22"/>
          <w:lang w:val="hy-AM" w:eastAsia="en-US"/>
        </w:rPr>
        <w:t>ճյուղերում</w:t>
      </w:r>
      <w:r w:rsidRPr="00961B35">
        <w:rPr>
          <w:rFonts w:cs="Sylfaen"/>
          <w:szCs w:val="22"/>
          <w:lang w:val="it-IT" w:eastAsia="en-US"/>
        </w:rPr>
        <w:t xml:space="preserve"> </w:t>
      </w:r>
      <w:r w:rsidRPr="00961B35">
        <w:rPr>
          <w:rFonts w:cs="Sylfaen"/>
          <w:szCs w:val="22"/>
          <w:lang w:val="hy-AM" w:eastAsia="en-US"/>
        </w:rPr>
        <w:t>ստեղծված</w:t>
      </w:r>
      <w:r w:rsidRPr="00961B35">
        <w:rPr>
          <w:rFonts w:cs="Sylfaen"/>
          <w:szCs w:val="22"/>
          <w:lang w:val="it-IT" w:eastAsia="en-US"/>
        </w:rPr>
        <w:t xml:space="preserve"> </w:t>
      </w:r>
      <w:r w:rsidRPr="00961B35">
        <w:rPr>
          <w:rFonts w:cs="Sylfaen"/>
          <w:szCs w:val="22"/>
          <w:lang w:val="hy-AM" w:eastAsia="en-US"/>
        </w:rPr>
        <w:t>ավելացված</w:t>
      </w:r>
      <w:r w:rsidRPr="00961B35">
        <w:rPr>
          <w:rFonts w:cs="Sylfaen"/>
          <w:szCs w:val="22"/>
          <w:lang w:val="it-IT" w:eastAsia="en-US"/>
        </w:rPr>
        <w:t xml:space="preserve"> </w:t>
      </w:r>
      <w:r w:rsidRPr="00961B35">
        <w:rPr>
          <w:rFonts w:cs="Sylfaen"/>
          <w:szCs w:val="22"/>
          <w:lang w:val="hy-AM" w:eastAsia="en-US"/>
        </w:rPr>
        <w:t>արժեքների</w:t>
      </w:r>
      <w:r w:rsidRPr="00961B35">
        <w:rPr>
          <w:rFonts w:cs="Sylfaen"/>
          <w:szCs w:val="22"/>
          <w:lang w:val="it-IT" w:eastAsia="en-US"/>
        </w:rPr>
        <w:t xml:space="preserve"> </w:t>
      </w:r>
      <w:r w:rsidRPr="00961B35">
        <w:rPr>
          <w:rFonts w:cs="Sylfaen"/>
          <w:szCs w:val="22"/>
          <w:lang w:val="hy-AM" w:eastAsia="en-US"/>
        </w:rPr>
        <w:t>հանրագումարով</w:t>
      </w:r>
      <w:r w:rsidRPr="00961B35">
        <w:rPr>
          <w:b w:val="0"/>
          <w:szCs w:val="22"/>
          <w:lang w:val="hy-AM" w:eastAsia="en-US"/>
        </w:rPr>
        <w:t xml:space="preserve">: </w:t>
      </w:r>
      <w:r w:rsidRPr="00961B35">
        <w:rPr>
          <w:rFonts w:cs="Sylfaen"/>
          <w:b w:val="0"/>
          <w:szCs w:val="22"/>
          <w:lang w:val="hy-AM" w:eastAsia="en-US"/>
        </w:rPr>
        <w:t>Դրա փոփոխությունը</w:t>
      </w:r>
      <w:r w:rsidRPr="00961B35">
        <w:rPr>
          <w:rFonts w:cs="Sylfaen"/>
          <w:b w:val="0"/>
          <w:szCs w:val="22"/>
          <w:lang w:val="it-IT" w:eastAsia="en-US"/>
        </w:rPr>
        <w:t xml:space="preserve"> </w:t>
      </w:r>
      <w:r w:rsidRPr="00961B35">
        <w:rPr>
          <w:rFonts w:cs="Sylfaen"/>
          <w:b w:val="0"/>
          <w:szCs w:val="22"/>
          <w:lang w:val="hy-AM" w:eastAsia="en-US"/>
        </w:rPr>
        <w:t>նախորդ</w:t>
      </w:r>
      <w:r w:rsidRPr="00961B35">
        <w:rPr>
          <w:rFonts w:cs="Sylfaen"/>
          <w:b w:val="0"/>
          <w:szCs w:val="22"/>
          <w:lang w:val="it-IT" w:eastAsia="en-US"/>
        </w:rPr>
        <w:t xml:space="preserve"> </w:t>
      </w:r>
      <w:r w:rsidRPr="00961B35">
        <w:rPr>
          <w:rFonts w:cs="Sylfaen"/>
          <w:b w:val="0"/>
          <w:szCs w:val="22"/>
          <w:lang w:val="hy-AM" w:eastAsia="en-US"/>
        </w:rPr>
        <w:t>տարվա</w:t>
      </w:r>
      <w:r w:rsidRPr="00961B35">
        <w:rPr>
          <w:rFonts w:cs="Sylfaen"/>
          <w:b w:val="0"/>
          <w:szCs w:val="22"/>
          <w:lang w:val="it-IT" w:eastAsia="en-US"/>
        </w:rPr>
        <w:t xml:space="preserve"> </w:t>
      </w:r>
      <w:r w:rsidRPr="00961B35">
        <w:rPr>
          <w:rFonts w:cs="Sylfaen"/>
          <w:b w:val="0"/>
          <w:szCs w:val="22"/>
          <w:lang w:val="hy-AM" w:eastAsia="en-US"/>
        </w:rPr>
        <w:t>համեմատ</w:t>
      </w:r>
      <w:r w:rsidRPr="00961B35">
        <w:rPr>
          <w:rFonts w:cs="Sylfaen"/>
          <w:b w:val="0"/>
          <w:szCs w:val="22"/>
          <w:lang w:val="it-IT" w:eastAsia="en-US"/>
        </w:rPr>
        <w:t xml:space="preserve"> </w:t>
      </w:r>
      <w:r w:rsidRPr="00961B35">
        <w:rPr>
          <w:rFonts w:cs="Sylfaen"/>
          <w:b w:val="0"/>
          <w:szCs w:val="22"/>
          <w:lang w:val="hy-AM" w:eastAsia="en-US"/>
        </w:rPr>
        <w:t>գնահատվում</w:t>
      </w:r>
      <w:r w:rsidRPr="00961B35">
        <w:rPr>
          <w:rFonts w:cs="Sylfaen"/>
          <w:b w:val="0"/>
          <w:szCs w:val="22"/>
          <w:lang w:val="it-IT" w:eastAsia="en-US"/>
        </w:rPr>
        <w:t xml:space="preserve"> </w:t>
      </w:r>
      <w:r w:rsidRPr="00961B35">
        <w:rPr>
          <w:rFonts w:cs="Sylfaen"/>
          <w:b w:val="0"/>
          <w:szCs w:val="22"/>
          <w:lang w:val="hy-AM" w:eastAsia="en-US"/>
        </w:rPr>
        <w:t>է</w:t>
      </w:r>
      <w:r w:rsidRPr="00961B35">
        <w:rPr>
          <w:rFonts w:cs="Sylfaen"/>
          <w:b w:val="0"/>
          <w:szCs w:val="22"/>
          <w:lang w:val="it-IT" w:eastAsia="en-US"/>
        </w:rPr>
        <w:t xml:space="preserve"> </w:t>
      </w:r>
      <w:r w:rsidRPr="00961B35">
        <w:rPr>
          <w:rFonts w:cs="Sylfaen"/>
          <w:b w:val="0"/>
          <w:szCs w:val="22"/>
          <w:lang w:val="hy-AM" w:eastAsia="en-US"/>
        </w:rPr>
        <w:t>ՀՆԱ</w:t>
      </w:r>
      <w:r w:rsidRPr="00961B35">
        <w:rPr>
          <w:b w:val="0"/>
          <w:szCs w:val="22"/>
          <w:lang w:val="it-IT" w:eastAsia="en-US"/>
        </w:rPr>
        <w:t>-</w:t>
      </w:r>
      <w:r w:rsidRPr="00961B35">
        <w:rPr>
          <w:rFonts w:cs="Sylfaen"/>
          <w:b w:val="0"/>
          <w:szCs w:val="22"/>
          <w:lang w:val="hy-AM" w:eastAsia="en-US"/>
        </w:rPr>
        <w:t>ի</w:t>
      </w:r>
      <w:r w:rsidRPr="00961B35">
        <w:rPr>
          <w:rFonts w:cs="Sylfaen"/>
          <w:b w:val="0"/>
          <w:szCs w:val="22"/>
          <w:lang w:val="it-IT" w:eastAsia="en-US"/>
        </w:rPr>
        <w:t xml:space="preserve"> </w:t>
      </w:r>
      <w:r w:rsidRPr="00961B35">
        <w:rPr>
          <w:rFonts w:cs="Sylfaen"/>
          <w:b w:val="0"/>
          <w:szCs w:val="22"/>
          <w:lang w:val="hy-AM" w:eastAsia="en-US"/>
        </w:rPr>
        <w:t>իրական</w:t>
      </w:r>
      <w:r w:rsidRPr="00961B35">
        <w:rPr>
          <w:rFonts w:cs="Sylfaen"/>
          <w:b w:val="0"/>
          <w:szCs w:val="22"/>
          <w:lang w:val="it-IT" w:eastAsia="en-US"/>
        </w:rPr>
        <w:t xml:space="preserve"> </w:t>
      </w:r>
      <w:r w:rsidRPr="00961B35">
        <w:rPr>
          <w:rFonts w:cs="Sylfaen"/>
          <w:b w:val="0"/>
          <w:szCs w:val="22"/>
          <w:lang w:val="hy-AM" w:eastAsia="en-US"/>
        </w:rPr>
        <w:t>աճի</w:t>
      </w:r>
      <w:r w:rsidRPr="00961B35">
        <w:rPr>
          <w:b w:val="0"/>
          <w:szCs w:val="22"/>
          <w:vertAlign w:val="superscript"/>
          <w:lang w:val="en-US" w:eastAsia="en-US"/>
        </w:rPr>
        <w:footnoteReference w:id="1"/>
      </w:r>
      <w:r w:rsidRPr="00961B35">
        <w:rPr>
          <w:rFonts w:cs="Sylfaen"/>
          <w:b w:val="0"/>
          <w:szCs w:val="22"/>
          <w:lang w:val="it-IT" w:eastAsia="en-US"/>
        </w:rPr>
        <w:t xml:space="preserve"> </w:t>
      </w:r>
      <w:r w:rsidRPr="00961B35">
        <w:rPr>
          <w:rFonts w:cs="Sylfaen"/>
          <w:b w:val="0"/>
          <w:szCs w:val="22"/>
          <w:lang w:val="hy-AM" w:eastAsia="en-US"/>
        </w:rPr>
        <w:t>միջոցով</w:t>
      </w:r>
      <w:r w:rsidRPr="00961B35">
        <w:rPr>
          <w:rFonts w:cs="Sylfaen"/>
          <w:b w:val="0"/>
          <w:szCs w:val="22"/>
          <w:lang w:val="it-IT" w:eastAsia="en-US"/>
        </w:rPr>
        <w:t xml:space="preserve">: </w:t>
      </w:r>
      <w:r w:rsidRPr="00961B35">
        <w:rPr>
          <w:rFonts w:cs="Sylfaen"/>
          <w:b w:val="0"/>
          <w:szCs w:val="22"/>
          <w:lang w:val="hy-AM" w:eastAsia="en-US"/>
        </w:rPr>
        <w:t>Ուստի</w:t>
      </w:r>
      <w:r w:rsidRPr="00961B35">
        <w:rPr>
          <w:rFonts w:cs="Sylfaen"/>
          <w:b w:val="0"/>
          <w:szCs w:val="22"/>
          <w:lang w:val="it-IT" w:eastAsia="en-US"/>
        </w:rPr>
        <w:t xml:space="preserve"> </w:t>
      </w:r>
      <w:r w:rsidRPr="00961B35">
        <w:rPr>
          <w:rFonts w:cs="Sylfaen"/>
          <w:b w:val="0"/>
          <w:szCs w:val="22"/>
          <w:lang w:val="hy-AM" w:eastAsia="en-US"/>
        </w:rPr>
        <w:t>այս</w:t>
      </w:r>
      <w:r w:rsidRPr="00961B35">
        <w:rPr>
          <w:rFonts w:cs="Sylfaen"/>
          <w:b w:val="0"/>
          <w:szCs w:val="22"/>
          <w:lang w:val="it-IT" w:eastAsia="en-US"/>
        </w:rPr>
        <w:t xml:space="preserve"> </w:t>
      </w:r>
      <w:r w:rsidRPr="00961B35">
        <w:rPr>
          <w:rFonts w:cs="Sylfaen"/>
          <w:b w:val="0"/>
          <w:szCs w:val="22"/>
          <w:lang w:val="hy-AM" w:eastAsia="en-US"/>
        </w:rPr>
        <w:t>բաժնում</w:t>
      </w:r>
      <w:r w:rsidRPr="00961B35">
        <w:rPr>
          <w:rFonts w:cs="Sylfaen"/>
          <w:b w:val="0"/>
          <w:szCs w:val="22"/>
          <w:lang w:val="it-IT" w:eastAsia="en-US"/>
        </w:rPr>
        <w:t xml:space="preserve"> </w:t>
      </w:r>
      <w:r w:rsidRPr="00961B35">
        <w:rPr>
          <w:rFonts w:cs="Sylfaen"/>
          <w:b w:val="0"/>
          <w:szCs w:val="22"/>
          <w:lang w:val="hy-AM" w:eastAsia="en-US"/>
        </w:rPr>
        <w:t>կներկայացվի</w:t>
      </w:r>
      <w:r w:rsidRPr="00961B35">
        <w:rPr>
          <w:rFonts w:cs="Sylfaen"/>
          <w:b w:val="0"/>
          <w:szCs w:val="22"/>
          <w:lang w:val="it-IT" w:eastAsia="en-US"/>
        </w:rPr>
        <w:t xml:space="preserve"> </w:t>
      </w:r>
      <w:r w:rsidRPr="00961B35">
        <w:rPr>
          <w:rFonts w:cs="Sylfaen"/>
          <w:b w:val="0"/>
          <w:szCs w:val="22"/>
          <w:lang w:val="hy-AM" w:eastAsia="en-US"/>
        </w:rPr>
        <w:t>տնտեսության</w:t>
      </w:r>
      <w:r w:rsidRPr="00961B35">
        <w:rPr>
          <w:rFonts w:cs="Sylfaen"/>
          <w:b w:val="0"/>
          <w:szCs w:val="22"/>
          <w:lang w:val="it-IT" w:eastAsia="en-US"/>
        </w:rPr>
        <w:t xml:space="preserve"> </w:t>
      </w:r>
      <w:r w:rsidRPr="00961B35">
        <w:rPr>
          <w:rFonts w:cs="Sylfaen"/>
          <w:b w:val="0"/>
          <w:szCs w:val="22"/>
          <w:lang w:val="hy-AM" w:eastAsia="en-US"/>
        </w:rPr>
        <w:t>հիմնական</w:t>
      </w:r>
      <w:r w:rsidRPr="00961B35">
        <w:rPr>
          <w:rFonts w:cs="Sylfaen"/>
          <w:b w:val="0"/>
          <w:szCs w:val="22"/>
          <w:lang w:val="it-IT" w:eastAsia="en-US"/>
        </w:rPr>
        <w:t xml:space="preserve"> </w:t>
      </w:r>
      <w:r w:rsidRPr="00961B35">
        <w:rPr>
          <w:rFonts w:cs="Sylfaen"/>
          <w:b w:val="0"/>
          <w:szCs w:val="22"/>
          <w:lang w:val="hy-AM" w:eastAsia="en-US"/>
        </w:rPr>
        <w:t>ճյուղերում</w:t>
      </w:r>
      <w:r w:rsidRPr="00961B35">
        <w:rPr>
          <w:rFonts w:cs="Sylfaen"/>
          <w:b w:val="0"/>
          <w:szCs w:val="22"/>
          <w:lang w:val="it-IT" w:eastAsia="en-US"/>
        </w:rPr>
        <w:t xml:space="preserve"> </w:t>
      </w:r>
      <w:r w:rsidRPr="00961B35">
        <w:rPr>
          <w:rFonts w:cs="Sylfaen"/>
          <w:b w:val="0"/>
          <w:szCs w:val="22"/>
          <w:lang w:val="hy-AM" w:eastAsia="en-US"/>
        </w:rPr>
        <w:t>ստեղծված</w:t>
      </w:r>
      <w:r w:rsidRPr="00961B35">
        <w:rPr>
          <w:rFonts w:cs="Sylfaen"/>
          <w:b w:val="0"/>
          <w:szCs w:val="22"/>
          <w:lang w:val="it-IT" w:eastAsia="en-US"/>
        </w:rPr>
        <w:t xml:space="preserve"> </w:t>
      </w:r>
      <w:r w:rsidRPr="00961B35">
        <w:rPr>
          <w:rFonts w:cs="Sylfaen"/>
          <w:b w:val="0"/>
          <w:szCs w:val="22"/>
          <w:lang w:val="hy-AM" w:eastAsia="en-US"/>
        </w:rPr>
        <w:t>ավելացված</w:t>
      </w:r>
      <w:r w:rsidRPr="00961B35">
        <w:rPr>
          <w:rFonts w:cs="Sylfaen"/>
          <w:b w:val="0"/>
          <w:szCs w:val="22"/>
          <w:lang w:val="it-IT" w:eastAsia="en-US"/>
        </w:rPr>
        <w:t xml:space="preserve"> </w:t>
      </w:r>
      <w:r w:rsidRPr="00961B35">
        <w:rPr>
          <w:rFonts w:cs="Sylfaen"/>
          <w:b w:val="0"/>
          <w:szCs w:val="22"/>
          <w:lang w:val="hy-AM" w:eastAsia="en-US"/>
        </w:rPr>
        <w:lastRenderedPageBreak/>
        <w:t>արժեք</w:t>
      </w:r>
      <w:r w:rsidRPr="00961B35">
        <w:rPr>
          <w:rFonts w:cs="Sylfaen"/>
          <w:b w:val="0"/>
          <w:szCs w:val="22"/>
          <w:lang w:val="it-IT" w:eastAsia="en-US"/>
        </w:rPr>
        <w:softHyphen/>
      </w:r>
      <w:r w:rsidRPr="00961B35">
        <w:rPr>
          <w:rFonts w:cs="Sylfaen"/>
          <w:b w:val="0"/>
          <w:szCs w:val="22"/>
          <w:lang w:val="hy-AM" w:eastAsia="en-US"/>
        </w:rPr>
        <w:t>ների</w:t>
      </w:r>
      <w:r w:rsidRPr="00961B35">
        <w:rPr>
          <w:rFonts w:cs="Sylfaen"/>
          <w:b w:val="0"/>
          <w:szCs w:val="22"/>
          <w:lang w:val="it-IT" w:eastAsia="en-US"/>
        </w:rPr>
        <w:t xml:space="preserve"> </w:t>
      </w:r>
      <w:r w:rsidRPr="00961B35">
        <w:rPr>
          <w:rFonts w:cs="Sylfaen"/>
          <w:b w:val="0"/>
          <w:szCs w:val="22"/>
          <w:lang w:val="hy-AM" w:eastAsia="en-US"/>
        </w:rPr>
        <w:t>փոփոխու</w:t>
      </w:r>
      <w:r w:rsidRPr="00961B35">
        <w:rPr>
          <w:rFonts w:cs="Sylfaen"/>
          <w:b w:val="0"/>
          <w:szCs w:val="22"/>
          <w:lang w:val="it-IT" w:eastAsia="en-US"/>
        </w:rPr>
        <w:softHyphen/>
      </w:r>
      <w:r w:rsidRPr="00961B35">
        <w:rPr>
          <w:rFonts w:cs="Sylfaen"/>
          <w:b w:val="0"/>
          <w:szCs w:val="22"/>
          <w:lang w:val="hy-AM" w:eastAsia="en-US"/>
        </w:rPr>
        <w:t>թյան</w:t>
      </w:r>
      <w:r w:rsidRPr="00961B35">
        <w:rPr>
          <w:rFonts w:cs="Sylfaen"/>
          <w:b w:val="0"/>
          <w:szCs w:val="22"/>
          <w:lang w:val="it-IT" w:eastAsia="en-US"/>
        </w:rPr>
        <w:t xml:space="preserve"> </w:t>
      </w:r>
      <w:r w:rsidRPr="00961B35">
        <w:rPr>
          <w:rFonts w:cs="Sylfaen"/>
          <w:b w:val="0"/>
          <w:szCs w:val="22"/>
          <w:lang w:val="hy-AM" w:eastAsia="en-US"/>
        </w:rPr>
        <w:t>դինամիկան</w:t>
      </w:r>
      <w:r w:rsidRPr="00961B35">
        <w:rPr>
          <w:rFonts w:cs="Sylfaen"/>
          <w:b w:val="0"/>
          <w:szCs w:val="22"/>
          <w:lang w:val="it-IT" w:eastAsia="en-US"/>
        </w:rPr>
        <w:t xml:space="preserve"> </w:t>
      </w:r>
      <w:r w:rsidRPr="00961B35">
        <w:rPr>
          <w:rFonts w:cs="Sylfaen"/>
          <w:b w:val="0"/>
          <w:szCs w:val="22"/>
          <w:lang w:val="hy-AM" w:eastAsia="en-US"/>
        </w:rPr>
        <w:t>վերջին</w:t>
      </w:r>
      <w:r w:rsidRPr="00961B35">
        <w:rPr>
          <w:rFonts w:cs="Sylfaen"/>
          <w:b w:val="0"/>
          <w:szCs w:val="22"/>
          <w:lang w:val="it-IT" w:eastAsia="en-US"/>
        </w:rPr>
        <w:t xml:space="preserve"> </w:t>
      </w:r>
      <w:r w:rsidRPr="00961B35">
        <w:rPr>
          <w:rFonts w:cs="Sylfaen"/>
          <w:b w:val="0"/>
          <w:szCs w:val="22"/>
          <w:lang w:val="hy-AM" w:eastAsia="en-US"/>
        </w:rPr>
        <w:t>տարիներին</w:t>
      </w:r>
      <w:r w:rsidRPr="00961B35">
        <w:rPr>
          <w:rFonts w:cs="Sylfaen"/>
          <w:b w:val="0"/>
          <w:szCs w:val="22"/>
          <w:lang w:val="it-IT" w:eastAsia="en-US"/>
        </w:rPr>
        <w:t xml:space="preserve"> </w:t>
      </w:r>
      <w:r w:rsidRPr="00961B35">
        <w:rPr>
          <w:rFonts w:cs="Sylfaen"/>
          <w:b w:val="0"/>
          <w:szCs w:val="22"/>
          <w:lang w:val="hy-AM" w:eastAsia="en-US"/>
        </w:rPr>
        <w:t>և</w:t>
      </w:r>
      <w:r w:rsidRPr="00961B35">
        <w:rPr>
          <w:rFonts w:cs="Sylfaen"/>
          <w:b w:val="0"/>
          <w:szCs w:val="22"/>
          <w:lang w:val="it-IT" w:eastAsia="en-US"/>
        </w:rPr>
        <w:t xml:space="preserve"> </w:t>
      </w:r>
      <w:r w:rsidRPr="00961B35">
        <w:rPr>
          <w:rFonts w:cs="Sylfaen"/>
          <w:b w:val="0"/>
          <w:szCs w:val="22"/>
          <w:lang w:val="hy-AM" w:eastAsia="en-US"/>
        </w:rPr>
        <w:t>ապագայում</w:t>
      </w:r>
      <w:r w:rsidRPr="00961B35">
        <w:rPr>
          <w:rFonts w:cs="Sylfaen"/>
          <w:b w:val="0"/>
          <w:szCs w:val="22"/>
          <w:lang w:val="it-IT" w:eastAsia="en-US"/>
        </w:rPr>
        <w:t xml:space="preserve"> </w:t>
      </w:r>
      <w:r w:rsidRPr="00961B35">
        <w:rPr>
          <w:rFonts w:cs="Sylfaen"/>
          <w:b w:val="0"/>
          <w:szCs w:val="22"/>
          <w:lang w:val="hy-AM" w:eastAsia="en-US"/>
        </w:rPr>
        <w:t>ակնկալվող</w:t>
      </w:r>
      <w:r w:rsidRPr="00961B35">
        <w:rPr>
          <w:rFonts w:cs="Sylfaen"/>
          <w:b w:val="0"/>
          <w:szCs w:val="22"/>
          <w:lang w:val="it-IT" w:eastAsia="en-US"/>
        </w:rPr>
        <w:t xml:space="preserve"> </w:t>
      </w:r>
      <w:r w:rsidRPr="00961B35">
        <w:rPr>
          <w:rFonts w:cs="Sylfaen"/>
          <w:b w:val="0"/>
          <w:szCs w:val="22"/>
          <w:lang w:val="hy-AM" w:eastAsia="en-US"/>
        </w:rPr>
        <w:t>զարգա</w:t>
      </w:r>
      <w:r w:rsidRPr="00961B35">
        <w:rPr>
          <w:rFonts w:cs="Sylfaen"/>
          <w:b w:val="0"/>
          <w:szCs w:val="22"/>
          <w:lang w:val="it-IT" w:eastAsia="en-US"/>
        </w:rPr>
        <w:softHyphen/>
      </w:r>
      <w:r w:rsidRPr="00961B35">
        <w:rPr>
          <w:rFonts w:cs="Sylfaen"/>
          <w:b w:val="0"/>
          <w:szCs w:val="22"/>
          <w:lang w:val="hy-AM" w:eastAsia="en-US"/>
        </w:rPr>
        <w:t>ցում</w:t>
      </w:r>
      <w:r w:rsidRPr="00961B35">
        <w:rPr>
          <w:rFonts w:cs="Sylfaen"/>
          <w:b w:val="0"/>
          <w:szCs w:val="22"/>
          <w:lang w:val="it-IT" w:eastAsia="en-US"/>
        </w:rPr>
        <w:softHyphen/>
      </w:r>
      <w:r w:rsidRPr="00961B35">
        <w:rPr>
          <w:rFonts w:cs="Sylfaen"/>
          <w:b w:val="0"/>
          <w:szCs w:val="22"/>
          <w:lang w:val="hy-AM" w:eastAsia="en-US"/>
        </w:rPr>
        <w:t>ները</w:t>
      </w:r>
      <w:r w:rsidRPr="00961B35">
        <w:rPr>
          <w:b w:val="0"/>
          <w:szCs w:val="22"/>
          <w:lang w:val="it-IT" w:eastAsia="en-US"/>
        </w:rPr>
        <w:t>:</w:t>
      </w:r>
    </w:p>
    <w:p w:rsidR="00961B35" w:rsidRPr="00961B35" w:rsidRDefault="00961B35" w:rsidP="00961B35">
      <w:pPr>
        <w:tabs>
          <w:tab w:val="right" w:pos="8640"/>
        </w:tabs>
        <w:spacing w:before="0"/>
        <w:ind w:firstLine="450"/>
        <w:contextualSpacing w:val="0"/>
        <w:jc w:val="center"/>
        <w:rPr>
          <w:rFonts w:cs="Sylfaen"/>
          <w:szCs w:val="22"/>
          <w:lang w:val="it-IT" w:eastAsia="en-US"/>
        </w:rPr>
      </w:pPr>
    </w:p>
    <w:p w:rsidR="00961B35" w:rsidRPr="00961B35" w:rsidRDefault="00961B35" w:rsidP="00961B35">
      <w:pPr>
        <w:tabs>
          <w:tab w:val="right" w:pos="8640"/>
        </w:tabs>
        <w:spacing w:before="0"/>
        <w:ind w:firstLine="450"/>
        <w:contextualSpacing w:val="0"/>
        <w:jc w:val="center"/>
        <w:rPr>
          <w:rFonts w:cs="Sylfaen"/>
          <w:szCs w:val="22"/>
          <w:lang w:val="it-IT" w:eastAsia="en-US"/>
        </w:rPr>
      </w:pPr>
    </w:p>
    <w:p w:rsidR="00961B35" w:rsidRPr="00961B35" w:rsidRDefault="00961B35" w:rsidP="00961B35">
      <w:pPr>
        <w:tabs>
          <w:tab w:val="right" w:pos="8640"/>
        </w:tabs>
        <w:spacing w:before="0"/>
        <w:ind w:firstLine="0"/>
        <w:contextualSpacing w:val="0"/>
        <w:jc w:val="center"/>
        <w:rPr>
          <w:rFonts w:cs="Sylfaen"/>
          <w:szCs w:val="22"/>
          <w:lang w:val="it-IT" w:eastAsia="en-US"/>
        </w:rPr>
      </w:pPr>
      <w:r w:rsidRPr="00961B35">
        <w:rPr>
          <w:rFonts w:cs="Sylfaen"/>
          <w:szCs w:val="22"/>
          <w:lang w:val="it-IT" w:eastAsia="en-US"/>
        </w:rPr>
        <w:t>Վերջին տարիների միտումները, ընթացիկ իրավիճակը և կանխատեսումները</w:t>
      </w:r>
    </w:p>
    <w:p w:rsidR="00961B35" w:rsidRPr="00961B35" w:rsidRDefault="00961B35" w:rsidP="00961B35">
      <w:pPr>
        <w:tabs>
          <w:tab w:val="right" w:pos="8640"/>
        </w:tabs>
        <w:spacing w:before="0"/>
        <w:ind w:firstLine="450"/>
        <w:contextualSpacing w:val="0"/>
        <w:jc w:val="center"/>
        <w:rPr>
          <w:rFonts w:cs="Sylfaen"/>
          <w:szCs w:val="22"/>
          <w:lang w:val="it-IT" w:eastAsia="en-US"/>
        </w:rPr>
      </w:pPr>
    </w:p>
    <w:p w:rsidR="00961B35" w:rsidRPr="00961B35" w:rsidRDefault="00961B35" w:rsidP="00961B35">
      <w:pPr>
        <w:tabs>
          <w:tab w:val="right" w:pos="0"/>
        </w:tabs>
        <w:spacing w:before="0"/>
        <w:contextualSpacing w:val="0"/>
        <w:rPr>
          <w:rFonts w:cs="Sylfaen"/>
          <w:b w:val="0"/>
          <w:szCs w:val="22"/>
          <w:lang w:val="es-ES" w:eastAsia="en-US"/>
        </w:rPr>
      </w:pPr>
      <w:r w:rsidRPr="00961B35">
        <w:rPr>
          <w:rFonts w:cs="Sylfaen"/>
          <w:b w:val="0"/>
          <w:szCs w:val="22"/>
          <w:lang w:val="es-ES" w:eastAsia="en-US"/>
        </w:rPr>
        <w:t>2018 թվականին տեղի ունեցան աննախադեպ քաղաքական փոփոխություններ, որոնք կարող էին հանգեցնել տնտեսական աճի էական դանդաղման և մակրոտնտեսական անկայունության, ինչը հատուկ է նմանատիպ իրադարձություններին: Սակայն առաջացած ռիսկերը հնարավոր եղավ հաղթահարել և խելամիտ մակրոտնտեսական քաղաքականության արդյունքում ապահովել մակրոտնտեսական կայունություն և գրանցել 5.2% տնտեսական աճ, որը չնայած դանդաղել է նախորդ տարվա համեմատ, սակայն տարածաշրջանում ամենաբարձրերից է եղել:</w:t>
      </w:r>
      <w:r w:rsidRPr="00961B35">
        <w:rPr>
          <w:rFonts w:cs="Sylfaen"/>
          <w:b w:val="0"/>
          <w:szCs w:val="22"/>
          <w:lang w:val="hy-AM" w:eastAsia="en-US"/>
        </w:rPr>
        <w:t xml:space="preserve"> </w:t>
      </w:r>
    </w:p>
    <w:p w:rsidR="00961B35" w:rsidRPr="00961B35" w:rsidRDefault="00961B35" w:rsidP="00961B35">
      <w:pPr>
        <w:spacing w:before="0"/>
        <w:ind w:firstLine="450"/>
        <w:contextualSpacing w:val="0"/>
        <w:rPr>
          <w:rFonts w:cs="Sylfaen"/>
          <w:b w:val="0"/>
          <w:szCs w:val="22"/>
          <w:lang w:val="it-IT" w:eastAsia="en-US"/>
        </w:rPr>
      </w:pPr>
      <w:r w:rsidRPr="00961B35">
        <w:rPr>
          <w:szCs w:val="22"/>
          <w:lang w:val="es-ES" w:eastAsia="en-US"/>
        </w:rPr>
        <w:t>2018 թվականին գրանցված 5.2% տնտեսական աճը</w:t>
      </w:r>
      <w:r w:rsidRPr="00961B35">
        <w:rPr>
          <w:rFonts w:cs="Sylfaen"/>
          <w:szCs w:val="22"/>
          <w:lang w:val="it-IT" w:eastAsia="en-US"/>
        </w:rPr>
        <w:t xml:space="preserve"> </w:t>
      </w:r>
      <w:r w:rsidRPr="00961B35">
        <w:rPr>
          <w:rFonts w:cs="Sylfaen"/>
          <w:szCs w:val="22"/>
          <w:lang w:eastAsia="en-US"/>
        </w:rPr>
        <w:t>պայմանավորված</w:t>
      </w:r>
      <w:r w:rsidRPr="00961B35">
        <w:rPr>
          <w:rFonts w:cs="Sylfaen"/>
          <w:szCs w:val="22"/>
          <w:lang w:val="it-IT" w:eastAsia="en-US"/>
        </w:rPr>
        <w:t xml:space="preserve"> էր հիմնականում </w:t>
      </w:r>
      <w:r w:rsidRPr="00961B35">
        <w:rPr>
          <w:rFonts w:cs="Sylfaen"/>
          <w:szCs w:val="22"/>
          <w:lang w:val="en-US" w:eastAsia="en-US"/>
        </w:rPr>
        <w:t>ծառայությունների</w:t>
      </w:r>
      <w:r w:rsidRPr="00961B35">
        <w:rPr>
          <w:rFonts w:cs="Sylfaen"/>
          <w:szCs w:val="22"/>
          <w:lang w:val="es-ES" w:eastAsia="en-US"/>
        </w:rPr>
        <w:t xml:space="preserve"> և </w:t>
      </w:r>
      <w:r w:rsidRPr="00961B35">
        <w:rPr>
          <w:rFonts w:cs="Sylfaen"/>
          <w:szCs w:val="22"/>
          <w:lang w:val="en-US" w:eastAsia="en-US"/>
        </w:rPr>
        <w:t>արդյունաբերության</w:t>
      </w:r>
      <w:r w:rsidRPr="00961B35">
        <w:rPr>
          <w:rFonts w:cs="Sylfaen"/>
          <w:szCs w:val="22"/>
          <w:lang w:val="it-IT" w:eastAsia="en-US"/>
        </w:rPr>
        <w:t xml:space="preserve"> </w:t>
      </w:r>
      <w:r w:rsidRPr="00961B35">
        <w:rPr>
          <w:rFonts w:cs="Sylfaen"/>
          <w:szCs w:val="22"/>
          <w:lang w:val="en-US" w:eastAsia="en-US"/>
        </w:rPr>
        <w:t>աճերով</w:t>
      </w:r>
      <w:r w:rsidRPr="00961B35">
        <w:rPr>
          <w:rFonts w:cs="Sylfaen"/>
          <w:szCs w:val="22"/>
          <w:lang w:val="it-IT" w:eastAsia="en-US"/>
        </w:rPr>
        <w:t>:</w:t>
      </w:r>
      <w:r w:rsidRPr="00961B35">
        <w:rPr>
          <w:rFonts w:cs="Sylfaen"/>
          <w:b w:val="0"/>
          <w:szCs w:val="22"/>
          <w:lang w:val="hy-AM" w:eastAsia="en-US"/>
        </w:rPr>
        <w:t xml:space="preserve"> </w:t>
      </w:r>
      <w:r w:rsidRPr="00961B35">
        <w:rPr>
          <w:rFonts w:cs="Sylfaen"/>
          <w:b w:val="0"/>
          <w:szCs w:val="22"/>
          <w:lang w:val="en-US" w:eastAsia="en-US"/>
        </w:rPr>
        <w:t>Ն</w:t>
      </w:r>
      <w:r w:rsidRPr="00961B35">
        <w:rPr>
          <w:rFonts w:cs="Sylfaen"/>
          <w:b w:val="0"/>
          <w:szCs w:val="22"/>
          <w:lang w:val="hy-AM" w:eastAsia="en-US"/>
        </w:rPr>
        <w:t>շված ժա</w:t>
      </w:r>
      <w:r w:rsidRPr="00961B35">
        <w:rPr>
          <w:rFonts w:cs="Sylfaen"/>
          <w:b w:val="0"/>
          <w:szCs w:val="22"/>
          <w:lang w:val="hy-AM" w:eastAsia="en-US"/>
        </w:rPr>
        <w:softHyphen/>
        <w:t>մանակա</w:t>
      </w:r>
      <w:r w:rsidRPr="00961B35">
        <w:rPr>
          <w:rFonts w:cs="Sylfaen"/>
          <w:b w:val="0"/>
          <w:szCs w:val="22"/>
          <w:lang w:val="it-IT" w:eastAsia="en-US"/>
        </w:rPr>
        <w:softHyphen/>
      </w:r>
      <w:r w:rsidRPr="00961B35">
        <w:rPr>
          <w:rFonts w:cs="Sylfaen"/>
          <w:b w:val="0"/>
          <w:szCs w:val="22"/>
          <w:lang w:val="hy-AM" w:eastAsia="en-US"/>
        </w:rPr>
        <w:t xml:space="preserve">հատվածում </w:t>
      </w:r>
      <w:r w:rsidRPr="00961B35">
        <w:rPr>
          <w:rFonts w:cs="Sylfaen"/>
          <w:b w:val="0"/>
          <w:szCs w:val="22"/>
          <w:lang w:val="en-US" w:eastAsia="en-US"/>
        </w:rPr>
        <w:t>ծառայություններն</w:t>
      </w:r>
      <w:r w:rsidRPr="00961B35">
        <w:rPr>
          <w:rFonts w:cs="Sylfaen"/>
          <w:b w:val="0"/>
          <w:szCs w:val="22"/>
          <w:lang w:val="es-ES" w:eastAsia="en-US"/>
        </w:rPr>
        <w:t xml:space="preserve"> </w:t>
      </w:r>
      <w:r w:rsidRPr="00961B35">
        <w:rPr>
          <w:rFonts w:cs="Sylfaen"/>
          <w:b w:val="0"/>
          <w:szCs w:val="22"/>
          <w:lang w:val="en-US" w:eastAsia="en-US"/>
        </w:rPr>
        <w:t>աճել</w:t>
      </w:r>
      <w:r w:rsidRPr="00961B35">
        <w:rPr>
          <w:rFonts w:cs="Sylfaen"/>
          <w:b w:val="0"/>
          <w:szCs w:val="22"/>
          <w:lang w:val="es-ES" w:eastAsia="en-US"/>
        </w:rPr>
        <w:t xml:space="preserve"> </w:t>
      </w:r>
      <w:r w:rsidRPr="00961B35">
        <w:rPr>
          <w:rFonts w:cs="Sylfaen"/>
          <w:b w:val="0"/>
          <w:szCs w:val="22"/>
          <w:lang w:val="en-US" w:eastAsia="en-US"/>
        </w:rPr>
        <w:t>են</w:t>
      </w:r>
      <w:r w:rsidRPr="00961B35">
        <w:rPr>
          <w:rFonts w:cs="Sylfaen"/>
          <w:b w:val="0"/>
          <w:szCs w:val="22"/>
          <w:lang w:val="es-ES" w:eastAsia="en-US"/>
        </w:rPr>
        <w:t xml:space="preserve"> </w:t>
      </w:r>
      <w:r w:rsidRPr="00961B35">
        <w:rPr>
          <w:rFonts w:cs="Sylfaen"/>
          <w:b w:val="0"/>
          <w:szCs w:val="22"/>
          <w:lang w:val="it-IT" w:eastAsia="en-US"/>
        </w:rPr>
        <w:t>9.3%-ով՝</w:t>
      </w:r>
      <w:r w:rsidRPr="00961B35">
        <w:rPr>
          <w:rFonts w:cs="Sylfaen"/>
          <w:b w:val="0"/>
          <w:szCs w:val="22"/>
          <w:lang w:val="hy-AM" w:eastAsia="en-US"/>
        </w:rPr>
        <w:t xml:space="preserve"> ապահովել</w:t>
      </w:r>
      <w:r w:rsidRPr="00961B35">
        <w:rPr>
          <w:rFonts w:cs="Sylfaen"/>
          <w:b w:val="0"/>
          <w:szCs w:val="22"/>
          <w:lang w:val="en-US" w:eastAsia="en-US"/>
        </w:rPr>
        <w:t>ով</w:t>
      </w:r>
      <w:r w:rsidRPr="00961B35">
        <w:rPr>
          <w:rFonts w:cs="Sylfaen"/>
          <w:b w:val="0"/>
          <w:szCs w:val="22"/>
          <w:lang w:val="hy-AM" w:eastAsia="en-US"/>
        </w:rPr>
        <w:t xml:space="preserve"> տնտեսական աճի </w:t>
      </w:r>
      <w:r w:rsidRPr="00961B35">
        <w:rPr>
          <w:rFonts w:cs="Sylfaen"/>
          <w:b w:val="0"/>
          <w:szCs w:val="22"/>
          <w:lang w:val="it-IT" w:eastAsia="en-US"/>
        </w:rPr>
        <w:t>4</w:t>
      </w:r>
      <w:r w:rsidRPr="00961B35">
        <w:rPr>
          <w:rFonts w:cs="Sylfaen"/>
          <w:b w:val="0"/>
          <w:szCs w:val="22"/>
          <w:lang w:val="hy-AM" w:eastAsia="en-US"/>
        </w:rPr>
        <w:t>.</w:t>
      </w:r>
      <w:r w:rsidRPr="00961B35">
        <w:rPr>
          <w:rFonts w:cs="Sylfaen"/>
          <w:b w:val="0"/>
          <w:szCs w:val="22"/>
          <w:lang w:val="it-IT" w:eastAsia="en-US"/>
        </w:rPr>
        <w:t>6</w:t>
      </w:r>
      <w:r w:rsidRPr="00961B35">
        <w:rPr>
          <w:rFonts w:cs="Sylfaen"/>
          <w:b w:val="0"/>
          <w:szCs w:val="22"/>
          <w:lang w:val="hy-AM" w:eastAsia="en-US"/>
        </w:rPr>
        <w:t xml:space="preserve"> տո</w:t>
      </w:r>
      <w:r w:rsidRPr="00961B35">
        <w:rPr>
          <w:rFonts w:cs="Sylfaen"/>
          <w:b w:val="0"/>
          <w:szCs w:val="22"/>
          <w:lang w:val="hy-AM" w:eastAsia="en-US"/>
        </w:rPr>
        <w:softHyphen/>
        <w:t>կո</w:t>
      </w:r>
      <w:r w:rsidRPr="00961B35">
        <w:rPr>
          <w:rFonts w:cs="Sylfaen"/>
          <w:b w:val="0"/>
          <w:szCs w:val="22"/>
          <w:lang w:val="hy-AM" w:eastAsia="en-US"/>
        </w:rPr>
        <w:softHyphen/>
        <w:t>սային կետը</w:t>
      </w:r>
      <w:r w:rsidRPr="00961B35">
        <w:rPr>
          <w:rFonts w:cs="Sylfaen"/>
          <w:b w:val="0"/>
          <w:szCs w:val="22"/>
          <w:lang w:val="es-ES" w:eastAsia="en-US"/>
        </w:rPr>
        <w:t xml:space="preserve">, իսկ </w:t>
      </w:r>
      <w:r w:rsidRPr="00961B35">
        <w:rPr>
          <w:rFonts w:cs="Sylfaen"/>
          <w:b w:val="0"/>
          <w:szCs w:val="22"/>
          <w:lang w:val="hy-AM" w:eastAsia="en-US"/>
        </w:rPr>
        <w:t>արդյունաբերությ</w:t>
      </w:r>
      <w:r w:rsidRPr="00961B35">
        <w:rPr>
          <w:rFonts w:cs="Sylfaen"/>
          <w:b w:val="0"/>
          <w:szCs w:val="22"/>
          <w:lang w:val="en-US" w:eastAsia="en-US"/>
        </w:rPr>
        <w:t>ունը՝</w:t>
      </w:r>
      <w:r w:rsidRPr="00961B35">
        <w:rPr>
          <w:rFonts w:cs="Sylfaen"/>
          <w:b w:val="0"/>
          <w:szCs w:val="22"/>
          <w:lang w:val="es-ES" w:eastAsia="en-US"/>
        </w:rPr>
        <w:t xml:space="preserve"> </w:t>
      </w:r>
      <w:r w:rsidRPr="00961B35">
        <w:rPr>
          <w:rFonts w:cs="Sylfaen"/>
          <w:b w:val="0"/>
          <w:szCs w:val="22"/>
          <w:lang w:val="it-IT" w:eastAsia="en-US"/>
        </w:rPr>
        <w:t xml:space="preserve">5.8%-ով, ապահովելով </w:t>
      </w:r>
      <w:r w:rsidRPr="00961B35">
        <w:rPr>
          <w:rFonts w:cs="Sylfaen"/>
          <w:b w:val="0"/>
          <w:szCs w:val="22"/>
          <w:lang w:val="hy-AM" w:eastAsia="en-US"/>
        </w:rPr>
        <w:t xml:space="preserve">տնտեսական աճի </w:t>
      </w:r>
      <w:r w:rsidRPr="00961B35">
        <w:rPr>
          <w:rFonts w:cs="Sylfaen"/>
          <w:b w:val="0"/>
          <w:szCs w:val="22"/>
          <w:lang w:val="it-IT" w:eastAsia="en-US"/>
        </w:rPr>
        <w:t>1</w:t>
      </w:r>
      <w:r w:rsidRPr="00961B35">
        <w:rPr>
          <w:rFonts w:cs="Sylfaen"/>
          <w:b w:val="0"/>
          <w:szCs w:val="22"/>
          <w:lang w:val="hy-AM" w:eastAsia="en-US"/>
        </w:rPr>
        <w:t>.</w:t>
      </w:r>
      <w:r w:rsidRPr="00961B35">
        <w:rPr>
          <w:rFonts w:cs="Sylfaen"/>
          <w:b w:val="0"/>
          <w:szCs w:val="22"/>
          <w:lang w:val="it-IT" w:eastAsia="en-US"/>
        </w:rPr>
        <w:t>1</w:t>
      </w:r>
      <w:r w:rsidRPr="00961B35">
        <w:rPr>
          <w:rFonts w:cs="Sylfaen"/>
          <w:b w:val="0"/>
          <w:szCs w:val="22"/>
          <w:lang w:val="hy-AM" w:eastAsia="en-US"/>
        </w:rPr>
        <w:t xml:space="preserve"> տոկոսային կետը</w:t>
      </w:r>
      <w:r w:rsidRPr="00961B35">
        <w:rPr>
          <w:rFonts w:cs="Sylfaen"/>
          <w:b w:val="0"/>
          <w:szCs w:val="22"/>
          <w:lang w:val="es-ES" w:eastAsia="en-US"/>
        </w:rPr>
        <w:t>: Շ</w:t>
      </w:r>
      <w:r w:rsidRPr="00961B35">
        <w:rPr>
          <w:rFonts w:cs="Sylfaen"/>
          <w:b w:val="0"/>
          <w:szCs w:val="22"/>
          <w:lang w:val="it-IT" w:eastAsia="en-US"/>
        </w:rPr>
        <w:t>ինարարությունը նույնպես աճել է (0.8</w:t>
      </w:r>
      <w:r w:rsidRPr="00961B35">
        <w:rPr>
          <w:rFonts w:cs="Sylfaen"/>
          <w:b w:val="0"/>
          <w:szCs w:val="22"/>
          <w:lang w:val="hy-AM" w:eastAsia="en-US"/>
        </w:rPr>
        <w:t>%-</w:t>
      </w:r>
      <w:r w:rsidRPr="00961B35">
        <w:rPr>
          <w:rFonts w:cs="Sylfaen"/>
          <w:b w:val="0"/>
          <w:szCs w:val="22"/>
          <w:lang w:eastAsia="en-US"/>
        </w:rPr>
        <w:t>ով</w:t>
      </w:r>
      <w:r w:rsidRPr="00961B35">
        <w:rPr>
          <w:rFonts w:cs="Sylfaen"/>
          <w:b w:val="0"/>
          <w:szCs w:val="22"/>
          <w:lang w:val="es-ES" w:eastAsia="en-US"/>
        </w:rPr>
        <w:t>)</w:t>
      </w:r>
      <w:r w:rsidRPr="00961B35">
        <w:rPr>
          <w:rFonts w:cs="Sylfaen"/>
          <w:b w:val="0"/>
          <w:szCs w:val="22"/>
          <w:lang w:val="it-IT" w:eastAsia="en-US"/>
        </w:rPr>
        <w:t xml:space="preserve">` 0.1 </w:t>
      </w:r>
      <w:r w:rsidRPr="00961B35">
        <w:rPr>
          <w:rFonts w:cs="Sylfaen"/>
          <w:b w:val="0"/>
          <w:szCs w:val="22"/>
          <w:lang w:eastAsia="en-US"/>
        </w:rPr>
        <w:t>տոկոսային</w:t>
      </w:r>
      <w:r w:rsidRPr="00961B35">
        <w:rPr>
          <w:rFonts w:cs="Sylfaen"/>
          <w:b w:val="0"/>
          <w:szCs w:val="22"/>
          <w:lang w:val="it-IT" w:eastAsia="en-US"/>
        </w:rPr>
        <w:t xml:space="preserve"> </w:t>
      </w:r>
      <w:r w:rsidRPr="00961B35">
        <w:rPr>
          <w:rFonts w:cs="Sylfaen"/>
          <w:b w:val="0"/>
          <w:szCs w:val="22"/>
          <w:lang w:eastAsia="en-US"/>
        </w:rPr>
        <w:t>կետով</w:t>
      </w:r>
      <w:r w:rsidRPr="00961B35">
        <w:rPr>
          <w:rFonts w:cs="Sylfaen"/>
          <w:b w:val="0"/>
          <w:szCs w:val="22"/>
          <w:lang w:val="it-IT" w:eastAsia="en-US"/>
        </w:rPr>
        <w:t xml:space="preserve"> </w:t>
      </w:r>
      <w:r w:rsidRPr="00961B35">
        <w:rPr>
          <w:rFonts w:cs="Sylfaen"/>
          <w:b w:val="0"/>
          <w:szCs w:val="22"/>
          <w:lang w:val="en-US" w:eastAsia="en-US"/>
        </w:rPr>
        <w:t>նպաստելով</w:t>
      </w:r>
      <w:r w:rsidRPr="00961B35">
        <w:rPr>
          <w:rFonts w:cs="Sylfaen"/>
          <w:b w:val="0"/>
          <w:szCs w:val="22"/>
          <w:lang w:val="es-ES" w:eastAsia="en-US"/>
        </w:rPr>
        <w:t xml:space="preserve"> </w:t>
      </w:r>
      <w:r w:rsidRPr="00961B35">
        <w:rPr>
          <w:rFonts w:cs="Sylfaen"/>
          <w:b w:val="0"/>
          <w:szCs w:val="22"/>
          <w:lang w:eastAsia="en-US"/>
        </w:rPr>
        <w:t>տնտեսական</w:t>
      </w:r>
      <w:r w:rsidRPr="00961B35">
        <w:rPr>
          <w:rFonts w:cs="Sylfaen"/>
          <w:b w:val="0"/>
          <w:szCs w:val="22"/>
          <w:lang w:val="it-IT" w:eastAsia="en-US"/>
        </w:rPr>
        <w:t xml:space="preserve"> </w:t>
      </w:r>
      <w:r w:rsidRPr="00961B35">
        <w:rPr>
          <w:rFonts w:cs="Sylfaen"/>
          <w:b w:val="0"/>
          <w:szCs w:val="22"/>
          <w:lang w:eastAsia="en-US"/>
        </w:rPr>
        <w:t>աճին</w:t>
      </w:r>
      <w:r w:rsidRPr="00961B35">
        <w:rPr>
          <w:rFonts w:cs="Sylfaen"/>
          <w:b w:val="0"/>
          <w:szCs w:val="22"/>
          <w:vertAlign w:val="superscript"/>
          <w:lang w:eastAsia="en-US"/>
        </w:rPr>
        <w:footnoteReference w:id="2"/>
      </w:r>
      <w:r w:rsidRPr="00961B35">
        <w:rPr>
          <w:rFonts w:cs="Sylfaen"/>
          <w:b w:val="0"/>
          <w:szCs w:val="22"/>
          <w:lang w:val="hy-AM" w:eastAsia="en-US"/>
        </w:rPr>
        <w:t xml:space="preserve">: </w:t>
      </w:r>
      <w:r w:rsidRPr="00961B35">
        <w:rPr>
          <w:rFonts w:cs="Sylfaen"/>
          <w:b w:val="0"/>
          <w:szCs w:val="22"/>
          <w:lang w:val="en-US" w:eastAsia="en-US"/>
        </w:rPr>
        <w:t>Գյուղատնտեսությունը</w:t>
      </w:r>
      <w:r w:rsidRPr="00961B35">
        <w:rPr>
          <w:rFonts w:cs="Sylfaen"/>
          <w:b w:val="0"/>
          <w:szCs w:val="22"/>
          <w:lang w:val="hy-AM" w:eastAsia="en-US"/>
        </w:rPr>
        <w:t xml:space="preserve"> </w:t>
      </w:r>
      <w:r w:rsidRPr="00961B35">
        <w:rPr>
          <w:rFonts w:cs="Sylfaen"/>
          <w:b w:val="0"/>
          <w:szCs w:val="22"/>
          <w:lang w:val="en-US" w:eastAsia="en-US"/>
        </w:rPr>
        <w:t>նվազ</w:t>
      </w:r>
      <w:r w:rsidRPr="00961B35">
        <w:rPr>
          <w:rFonts w:cs="Sylfaen"/>
          <w:b w:val="0"/>
          <w:szCs w:val="22"/>
          <w:lang w:val="hy-AM" w:eastAsia="en-US"/>
        </w:rPr>
        <w:t xml:space="preserve">ել է </w:t>
      </w:r>
      <w:r w:rsidRPr="00961B35">
        <w:rPr>
          <w:rFonts w:cs="Sylfaen"/>
          <w:b w:val="0"/>
          <w:szCs w:val="22"/>
          <w:lang w:val="it-IT" w:eastAsia="en-US"/>
        </w:rPr>
        <w:t>8</w:t>
      </w:r>
      <w:r w:rsidRPr="00961B35">
        <w:rPr>
          <w:rFonts w:cs="Sylfaen"/>
          <w:b w:val="0"/>
          <w:szCs w:val="22"/>
          <w:lang w:val="hy-AM" w:eastAsia="en-US"/>
        </w:rPr>
        <w:t>.</w:t>
      </w:r>
      <w:r w:rsidRPr="00961B35">
        <w:rPr>
          <w:rFonts w:cs="Sylfaen"/>
          <w:b w:val="0"/>
          <w:szCs w:val="22"/>
          <w:lang w:val="it-IT" w:eastAsia="en-US"/>
        </w:rPr>
        <w:t>5%-</w:t>
      </w:r>
      <w:r w:rsidRPr="00961B35">
        <w:rPr>
          <w:rFonts w:cs="Sylfaen"/>
          <w:b w:val="0"/>
          <w:szCs w:val="22"/>
          <w:lang w:val="en-US" w:eastAsia="en-US"/>
        </w:rPr>
        <w:t>ով</w:t>
      </w:r>
      <w:r w:rsidRPr="00961B35">
        <w:rPr>
          <w:rFonts w:cs="Sylfaen"/>
          <w:b w:val="0"/>
          <w:szCs w:val="22"/>
          <w:lang w:val="it-IT" w:eastAsia="en-US"/>
        </w:rPr>
        <w:t xml:space="preserve">, բացասաբար </w:t>
      </w:r>
      <w:r w:rsidRPr="00961B35">
        <w:rPr>
          <w:rFonts w:cs="Sylfaen"/>
          <w:b w:val="0"/>
          <w:szCs w:val="22"/>
          <w:lang w:val="en-US" w:eastAsia="en-US"/>
        </w:rPr>
        <w:t>ազդելով</w:t>
      </w:r>
      <w:r w:rsidRPr="00961B35">
        <w:rPr>
          <w:rFonts w:cs="Sylfaen"/>
          <w:b w:val="0"/>
          <w:szCs w:val="22"/>
          <w:lang w:val="it-IT" w:eastAsia="en-US"/>
        </w:rPr>
        <w:t xml:space="preserve"> </w:t>
      </w:r>
      <w:r w:rsidRPr="00961B35">
        <w:rPr>
          <w:rFonts w:cs="Sylfaen"/>
          <w:b w:val="0"/>
          <w:szCs w:val="22"/>
          <w:lang w:val="en-US" w:eastAsia="en-US"/>
        </w:rPr>
        <w:t>տնտեսական</w:t>
      </w:r>
      <w:r w:rsidRPr="00961B35">
        <w:rPr>
          <w:rFonts w:cs="Sylfaen"/>
          <w:b w:val="0"/>
          <w:szCs w:val="22"/>
          <w:lang w:val="it-IT" w:eastAsia="en-US"/>
        </w:rPr>
        <w:t xml:space="preserve"> </w:t>
      </w:r>
      <w:r w:rsidRPr="00961B35">
        <w:rPr>
          <w:rFonts w:cs="Sylfaen"/>
          <w:b w:val="0"/>
          <w:szCs w:val="22"/>
          <w:lang w:val="en-US" w:eastAsia="en-US"/>
        </w:rPr>
        <w:t>աճին</w:t>
      </w:r>
      <w:r w:rsidRPr="00961B35">
        <w:rPr>
          <w:rFonts w:cs="Sylfaen"/>
          <w:b w:val="0"/>
          <w:szCs w:val="22"/>
          <w:lang w:val="it-IT" w:eastAsia="en-US"/>
        </w:rPr>
        <w:t xml:space="preserve"> 1.3 տոկոսային կետով: </w:t>
      </w:r>
    </w:p>
    <w:p w:rsidR="00961B35" w:rsidRPr="00961B35" w:rsidRDefault="00961B35" w:rsidP="00961B35">
      <w:pPr>
        <w:spacing w:before="0"/>
        <w:ind w:firstLine="450"/>
        <w:contextualSpacing w:val="0"/>
        <w:rPr>
          <w:rFonts w:cs="Sylfaen"/>
          <w:b w:val="0"/>
          <w:szCs w:val="22"/>
          <w:lang w:val="hy-AM" w:eastAsia="en-US"/>
        </w:rPr>
      </w:pPr>
      <w:r w:rsidRPr="00961B35">
        <w:rPr>
          <w:rFonts w:cs="Sylfaen"/>
          <w:szCs w:val="22"/>
          <w:lang w:val="hy-AM" w:eastAsia="en-US"/>
        </w:rPr>
        <w:t>201</w:t>
      </w:r>
      <w:r w:rsidRPr="00961B35">
        <w:rPr>
          <w:rFonts w:cs="Sylfaen"/>
          <w:szCs w:val="22"/>
          <w:lang w:val="it-IT" w:eastAsia="en-US"/>
        </w:rPr>
        <w:t xml:space="preserve">9 </w:t>
      </w:r>
      <w:r w:rsidRPr="00961B35">
        <w:rPr>
          <w:rFonts w:cs="Sylfaen"/>
          <w:szCs w:val="22"/>
          <w:lang w:val="hy-AM" w:eastAsia="en-US"/>
        </w:rPr>
        <w:t>թ</w:t>
      </w:r>
      <w:r w:rsidRPr="00961B35">
        <w:rPr>
          <w:rFonts w:cs="Sylfaen"/>
          <w:szCs w:val="22"/>
          <w:lang w:val="en-US" w:eastAsia="en-US"/>
        </w:rPr>
        <w:t>վականի</w:t>
      </w:r>
      <w:r w:rsidRPr="00961B35">
        <w:rPr>
          <w:rFonts w:cs="Sylfaen"/>
          <w:szCs w:val="22"/>
          <w:lang w:val="it-IT" w:eastAsia="en-US"/>
        </w:rPr>
        <w:t xml:space="preserve"> </w:t>
      </w:r>
      <w:r w:rsidRPr="00961B35">
        <w:rPr>
          <w:rFonts w:cs="Sylfaen"/>
          <w:szCs w:val="22"/>
          <w:lang w:val="en-US" w:eastAsia="en-US"/>
        </w:rPr>
        <w:t>տարեսկզբից</w:t>
      </w:r>
      <w:r w:rsidRPr="00961B35">
        <w:rPr>
          <w:rFonts w:cs="Sylfaen"/>
          <w:szCs w:val="22"/>
          <w:lang w:val="it-IT" w:eastAsia="en-US"/>
        </w:rPr>
        <w:t xml:space="preserve"> </w:t>
      </w:r>
      <w:r w:rsidRPr="00961B35">
        <w:rPr>
          <w:rFonts w:cs="Sylfaen"/>
          <w:szCs w:val="22"/>
          <w:lang w:val="hy-AM" w:eastAsia="en-US"/>
        </w:rPr>
        <w:t>տնտեսությ</w:t>
      </w:r>
      <w:r w:rsidRPr="00961B35">
        <w:rPr>
          <w:rFonts w:cs="Sylfaen"/>
          <w:szCs w:val="22"/>
          <w:lang w:val="en-US" w:eastAsia="en-US"/>
        </w:rPr>
        <w:t>ու</w:t>
      </w:r>
      <w:r w:rsidRPr="00961B35">
        <w:rPr>
          <w:rFonts w:cs="Sylfaen"/>
          <w:szCs w:val="22"/>
          <w:lang w:val="hy-AM" w:eastAsia="en-US"/>
        </w:rPr>
        <w:t>ն</w:t>
      </w:r>
      <w:r w:rsidRPr="00961B35">
        <w:rPr>
          <w:rFonts w:cs="Sylfaen"/>
          <w:szCs w:val="22"/>
          <w:lang w:val="en-US" w:eastAsia="en-US"/>
        </w:rPr>
        <w:t>ում</w:t>
      </w:r>
      <w:r w:rsidRPr="00961B35">
        <w:rPr>
          <w:rFonts w:cs="Sylfaen"/>
          <w:szCs w:val="22"/>
          <w:lang w:val="it-IT" w:eastAsia="en-US"/>
        </w:rPr>
        <w:t xml:space="preserve"> </w:t>
      </w:r>
      <w:r w:rsidRPr="00961B35">
        <w:rPr>
          <w:rFonts w:cs="Sylfaen"/>
          <w:szCs w:val="22"/>
          <w:lang w:val="en-US" w:eastAsia="en-US"/>
        </w:rPr>
        <w:t>գրանցված</w:t>
      </w:r>
      <w:r w:rsidRPr="00961B35">
        <w:rPr>
          <w:rFonts w:cs="Sylfaen"/>
          <w:szCs w:val="22"/>
          <w:lang w:val="hy-AM" w:eastAsia="en-US"/>
        </w:rPr>
        <w:t xml:space="preserve"> </w:t>
      </w:r>
      <w:r w:rsidRPr="00961B35">
        <w:rPr>
          <w:rFonts w:cs="Sylfaen"/>
          <w:szCs w:val="22"/>
          <w:lang w:val="en-US" w:eastAsia="en-US"/>
        </w:rPr>
        <w:t>բարձր</w:t>
      </w:r>
      <w:r w:rsidRPr="00961B35">
        <w:rPr>
          <w:rFonts w:cs="Sylfaen"/>
          <w:szCs w:val="22"/>
          <w:lang w:val="it-IT" w:eastAsia="en-US"/>
        </w:rPr>
        <w:t xml:space="preserve"> </w:t>
      </w:r>
      <w:r w:rsidRPr="00961B35">
        <w:rPr>
          <w:rFonts w:cs="Sylfaen"/>
          <w:szCs w:val="22"/>
          <w:lang w:val="hy-AM" w:eastAsia="en-US"/>
        </w:rPr>
        <w:t>աճ</w:t>
      </w:r>
      <w:r w:rsidRPr="00961B35">
        <w:rPr>
          <w:rFonts w:cs="Sylfaen"/>
          <w:szCs w:val="22"/>
          <w:lang w:val="en-US" w:eastAsia="en-US"/>
        </w:rPr>
        <w:t>ի</w:t>
      </w:r>
      <w:r w:rsidRPr="00961B35">
        <w:rPr>
          <w:rFonts w:cs="Sylfaen"/>
          <w:szCs w:val="22"/>
          <w:lang w:val="it-IT" w:eastAsia="en-US"/>
        </w:rPr>
        <w:t xml:space="preserve"> </w:t>
      </w:r>
      <w:r w:rsidRPr="00961B35">
        <w:rPr>
          <w:rFonts w:cs="Sylfaen"/>
          <w:szCs w:val="22"/>
          <w:lang w:val="en-US" w:eastAsia="en-US"/>
        </w:rPr>
        <w:t>միտումները</w:t>
      </w:r>
      <w:r w:rsidRPr="00961B35">
        <w:rPr>
          <w:rFonts w:cs="Sylfaen"/>
          <w:szCs w:val="22"/>
          <w:lang w:val="it-IT" w:eastAsia="en-US"/>
        </w:rPr>
        <w:t xml:space="preserve"> </w:t>
      </w:r>
      <w:r w:rsidRPr="00961B35">
        <w:rPr>
          <w:rFonts w:cs="Sylfaen"/>
          <w:szCs w:val="22"/>
          <w:lang w:val="en-US" w:eastAsia="en-US"/>
        </w:rPr>
        <w:t>պահպանվեցին</w:t>
      </w:r>
      <w:r w:rsidRPr="00961B35">
        <w:rPr>
          <w:rFonts w:cs="Sylfaen"/>
          <w:szCs w:val="22"/>
          <w:lang w:val="hy-AM" w:eastAsia="en-US"/>
        </w:rPr>
        <w:t>:</w:t>
      </w:r>
      <w:r w:rsidRPr="00961B35">
        <w:rPr>
          <w:rFonts w:cs="Sylfaen"/>
          <w:b w:val="0"/>
          <w:szCs w:val="22"/>
          <w:lang w:val="hy-AM" w:eastAsia="en-US"/>
        </w:rPr>
        <w:t xml:space="preserve"> 201</w:t>
      </w:r>
      <w:r w:rsidRPr="00961B35">
        <w:rPr>
          <w:rFonts w:cs="Sylfaen"/>
          <w:b w:val="0"/>
          <w:szCs w:val="22"/>
          <w:lang w:val="it-IT" w:eastAsia="en-US"/>
        </w:rPr>
        <w:t>9</w:t>
      </w:r>
      <w:r w:rsidRPr="00961B35">
        <w:rPr>
          <w:rFonts w:cs="Sylfaen"/>
          <w:b w:val="0"/>
          <w:szCs w:val="22"/>
          <w:lang w:val="hy-AM" w:eastAsia="en-US"/>
        </w:rPr>
        <w:t xml:space="preserve"> թվականի առաջին կիսամյակում ՀՆԱ-ի իրական աճը նախորդ տարվա նույն ժամանակահատվածի նկատմամբ կազմել է 6.</w:t>
      </w:r>
      <w:r w:rsidRPr="00961B35">
        <w:rPr>
          <w:rFonts w:cs="Sylfaen"/>
          <w:b w:val="0"/>
          <w:szCs w:val="22"/>
          <w:lang w:val="it-IT" w:eastAsia="en-US"/>
        </w:rPr>
        <w:t xml:space="preserve">8%, </w:t>
      </w:r>
      <w:r w:rsidRPr="00961B35">
        <w:rPr>
          <w:rFonts w:cs="Sylfaen"/>
          <w:b w:val="0"/>
          <w:szCs w:val="22"/>
          <w:lang w:val="hy-AM" w:eastAsia="en-US"/>
        </w:rPr>
        <w:t>ինչին հիմնականում նպաստել են ծառայությունները</w:t>
      </w:r>
      <w:r w:rsidRPr="00961B35">
        <w:rPr>
          <w:rFonts w:cs="Sylfaen"/>
          <w:b w:val="0"/>
          <w:szCs w:val="22"/>
          <w:lang w:val="it-IT" w:eastAsia="en-US"/>
        </w:rPr>
        <w:t xml:space="preserve"> 9</w:t>
      </w:r>
      <w:r w:rsidRPr="00961B35">
        <w:rPr>
          <w:rFonts w:cs="Sylfaen"/>
          <w:b w:val="0"/>
          <w:szCs w:val="22"/>
          <w:lang w:val="hy-AM" w:eastAsia="en-US"/>
        </w:rPr>
        <w:t>.</w:t>
      </w:r>
      <w:r w:rsidRPr="00961B35">
        <w:rPr>
          <w:rFonts w:cs="Sylfaen"/>
          <w:b w:val="0"/>
          <w:szCs w:val="22"/>
          <w:lang w:val="it-IT" w:eastAsia="en-US"/>
        </w:rPr>
        <w:t>3%</w:t>
      </w:r>
      <w:r w:rsidRPr="00961B35">
        <w:rPr>
          <w:rFonts w:cs="Sylfaen"/>
          <w:b w:val="0"/>
          <w:szCs w:val="22"/>
          <w:lang w:val="hy-AM" w:eastAsia="en-US"/>
        </w:rPr>
        <w:t xml:space="preserve"> </w:t>
      </w:r>
      <w:r w:rsidRPr="00961B35">
        <w:rPr>
          <w:rFonts w:cs="Sylfaen"/>
          <w:b w:val="0"/>
          <w:szCs w:val="22"/>
          <w:lang w:val="en-US" w:eastAsia="en-US"/>
        </w:rPr>
        <w:t>աճը</w:t>
      </w:r>
      <w:r w:rsidRPr="00961B35">
        <w:rPr>
          <w:rFonts w:cs="Sylfaen"/>
          <w:b w:val="0"/>
          <w:szCs w:val="22"/>
          <w:lang w:val="it-IT" w:eastAsia="en-US"/>
        </w:rPr>
        <w:t xml:space="preserve"> (</w:t>
      </w:r>
      <w:r w:rsidRPr="00961B35">
        <w:rPr>
          <w:rFonts w:cs="Sylfaen"/>
          <w:b w:val="0"/>
          <w:szCs w:val="22"/>
          <w:lang w:val="hy-AM" w:eastAsia="en-US"/>
        </w:rPr>
        <w:t>նպաստ</w:t>
      </w:r>
      <w:r w:rsidRPr="00961B35">
        <w:rPr>
          <w:rFonts w:cs="Sylfaen"/>
          <w:b w:val="0"/>
          <w:szCs w:val="22"/>
          <w:lang w:val="en-US" w:eastAsia="en-US"/>
        </w:rPr>
        <w:t>ու</w:t>
      </w:r>
      <w:r w:rsidRPr="00961B35">
        <w:rPr>
          <w:rFonts w:cs="Sylfaen"/>
          <w:b w:val="0"/>
          <w:szCs w:val="22"/>
          <w:lang w:val="hy-AM" w:eastAsia="en-US"/>
        </w:rPr>
        <w:t>մ</w:t>
      </w:r>
      <w:r w:rsidRPr="00961B35">
        <w:rPr>
          <w:rFonts w:cs="Sylfaen"/>
          <w:b w:val="0"/>
          <w:szCs w:val="22"/>
          <w:lang w:val="en-US" w:eastAsia="en-US"/>
        </w:rPr>
        <w:t>ը՝</w:t>
      </w:r>
      <w:r w:rsidRPr="00961B35">
        <w:rPr>
          <w:rFonts w:cs="Sylfaen"/>
          <w:b w:val="0"/>
          <w:szCs w:val="22"/>
          <w:lang w:val="it-IT" w:eastAsia="en-US"/>
        </w:rPr>
        <w:t xml:space="preserve"> 5.4 </w:t>
      </w:r>
      <w:r w:rsidRPr="00961B35">
        <w:rPr>
          <w:rFonts w:cs="Sylfaen"/>
          <w:b w:val="0"/>
          <w:szCs w:val="22"/>
          <w:lang w:val="hy-AM" w:eastAsia="en-US"/>
        </w:rPr>
        <w:t>տոկոսային կետ</w:t>
      </w:r>
      <w:r w:rsidRPr="00961B35">
        <w:rPr>
          <w:rFonts w:cs="Sylfaen"/>
          <w:b w:val="0"/>
          <w:szCs w:val="22"/>
          <w:lang w:val="it-IT" w:eastAsia="en-US"/>
        </w:rPr>
        <w:t xml:space="preserve">), </w:t>
      </w:r>
      <w:r w:rsidRPr="00961B35">
        <w:rPr>
          <w:rFonts w:cs="Sylfaen"/>
          <w:b w:val="0"/>
          <w:szCs w:val="22"/>
          <w:lang w:val="hy-AM" w:eastAsia="en-US"/>
        </w:rPr>
        <w:t>որի մեջ զգալի դերակատարում են ունեցել մշակույթ, զվարճություններ և հանգիստ ենթաճյուղը</w:t>
      </w:r>
      <w:r w:rsidRPr="00961B35">
        <w:rPr>
          <w:rFonts w:cs="Sylfaen"/>
          <w:b w:val="0"/>
          <w:szCs w:val="22"/>
          <w:lang w:val="it-IT" w:eastAsia="en-US"/>
        </w:rPr>
        <w:t xml:space="preserve">, </w:t>
      </w:r>
      <w:r w:rsidRPr="00961B35">
        <w:rPr>
          <w:rFonts w:cs="Sylfaen"/>
          <w:b w:val="0"/>
          <w:szCs w:val="22"/>
          <w:lang w:val="hy-AM" w:eastAsia="en-US"/>
        </w:rPr>
        <w:t>առևտուրը</w:t>
      </w:r>
      <w:r w:rsidRPr="00961B35">
        <w:rPr>
          <w:rFonts w:cs="Sylfaen"/>
          <w:b w:val="0"/>
          <w:szCs w:val="22"/>
          <w:lang w:val="it-IT" w:eastAsia="en-US"/>
        </w:rPr>
        <w:t xml:space="preserve">, </w:t>
      </w:r>
      <w:r w:rsidRPr="00961B35">
        <w:rPr>
          <w:rFonts w:cs="Sylfaen"/>
          <w:b w:val="0"/>
          <w:szCs w:val="22"/>
          <w:lang w:val="hy-AM" w:eastAsia="en-US"/>
        </w:rPr>
        <w:t>ֆինանսական և ապահովագրական գործունեությունը</w:t>
      </w:r>
      <w:r w:rsidRPr="00961B35">
        <w:rPr>
          <w:rFonts w:cs="Sylfaen"/>
          <w:b w:val="0"/>
          <w:szCs w:val="22"/>
          <w:lang w:val="it-IT" w:eastAsia="en-US"/>
        </w:rPr>
        <w:t xml:space="preserve">, </w:t>
      </w:r>
      <w:r w:rsidRPr="00961B35">
        <w:rPr>
          <w:rFonts w:cs="Sylfaen"/>
          <w:b w:val="0"/>
          <w:szCs w:val="22"/>
          <w:lang w:val="hy-AM" w:eastAsia="en-US"/>
        </w:rPr>
        <w:t>ա</w:t>
      </w:r>
      <w:r w:rsidRPr="00961B35">
        <w:rPr>
          <w:rFonts w:cs="Sylfaen"/>
          <w:b w:val="0"/>
          <w:szCs w:val="22"/>
          <w:lang w:val="it-IT" w:eastAsia="en-US"/>
        </w:rPr>
        <w:t>ռողջապահություն և բնակչության սոցիալական սպասարկմ</w:t>
      </w:r>
      <w:r w:rsidRPr="00961B35">
        <w:rPr>
          <w:rFonts w:cs="Sylfaen"/>
          <w:b w:val="0"/>
          <w:szCs w:val="22"/>
          <w:lang w:val="hy-AM" w:eastAsia="en-US"/>
        </w:rPr>
        <w:t>ան</w:t>
      </w:r>
      <w:r w:rsidRPr="00961B35">
        <w:rPr>
          <w:rFonts w:cs="Sylfaen"/>
          <w:b w:val="0"/>
          <w:szCs w:val="22"/>
          <w:lang w:val="it-IT" w:eastAsia="en-US"/>
        </w:rPr>
        <w:t xml:space="preserve">, </w:t>
      </w:r>
      <w:r w:rsidRPr="00961B35">
        <w:rPr>
          <w:rFonts w:cs="Sylfaen"/>
          <w:b w:val="0"/>
          <w:szCs w:val="22"/>
          <w:lang w:val="en-US" w:eastAsia="en-US"/>
        </w:rPr>
        <w:t>ինչպես</w:t>
      </w:r>
      <w:r w:rsidRPr="00961B35">
        <w:rPr>
          <w:rFonts w:cs="Sylfaen"/>
          <w:b w:val="0"/>
          <w:szCs w:val="22"/>
          <w:lang w:val="it-IT" w:eastAsia="en-US"/>
        </w:rPr>
        <w:t xml:space="preserve"> նա</w:t>
      </w:r>
      <w:r w:rsidRPr="00961B35">
        <w:rPr>
          <w:rFonts w:cs="Sylfaen"/>
          <w:b w:val="0"/>
          <w:szCs w:val="22"/>
          <w:lang w:val="en-US" w:eastAsia="en-US"/>
        </w:rPr>
        <w:t>և</w:t>
      </w:r>
      <w:r w:rsidRPr="00961B35">
        <w:rPr>
          <w:rFonts w:cs="Sylfaen"/>
          <w:b w:val="0"/>
          <w:szCs w:val="22"/>
          <w:lang w:val="it-IT" w:eastAsia="en-US"/>
        </w:rPr>
        <w:t xml:space="preserve"> </w:t>
      </w:r>
      <w:r w:rsidRPr="00961B35">
        <w:rPr>
          <w:rFonts w:cs="Sylfaen"/>
          <w:b w:val="0"/>
          <w:szCs w:val="22"/>
          <w:lang w:val="en-US" w:eastAsia="en-US"/>
        </w:rPr>
        <w:t>կացության</w:t>
      </w:r>
      <w:r w:rsidRPr="00961B35">
        <w:rPr>
          <w:rFonts w:cs="Sylfaen"/>
          <w:b w:val="0"/>
          <w:szCs w:val="22"/>
          <w:lang w:val="it-IT" w:eastAsia="en-US"/>
        </w:rPr>
        <w:t xml:space="preserve"> </w:t>
      </w:r>
      <w:r w:rsidRPr="00961B35">
        <w:rPr>
          <w:rFonts w:cs="Sylfaen"/>
          <w:b w:val="0"/>
          <w:szCs w:val="22"/>
          <w:lang w:val="en-US" w:eastAsia="en-US"/>
        </w:rPr>
        <w:t>ու</w:t>
      </w:r>
      <w:r w:rsidRPr="00961B35">
        <w:rPr>
          <w:rFonts w:cs="Sylfaen"/>
          <w:b w:val="0"/>
          <w:szCs w:val="22"/>
          <w:lang w:val="it-IT" w:eastAsia="en-US"/>
        </w:rPr>
        <w:t xml:space="preserve"> </w:t>
      </w:r>
      <w:r w:rsidRPr="00961B35">
        <w:rPr>
          <w:rFonts w:cs="Sylfaen"/>
          <w:b w:val="0"/>
          <w:szCs w:val="22"/>
          <w:lang w:val="en-US" w:eastAsia="en-US"/>
        </w:rPr>
        <w:t>հանրային</w:t>
      </w:r>
      <w:r w:rsidRPr="00961B35">
        <w:rPr>
          <w:rFonts w:cs="Sylfaen"/>
          <w:b w:val="0"/>
          <w:szCs w:val="22"/>
          <w:lang w:val="it-IT" w:eastAsia="en-US"/>
        </w:rPr>
        <w:t xml:space="preserve"> </w:t>
      </w:r>
      <w:r w:rsidRPr="00961B35">
        <w:rPr>
          <w:rFonts w:cs="Sylfaen"/>
          <w:b w:val="0"/>
          <w:szCs w:val="22"/>
          <w:lang w:val="en-US" w:eastAsia="en-US"/>
        </w:rPr>
        <w:t>սննդի</w:t>
      </w:r>
      <w:r w:rsidRPr="00961B35">
        <w:rPr>
          <w:rFonts w:cs="Sylfaen"/>
          <w:b w:val="0"/>
          <w:szCs w:val="22"/>
          <w:lang w:val="hy-AM" w:eastAsia="en-US"/>
        </w:rPr>
        <w:t xml:space="preserve"> ենթաճյուղ</w:t>
      </w:r>
      <w:r w:rsidRPr="00961B35">
        <w:rPr>
          <w:rFonts w:cs="Sylfaen"/>
          <w:b w:val="0"/>
          <w:szCs w:val="22"/>
          <w:lang w:val="en-US" w:eastAsia="en-US"/>
        </w:rPr>
        <w:t>երը</w:t>
      </w:r>
      <w:r w:rsidRPr="00961B35">
        <w:rPr>
          <w:rFonts w:cs="Sylfaen"/>
          <w:b w:val="0"/>
          <w:szCs w:val="22"/>
          <w:lang w:val="hy-AM" w:eastAsia="en-US"/>
        </w:rPr>
        <w:t>։ ՀՆԱ-ի աճին նպաստել են նաև մյուս ճյուղերի՝ արդյունաբերության 5.2</w:t>
      </w:r>
      <w:r w:rsidRPr="00961B35">
        <w:rPr>
          <w:rFonts w:cs="Sylfaen"/>
          <w:b w:val="0"/>
          <w:szCs w:val="22"/>
          <w:lang w:val="it-IT" w:eastAsia="en-US"/>
        </w:rPr>
        <w:t>% աճը</w:t>
      </w:r>
      <w:r w:rsidRPr="00961B35">
        <w:rPr>
          <w:rFonts w:cs="Sylfaen"/>
          <w:b w:val="0"/>
          <w:szCs w:val="22"/>
          <w:lang w:val="hy-AM" w:eastAsia="en-US"/>
        </w:rPr>
        <w:t xml:space="preserve"> (նպաստումը՝ 1.0 տոկոսային կետ)` պայմանավորված մշակող արդյունաբերության աճով, ինչպես նաև շինարարության 3.5</w:t>
      </w:r>
      <w:r w:rsidRPr="00961B35">
        <w:rPr>
          <w:rFonts w:cs="Sylfaen"/>
          <w:b w:val="0"/>
          <w:szCs w:val="22"/>
          <w:lang w:val="it-IT" w:eastAsia="en-US"/>
        </w:rPr>
        <w:t>%</w:t>
      </w:r>
      <w:r w:rsidRPr="00961B35">
        <w:rPr>
          <w:rFonts w:cs="Sylfaen"/>
          <w:b w:val="0"/>
          <w:szCs w:val="22"/>
          <w:lang w:val="hy-AM" w:eastAsia="en-US"/>
        </w:rPr>
        <w:t xml:space="preserve"> </w:t>
      </w:r>
      <w:r w:rsidRPr="00961B35">
        <w:rPr>
          <w:rFonts w:cs="Sylfaen"/>
          <w:b w:val="0"/>
          <w:szCs w:val="22"/>
          <w:lang w:val="it-IT" w:eastAsia="en-US"/>
        </w:rPr>
        <w:lastRenderedPageBreak/>
        <w:t>աճը</w:t>
      </w:r>
      <w:r w:rsidRPr="00961B35">
        <w:rPr>
          <w:rFonts w:cs="Sylfaen"/>
          <w:b w:val="0"/>
          <w:szCs w:val="22"/>
          <w:lang w:val="hy-AM" w:eastAsia="en-US"/>
        </w:rPr>
        <w:t xml:space="preserve"> (նպաստումը՝ 0.2 տոկոսային կետ): Գյուղատնտեսությունը 0.6 տոկոսային կետով բացասական է նպաստել տնտեսական աճին՝ նվազելով 6.9</w:t>
      </w:r>
      <w:r w:rsidRPr="00961B35">
        <w:rPr>
          <w:rFonts w:cs="Sylfaen"/>
          <w:b w:val="0"/>
          <w:szCs w:val="22"/>
          <w:lang w:val="it-IT" w:eastAsia="en-US"/>
        </w:rPr>
        <w:t>%-ով</w:t>
      </w:r>
      <w:r w:rsidRPr="00961B35">
        <w:rPr>
          <w:rFonts w:cs="Sylfaen"/>
          <w:b w:val="0"/>
          <w:szCs w:val="22"/>
          <w:lang w:val="hy-AM" w:eastAsia="en-US"/>
        </w:rPr>
        <w:t>։</w:t>
      </w:r>
    </w:p>
    <w:p w:rsidR="00961B35" w:rsidRPr="00961B35" w:rsidRDefault="00961B35" w:rsidP="00961B35">
      <w:pPr>
        <w:spacing w:before="0"/>
        <w:ind w:firstLine="450"/>
        <w:contextualSpacing w:val="0"/>
        <w:rPr>
          <w:szCs w:val="22"/>
          <w:lang w:val="hy-AM" w:eastAsia="en-US"/>
        </w:rPr>
      </w:pPr>
      <w:r w:rsidRPr="00961B35">
        <w:rPr>
          <w:rFonts w:cs="Sylfaen"/>
          <w:b w:val="0"/>
          <w:szCs w:val="22"/>
          <w:lang w:val="hy-AM" w:eastAsia="en-US"/>
        </w:rPr>
        <w:t>201</w:t>
      </w:r>
      <w:r w:rsidRPr="00961B35">
        <w:rPr>
          <w:rFonts w:cs="Sylfaen"/>
          <w:b w:val="0"/>
          <w:szCs w:val="22"/>
          <w:lang w:val="it-IT" w:eastAsia="en-US"/>
        </w:rPr>
        <w:t>9</w:t>
      </w:r>
      <w:r w:rsidRPr="00961B35">
        <w:rPr>
          <w:rFonts w:cs="Sylfaen"/>
          <w:b w:val="0"/>
          <w:szCs w:val="22"/>
          <w:lang w:val="hy-AM" w:eastAsia="en-US"/>
        </w:rPr>
        <w:t xml:space="preserve"> թվականի հուն</w:t>
      </w:r>
      <w:r w:rsidRPr="00961B35">
        <w:rPr>
          <w:rFonts w:cs="Sylfaen"/>
          <w:b w:val="0"/>
          <w:szCs w:val="22"/>
          <w:lang w:val="hy-AM" w:eastAsia="en-US"/>
        </w:rPr>
        <w:softHyphen/>
        <w:t>վար-հուլիսին գրանցվեց տնտեսական ակտիվության ցուցանիշի (ՏԱՑ)</w:t>
      </w:r>
      <w:r w:rsidRPr="00961B35">
        <w:rPr>
          <w:rFonts w:cs="Sylfaen"/>
          <w:b w:val="0"/>
          <w:szCs w:val="22"/>
          <w:vertAlign w:val="superscript"/>
          <w:lang w:val="it-IT" w:eastAsia="en-US"/>
        </w:rPr>
        <w:footnoteReference w:id="3"/>
      </w:r>
      <w:r w:rsidRPr="00961B35">
        <w:rPr>
          <w:rFonts w:cs="Sylfaen"/>
          <w:b w:val="0"/>
          <w:szCs w:val="22"/>
          <w:lang w:val="hy-AM" w:eastAsia="en-US"/>
        </w:rPr>
        <w:t xml:space="preserve"> նախորդ տար</w:t>
      </w:r>
      <w:r w:rsidRPr="00961B35">
        <w:rPr>
          <w:rFonts w:cs="Sylfaen"/>
          <w:b w:val="0"/>
          <w:szCs w:val="22"/>
          <w:lang w:val="hy-AM" w:eastAsia="en-US"/>
        </w:rPr>
        <w:softHyphen/>
        <w:t>վա նույն ժամանակահատվածի նկատմամբ 6</w:t>
      </w:r>
      <w:r w:rsidRPr="00961B35">
        <w:rPr>
          <w:rFonts w:cs="Sylfaen"/>
          <w:b w:val="0"/>
          <w:szCs w:val="22"/>
          <w:lang w:val="it-IT" w:eastAsia="en-US"/>
        </w:rPr>
        <w:t>.</w:t>
      </w:r>
      <w:r w:rsidRPr="00961B35">
        <w:rPr>
          <w:rFonts w:cs="Sylfaen"/>
          <w:b w:val="0"/>
          <w:szCs w:val="22"/>
          <w:lang w:val="hy-AM" w:eastAsia="en-US"/>
        </w:rPr>
        <w:t>8</w:t>
      </w:r>
      <w:r w:rsidRPr="00961B35">
        <w:rPr>
          <w:rFonts w:cs="Sylfaen"/>
          <w:b w:val="0"/>
          <w:szCs w:val="22"/>
          <w:lang w:val="it-IT" w:eastAsia="en-US"/>
        </w:rPr>
        <w:t>%</w:t>
      </w:r>
      <w:r w:rsidRPr="00961B35">
        <w:rPr>
          <w:rFonts w:cs="Sylfaen"/>
          <w:b w:val="0"/>
          <w:szCs w:val="22"/>
          <w:lang w:val="hy-AM" w:eastAsia="en-US"/>
        </w:rPr>
        <w:t xml:space="preserve"> աճ: Ընդ որում, տնտեսական ակտիվու</w:t>
      </w:r>
      <w:r w:rsidRPr="00961B35">
        <w:rPr>
          <w:rFonts w:cs="Sylfaen"/>
          <w:b w:val="0"/>
          <w:szCs w:val="22"/>
          <w:lang w:val="hy-AM" w:eastAsia="en-US"/>
        </w:rPr>
        <w:softHyphen/>
        <w:t>թյանը հիմնականում նպաստել</w:t>
      </w:r>
      <w:r w:rsidRPr="00961B35">
        <w:rPr>
          <w:rFonts w:cs="Sylfaen"/>
          <w:b w:val="0"/>
          <w:szCs w:val="22"/>
          <w:lang w:val="it-IT" w:eastAsia="en-US"/>
        </w:rPr>
        <w:t xml:space="preserve"> </w:t>
      </w:r>
      <w:r w:rsidRPr="00961B35">
        <w:rPr>
          <w:rFonts w:cs="Sylfaen"/>
          <w:b w:val="0"/>
          <w:szCs w:val="22"/>
          <w:lang w:val="hy-AM" w:eastAsia="en-US"/>
        </w:rPr>
        <w:t>է</w:t>
      </w:r>
      <w:r w:rsidRPr="00961B35">
        <w:rPr>
          <w:rFonts w:cs="Sylfaen"/>
          <w:b w:val="0"/>
          <w:szCs w:val="22"/>
          <w:lang w:val="it-IT" w:eastAsia="en-US"/>
        </w:rPr>
        <w:t xml:space="preserve"> </w:t>
      </w:r>
      <w:r w:rsidRPr="00961B35">
        <w:rPr>
          <w:rFonts w:cs="Sylfaen"/>
          <w:b w:val="0"/>
          <w:szCs w:val="22"/>
          <w:lang w:val="hy-AM" w:eastAsia="en-US"/>
        </w:rPr>
        <w:t>ծառայությունների 15.2% աճը (նպաստումը՝ 5</w:t>
      </w:r>
      <w:r w:rsidRPr="00961B35">
        <w:rPr>
          <w:rFonts w:cs="Sylfaen"/>
          <w:b w:val="0"/>
          <w:szCs w:val="22"/>
          <w:lang w:val="it-IT" w:eastAsia="en-US"/>
        </w:rPr>
        <w:t>.3</w:t>
      </w:r>
      <w:r w:rsidRPr="00961B35">
        <w:rPr>
          <w:rFonts w:cs="Sylfaen"/>
          <w:b w:val="0"/>
          <w:szCs w:val="22"/>
          <w:lang w:val="hy-AM" w:eastAsia="en-US"/>
        </w:rPr>
        <w:t xml:space="preserve"> տոկոսային կետ)</w:t>
      </w:r>
      <w:r w:rsidRPr="00961B35">
        <w:rPr>
          <w:rFonts w:cs="Sylfaen"/>
          <w:b w:val="0"/>
          <w:szCs w:val="22"/>
          <w:lang w:val="it-IT" w:eastAsia="en-US"/>
        </w:rPr>
        <w:t xml:space="preserve">: </w:t>
      </w:r>
      <w:r w:rsidRPr="00961B35">
        <w:rPr>
          <w:rFonts w:cs="Sylfaen"/>
          <w:b w:val="0"/>
          <w:szCs w:val="22"/>
          <w:lang w:val="hy-AM" w:eastAsia="en-US"/>
        </w:rPr>
        <w:t>Աճին</w:t>
      </w:r>
      <w:r w:rsidRPr="00961B35">
        <w:rPr>
          <w:rFonts w:cs="Sylfaen"/>
          <w:b w:val="0"/>
          <w:szCs w:val="22"/>
          <w:lang w:val="it-IT" w:eastAsia="en-US"/>
        </w:rPr>
        <w:t xml:space="preserve"> </w:t>
      </w:r>
      <w:r w:rsidRPr="00961B35">
        <w:rPr>
          <w:rFonts w:cs="Sylfaen"/>
          <w:b w:val="0"/>
          <w:szCs w:val="22"/>
          <w:lang w:val="hy-AM" w:eastAsia="en-US"/>
        </w:rPr>
        <w:t>նպաստել</w:t>
      </w:r>
      <w:r w:rsidRPr="00961B35">
        <w:rPr>
          <w:rFonts w:cs="Sylfaen"/>
          <w:b w:val="0"/>
          <w:szCs w:val="22"/>
          <w:lang w:val="it-IT" w:eastAsia="en-US"/>
        </w:rPr>
        <w:t xml:space="preserve"> </w:t>
      </w:r>
      <w:r w:rsidRPr="00961B35">
        <w:rPr>
          <w:rFonts w:cs="Sylfaen"/>
          <w:b w:val="0"/>
          <w:szCs w:val="22"/>
          <w:lang w:val="hy-AM" w:eastAsia="en-US"/>
        </w:rPr>
        <w:t>են</w:t>
      </w:r>
      <w:r w:rsidRPr="00961B35">
        <w:rPr>
          <w:rFonts w:cs="Sylfaen"/>
          <w:b w:val="0"/>
          <w:szCs w:val="22"/>
          <w:lang w:val="it-IT" w:eastAsia="en-US"/>
        </w:rPr>
        <w:t xml:space="preserve"> </w:t>
      </w:r>
      <w:r w:rsidRPr="00961B35">
        <w:rPr>
          <w:rFonts w:cs="Sylfaen"/>
          <w:b w:val="0"/>
          <w:szCs w:val="22"/>
          <w:lang w:val="hy-AM" w:eastAsia="en-US"/>
        </w:rPr>
        <w:t>նաև</w:t>
      </w:r>
      <w:r w:rsidRPr="00961B35">
        <w:rPr>
          <w:rFonts w:cs="Sylfaen"/>
          <w:b w:val="0"/>
          <w:szCs w:val="22"/>
          <w:lang w:val="it-IT" w:eastAsia="en-US"/>
        </w:rPr>
        <w:t xml:space="preserve"> </w:t>
      </w:r>
      <w:r w:rsidRPr="00961B35">
        <w:rPr>
          <w:rFonts w:cs="Sylfaen"/>
          <w:b w:val="0"/>
          <w:szCs w:val="22"/>
          <w:lang w:val="hy-AM" w:eastAsia="en-US"/>
        </w:rPr>
        <w:t>մյուս</w:t>
      </w:r>
      <w:r w:rsidRPr="00961B35">
        <w:rPr>
          <w:rFonts w:cs="Sylfaen"/>
          <w:b w:val="0"/>
          <w:szCs w:val="22"/>
          <w:lang w:val="it-IT" w:eastAsia="en-US"/>
        </w:rPr>
        <w:t xml:space="preserve"> </w:t>
      </w:r>
      <w:r w:rsidRPr="00961B35">
        <w:rPr>
          <w:rFonts w:cs="Sylfaen"/>
          <w:b w:val="0"/>
          <w:szCs w:val="22"/>
          <w:lang w:val="hy-AM" w:eastAsia="en-US"/>
        </w:rPr>
        <w:t>ճյուղերի համախառն թողարկման իրական աճերը.</w:t>
      </w:r>
      <w:r w:rsidRPr="00961B35">
        <w:rPr>
          <w:rFonts w:cs="Sylfaen"/>
          <w:b w:val="0"/>
          <w:szCs w:val="22"/>
          <w:lang w:val="it-IT" w:eastAsia="en-US"/>
        </w:rPr>
        <w:t xml:space="preserve"> </w:t>
      </w:r>
      <w:r w:rsidRPr="00961B35">
        <w:rPr>
          <w:rFonts w:cs="Sylfaen"/>
          <w:b w:val="0"/>
          <w:szCs w:val="22"/>
          <w:lang w:val="hy-AM" w:eastAsia="en-US"/>
        </w:rPr>
        <w:t xml:space="preserve">արդյունաբերության 8.4% (նպաստումը՝ </w:t>
      </w:r>
      <w:r w:rsidRPr="00961B35">
        <w:rPr>
          <w:rFonts w:cs="Sylfaen"/>
          <w:b w:val="0"/>
          <w:szCs w:val="22"/>
          <w:lang w:val="it-IT" w:eastAsia="en-US"/>
        </w:rPr>
        <w:t>1.</w:t>
      </w:r>
      <w:r w:rsidRPr="00961B35">
        <w:rPr>
          <w:rFonts w:cs="Sylfaen"/>
          <w:b w:val="0"/>
          <w:szCs w:val="22"/>
          <w:lang w:val="hy-AM" w:eastAsia="en-US"/>
        </w:rPr>
        <w:t>7 տոկոսային կետ)</w:t>
      </w:r>
      <w:r w:rsidRPr="00961B35">
        <w:rPr>
          <w:rFonts w:cs="Sylfaen"/>
          <w:b w:val="0"/>
          <w:szCs w:val="22"/>
          <w:lang w:val="it-IT" w:eastAsia="en-US"/>
        </w:rPr>
        <w:t>,</w:t>
      </w:r>
      <w:r w:rsidRPr="00961B35">
        <w:rPr>
          <w:rFonts w:cs="Sylfaen"/>
          <w:b w:val="0"/>
          <w:szCs w:val="22"/>
          <w:lang w:val="hy-AM" w:eastAsia="en-US"/>
        </w:rPr>
        <w:t xml:space="preserve"> առևտրի</w:t>
      </w:r>
      <w:r w:rsidRPr="00961B35">
        <w:rPr>
          <w:rFonts w:cs="Sylfaen"/>
          <w:b w:val="0"/>
          <w:szCs w:val="22"/>
          <w:lang w:val="it-IT" w:eastAsia="en-US"/>
        </w:rPr>
        <w:t xml:space="preserve"> </w:t>
      </w:r>
      <w:r w:rsidRPr="00961B35">
        <w:rPr>
          <w:rFonts w:cs="Sylfaen"/>
          <w:b w:val="0"/>
          <w:szCs w:val="22"/>
          <w:lang w:val="hy-AM" w:eastAsia="en-US"/>
        </w:rPr>
        <w:t xml:space="preserve">8.9% (նպաստումը՝ </w:t>
      </w:r>
      <w:r w:rsidRPr="00961B35">
        <w:rPr>
          <w:rFonts w:cs="Sylfaen"/>
          <w:b w:val="0"/>
          <w:szCs w:val="22"/>
          <w:lang w:val="it-IT" w:eastAsia="en-US"/>
        </w:rPr>
        <w:t>1.1</w:t>
      </w:r>
      <w:r w:rsidRPr="00961B35">
        <w:rPr>
          <w:rFonts w:cs="Sylfaen"/>
          <w:b w:val="0"/>
          <w:szCs w:val="22"/>
          <w:lang w:val="hy-AM" w:eastAsia="en-US"/>
        </w:rPr>
        <w:t xml:space="preserve"> տոկոսային կետ) և</w:t>
      </w:r>
      <w:r w:rsidRPr="00961B35">
        <w:rPr>
          <w:rFonts w:cs="Sylfaen"/>
          <w:b w:val="0"/>
          <w:szCs w:val="22"/>
          <w:lang w:val="it-IT" w:eastAsia="en-US"/>
        </w:rPr>
        <w:t xml:space="preserve"> </w:t>
      </w:r>
      <w:r w:rsidRPr="00961B35">
        <w:rPr>
          <w:rFonts w:cs="Sylfaen"/>
          <w:b w:val="0"/>
          <w:szCs w:val="22"/>
          <w:lang w:val="hy-AM" w:eastAsia="en-US"/>
        </w:rPr>
        <w:t xml:space="preserve">շինարարության 4.5%  (նպաստումը՝ </w:t>
      </w:r>
      <w:r w:rsidRPr="00961B35">
        <w:rPr>
          <w:rFonts w:cs="Sylfaen"/>
          <w:b w:val="0"/>
          <w:szCs w:val="22"/>
          <w:lang w:val="it-IT" w:eastAsia="en-US"/>
        </w:rPr>
        <w:t>0.3</w:t>
      </w:r>
      <w:r w:rsidRPr="00961B35">
        <w:rPr>
          <w:rFonts w:cs="Sylfaen"/>
          <w:b w:val="0"/>
          <w:szCs w:val="22"/>
          <w:lang w:val="hy-AM" w:eastAsia="en-US"/>
        </w:rPr>
        <w:t xml:space="preserve"> տոկոսային կետ) աճերը:  </w:t>
      </w:r>
    </w:p>
    <w:p w:rsidR="00961B35" w:rsidRPr="00961B35" w:rsidRDefault="00961B35" w:rsidP="00961B35">
      <w:pPr>
        <w:tabs>
          <w:tab w:val="left" w:pos="720"/>
        </w:tabs>
        <w:spacing w:before="0"/>
        <w:ind w:firstLine="450"/>
        <w:contextualSpacing w:val="0"/>
        <w:rPr>
          <w:rFonts w:cs="Sylfaen"/>
          <w:b w:val="0"/>
          <w:szCs w:val="22"/>
          <w:lang w:val="hy-AM" w:eastAsia="en-US"/>
        </w:rPr>
      </w:pPr>
      <w:r w:rsidRPr="00961B35">
        <w:rPr>
          <w:rFonts w:eastAsia="MS Mincho"/>
          <w:szCs w:val="22"/>
          <w:lang w:val="hy-AM" w:eastAsia="en-US"/>
        </w:rPr>
        <w:t xml:space="preserve">Կանխատեսում. 2019 թվականին տնտեսության աճի տեմպերը նախորդ տարվա զարգացումների համեմատ կլինեն ավելի արագ, ինչը հիմնականում պայմանավորված կլինի ծառայությունների և արդյունաբերության աճերով։ Տնտեսության մյուս ճյուղերը նույնպես դրական նպաստում կունենան տնտեսական աճին: </w:t>
      </w:r>
      <w:r w:rsidRPr="00961B35">
        <w:rPr>
          <w:rFonts w:cs="Sylfaen"/>
          <w:b w:val="0"/>
          <w:szCs w:val="22"/>
          <w:lang w:val="hy-AM" w:eastAsia="en-US"/>
        </w:rPr>
        <w:t xml:space="preserve">2019 թվականին 6.3% տնտեսական աճի կանխատեսման համար հիմք են հանդիսացել ներքին տնտեսական զարգացումները (մասնավորապես՝ 2019 թվականի հունվար-հուլիս ամիսներին գրանցված տնտեսական ակտիվության ցուցանիշի բարձր աճը, ինչը պայմանավորված է եղել տնտեսության գրեթե բոլոր ճյուղերի աճով), ինչպես նաև արտաքին աշխարհից սպասվող զարգացումները (մասնավորապես՝ հիմնական գործընկեր երկրների և աշխարհի տնտեսական աճի կանխատեսումները և </w:t>
      </w:r>
      <w:r w:rsidRPr="00961B35">
        <w:rPr>
          <w:rFonts w:eastAsia="MS Mincho" w:cs="Sylfaen"/>
          <w:b w:val="0"/>
          <w:szCs w:val="22"/>
          <w:lang w:val="hy-AM" w:eastAsia="en-US"/>
        </w:rPr>
        <w:t>հումքային ապրանքների գների աճը)</w:t>
      </w:r>
      <w:r w:rsidRPr="00961B35">
        <w:rPr>
          <w:rFonts w:cs="Sylfaen"/>
          <w:b w:val="0"/>
          <w:szCs w:val="22"/>
          <w:lang w:val="hy-AM" w:eastAsia="en-US"/>
        </w:rPr>
        <w:t xml:space="preserve">: </w:t>
      </w:r>
    </w:p>
    <w:p w:rsidR="00961B35" w:rsidRPr="00961B35" w:rsidRDefault="00961B35" w:rsidP="00961B35">
      <w:pPr>
        <w:tabs>
          <w:tab w:val="left" w:pos="720"/>
        </w:tabs>
        <w:spacing w:before="0"/>
        <w:ind w:firstLine="450"/>
        <w:contextualSpacing w:val="0"/>
        <w:rPr>
          <w:rFonts w:eastAsia="MS Mincho" w:cs="Sylfaen"/>
          <w:b w:val="0"/>
          <w:szCs w:val="22"/>
          <w:lang w:val="hy-AM" w:eastAsia="en-US"/>
        </w:rPr>
      </w:pPr>
      <w:r w:rsidRPr="00961B35">
        <w:rPr>
          <w:rFonts w:eastAsia="MS Mincho" w:cs="Sylfaen"/>
          <w:szCs w:val="22"/>
          <w:lang w:val="hy-AM" w:eastAsia="en-US"/>
        </w:rPr>
        <w:t xml:space="preserve">2020 թվականին տնտեսական աճը կմոտենա իր ներուժային մակարդակին՝ պայմանավորվելով արդյունաբերության և ծառայությունների աճով: </w:t>
      </w:r>
      <w:r w:rsidRPr="00961B35">
        <w:rPr>
          <w:rFonts w:eastAsia="MS Mincho" w:cs="Sylfaen"/>
          <w:b w:val="0"/>
          <w:szCs w:val="22"/>
          <w:lang w:val="hy-AM" w:eastAsia="en-US"/>
        </w:rPr>
        <w:t>2020 թվականին կանխատեսվում է 2019 թվականի համե</w:t>
      </w:r>
      <w:r w:rsidRPr="00961B35">
        <w:rPr>
          <w:rFonts w:eastAsia="MS Mincho" w:cs="Sylfaen"/>
          <w:b w:val="0"/>
          <w:szCs w:val="22"/>
          <w:lang w:val="hy-AM" w:eastAsia="en-US"/>
        </w:rPr>
        <w:softHyphen/>
        <w:t xml:space="preserve">մատ ՀՆԱ-ի 4.9% իրական աճ: Տնտեսական աճի կանխատեսումներում հաշվի են առնվել ընթացիկ զարգացումները, ինչպես նաև գործընկեր երկրների տնտեսական աճերի և հումքային ապրանքների գների զարգացման միտումները: </w:t>
      </w:r>
    </w:p>
    <w:p w:rsidR="00961B35" w:rsidRPr="00961B35" w:rsidRDefault="00961B35" w:rsidP="00961B35">
      <w:pPr>
        <w:spacing w:before="0"/>
        <w:ind w:firstLine="450"/>
        <w:contextualSpacing w:val="0"/>
        <w:rPr>
          <w:rFonts w:eastAsia="MS Mincho" w:cs="Sylfaen"/>
          <w:b w:val="0"/>
          <w:szCs w:val="22"/>
          <w:lang w:val="hy-AM" w:eastAsia="en-US"/>
        </w:rPr>
      </w:pPr>
      <w:r w:rsidRPr="00961B35">
        <w:rPr>
          <w:rFonts w:eastAsia="MS Mincho" w:cs="Sylfaen"/>
          <w:b w:val="0"/>
          <w:szCs w:val="22"/>
          <w:lang w:val="hy-AM" w:eastAsia="en-US"/>
        </w:rPr>
        <w:t xml:space="preserve">Աղյուսակ 1.2.1. և Գծապատկեր 1.2.1.-ում ներկայացված են 2016-2020 թվականների ՀՀ տնտեսության ճյուղերի իրական աճերը և առանձին ճյուղերում արձանագրված և կանխատեսվող ՀՆԱ-ի իրական աճերին ճյուղերի նպաստման չափերը: </w:t>
      </w:r>
    </w:p>
    <w:p w:rsidR="00961B35" w:rsidRPr="00961B35" w:rsidRDefault="00961B35" w:rsidP="00961B35">
      <w:pPr>
        <w:widowControl w:val="0"/>
        <w:tabs>
          <w:tab w:val="left" w:pos="993"/>
        </w:tabs>
        <w:spacing w:after="120"/>
        <w:ind w:firstLine="0"/>
        <w:contextualSpacing w:val="0"/>
        <w:jc w:val="left"/>
        <w:rPr>
          <w:rFonts w:cs="Sylfaen"/>
          <w:szCs w:val="22"/>
          <w:u w:val="single"/>
          <w:lang w:val="hy-AM" w:eastAsia="en-US"/>
        </w:rPr>
      </w:pPr>
      <w:r w:rsidRPr="00961B35">
        <w:rPr>
          <w:rFonts w:cs="Sylfaen"/>
          <w:szCs w:val="22"/>
          <w:lang w:val="hy-AM" w:eastAsia="en-US"/>
        </w:rPr>
        <w:lastRenderedPageBreak/>
        <w:t xml:space="preserve">     </w:t>
      </w:r>
      <w:r w:rsidRPr="00961B35">
        <w:rPr>
          <w:rFonts w:cs="Sylfaen"/>
          <w:szCs w:val="22"/>
          <w:u w:val="single"/>
          <w:lang w:val="hy-AM" w:eastAsia="en-US"/>
        </w:rPr>
        <w:t>Աղյուսակ 1.2.1. Տնտեսության ճյուղերի իրական աճերը (ավելացված արժեքով)</w:t>
      </w:r>
    </w:p>
    <w:tbl>
      <w:tblPr>
        <w:tblStyle w:val="Style11"/>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0"/>
        <w:gridCol w:w="1350"/>
        <w:gridCol w:w="1170"/>
        <w:gridCol w:w="1260"/>
        <w:gridCol w:w="1170"/>
        <w:gridCol w:w="1170"/>
      </w:tblGrid>
      <w:tr w:rsidR="00961B35" w:rsidRPr="00961B35" w:rsidTr="00E52D4A">
        <w:trPr>
          <w:cnfStyle w:val="100000000000" w:firstRow="1" w:lastRow="0" w:firstColumn="0" w:lastColumn="0" w:oddVBand="0" w:evenVBand="0" w:oddHBand="0" w:evenHBand="0" w:firstRowFirstColumn="0" w:firstRowLastColumn="0" w:lastRowFirstColumn="0" w:lastRowLastColumn="0"/>
          <w:trHeight w:val="348"/>
        </w:trPr>
        <w:tc>
          <w:tcPr>
            <w:tcW w:w="3690" w:type="dxa"/>
            <w:noWrap/>
          </w:tcPr>
          <w:p w:rsidR="00961B35" w:rsidRPr="00961B35" w:rsidRDefault="00961B35" w:rsidP="00961B35">
            <w:pPr>
              <w:spacing w:before="0" w:line="276" w:lineRule="auto"/>
              <w:ind w:firstLine="450"/>
              <w:contextualSpacing w:val="0"/>
              <w:jc w:val="center"/>
              <w:rPr>
                <w:sz w:val="20"/>
                <w:szCs w:val="20"/>
                <w:lang w:val="it-IT" w:eastAsia="en-US"/>
              </w:rPr>
            </w:pPr>
          </w:p>
        </w:tc>
        <w:tc>
          <w:tcPr>
            <w:tcW w:w="1350" w:type="dxa"/>
            <w:vAlign w:val="center"/>
            <w:hideMark/>
          </w:tcPr>
          <w:p w:rsidR="00961B35" w:rsidRPr="00961B35" w:rsidRDefault="00961B35" w:rsidP="00961B35">
            <w:pPr>
              <w:spacing w:before="0" w:line="276" w:lineRule="auto"/>
              <w:ind w:firstLine="0"/>
              <w:contextualSpacing w:val="0"/>
              <w:jc w:val="center"/>
              <w:rPr>
                <w:rFonts w:cs="Arial"/>
                <w:sz w:val="20"/>
                <w:szCs w:val="20"/>
                <w:lang w:eastAsia="en-US"/>
              </w:rPr>
            </w:pPr>
            <w:r w:rsidRPr="00961B35">
              <w:rPr>
                <w:rFonts w:cs="Arial"/>
                <w:sz w:val="20"/>
                <w:szCs w:val="20"/>
                <w:lang w:val="it-IT" w:eastAsia="en-US"/>
              </w:rPr>
              <w:t>201</w:t>
            </w:r>
            <w:r w:rsidRPr="00961B35">
              <w:rPr>
                <w:rFonts w:cs="Arial"/>
                <w:sz w:val="20"/>
                <w:szCs w:val="20"/>
                <w:lang w:val="hy-AM" w:eastAsia="en-US"/>
              </w:rPr>
              <w:t>6</w:t>
            </w:r>
          </w:p>
        </w:tc>
        <w:tc>
          <w:tcPr>
            <w:tcW w:w="1170" w:type="dxa"/>
            <w:vAlign w:val="center"/>
            <w:hideMark/>
          </w:tcPr>
          <w:p w:rsidR="00961B35" w:rsidRPr="00961B35" w:rsidRDefault="00961B35" w:rsidP="00961B35">
            <w:pPr>
              <w:spacing w:before="0" w:line="276" w:lineRule="auto"/>
              <w:ind w:firstLine="0"/>
              <w:contextualSpacing w:val="0"/>
              <w:jc w:val="center"/>
              <w:rPr>
                <w:rFonts w:cs="Arial"/>
                <w:sz w:val="20"/>
                <w:szCs w:val="20"/>
                <w:lang w:val="hy-AM" w:eastAsia="en-US"/>
              </w:rPr>
            </w:pPr>
            <w:r w:rsidRPr="00961B35">
              <w:rPr>
                <w:rFonts w:cs="Arial"/>
                <w:sz w:val="20"/>
                <w:szCs w:val="20"/>
                <w:lang w:val="it-IT" w:eastAsia="en-US"/>
              </w:rPr>
              <w:t>201</w:t>
            </w:r>
            <w:r w:rsidRPr="00961B35">
              <w:rPr>
                <w:rFonts w:cs="Arial"/>
                <w:sz w:val="20"/>
                <w:szCs w:val="20"/>
                <w:lang w:eastAsia="en-US"/>
              </w:rPr>
              <w:t>7</w:t>
            </w:r>
          </w:p>
        </w:tc>
        <w:tc>
          <w:tcPr>
            <w:tcW w:w="1260" w:type="dxa"/>
            <w:vAlign w:val="center"/>
            <w:hideMark/>
          </w:tcPr>
          <w:p w:rsidR="00961B35" w:rsidRPr="00961B35" w:rsidRDefault="00961B35" w:rsidP="00961B35">
            <w:pPr>
              <w:spacing w:before="0" w:line="276" w:lineRule="auto"/>
              <w:ind w:firstLine="0"/>
              <w:contextualSpacing w:val="0"/>
              <w:jc w:val="center"/>
              <w:rPr>
                <w:rFonts w:cs="Arial"/>
                <w:sz w:val="20"/>
                <w:szCs w:val="20"/>
                <w:lang w:eastAsia="en-US"/>
              </w:rPr>
            </w:pPr>
            <w:r w:rsidRPr="00961B35">
              <w:rPr>
                <w:rFonts w:cs="Arial"/>
                <w:sz w:val="20"/>
                <w:szCs w:val="20"/>
                <w:lang w:val="it-IT" w:eastAsia="en-US"/>
              </w:rPr>
              <w:t>201</w:t>
            </w:r>
            <w:r w:rsidRPr="00961B35">
              <w:rPr>
                <w:rFonts w:cs="Arial"/>
                <w:sz w:val="20"/>
                <w:szCs w:val="20"/>
                <w:lang w:eastAsia="en-US"/>
              </w:rPr>
              <w:t>8</w:t>
            </w:r>
          </w:p>
        </w:tc>
        <w:tc>
          <w:tcPr>
            <w:tcW w:w="1170" w:type="dxa"/>
            <w:vAlign w:val="center"/>
            <w:hideMark/>
          </w:tcPr>
          <w:p w:rsidR="00961B35" w:rsidRPr="00961B35" w:rsidRDefault="00961B35" w:rsidP="00961B35">
            <w:pPr>
              <w:spacing w:before="0" w:line="276" w:lineRule="auto"/>
              <w:ind w:firstLine="0"/>
              <w:contextualSpacing w:val="0"/>
              <w:jc w:val="center"/>
              <w:rPr>
                <w:rFonts w:cs="Arial"/>
                <w:sz w:val="20"/>
                <w:szCs w:val="20"/>
                <w:lang w:eastAsia="en-US"/>
              </w:rPr>
            </w:pPr>
            <w:r w:rsidRPr="00961B35">
              <w:rPr>
                <w:rFonts w:cs="Arial"/>
                <w:sz w:val="20"/>
                <w:szCs w:val="20"/>
                <w:lang w:val="it-IT" w:eastAsia="en-US"/>
              </w:rPr>
              <w:t>201</w:t>
            </w:r>
            <w:r w:rsidRPr="00961B35">
              <w:rPr>
                <w:rFonts w:cs="Arial"/>
                <w:sz w:val="20"/>
                <w:szCs w:val="20"/>
                <w:lang w:val="en-US" w:eastAsia="en-US"/>
              </w:rPr>
              <w:t>9</w:t>
            </w:r>
          </w:p>
        </w:tc>
        <w:tc>
          <w:tcPr>
            <w:tcW w:w="1170" w:type="dxa"/>
            <w:vAlign w:val="center"/>
            <w:hideMark/>
          </w:tcPr>
          <w:p w:rsidR="00961B35" w:rsidRPr="00961B35" w:rsidRDefault="00961B35" w:rsidP="00961B35">
            <w:pPr>
              <w:spacing w:before="0" w:line="276" w:lineRule="auto"/>
              <w:ind w:firstLine="0"/>
              <w:contextualSpacing w:val="0"/>
              <w:jc w:val="center"/>
              <w:rPr>
                <w:rFonts w:cs="Arial"/>
                <w:sz w:val="20"/>
                <w:szCs w:val="20"/>
                <w:lang w:val="en-US" w:eastAsia="en-US"/>
              </w:rPr>
            </w:pPr>
            <w:r w:rsidRPr="00961B35">
              <w:rPr>
                <w:rFonts w:cs="Arial"/>
                <w:sz w:val="20"/>
                <w:szCs w:val="20"/>
                <w:lang w:val="it-IT" w:eastAsia="en-US"/>
              </w:rPr>
              <w:t>2020</w:t>
            </w:r>
          </w:p>
        </w:tc>
      </w:tr>
      <w:tr w:rsidR="00961B35" w:rsidRPr="00961B35" w:rsidTr="00E52D4A">
        <w:trPr>
          <w:trHeight w:val="255"/>
        </w:trPr>
        <w:tc>
          <w:tcPr>
            <w:tcW w:w="3690" w:type="dxa"/>
            <w:noWrap/>
          </w:tcPr>
          <w:p w:rsidR="00961B35" w:rsidRPr="00961B35" w:rsidRDefault="00961B35" w:rsidP="00961B35">
            <w:pPr>
              <w:spacing w:before="0" w:line="276" w:lineRule="auto"/>
              <w:ind w:firstLine="450"/>
              <w:contextualSpacing w:val="0"/>
              <w:jc w:val="left"/>
              <w:rPr>
                <w:sz w:val="20"/>
                <w:szCs w:val="20"/>
                <w:lang w:val="it-IT" w:eastAsia="en-US"/>
              </w:rPr>
            </w:pPr>
          </w:p>
        </w:tc>
        <w:tc>
          <w:tcPr>
            <w:tcW w:w="1350" w:type="dxa"/>
            <w:vAlign w:val="center"/>
            <w:hideMark/>
          </w:tcPr>
          <w:p w:rsidR="00961B35" w:rsidRPr="00961B35" w:rsidRDefault="00961B35" w:rsidP="00961B35">
            <w:pPr>
              <w:spacing w:before="0" w:line="276" w:lineRule="auto"/>
              <w:ind w:firstLine="0"/>
              <w:contextualSpacing w:val="0"/>
              <w:jc w:val="center"/>
              <w:rPr>
                <w:rFonts w:cs="Sylfaen"/>
                <w:sz w:val="20"/>
                <w:szCs w:val="20"/>
                <w:lang w:val="en-US" w:eastAsia="en-US"/>
              </w:rPr>
            </w:pPr>
            <w:r w:rsidRPr="00961B35">
              <w:rPr>
                <w:rFonts w:cs="Sylfaen"/>
                <w:sz w:val="20"/>
                <w:szCs w:val="20"/>
                <w:lang w:val="en-US" w:eastAsia="en-US"/>
              </w:rPr>
              <w:t>փաստ</w:t>
            </w:r>
            <w:r w:rsidRPr="00961B35">
              <w:rPr>
                <w:rFonts w:cs="Sylfaen"/>
                <w:sz w:val="20"/>
                <w:szCs w:val="20"/>
                <w:lang w:val="it-IT" w:eastAsia="en-US"/>
              </w:rPr>
              <w:t>.</w:t>
            </w:r>
          </w:p>
        </w:tc>
        <w:tc>
          <w:tcPr>
            <w:tcW w:w="1170" w:type="dxa"/>
            <w:vAlign w:val="center"/>
            <w:hideMark/>
          </w:tcPr>
          <w:p w:rsidR="00961B35" w:rsidRPr="00961B35" w:rsidRDefault="00961B35" w:rsidP="00961B35">
            <w:pPr>
              <w:spacing w:before="0" w:line="276" w:lineRule="auto"/>
              <w:ind w:firstLine="0"/>
              <w:contextualSpacing w:val="0"/>
              <w:jc w:val="center"/>
              <w:rPr>
                <w:sz w:val="20"/>
                <w:szCs w:val="20"/>
                <w:lang w:val="en-US" w:eastAsia="en-US"/>
              </w:rPr>
            </w:pPr>
            <w:r w:rsidRPr="00961B35">
              <w:rPr>
                <w:rFonts w:cs="Sylfaen"/>
                <w:sz w:val="20"/>
                <w:szCs w:val="20"/>
                <w:lang w:val="en-US" w:eastAsia="en-US"/>
              </w:rPr>
              <w:t>փաստ</w:t>
            </w:r>
            <w:r w:rsidRPr="00961B35">
              <w:rPr>
                <w:rFonts w:cs="Sylfaen"/>
                <w:sz w:val="20"/>
                <w:szCs w:val="20"/>
                <w:lang w:val="it-IT" w:eastAsia="en-US"/>
              </w:rPr>
              <w:t>.</w:t>
            </w:r>
          </w:p>
        </w:tc>
        <w:tc>
          <w:tcPr>
            <w:tcW w:w="1260" w:type="dxa"/>
            <w:vAlign w:val="center"/>
            <w:hideMark/>
          </w:tcPr>
          <w:p w:rsidR="00961B35" w:rsidRPr="00961B35" w:rsidRDefault="00961B35" w:rsidP="00961B35">
            <w:pPr>
              <w:spacing w:before="0" w:line="276" w:lineRule="auto"/>
              <w:ind w:firstLine="0"/>
              <w:contextualSpacing w:val="0"/>
              <w:jc w:val="center"/>
              <w:rPr>
                <w:sz w:val="20"/>
                <w:szCs w:val="20"/>
                <w:lang w:val="en-US" w:eastAsia="en-US"/>
              </w:rPr>
            </w:pPr>
            <w:r w:rsidRPr="00961B35">
              <w:rPr>
                <w:rFonts w:cs="Sylfaen"/>
                <w:sz w:val="20"/>
                <w:szCs w:val="20"/>
                <w:lang w:val="en-US" w:eastAsia="en-US"/>
              </w:rPr>
              <w:t>փաստ</w:t>
            </w:r>
            <w:r w:rsidRPr="00961B35">
              <w:rPr>
                <w:rFonts w:cs="Sylfaen"/>
                <w:sz w:val="20"/>
                <w:szCs w:val="20"/>
                <w:lang w:val="it-IT" w:eastAsia="en-US"/>
              </w:rPr>
              <w:t>.</w:t>
            </w:r>
          </w:p>
        </w:tc>
        <w:tc>
          <w:tcPr>
            <w:tcW w:w="1170" w:type="dxa"/>
            <w:vAlign w:val="center"/>
            <w:hideMark/>
          </w:tcPr>
          <w:p w:rsidR="00961B35" w:rsidRPr="00961B35" w:rsidRDefault="00961B35" w:rsidP="00961B35">
            <w:pPr>
              <w:spacing w:before="0" w:line="276" w:lineRule="auto"/>
              <w:ind w:firstLine="0"/>
              <w:contextualSpacing w:val="0"/>
              <w:jc w:val="center"/>
              <w:rPr>
                <w:rFonts w:cs="Sylfaen"/>
                <w:sz w:val="20"/>
                <w:szCs w:val="20"/>
                <w:lang w:val="en-US" w:eastAsia="en-US"/>
              </w:rPr>
            </w:pPr>
            <w:r w:rsidRPr="00961B35">
              <w:rPr>
                <w:rFonts w:cs="Sylfaen"/>
                <w:sz w:val="20"/>
                <w:szCs w:val="20"/>
                <w:lang w:val="en-US" w:eastAsia="en-US"/>
              </w:rPr>
              <w:t>կանխ.</w:t>
            </w:r>
          </w:p>
        </w:tc>
        <w:tc>
          <w:tcPr>
            <w:tcW w:w="1170" w:type="dxa"/>
            <w:vAlign w:val="center"/>
            <w:hideMark/>
          </w:tcPr>
          <w:p w:rsidR="00961B35" w:rsidRPr="00961B35" w:rsidRDefault="00961B35" w:rsidP="00961B35">
            <w:pPr>
              <w:spacing w:before="0" w:line="276" w:lineRule="auto"/>
              <w:ind w:firstLine="0"/>
              <w:contextualSpacing w:val="0"/>
              <w:jc w:val="center"/>
              <w:rPr>
                <w:rFonts w:cs="Sylfaen"/>
                <w:sz w:val="20"/>
                <w:szCs w:val="20"/>
                <w:lang w:val="en-US" w:eastAsia="en-US"/>
              </w:rPr>
            </w:pPr>
            <w:r w:rsidRPr="00961B35">
              <w:rPr>
                <w:rFonts w:cs="Sylfaen"/>
                <w:sz w:val="20"/>
                <w:szCs w:val="20"/>
                <w:lang w:val="en-US" w:eastAsia="en-US"/>
              </w:rPr>
              <w:t>կանխ.</w:t>
            </w:r>
          </w:p>
        </w:tc>
      </w:tr>
      <w:tr w:rsidR="00961B35" w:rsidRPr="00961B35" w:rsidTr="00E52D4A">
        <w:trPr>
          <w:trHeight w:val="255"/>
        </w:trPr>
        <w:tc>
          <w:tcPr>
            <w:tcW w:w="3690" w:type="dxa"/>
            <w:noWrap/>
            <w:hideMark/>
          </w:tcPr>
          <w:p w:rsidR="00961B35" w:rsidRPr="00961B35" w:rsidRDefault="00961B35" w:rsidP="00961B35">
            <w:pPr>
              <w:spacing w:before="0" w:line="276" w:lineRule="auto"/>
              <w:ind w:firstLine="0"/>
              <w:contextualSpacing w:val="0"/>
              <w:jc w:val="left"/>
              <w:rPr>
                <w:sz w:val="20"/>
                <w:szCs w:val="20"/>
                <w:lang w:val="hy-AM" w:eastAsia="en-US"/>
              </w:rPr>
            </w:pPr>
            <w:r w:rsidRPr="00961B35">
              <w:rPr>
                <w:sz w:val="20"/>
                <w:szCs w:val="20"/>
                <w:lang w:val="hy-AM" w:eastAsia="en-US"/>
              </w:rPr>
              <w:t>ՀՆԱ</w:t>
            </w:r>
          </w:p>
        </w:tc>
        <w:tc>
          <w:tcPr>
            <w:tcW w:w="1350" w:type="dxa"/>
            <w:vAlign w:val="center"/>
            <w:hideMark/>
          </w:tcPr>
          <w:p w:rsidR="00961B35" w:rsidRPr="00961B35" w:rsidRDefault="00961B35" w:rsidP="00961B35">
            <w:pPr>
              <w:spacing w:before="0" w:line="240" w:lineRule="auto"/>
              <w:ind w:firstLine="0"/>
              <w:contextualSpacing w:val="0"/>
              <w:jc w:val="center"/>
              <w:rPr>
                <w:sz w:val="20"/>
                <w:szCs w:val="20"/>
                <w:lang w:val="en-US" w:eastAsia="en-US"/>
              </w:rPr>
            </w:pPr>
            <w:r w:rsidRPr="00961B35">
              <w:rPr>
                <w:sz w:val="20"/>
                <w:szCs w:val="20"/>
                <w:lang w:val="en-US" w:eastAsia="en-US"/>
              </w:rPr>
              <w:t>0.2</w:t>
            </w:r>
          </w:p>
        </w:tc>
        <w:tc>
          <w:tcPr>
            <w:tcW w:w="1170" w:type="dxa"/>
            <w:tcBorders>
              <w:top w:val="single" w:sz="4" w:space="0" w:color="000000"/>
              <w:left w:val="single" w:sz="4" w:space="0" w:color="000000"/>
              <w:bottom w:val="single" w:sz="4" w:space="0" w:color="000000"/>
              <w:right w:val="single" w:sz="4" w:space="0" w:color="000000"/>
            </w:tcBorders>
            <w:vAlign w:val="bottom"/>
            <w:hideMark/>
          </w:tcPr>
          <w:p w:rsidR="00961B35" w:rsidRPr="00961B35" w:rsidRDefault="00961B35" w:rsidP="00961B35">
            <w:pPr>
              <w:spacing w:before="0" w:line="240" w:lineRule="auto"/>
              <w:ind w:firstLine="0"/>
              <w:contextualSpacing w:val="0"/>
              <w:jc w:val="center"/>
              <w:rPr>
                <w:sz w:val="20"/>
                <w:szCs w:val="20"/>
                <w:lang w:val="en-US" w:eastAsia="en-US"/>
              </w:rPr>
            </w:pPr>
            <w:r w:rsidRPr="00961B35">
              <w:rPr>
                <w:sz w:val="20"/>
                <w:szCs w:val="20"/>
                <w:lang w:val="en-US" w:eastAsia="en-US"/>
              </w:rPr>
              <w:t>7.5</w:t>
            </w:r>
          </w:p>
        </w:tc>
        <w:tc>
          <w:tcPr>
            <w:tcW w:w="1260" w:type="dxa"/>
            <w:tcBorders>
              <w:top w:val="single" w:sz="4" w:space="0" w:color="000000"/>
              <w:left w:val="nil"/>
              <w:bottom w:val="single" w:sz="4" w:space="0" w:color="000000"/>
              <w:right w:val="single" w:sz="4" w:space="0" w:color="000000"/>
            </w:tcBorders>
            <w:vAlign w:val="bottom"/>
            <w:hideMark/>
          </w:tcPr>
          <w:p w:rsidR="00961B35" w:rsidRPr="00961B35" w:rsidRDefault="00961B35" w:rsidP="00961B35">
            <w:pPr>
              <w:spacing w:before="0" w:line="240" w:lineRule="auto"/>
              <w:ind w:firstLine="0"/>
              <w:contextualSpacing w:val="0"/>
              <w:jc w:val="center"/>
              <w:rPr>
                <w:sz w:val="20"/>
                <w:szCs w:val="20"/>
                <w:lang w:val="en-US" w:eastAsia="en-US"/>
              </w:rPr>
            </w:pPr>
            <w:r w:rsidRPr="00961B35">
              <w:rPr>
                <w:sz w:val="20"/>
                <w:szCs w:val="20"/>
                <w:lang w:val="en-US" w:eastAsia="en-US"/>
              </w:rPr>
              <w:t>5.2</w:t>
            </w:r>
          </w:p>
        </w:tc>
        <w:tc>
          <w:tcPr>
            <w:tcW w:w="1170" w:type="dxa"/>
            <w:hideMark/>
          </w:tcPr>
          <w:p w:rsidR="00961B35" w:rsidRPr="00961B35" w:rsidRDefault="00961B35" w:rsidP="00961B35">
            <w:pPr>
              <w:spacing w:before="0" w:line="240" w:lineRule="auto"/>
              <w:ind w:firstLine="0"/>
              <w:contextualSpacing w:val="0"/>
              <w:jc w:val="center"/>
              <w:rPr>
                <w:sz w:val="20"/>
                <w:szCs w:val="20"/>
                <w:lang w:val="en-US" w:eastAsia="en-US"/>
              </w:rPr>
            </w:pPr>
            <w:r w:rsidRPr="00961B35">
              <w:rPr>
                <w:sz w:val="20"/>
                <w:szCs w:val="20"/>
                <w:lang w:val="en-US" w:eastAsia="en-US"/>
              </w:rPr>
              <w:t>6.3</w:t>
            </w:r>
          </w:p>
        </w:tc>
        <w:tc>
          <w:tcPr>
            <w:tcW w:w="1170" w:type="dxa"/>
            <w:hideMark/>
          </w:tcPr>
          <w:p w:rsidR="00961B35" w:rsidRPr="00961B35" w:rsidRDefault="00961B35" w:rsidP="00961B35">
            <w:pPr>
              <w:spacing w:before="0" w:line="240" w:lineRule="auto"/>
              <w:ind w:firstLine="0"/>
              <w:contextualSpacing w:val="0"/>
              <w:jc w:val="center"/>
              <w:rPr>
                <w:sz w:val="20"/>
                <w:szCs w:val="20"/>
                <w:lang w:val="en-US" w:eastAsia="en-US"/>
              </w:rPr>
            </w:pPr>
            <w:r w:rsidRPr="00961B35">
              <w:rPr>
                <w:sz w:val="20"/>
                <w:szCs w:val="20"/>
                <w:lang w:val="en-US" w:eastAsia="en-US"/>
              </w:rPr>
              <w:t>4.9</w:t>
            </w:r>
          </w:p>
        </w:tc>
      </w:tr>
      <w:tr w:rsidR="00961B35" w:rsidRPr="00961B35" w:rsidTr="00E52D4A">
        <w:trPr>
          <w:trHeight w:val="255"/>
        </w:trPr>
        <w:tc>
          <w:tcPr>
            <w:tcW w:w="3690" w:type="dxa"/>
            <w:noWrap/>
            <w:hideMark/>
          </w:tcPr>
          <w:p w:rsidR="00961B35" w:rsidRPr="00961B35" w:rsidRDefault="00961B35" w:rsidP="00961B35">
            <w:pPr>
              <w:spacing w:before="0" w:line="276" w:lineRule="auto"/>
              <w:ind w:firstLine="0"/>
              <w:contextualSpacing w:val="0"/>
              <w:jc w:val="left"/>
              <w:rPr>
                <w:sz w:val="20"/>
                <w:szCs w:val="20"/>
                <w:lang w:val="it-IT" w:eastAsia="en-US"/>
              </w:rPr>
            </w:pPr>
            <w:r w:rsidRPr="00961B35">
              <w:rPr>
                <w:rFonts w:cs="Sylfaen"/>
                <w:sz w:val="20"/>
                <w:szCs w:val="20"/>
                <w:lang w:val="en-US" w:eastAsia="en-US"/>
              </w:rPr>
              <w:t xml:space="preserve">  Արդյունաբերություն</w:t>
            </w:r>
          </w:p>
        </w:tc>
        <w:tc>
          <w:tcPr>
            <w:tcW w:w="1350" w:type="dxa"/>
            <w:vAlign w:val="center"/>
            <w:hideMark/>
          </w:tcPr>
          <w:p w:rsidR="00961B35" w:rsidRPr="00961B35" w:rsidRDefault="00961B35" w:rsidP="00961B35">
            <w:pPr>
              <w:spacing w:before="0" w:line="240" w:lineRule="auto"/>
              <w:ind w:firstLine="0"/>
              <w:contextualSpacing w:val="0"/>
              <w:jc w:val="center"/>
              <w:rPr>
                <w:sz w:val="20"/>
                <w:szCs w:val="20"/>
                <w:lang w:val="en-US" w:eastAsia="en-US"/>
              </w:rPr>
            </w:pPr>
            <w:r w:rsidRPr="00961B35">
              <w:rPr>
                <w:sz w:val="20"/>
                <w:szCs w:val="20"/>
                <w:lang w:val="en-US" w:eastAsia="en-US"/>
              </w:rPr>
              <w:t>7.6</w:t>
            </w:r>
          </w:p>
        </w:tc>
        <w:tc>
          <w:tcPr>
            <w:tcW w:w="1170" w:type="dxa"/>
            <w:tcBorders>
              <w:top w:val="nil"/>
              <w:left w:val="single" w:sz="4" w:space="0" w:color="000000"/>
              <w:bottom w:val="single" w:sz="4" w:space="0" w:color="000000"/>
              <w:right w:val="single" w:sz="4" w:space="0" w:color="000000"/>
            </w:tcBorders>
            <w:vAlign w:val="bottom"/>
            <w:hideMark/>
          </w:tcPr>
          <w:p w:rsidR="00961B35" w:rsidRPr="00961B35" w:rsidRDefault="00961B35" w:rsidP="00961B35">
            <w:pPr>
              <w:spacing w:before="0" w:line="240" w:lineRule="auto"/>
              <w:ind w:firstLine="0"/>
              <w:contextualSpacing w:val="0"/>
              <w:jc w:val="center"/>
              <w:rPr>
                <w:sz w:val="20"/>
                <w:szCs w:val="20"/>
                <w:lang w:val="en-US" w:eastAsia="en-US"/>
              </w:rPr>
            </w:pPr>
            <w:r w:rsidRPr="00961B35">
              <w:rPr>
                <w:sz w:val="20"/>
                <w:szCs w:val="20"/>
                <w:lang w:val="en-US" w:eastAsia="en-US"/>
              </w:rPr>
              <w:t>11.8</w:t>
            </w:r>
          </w:p>
        </w:tc>
        <w:tc>
          <w:tcPr>
            <w:tcW w:w="1260" w:type="dxa"/>
            <w:tcBorders>
              <w:top w:val="nil"/>
              <w:left w:val="nil"/>
              <w:bottom w:val="single" w:sz="4" w:space="0" w:color="000000"/>
              <w:right w:val="single" w:sz="4" w:space="0" w:color="000000"/>
            </w:tcBorders>
            <w:vAlign w:val="bottom"/>
            <w:hideMark/>
          </w:tcPr>
          <w:p w:rsidR="00961B35" w:rsidRPr="00961B35" w:rsidRDefault="00961B35" w:rsidP="00961B35">
            <w:pPr>
              <w:spacing w:before="0" w:line="240" w:lineRule="auto"/>
              <w:ind w:firstLine="0"/>
              <w:contextualSpacing w:val="0"/>
              <w:jc w:val="center"/>
              <w:rPr>
                <w:sz w:val="20"/>
                <w:szCs w:val="20"/>
                <w:lang w:val="en-US" w:eastAsia="en-US"/>
              </w:rPr>
            </w:pPr>
            <w:r w:rsidRPr="00961B35">
              <w:rPr>
                <w:sz w:val="20"/>
                <w:szCs w:val="20"/>
                <w:lang w:val="en-US" w:eastAsia="en-US"/>
              </w:rPr>
              <w:t>5.8</w:t>
            </w:r>
          </w:p>
        </w:tc>
        <w:tc>
          <w:tcPr>
            <w:tcW w:w="1170" w:type="dxa"/>
            <w:hideMark/>
          </w:tcPr>
          <w:p w:rsidR="00961B35" w:rsidRPr="00961B35" w:rsidRDefault="00961B35" w:rsidP="00961B35">
            <w:pPr>
              <w:spacing w:before="0" w:line="240" w:lineRule="auto"/>
              <w:ind w:firstLine="0"/>
              <w:contextualSpacing w:val="0"/>
              <w:jc w:val="center"/>
              <w:rPr>
                <w:sz w:val="20"/>
                <w:szCs w:val="20"/>
                <w:lang w:val="en-US" w:eastAsia="en-US"/>
              </w:rPr>
            </w:pPr>
            <w:r w:rsidRPr="00961B35">
              <w:rPr>
                <w:sz w:val="20"/>
                <w:szCs w:val="20"/>
                <w:lang w:val="en-US" w:eastAsia="en-US"/>
              </w:rPr>
              <w:t>6.5</w:t>
            </w:r>
          </w:p>
        </w:tc>
        <w:tc>
          <w:tcPr>
            <w:tcW w:w="1170" w:type="dxa"/>
            <w:hideMark/>
          </w:tcPr>
          <w:p w:rsidR="00961B35" w:rsidRPr="00961B35" w:rsidRDefault="00961B35" w:rsidP="00961B35">
            <w:pPr>
              <w:spacing w:before="0" w:line="240" w:lineRule="auto"/>
              <w:ind w:firstLine="0"/>
              <w:contextualSpacing w:val="0"/>
              <w:jc w:val="center"/>
              <w:rPr>
                <w:sz w:val="20"/>
                <w:szCs w:val="20"/>
                <w:lang w:val="en-US" w:eastAsia="en-US"/>
              </w:rPr>
            </w:pPr>
            <w:r w:rsidRPr="00961B35">
              <w:rPr>
                <w:sz w:val="20"/>
                <w:szCs w:val="20"/>
                <w:lang w:val="en-US" w:eastAsia="en-US"/>
              </w:rPr>
              <w:t>5.0</w:t>
            </w:r>
          </w:p>
        </w:tc>
      </w:tr>
      <w:tr w:rsidR="00961B35" w:rsidRPr="00961B35" w:rsidTr="00E52D4A">
        <w:trPr>
          <w:trHeight w:val="255"/>
        </w:trPr>
        <w:tc>
          <w:tcPr>
            <w:tcW w:w="3690" w:type="dxa"/>
            <w:noWrap/>
            <w:hideMark/>
          </w:tcPr>
          <w:p w:rsidR="00961B35" w:rsidRPr="00961B35" w:rsidRDefault="00961B35" w:rsidP="00961B35">
            <w:pPr>
              <w:spacing w:before="0" w:line="276" w:lineRule="auto"/>
              <w:ind w:firstLine="0"/>
              <w:contextualSpacing w:val="0"/>
              <w:jc w:val="left"/>
              <w:rPr>
                <w:sz w:val="20"/>
                <w:szCs w:val="20"/>
                <w:lang w:val="en-US" w:eastAsia="en-US"/>
              </w:rPr>
            </w:pPr>
            <w:r w:rsidRPr="00961B35">
              <w:rPr>
                <w:rFonts w:cs="Sylfaen"/>
                <w:sz w:val="20"/>
                <w:szCs w:val="20"/>
                <w:lang w:val="en-US" w:eastAsia="en-US"/>
              </w:rPr>
              <w:t xml:space="preserve">  Գյուղատնտեսություն</w:t>
            </w:r>
          </w:p>
        </w:tc>
        <w:tc>
          <w:tcPr>
            <w:tcW w:w="1350" w:type="dxa"/>
            <w:vAlign w:val="center"/>
            <w:hideMark/>
          </w:tcPr>
          <w:p w:rsidR="00961B35" w:rsidRPr="00961B35" w:rsidRDefault="00961B35" w:rsidP="00961B35">
            <w:pPr>
              <w:spacing w:before="0" w:line="240" w:lineRule="auto"/>
              <w:ind w:firstLine="0"/>
              <w:contextualSpacing w:val="0"/>
              <w:jc w:val="center"/>
              <w:rPr>
                <w:sz w:val="20"/>
                <w:szCs w:val="20"/>
                <w:lang w:val="en-US" w:eastAsia="en-US"/>
              </w:rPr>
            </w:pPr>
            <w:r w:rsidRPr="00961B35">
              <w:rPr>
                <w:sz w:val="20"/>
                <w:szCs w:val="20"/>
                <w:lang w:val="en-US" w:eastAsia="en-US"/>
              </w:rPr>
              <w:t>-5.0</w:t>
            </w:r>
          </w:p>
        </w:tc>
        <w:tc>
          <w:tcPr>
            <w:tcW w:w="1170" w:type="dxa"/>
            <w:tcBorders>
              <w:top w:val="nil"/>
              <w:left w:val="single" w:sz="4" w:space="0" w:color="000000"/>
              <w:bottom w:val="single" w:sz="4" w:space="0" w:color="000000"/>
              <w:right w:val="single" w:sz="4" w:space="0" w:color="000000"/>
            </w:tcBorders>
            <w:vAlign w:val="bottom"/>
            <w:hideMark/>
          </w:tcPr>
          <w:p w:rsidR="00961B35" w:rsidRPr="00961B35" w:rsidRDefault="00961B35" w:rsidP="00961B35">
            <w:pPr>
              <w:spacing w:before="0" w:line="240" w:lineRule="auto"/>
              <w:ind w:firstLine="0"/>
              <w:contextualSpacing w:val="0"/>
              <w:jc w:val="center"/>
              <w:rPr>
                <w:sz w:val="20"/>
                <w:szCs w:val="20"/>
                <w:lang w:val="en-US" w:eastAsia="en-US"/>
              </w:rPr>
            </w:pPr>
            <w:r w:rsidRPr="00961B35">
              <w:rPr>
                <w:sz w:val="20"/>
                <w:szCs w:val="20"/>
                <w:lang w:val="en-US" w:eastAsia="en-US"/>
              </w:rPr>
              <w:t>-5.1</w:t>
            </w:r>
          </w:p>
        </w:tc>
        <w:tc>
          <w:tcPr>
            <w:tcW w:w="1260" w:type="dxa"/>
            <w:tcBorders>
              <w:top w:val="nil"/>
              <w:left w:val="nil"/>
              <w:bottom w:val="single" w:sz="4" w:space="0" w:color="000000"/>
              <w:right w:val="single" w:sz="4" w:space="0" w:color="000000"/>
            </w:tcBorders>
            <w:vAlign w:val="bottom"/>
            <w:hideMark/>
          </w:tcPr>
          <w:p w:rsidR="00961B35" w:rsidRPr="00961B35" w:rsidRDefault="00961B35" w:rsidP="00961B35">
            <w:pPr>
              <w:spacing w:before="0" w:line="240" w:lineRule="auto"/>
              <w:ind w:firstLine="0"/>
              <w:contextualSpacing w:val="0"/>
              <w:jc w:val="center"/>
              <w:rPr>
                <w:sz w:val="20"/>
                <w:szCs w:val="20"/>
                <w:lang w:val="en-US" w:eastAsia="en-US"/>
              </w:rPr>
            </w:pPr>
            <w:r w:rsidRPr="00961B35">
              <w:rPr>
                <w:sz w:val="20"/>
                <w:szCs w:val="20"/>
                <w:lang w:val="en-US" w:eastAsia="en-US"/>
              </w:rPr>
              <w:t>-8.5</w:t>
            </w:r>
          </w:p>
        </w:tc>
        <w:tc>
          <w:tcPr>
            <w:tcW w:w="1170" w:type="dxa"/>
            <w:hideMark/>
          </w:tcPr>
          <w:p w:rsidR="00961B35" w:rsidRPr="00961B35" w:rsidRDefault="00961B35" w:rsidP="00961B35">
            <w:pPr>
              <w:spacing w:before="0" w:line="240" w:lineRule="auto"/>
              <w:ind w:firstLine="0"/>
              <w:contextualSpacing w:val="0"/>
              <w:jc w:val="center"/>
              <w:rPr>
                <w:sz w:val="20"/>
                <w:szCs w:val="20"/>
                <w:lang w:val="en-US" w:eastAsia="en-US"/>
              </w:rPr>
            </w:pPr>
            <w:r w:rsidRPr="00961B35">
              <w:rPr>
                <w:sz w:val="20"/>
                <w:szCs w:val="20"/>
                <w:lang w:val="en-US" w:eastAsia="en-US"/>
              </w:rPr>
              <w:t>0.2</w:t>
            </w:r>
          </w:p>
        </w:tc>
        <w:tc>
          <w:tcPr>
            <w:tcW w:w="1170" w:type="dxa"/>
            <w:hideMark/>
          </w:tcPr>
          <w:p w:rsidR="00961B35" w:rsidRPr="00961B35" w:rsidRDefault="00961B35" w:rsidP="00961B35">
            <w:pPr>
              <w:spacing w:before="0" w:line="240" w:lineRule="auto"/>
              <w:ind w:firstLine="0"/>
              <w:contextualSpacing w:val="0"/>
              <w:jc w:val="center"/>
              <w:rPr>
                <w:sz w:val="20"/>
                <w:szCs w:val="20"/>
                <w:lang w:val="en-US" w:eastAsia="en-US"/>
              </w:rPr>
            </w:pPr>
            <w:r w:rsidRPr="00961B35">
              <w:rPr>
                <w:sz w:val="20"/>
                <w:szCs w:val="20"/>
                <w:lang w:val="en-US" w:eastAsia="en-US"/>
              </w:rPr>
              <w:t>0.5</w:t>
            </w:r>
          </w:p>
        </w:tc>
      </w:tr>
      <w:tr w:rsidR="00961B35" w:rsidRPr="00961B35" w:rsidTr="00E52D4A">
        <w:trPr>
          <w:trHeight w:val="243"/>
        </w:trPr>
        <w:tc>
          <w:tcPr>
            <w:tcW w:w="3690" w:type="dxa"/>
            <w:noWrap/>
            <w:hideMark/>
          </w:tcPr>
          <w:p w:rsidR="00961B35" w:rsidRPr="00961B35" w:rsidRDefault="00961B35" w:rsidP="00961B35">
            <w:pPr>
              <w:spacing w:before="0" w:line="276" w:lineRule="auto"/>
              <w:ind w:firstLine="0"/>
              <w:contextualSpacing w:val="0"/>
              <w:jc w:val="left"/>
              <w:rPr>
                <w:sz w:val="20"/>
                <w:szCs w:val="20"/>
                <w:lang w:val="en-US" w:eastAsia="en-US"/>
              </w:rPr>
            </w:pPr>
            <w:r w:rsidRPr="00961B35">
              <w:rPr>
                <w:rFonts w:cs="Sylfaen"/>
                <w:sz w:val="20"/>
                <w:szCs w:val="20"/>
                <w:lang w:val="en-US" w:eastAsia="en-US"/>
              </w:rPr>
              <w:t xml:space="preserve">  Շինարարություն</w:t>
            </w:r>
          </w:p>
        </w:tc>
        <w:tc>
          <w:tcPr>
            <w:tcW w:w="1350" w:type="dxa"/>
            <w:vAlign w:val="center"/>
            <w:hideMark/>
          </w:tcPr>
          <w:p w:rsidR="00961B35" w:rsidRPr="00961B35" w:rsidRDefault="00961B35" w:rsidP="00961B35">
            <w:pPr>
              <w:spacing w:before="0" w:line="240" w:lineRule="auto"/>
              <w:ind w:firstLine="0"/>
              <w:contextualSpacing w:val="0"/>
              <w:jc w:val="center"/>
              <w:rPr>
                <w:sz w:val="20"/>
                <w:szCs w:val="20"/>
                <w:lang w:val="en-US" w:eastAsia="en-US"/>
              </w:rPr>
            </w:pPr>
            <w:r w:rsidRPr="00961B35">
              <w:rPr>
                <w:sz w:val="20"/>
                <w:szCs w:val="20"/>
                <w:lang w:val="en-US" w:eastAsia="en-US"/>
              </w:rPr>
              <w:t>-14.1</w:t>
            </w:r>
          </w:p>
        </w:tc>
        <w:tc>
          <w:tcPr>
            <w:tcW w:w="1170" w:type="dxa"/>
            <w:tcBorders>
              <w:top w:val="nil"/>
              <w:left w:val="single" w:sz="4" w:space="0" w:color="000000"/>
              <w:bottom w:val="single" w:sz="4" w:space="0" w:color="000000"/>
              <w:right w:val="single" w:sz="4" w:space="0" w:color="000000"/>
            </w:tcBorders>
            <w:vAlign w:val="bottom"/>
            <w:hideMark/>
          </w:tcPr>
          <w:p w:rsidR="00961B35" w:rsidRPr="00961B35" w:rsidRDefault="00961B35" w:rsidP="00961B35">
            <w:pPr>
              <w:spacing w:before="0" w:line="240" w:lineRule="auto"/>
              <w:ind w:firstLine="0"/>
              <w:contextualSpacing w:val="0"/>
              <w:jc w:val="center"/>
              <w:rPr>
                <w:sz w:val="20"/>
                <w:szCs w:val="20"/>
                <w:lang w:val="en-US" w:eastAsia="en-US"/>
              </w:rPr>
            </w:pPr>
            <w:r w:rsidRPr="00961B35">
              <w:rPr>
                <w:sz w:val="20"/>
                <w:szCs w:val="20"/>
                <w:lang w:val="en-US" w:eastAsia="en-US"/>
              </w:rPr>
              <w:t>2.8</w:t>
            </w:r>
          </w:p>
        </w:tc>
        <w:tc>
          <w:tcPr>
            <w:tcW w:w="1260" w:type="dxa"/>
            <w:tcBorders>
              <w:top w:val="nil"/>
              <w:left w:val="nil"/>
              <w:bottom w:val="single" w:sz="4" w:space="0" w:color="000000"/>
              <w:right w:val="single" w:sz="4" w:space="0" w:color="000000"/>
            </w:tcBorders>
            <w:vAlign w:val="bottom"/>
            <w:hideMark/>
          </w:tcPr>
          <w:p w:rsidR="00961B35" w:rsidRPr="00961B35" w:rsidRDefault="00961B35" w:rsidP="00961B35">
            <w:pPr>
              <w:spacing w:before="0" w:line="240" w:lineRule="auto"/>
              <w:ind w:firstLine="0"/>
              <w:contextualSpacing w:val="0"/>
              <w:jc w:val="center"/>
              <w:rPr>
                <w:sz w:val="20"/>
                <w:szCs w:val="20"/>
                <w:lang w:val="en-US" w:eastAsia="en-US"/>
              </w:rPr>
            </w:pPr>
            <w:r w:rsidRPr="00961B35">
              <w:rPr>
                <w:sz w:val="20"/>
                <w:szCs w:val="20"/>
                <w:lang w:val="en-US" w:eastAsia="en-US"/>
              </w:rPr>
              <w:t>0.8</w:t>
            </w:r>
          </w:p>
        </w:tc>
        <w:tc>
          <w:tcPr>
            <w:tcW w:w="1170" w:type="dxa"/>
            <w:hideMark/>
          </w:tcPr>
          <w:p w:rsidR="00961B35" w:rsidRPr="00961B35" w:rsidRDefault="00961B35" w:rsidP="00961B35">
            <w:pPr>
              <w:spacing w:before="0" w:line="240" w:lineRule="auto"/>
              <w:ind w:firstLine="0"/>
              <w:contextualSpacing w:val="0"/>
              <w:jc w:val="center"/>
              <w:rPr>
                <w:sz w:val="20"/>
                <w:szCs w:val="20"/>
                <w:lang w:val="en-US" w:eastAsia="en-US"/>
              </w:rPr>
            </w:pPr>
            <w:r w:rsidRPr="00961B35">
              <w:rPr>
                <w:sz w:val="20"/>
                <w:szCs w:val="20"/>
                <w:lang w:val="en-US" w:eastAsia="en-US"/>
              </w:rPr>
              <w:t>4.0</w:t>
            </w:r>
          </w:p>
        </w:tc>
        <w:tc>
          <w:tcPr>
            <w:tcW w:w="1170" w:type="dxa"/>
            <w:hideMark/>
          </w:tcPr>
          <w:p w:rsidR="00961B35" w:rsidRPr="00961B35" w:rsidRDefault="00961B35" w:rsidP="00961B35">
            <w:pPr>
              <w:spacing w:before="0" w:line="240" w:lineRule="auto"/>
              <w:ind w:firstLine="0"/>
              <w:contextualSpacing w:val="0"/>
              <w:jc w:val="center"/>
              <w:rPr>
                <w:sz w:val="20"/>
                <w:szCs w:val="20"/>
                <w:lang w:val="en-US" w:eastAsia="en-US"/>
              </w:rPr>
            </w:pPr>
            <w:r w:rsidRPr="00961B35">
              <w:rPr>
                <w:sz w:val="20"/>
                <w:szCs w:val="20"/>
                <w:lang w:val="en-US" w:eastAsia="en-US"/>
              </w:rPr>
              <w:t>4.0</w:t>
            </w:r>
          </w:p>
        </w:tc>
      </w:tr>
      <w:tr w:rsidR="00961B35" w:rsidRPr="00961B35" w:rsidTr="00E52D4A">
        <w:trPr>
          <w:trHeight w:val="255"/>
        </w:trPr>
        <w:tc>
          <w:tcPr>
            <w:tcW w:w="3690" w:type="dxa"/>
            <w:noWrap/>
            <w:hideMark/>
          </w:tcPr>
          <w:p w:rsidR="00961B35" w:rsidRPr="00961B35" w:rsidRDefault="00961B35" w:rsidP="00961B35">
            <w:pPr>
              <w:spacing w:before="0" w:line="276" w:lineRule="auto"/>
              <w:ind w:firstLine="0"/>
              <w:contextualSpacing w:val="0"/>
              <w:jc w:val="left"/>
              <w:rPr>
                <w:sz w:val="20"/>
                <w:szCs w:val="20"/>
                <w:lang w:val="en-US" w:eastAsia="en-US"/>
              </w:rPr>
            </w:pPr>
            <w:r w:rsidRPr="00961B35">
              <w:rPr>
                <w:rFonts w:cs="Sylfaen"/>
                <w:sz w:val="20"/>
                <w:szCs w:val="20"/>
                <w:lang w:val="en-US" w:eastAsia="en-US"/>
              </w:rPr>
              <w:t xml:space="preserve">  Ծառայություններ</w:t>
            </w:r>
          </w:p>
        </w:tc>
        <w:tc>
          <w:tcPr>
            <w:tcW w:w="1350" w:type="dxa"/>
            <w:vAlign w:val="center"/>
            <w:hideMark/>
          </w:tcPr>
          <w:p w:rsidR="00961B35" w:rsidRPr="00961B35" w:rsidRDefault="00961B35" w:rsidP="00961B35">
            <w:pPr>
              <w:spacing w:before="0" w:line="240" w:lineRule="auto"/>
              <w:ind w:firstLine="0"/>
              <w:contextualSpacing w:val="0"/>
              <w:jc w:val="center"/>
              <w:rPr>
                <w:sz w:val="20"/>
                <w:szCs w:val="20"/>
                <w:lang w:val="en-US" w:eastAsia="en-US"/>
              </w:rPr>
            </w:pPr>
            <w:r w:rsidRPr="00961B35">
              <w:rPr>
                <w:sz w:val="20"/>
                <w:szCs w:val="20"/>
                <w:lang w:val="en-US" w:eastAsia="en-US"/>
              </w:rPr>
              <w:t>3.2</w:t>
            </w:r>
          </w:p>
        </w:tc>
        <w:tc>
          <w:tcPr>
            <w:tcW w:w="1170" w:type="dxa"/>
            <w:tcBorders>
              <w:top w:val="nil"/>
              <w:left w:val="single" w:sz="4" w:space="0" w:color="000000"/>
              <w:bottom w:val="single" w:sz="4" w:space="0" w:color="000000"/>
              <w:right w:val="single" w:sz="4" w:space="0" w:color="000000"/>
            </w:tcBorders>
            <w:vAlign w:val="bottom"/>
            <w:hideMark/>
          </w:tcPr>
          <w:p w:rsidR="00961B35" w:rsidRPr="00961B35" w:rsidRDefault="00961B35" w:rsidP="00961B35">
            <w:pPr>
              <w:spacing w:before="0" w:line="240" w:lineRule="auto"/>
              <w:ind w:firstLine="0"/>
              <w:contextualSpacing w:val="0"/>
              <w:jc w:val="center"/>
              <w:rPr>
                <w:sz w:val="20"/>
                <w:szCs w:val="20"/>
                <w:lang w:val="en-US" w:eastAsia="en-US"/>
              </w:rPr>
            </w:pPr>
            <w:r w:rsidRPr="00961B35">
              <w:rPr>
                <w:sz w:val="20"/>
                <w:szCs w:val="20"/>
                <w:lang w:val="en-US" w:eastAsia="en-US"/>
              </w:rPr>
              <w:t>10.6</w:t>
            </w:r>
          </w:p>
        </w:tc>
        <w:tc>
          <w:tcPr>
            <w:tcW w:w="1260" w:type="dxa"/>
            <w:tcBorders>
              <w:top w:val="nil"/>
              <w:left w:val="nil"/>
              <w:bottom w:val="single" w:sz="4" w:space="0" w:color="000000"/>
              <w:right w:val="single" w:sz="4" w:space="0" w:color="000000"/>
            </w:tcBorders>
            <w:vAlign w:val="bottom"/>
            <w:hideMark/>
          </w:tcPr>
          <w:p w:rsidR="00961B35" w:rsidRPr="00961B35" w:rsidRDefault="00961B35" w:rsidP="00961B35">
            <w:pPr>
              <w:spacing w:before="0" w:line="240" w:lineRule="auto"/>
              <w:ind w:firstLine="0"/>
              <w:contextualSpacing w:val="0"/>
              <w:jc w:val="center"/>
              <w:rPr>
                <w:sz w:val="20"/>
                <w:szCs w:val="20"/>
                <w:lang w:val="en-US" w:eastAsia="en-US"/>
              </w:rPr>
            </w:pPr>
            <w:r w:rsidRPr="00961B35">
              <w:rPr>
                <w:sz w:val="20"/>
                <w:szCs w:val="20"/>
                <w:lang w:val="en-US" w:eastAsia="en-US"/>
              </w:rPr>
              <w:t>9.3</w:t>
            </w:r>
          </w:p>
        </w:tc>
        <w:tc>
          <w:tcPr>
            <w:tcW w:w="1170" w:type="dxa"/>
            <w:hideMark/>
          </w:tcPr>
          <w:p w:rsidR="00961B35" w:rsidRPr="00961B35" w:rsidRDefault="00961B35" w:rsidP="00961B35">
            <w:pPr>
              <w:spacing w:before="0" w:line="240" w:lineRule="auto"/>
              <w:ind w:firstLine="0"/>
              <w:contextualSpacing w:val="0"/>
              <w:jc w:val="center"/>
              <w:rPr>
                <w:sz w:val="20"/>
                <w:szCs w:val="20"/>
                <w:lang w:val="en-US" w:eastAsia="en-US"/>
              </w:rPr>
            </w:pPr>
            <w:r w:rsidRPr="00961B35">
              <w:rPr>
                <w:sz w:val="20"/>
                <w:szCs w:val="20"/>
                <w:lang w:val="en-US" w:eastAsia="en-US"/>
              </w:rPr>
              <w:t>8.1</w:t>
            </w:r>
          </w:p>
        </w:tc>
        <w:tc>
          <w:tcPr>
            <w:tcW w:w="1170" w:type="dxa"/>
            <w:hideMark/>
          </w:tcPr>
          <w:p w:rsidR="00961B35" w:rsidRPr="00961B35" w:rsidRDefault="00961B35" w:rsidP="00961B35">
            <w:pPr>
              <w:spacing w:before="0" w:line="240" w:lineRule="auto"/>
              <w:ind w:firstLine="0"/>
              <w:contextualSpacing w:val="0"/>
              <w:jc w:val="center"/>
              <w:rPr>
                <w:sz w:val="20"/>
                <w:szCs w:val="20"/>
                <w:lang w:val="en-US" w:eastAsia="en-US"/>
              </w:rPr>
            </w:pPr>
            <w:r w:rsidRPr="00961B35">
              <w:rPr>
                <w:sz w:val="20"/>
                <w:szCs w:val="20"/>
                <w:lang w:val="en-US" w:eastAsia="en-US"/>
              </w:rPr>
              <w:t>6.0</w:t>
            </w:r>
          </w:p>
        </w:tc>
      </w:tr>
      <w:tr w:rsidR="00961B35" w:rsidRPr="00961B35" w:rsidTr="00E52D4A">
        <w:trPr>
          <w:trHeight w:val="419"/>
        </w:trPr>
        <w:tc>
          <w:tcPr>
            <w:tcW w:w="3690" w:type="dxa"/>
            <w:noWrap/>
            <w:hideMark/>
          </w:tcPr>
          <w:p w:rsidR="00961B35" w:rsidRPr="00961B35" w:rsidRDefault="00961B35" w:rsidP="00961B35">
            <w:pPr>
              <w:spacing w:before="0" w:line="276" w:lineRule="auto"/>
              <w:ind w:firstLine="0"/>
              <w:contextualSpacing w:val="0"/>
              <w:jc w:val="left"/>
              <w:rPr>
                <w:sz w:val="20"/>
                <w:szCs w:val="20"/>
                <w:lang w:val="en-US" w:eastAsia="en-US"/>
              </w:rPr>
            </w:pPr>
            <w:r w:rsidRPr="00961B35">
              <w:rPr>
                <w:rFonts w:cs="Sylfaen"/>
                <w:sz w:val="20"/>
                <w:szCs w:val="20"/>
                <w:lang w:val="en-US" w:eastAsia="en-US"/>
              </w:rPr>
              <w:t xml:space="preserve">  Արտադրանքի</w:t>
            </w:r>
            <w:r w:rsidRPr="00961B35">
              <w:rPr>
                <w:sz w:val="20"/>
                <w:szCs w:val="20"/>
                <w:lang w:val="en-US" w:eastAsia="en-US"/>
              </w:rPr>
              <w:t xml:space="preserve"> </w:t>
            </w:r>
            <w:r w:rsidRPr="00961B35">
              <w:rPr>
                <w:rFonts w:cs="Sylfaen"/>
                <w:sz w:val="20"/>
                <w:szCs w:val="20"/>
                <w:lang w:val="en-US" w:eastAsia="en-US"/>
              </w:rPr>
              <w:t>հարկեր</w:t>
            </w:r>
            <w:r w:rsidRPr="00961B35">
              <w:rPr>
                <w:sz w:val="20"/>
                <w:szCs w:val="20"/>
                <w:lang w:val="en-US" w:eastAsia="en-US"/>
              </w:rPr>
              <w:t xml:space="preserve"> (</w:t>
            </w:r>
            <w:r w:rsidRPr="00961B35">
              <w:rPr>
                <w:rFonts w:cs="Sylfaen"/>
                <w:sz w:val="20"/>
                <w:szCs w:val="20"/>
                <w:lang w:val="en-US" w:eastAsia="en-US"/>
              </w:rPr>
              <w:t>հանած</w:t>
            </w:r>
            <w:r w:rsidRPr="00961B35">
              <w:rPr>
                <w:sz w:val="20"/>
                <w:szCs w:val="20"/>
                <w:lang w:val="en-US" w:eastAsia="en-US"/>
              </w:rPr>
              <w:t xml:space="preserve">          </w:t>
            </w:r>
            <w:r w:rsidRPr="00961B35">
              <w:rPr>
                <w:rFonts w:cs="Sylfaen"/>
                <w:sz w:val="20"/>
                <w:szCs w:val="20"/>
                <w:lang w:val="en-US" w:eastAsia="en-US"/>
              </w:rPr>
              <w:t>սուբսիդիաներ</w:t>
            </w:r>
            <w:r w:rsidRPr="00961B35">
              <w:rPr>
                <w:sz w:val="20"/>
                <w:szCs w:val="20"/>
                <w:lang w:val="en-US" w:eastAsia="en-US"/>
              </w:rPr>
              <w:t>)</w:t>
            </w:r>
          </w:p>
        </w:tc>
        <w:tc>
          <w:tcPr>
            <w:tcW w:w="1350" w:type="dxa"/>
            <w:vAlign w:val="center"/>
            <w:hideMark/>
          </w:tcPr>
          <w:p w:rsidR="00961B35" w:rsidRPr="00961B35" w:rsidRDefault="00961B35" w:rsidP="00961B35">
            <w:pPr>
              <w:spacing w:before="0" w:line="240" w:lineRule="auto"/>
              <w:ind w:firstLine="0"/>
              <w:contextualSpacing w:val="0"/>
              <w:jc w:val="center"/>
              <w:rPr>
                <w:sz w:val="20"/>
                <w:szCs w:val="20"/>
                <w:lang w:val="en-US" w:eastAsia="en-US"/>
              </w:rPr>
            </w:pPr>
            <w:r w:rsidRPr="00961B35">
              <w:rPr>
                <w:sz w:val="20"/>
                <w:szCs w:val="20"/>
                <w:lang w:val="en-US" w:eastAsia="en-US"/>
              </w:rPr>
              <w:t>-3.7</w:t>
            </w:r>
          </w:p>
        </w:tc>
        <w:tc>
          <w:tcPr>
            <w:tcW w:w="1170" w:type="dxa"/>
            <w:tcBorders>
              <w:top w:val="nil"/>
              <w:left w:val="single" w:sz="4" w:space="0" w:color="000000"/>
              <w:bottom w:val="single" w:sz="8" w:space="0" w:color="000000"/>
              <w:right w:val="single" w:sz="4" w:space="0" w:color="000000"/>
            </w:tcBorders>
            <w:vAlign w:val="center"/>
            <w:hideMark/>
          </w:tcPr>
          <w:p w:rsidR="00961B35" w:rsidRPr="00961B35" w:rsidRDefault="00961B35" w:rsidP="00961B35">
            <w:pPr>
              <w:spacing w:before="0" w:line="240" w:lineRule="auto"/>
              <w:ind w:firstLine="0"/>
              <w:contextualSpacing w:val="0"/>
              <w:jc w:val="center"/>
              <w:rPr>
                <w:sz w:val="20"/>
                <w:szCs w:val="20"/>
                <w:lang w:val="en-US" w:eastAsia="en-US"/>
              </w:rPr>
            </w:pPr>
            <w:r w:rsidRPr="00961B35">
              <w:rPr>
                <w:sz w:val="20"/>
                <w:szCs w:val="20"/>
                <w:lang w:val="en-US" w:eastAsia="en-US"/>
              </w:rPr>
              <w:t>9.7</w:t>
            </w:r>
          </w:p>
        </w:tc>
        <w:tc>
          <w:tcPr>
            <w:tcW w:w="1260" w:type="dxa"/>
            <w:tcBorders>
              <w:top w:val="nil"/>
              <w:left w:val="nil"/>
              <w:bottom w:val="single" w:sz="8" w:space="0" w:color="000000"/>
              <w:right w:val="single" w:sz="4" w:space="0" w:color="000000"/>
            </w:tcBorders>
            <w:vAlign w:val="center"/>
            <w:hideMark/>
          </w:tcPr>
          <w:p w:rsidR="00961B35" w:rsidRPr="00961B35" w:rsidRDefault="00961B35" w:rsidP="00961B35">
            <w:pPr>
              <w:spacing w:before="0" w:line="240" w:lineRule="auto"/>
              <w:ind w:firstLine="0"/>
              <w:contextualSpacing w:val="0"/>
              <w:jc w:val="center"/>
              <w:rPr>
                <w:sz w:val="20"/>
                <w:szCs w:val="20"/>
                <w:lang w:val="en-US" w:eastAsia="en-US"/>
              </w:rPr>
            </w:pPr>
            <w:r w:rsidRPr="00961B35">
              <w:rPr>
                <w:sz w:val="20"/>
                <w:szCs w:val="20"/>
                <w:lang w:val="en-US" w:eastAsia="en-US"/>
              </w:rPr>
              <w:t>8.0</w:t>
            </w:r>
          </w:p>
        </w:tc>
        <w:tc>
          <w:tcPr>
            <w:tcW w:w="1170" w:type="dxa"/>
            <w:vAlign w:val="center"/>
            <w:hideMark/>
          </w:tcPr>
          <w:p w:rsidR="00961B35" w:rsidRPr="00961B35" w:rsidRDefault="00961B35" w:rsidP="00961B35">
            <w:pPr>
              <w:spacing w:before="0" w:line="240" w:lineRule="auto"/>
              <w:ind w:firstLine="0"/>
              <w:contextualSpacing w:val="0"/>
              <w:jc w:val="center"/>
              <w:rPr>
                <w:sz w:val="20"/>
                <w:szCs w:val="20"/>
                <w:lang w:val="en-US" w:eastAsia="en-US"/>
              </w:rPr>
            </w:pPr>
            <w:r w:rsidRPr="00961B35">
              <w:rPr>
                <w:sz w:val="20"/>
                <w:szCs w:val="20"/>
                <w:lang w:val="en-US" w:eastAsia="en-US"/>
              </w:rPr>
              <w:t>6.6</w:t>
            </w:r>
          </w:p>
        </w:tc>
        <w:tc>
          <w:tcPr>
            <w:tcW w:w="1170" w:type="dxa"/>
            <w:vAlign w:val="center"/>
            <w:hideMark/>
          </w:tcPr>
          <w:p w:rsidR="00961B35" w:rsidRPr="00961B35" w:rsidRDefault="00961B35" w:rsidP="00961B35">
            <w:pPr>
              <w:spacing w:before="0" w:line="240" w:lineRule="auto"/>
              <w:ind w:firstLine="0"/>
              <w:contextualSpacing w:val="0"/>
              <w:jc w:val="center"/>
              <w:rPr>
                <w:sz w:val="20"/>
                <w:szCs w:val="20"/>
                <w:lang w:val="en-US" w:eastAsia="en-US"/>
              </w:rPr>
            </w:pPr>
            <w:r w:rsidRPr="00961B35">
              <w:rPr>
                <w:sz w:val="20"/>
                <w:szCs w:val="20"/>
                <w:lang w:val="en-US" w:eastAsia="en-US"/>
              </w:rPr>
              <w:t>5.3</w:t>
            </w:r>
          </w:p>
        </w:tc>
      </w:tr>
    </w:tbl>
    <w:p w:rsidR="00961B35" w:rsidRPr="00961B35" w:rsidRDefault="00961B35" w:rsidP="00961B35">
      <w:pPr>
        <w:spacing w:before="0" w:line="276" w:lineRule="auto"/>
        <w:ind w:firstLine="450"/>
        <w:contextualSpacing w:val="0"/>
        <w:rPr>
          <w:rFonts w:cs="Sylfaen"/>
          <w:b w:val="0"/>
          <w:szCs w:val="22"/>
          <w:lang w:val="en-US" w:eastAsia="en-US"/>
        </w:rPr>
      </w:pPr>
      <w:r w:rsidRPr="00961B35">
        <w:rPr>
          <w:rFonts w:cs="Sylfaen"/>
          <w:b w:val="0"/>
          <w:szCs w:val="22"/>
          <w:lang w:val="en-US" w:eastAsia="en-US"/>
        </w:rPr>
        <w:t xml:space="preserve"> </w:t>
      </w:r>
    </w:p>
    <w:p w:rsidR="00961B35" w:rsidRPr="00961B35" w:rsidRDefault="00961B35" w:rsidP="00961B35">
      <w:pPr>
        <w:widowControl w:val="0"/>
        <w:tabs>
          <w:tab w:val="left" w:pos="993"/>
        </w:tabs>
        <w:spacing w:after="120"/>
        <w:ind w:firstLine="450"/>
        <w:contextualSpacing w:val="0"/>
        <w:jc w:val="left"/>
        <w:rPr>
          <w:rFonts w:cs="Sylfaen"/>
          <w:szCs w:val="22"/>
          <w:u w:val="single"/>
          <w:lang w:val="en-US" w:eastAsia="en-US"/>
        </w:rPr>
      </w:pPr>
      <w:r w:rsidRPr="00961B35">
        <w:rPr>
          <w:rFonts w:cs="Sylfaen"/>
          <w:szCs w:val="22"/>
          <w:u w:val="single"/>
          <w:lang w:val="en-US" w:eastAsia="en-US"/>
        </w:rPr>
        <w:t xml:space="preserve">Գծապատկեր 1.2.1. ՀՆԱ-ի իրական աճին </w:t>
      </w:r>
      <w:r w:rsidRPr="00961B35">
        <w:rPr>
          <w:rFonts w:cs="Sylfaen"/>
          <w:szCs w:val="22"/>
          <w:u w:val="single"/>
          <w:lang w:val="hy-AM" w:eastAsia="en-US"/>
        </w:rPr>
        <w:t>տ</w:t>
      </w:r>
      <w:r w:rsidRPr="00961B35">
        <w:rPr>
          <w:rFonts w:cs="Sylfaen"/>
          <w:szCs w:val="22"/>
          <w:u w:val="single"/>
          <w:lang w:val="en-US" w:eastAsia="en-US"/>
        </w:rPr>
        <w:t>նտեսության ճյուղերի նպաստ</w:t>
      </w:r>
      <w:r w:rsidRPr="00961B35">
        <w:rPr>
          <w:rFonts w:cs="Sylfaen"/>
          <w:szCs w:val="22"/>
          <w:u w:val="single"/>
          <w:lang w:val="hy-AM" w:eastAsia="en-US"/>
        </w:rPr>
        <w:t>ումները</w:t>
      </w:r>
      <w:r w:rsidRPr="00961B35">
        <w:rPr>
          <w:rFonts w:ascii="Arial Armenian" w:hAnsi="Arial Armenian" w:cs="Sylfaen"/>
          <w:sz w:val="20"/>
          <w:szCs w:val="20"/>
          <w:u w:val="single"/>
          <w:vertAlign w:val="superscript"/>
          <w:lang w:val="hy-AM" w:eastAsia="en-US"/>
        </w:rPr>
        <w:footnoteReference w:id="4"/>
      </w:r>
      <w:r w:rsidRPr="00961B35">
        <w:rPr>
          <w:rFonts w:ascii="Arial Armenian" w:hAnsi="Arial Armenian" w:cs="Sylfaen"/>
          <w:color w:val="FFFFFF" w:themeColor="background1"/>
          <w:sz w:val="20"/>
          <w:szCs w:val="20"/>
          <w:u w:val="single"/>
          <w:vertAlign w:val="superscript"/>
          <w:lang w:val="en-US" w:eastAsia="en-US"/>
        </w:rPr>
        <w:footnoteReference w:customMarkFollows="1" w:id="5"/>
        <w:t>*</w:t>
      </w:r>
      <w:r w:rsidRPr="00961B35">
        <w:rPr>
          <w:rFonts w:cs="Sylfaen"/>
          <w:color w:val="FFFFFF" w:themeColor="background1"/>
          <w:szCs w:val="22"/>
          <w:u w:val="single"/>
          <w:lang w:val="en-US" w:eastAsia="en-US"/>
        </w:rPr>
        <w:t xml:space="preserve"> </w:t>
      </w:r>
    </w:p>
    <w:p w:rsidR="00961B35" w:rsidRPr="00961B35" w:rsidRDefault="00961B35" w:rsidP="00961B35">
      <w:pPr>
        <w:spacing w:before="0"/>
        <w:ind w:firstLine="450"/>
        <w:contextualSpacing w:val="0"/>
        <w:jc w:val="left"/>
        <w:rPr>
          <w:rFonts w:cs="Sylfaen"/>
          <w:szCs w:val="22"/>
          <w:lang w:val="en-US" w:eastAsia="en-US"/>
        </w:rPr>
      </w:pPr>
      <w:r w:rsidRPr="00961B35">
        <w:rPr>
          <w:rFonts w:cs="Sylfaen"/>
          <w:noProof/>
          <w:szCs w:val="22"/>
          <w:lang w:val="en-US" w:eastAsia="en-US"/>
        </w:rPr>
        <w:drawing>
          <wp:inline distT="0" distB="0" distL="0" distR="0" wp14:anchorId="32AD895B" wp14:editId="467B2786">
            <wp:extent cx="6042660" cy="3035935"/>
            <wp:effectExtent l="0" t="0" r="15240" b="12065"/>
            <wp:docPr id="31" name="Chart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61B35" w:rsidRPr="00961B35" w:rsidRDefault="00961B35" w:rsidP="00961B35">
      <w:pPr>
        <w:spacing w:before="0"/>
        <w:ind w:firstLine="450"/>
        <w:contextualSpacing w:val="0"/>
        <w:jc w:val="left"/>
        <w:rPr>
          <w:rFonts w:cs="Sylfaen"/>
          <w:szCs w:val="22"/>
          <w:lang w:val="en-US" w:eastAsia="en-US"/>
        </w:rPr>
      </w:pPr>
    </w:p>
    <w:p w:rsidR="00961B35" w:rsidRPr="00961B35" w:rsidRDefault="00961B35" w:rsidP="00961B35">
      <w:pPr>
        <w:spacing w:before="0"/>
        <w:ind w:firstLine="450"/>
        <w:contextualSpacing w:val="0"/>
        <w:jc w:val="left"/>
        <w:rPr>
          <w:rFonts w:cs="Sylfaen"/>
          <w:szCs w:val="22"/>
          <w:lang w:val="en-US" w:eastAsia="en-US"/>
        </w:rPr>
      </w:pPr>
    </w:p>
    <w:p w:rsidR="00961B35" w:rsidRPr="00961B35" w:rsidRDefault="00B3251E" w:rsidP="00961B35">
      <w:pPr>
        <w:spacing w:before="0"/>
        <w:ind w:firstLine="450"/>
        <w:contextualSpacing w:val="0"/>
        <w:jc w:val="left"/>
        <w:rPr>
          <w:rFonts w:cs="Sylfaen"/>
          <w:szCs w:val="22"/>
          <w:lang w:val="en-US" w:eastAsia="en-US"/>
        </w:rPr>
      </w:pPr>
      <w:r>
        <w:rPr>
          <w:b w:val="0"/>
          <w:noProof/>
          <w:sz w:val="24"/>
          <w:lang w:val="en-US" w:eastAsia="en-US"/>
        </w:rPr>
        <w:lastRenderedPageBreak/>
        <mc:AlternateContent>
          <mc:Choice Requires="wps">
            <w:drawing>
              <wp:anchor distT="0" distB="0" distL="114300" distR="114300" simplePos="0" relativeHeight="251685888" behindDoc="0" locked="0" layoutInCell="1" allowOverlap="1">
                <wp:simplePos x="0" y="0"/>
                <wp:positionH relativeFrom="column">
                  <wp:posOffset>-144145</wp:posOffset>
                </wp:positionH>
                <wp:positionV relativeFrom="paragraph">
                  <wp:posOffset>367665</wp:posOffset>
                </wp:positionV>
                <wp:extent cx="6581775" cy="5645785"/>
                <wp:effectExtent l="0" t="0" r="9525" b="0"/>
                <wp:wrapSquare wrapText="bothSides"/>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5645785"/>
                        </a:xfrm>
                        <a:prstGeom prst="rect">
                          <a:avLst/>
                        </a:prstGeom>
                        <a:solidFill>
                          <a:srgbClr val="FFFFFF"/>
                        </a:solidFill>
                        <a:ln w="9525">
                          <a:solidFill>
                            <a:srgbClr val="000000"/>
                          </a:solidFill>
                          <a:miter lim="800000"/>
                          <a:headEnd/>
                          <a:tailEnd/>
                        </a:ln>
                      </wps:spPr>
                      <wps:txbx>
                        <w:txbxContent>
                          <w:p w:rsidR="00A04ABD" w:rsidRPr="00595950" w:rsidRDefault="00A04ABD" w:rsidP="00961B35">
                            <w:pPr>
                              <w:jc w:val="right"/>
                              <w:rPr>
                                <w:rFonts w:cs="Sylfaen"/>
                                <w:b w:val="0"/>
                                <w:sz w:val="20"/>
                                <w:szCs w:val="20"/>
                              </w:rPr>
                            </w:pPr>
                            <w:r>
                              <w:rPr>
                                <w:rFonts w:cs="Sylfaen"/>
                                <w:szCs w:val="22"/>
                              </w:rPr>
                              <w:t>Ներդիր 1</w:t>
                            </w:r>
                          </w:p>
                          <w:p w:rsidR="00A04ABD" w:rsidRDefault="00A04ABD" w:rsidP="00961B35">
                            <w:pPr>
                              <w:jc w:val="center"/>
                              <w:rPr>
                                <w:rFonts w:cs="Sylfaen"/>
                                <w:b w:val="0"/>
                                <w:szCs w:val="22"/>
                              </w:rPr>
                            </w:pPr>
                          </w:p>
                          <w:p w:rsidR="00A04ABD" w:rsidRDefault="00A04ABD" w:rsidP="00961B35">
                            <w:pPr>
                              <w:jc w:val="center"/>
                              <w:rPr>
                                <w:rFonts w:cs="Sylfaen"/>
                                <w:b w:val="0"/>
                                <w:szCs w:val="22"/>
                              </w:rPr>
                            </w:pPr>
                            <w:r w:rsidRPr="003D2013">
                              <w:rPr>
                                <w:rFonts w:cs="Sylfaen"/>
                                <w:szCs w:val="22"/>
                              </w:rPr>
                              <w:t>Այլ կառույցների կողմից ՀՀ տնտեսական աճի կանխատեսումները</w:t>
                            </w:r>
                          </w:p>
                          <w:p w:rsidR="00A04ABD" w:rsidRPr="003D2013" w:rsidRDefault="00A04ABD" w:rsidP="00961B35">
                            <w:pPr>
                              <w:jc w:val="center"/>
                              <w:rPr>
                                <w:rFonts w:cs="Sylfaen"/>
                                <w:b w:val="0"/>
                                <w:szCs w:val="22"/>
                              </w:rPr>
                            </w:pPr>
                          </w:p>
                          <w:p w:rsidR="00A04ABD" w:rsidRPr="001013D0" w:rsidRDefault="00A04ABD" w:rsidP="00961B35">
                            <w:pPr>
                              <w:jc w:val="center"/>
                              <w:rPr>
                                <w:rFonts w:cs="Sylfaen"/>
                                <w:b w:val="0"/>
                                <w:sz w:val="20"/>
                                <w:szCs w:val="20"/>
                              </w:rPr>
                            </w:pPr>
                          </w:p>
                          <w:p w:rsidR="00A04ABD" w:rsidRPr="008773F3" w:rsidRDefault="00A04ABD" w:rsidP="00961B35">
                            <w:pPr>
                              <w:ind w:left="86" w:firstLine="360"/>
                              <w:rPr>
                                <w:rFonts w:cs="Sylfaen"/>
                                <w:sz w:val="20"/>
                                <w:szCs w:val="20"/>
                              </w:rPr>
                            </w:pPr>
                            <w:r w:rsidRPr="003D2013">
                              <w:rPr>
                                <w:rFonts w:cs="Sylfaen"/>
                                <w:sz w:val="20"/>
                                <w:szCs w:val="20"/>
                                <w:lang w:val="hy-AM"/>
                              </w:rPr>
                              <w:t>Աղյուսակում ներկայացված են այլ կառույցների կողմից ՀՀ տնտեսական աճի 201</w:t>
                            </w:r>
                            <w:r w:rsidRPr="00517ABA">
                              <w:rPr>
                                <w:rFonts w:cs="Sylfaen"/>
                                <w:sz w:val="20"/>
                                <w:szCs w:val="20"/>
                                <w:lang w:val="hy-AM"/>
                              </w:rPr>
                              <w:t>9</w:t>
                            </w:r>
                            <w:r w:rsidRPr="003D2013">
                              <w:rPr>
                                <w:rFonts w:cs="Sylfaen"/>
                                <w:sz w:val="20"/>
                                <w:szCs w:val="20"/>
                                <w:lang w:val="hy-AM"/>
                              </w:rPr>
                              <w:t xml:space="preserve"> և 20</w:t>
                            </w:r>
                            <w:r w:rsidRPr="00517ABA">
                              <w:rPr>
                                <w:rFonts w:cs="Sylfaen"/>
                                <w:sz w:val="20"/>
                                <w:szCs w:val="20"/>
                                <w:lang w:val="hy-AM"/>
                              </w:rPr>
                              <w:t>20</w:t>
                            </w:r>
                            <w:r>
                              <w:rPr>
                                <w:rFonts w:cs="Sylfaen"/>
                                <w:sz w:val="20"/>
                                <w:szCs w:val="20"/>
                                <w:lang w:val="hy-AM"/>
                              </w:rPr>
                              <w:t xml:space="preserve"> </w:t>
                            </w:r>
                            <w:r w:rsidRPr="003D2013">
                              <w:rPr>
                                <w:rFonts w:cs="Sylfaen"/>
                                <w:sz w:val="20"/>
                                <w:szCs w:val="20"/>
                                <w:lang w:val="hy-AM"/>
                              </w:rPr>
                              <w:t>թ</w:t>
                            </w:r>
                            <w:r>
                              <w:rPr>
                                <w:rFonts w:cs="Sylfaen"/>
                                <w:sz w:val="20"/>
                                <w:szCs w:val="20"/>
                                <w:lang w:val="hy-AM"/>
                              </w:rPr>
                              <w:t>վականների</w:t>
                            </w:r>
                            <w:r w:rsidRPr="003D2013">
                              <w:rPr>
                                <w:rFonts w:cs="Sylfaen"/>
                                <w:sz w:val="20"/>
                                <w:szCs w:val="20"/>
                                <w:lang w:val="hy-AM"/>
                              </w:rPr>
                              <w:t xml:space="preserve"> կանխատեսումները: </w:t>
                            </w:r>
                            <w:r>
                              <w:rPr>
                                <w:rFonts w:cs="Sylfaen"/>
                                <w:sz w:val="20"/>
                                <w:szCs w:val="20"/>
                              </w:rPr>
                              <w:t>Ըստ</w:t>
                            </w:r>
                            <w:r w:rsidRPr="00517ABA">
                              <w:rPr>
                                <w:rFonts w:cs="Sylfaen"/>
                                <w:sz w:val="20"/>
                                <w:szCs w:val="20"/>
                                <w:lang w:val="hy-AM"/>
                              </w:rPr>
                              <w:t xml:space="preserve"> </w:t>
                            </w:r>
                            <w:r w:rsidRPr="003D2013">
                              <w:rPr>
                                <w:rFonts w:cs="Sylfaen"/>
                                <w:sz w:val="20"/>
                                <w:szCs w:val="20"/>
                                <w:lang w:val="hy-AM"/>
                              </w:rPr>
                              <w:t xml:space="preserve">ՀՀ կենտրոնական բանկի </w:t>
                            </w:r>
                            <w:r>
                              <w:rPr>
                                <w:rFonts w:cs="Sylfaen"/>
                                <w:sz w:val="20"/>
                                <w:szCs w:val="20"/>
                              </w:rPr>
                              <w:t xml:space="preserve">և </w:t>
                            </w:r>
                            <w:r w:rsidRPr="003D2013">
                              <w:rPr>
                                <w:rFonts w:cs="Sylfaen"/>
                                <w:sz w:val="20"/>
                                <w:szCs w:val="20"/>
                                <w:lang w:val="hy-AM"/>
                              </w:rPr>
                              <w:t xml:space="preserve">«Մուդիս» միջազգային </w:t>
                            </w:r>
                            <w:r>
                              <w:rPr>
                                <w:rFonts w:cs="Sylfaen"/>
                                <w:sz w:val="20"/>
                                <w:szCs w:val="20"/>
                                <w:lang w:val="hy-AM"/>
                              </w:rPr>
                              <w:t>վարկանշային</w:t>
                            </w:r>
                            <w:r w:rsidRPr="003D2013">
                              <w:rPr>
                                <w:rFonts w:cs="Sylfaen"/>
                                <w:sz w:val="20"/>
                                <w:szCs w:val="20"/>
                                <w:lang w:val="hy-AM"/>
                              </w:rPr>
                              <w:t xml:space="preserve"> կազմակերպության</w:t>
                            </w:r>
                            <w:r w:rsidRPr="00517ABA">
                              <w:rPr>
                                <w:rFonts w:cs="Sylfaen"/>
                                <w:sz w:val="20"/>
                                <w:szCs w:val="20"/>
                                <w:lang w:val="hy-AM"/>
                              </w:rPr>
                              <w:t xml:space="preserve"> կանխատեսումների </w:t>
                            </w:r>
                            <w:r>
                              <w:rPr>
                                <w:rFonts w:cs="Sylfaen"/>
                                <w:sz w:val="20"/>
                                <w:szCs w:val="20"/>
                                <w:lang w:val="hy-AM"/>
                              </w:rPr>
                              <w:t xml:space="preserve">ՀՀ </w:t>
                            </w:r>
                            <w:r w:rsidRPr="003D2013">
                              <w:rPr>
                                <w:rFonts w:cs="Sylfaen"/>
                                <w:sz w:val="20"/>
                                <w:szCs w:val="20"/>
                                <w:lang w:val="hy-AM"/>
                              </w:rPr>
                              <w:t xml:space="preserve">տնտեսական աճը 2019 թվականին </w:t>
                            </w:r>
                            <w:r>
                              <w:rPr>
                                <w:rFonts w:cs="Sylfaen"/>
                                <w:sz w:val="20"/>
                                <w:szCs w:val="20"/>
                              </w:rPr>
                              <w:t>կլինի ավելի բարձր:</w:t>
                            </w:r>
                            <w:r w:rsidRPr="00517ABA">
                              <w:rPr>
                                <w:rFonts w:cs="Sylfaen"/>
                                <w:sz w:val="20"/>
                                <w:szCs w:val="20"/>
                                <w:lang w:val="hy-AM"/>
                              </w:rPr>
                              <w:t xml:space="preserve">  </w:t>
                            </w:r>
                            <w:r>
                              <w:rPr>
                                <w:rFonts w:cs="Sylfaen"/>
                                <w:sz w:val="20"/>
                                <w:szCs w:val="20"/>
                                <w:lang w:val="hy-AM"/>
                              </w:rPr>
                              <w:t>Իսկ մյուս միջազգային հեղինակավոր կառույցների կանխատեսումներով այն կլինի համեմատաբար ցածր</w:t>
                            </w:r>
                            <w:r>
                              <w:rPr>
                                <w:rFonts w:cs="Sylfaen"/>
                                <w:sz w:val="20"/>
                                <w:szCs w:val="20"/>
                              </w:rPr>
                              <w:t>,</w:t>
                            </w:r>
                            <w:r w:rsidRPr="00E27154">
                              <w:rPr>
                                <w:rFonts w:cs="Sylfaen"/>
                                <w:sz w:val="20"/>
                                <w:szCs w:val="20"/>
                                <w:lang w:val="hy-AM"/>
                              </w:rPr>
                              <w:t xml:space="preserve"> </w:t>
                            </w:r>
                            <w:r w:rsidRPr="00517ABA">
                              <w:rPr>
                                <w:rFonts w:cs="Sylfaen"/>
                                <w:sz w:val="20"/>
                                <w:szCs w:val="20"/>
                                <w:lang w:val="hy-AM"/>
                              </w:rPr>
                              <w:t>ինչը կարող է պայմանավորված լինել այն հանգամանքով, որ դրանք ավելի վաղ կատարված կանխատեսումներ են և չեն ներառում ՀՀ տնտեսության վերջին դրական զարգացումները:</w:t>
                            </w:r>
                            <w:r>
                              <w:rPr>
                                <w:rFonts w:cs="Sylfaen"/>
                                <w:sz w:val="20"/>
                                <w:szCs w:val="20"/>
                              </w:rPr>
                              <w:t xml:space="preserve"> Ա</w:t>
                            </w:r>
                            <w:r>
                              <w:rPr>
                                <w:rFonts w:cs="Sylfaen"/>
                                <w:sz w:val="20"/>
                                <w:szCs w:val="20"/>
                                <w:lang w:val="hy-AM"/>
                              </w:rPr>
                              <w:t xml:space="preserve">յլ կառույցների կողմից ՀՀ տնտեսական աճի </w:t>
                            </w:r>
                            <w:r>
                              <w:rPr>
                                <w:rFonts w:cs="Sylfaen"/>
                                <w:sz w:val="20"/>
                                <w:szCs w:val="20"/>
                              </w:rPr>
                              <w:t xml:space="preserve">2020 թվականի կանխատեսումները հիմնականում մոտ են </w:t>
                            </w:r>
                            <w:r>
                              <w:rPr>
                                <w:rFonts w:cs="Sylfaen"/>
                                <w:sz w:val="20"/>
                                <w:szCs w:val="20"/>
                                <w:lang w:val="hy-AM"/>
                              </w:rPr>
                              <w:t xml:space="preserve">ՀՀ 2020 թվականի պետական բյուջեի հիմքում </w:t>
                            </w:r>
                            <w:r>
                              <w:rPr>
                                <w:rFonts w:cs="Sylfaen"/>
                                <w:sz w:val="20"/>
                                <w:szCs w:val="20"/>
                              </w:rPr>
                              <w:t xml:space="preserve">դրված </w:t>
                            </w:r>
                            <w:r>
                              <w:rPr>
                                <w:rFonts w:cs="Sylfaen"/>
                                <w:sz w:val="20"/>
                                <w:szCs w:val="20"/>
                                <w:lang w:val="hy-AM"/>
                              </w:rPr>
                              <w:t>տնտեսական աճի կանխատեսումների</w:t>
                            </w:r>
                            <w:r>
                              <w:rPr>
                                <w:rFonts w:cs="Sylfaen"/>
                                <w:sz w:val="20"/>
                                <w:szCs w:val="20"/>
                              </w:rPr>
                              <w:t>ն</w:t>
                            </w:r>
                            <w:r>
                              <w:rPr>
                                <w:rFonts w:cs="Sylfaen"/>
                                <w:sz w:val="16"/>
                                <w:szCs w:val="16"/>
                              </w:rPr>
                              <w:t>:</w:t>
                            </w:r>
                          </w:p>
                          <w:p w:rsidR="00A04ABD" w:rsidRDefault="00A04ABD" w:rsidP="00961B35">
                            <w:pPr>
                              <w:ind w:left="86" w:firstLine="360"/>
                              <w:rPr>
                                <w:rFonts w:cs="Sylfaen"/>
                                <w:sz w:val="20"/>
                                <w:szCs w:val="20"/>
                              </w:rPr>
                            </w:pPr>
                          </w:p>
                          <w:p w:rsidR="00A04ABD" w:rsidRPr="00517ABA" w:rsidRDefault="00A04ABD" w:rsidP="00961B35">
                            <w:pPr>
                              <w:ind w:left="1526"/>
                              <w:rPr>
                                <w:rFonts w:cs="Sylfaen"/>
                                <w:sz w:val="20"/>
                                <w:szCs w:val="20"/>
                                <w:lang w:val="hy-AM"/>
                              </w:rPr>
                            </w:pPr>
                            <w:r w:rsidRPr="003D2013">
                              <w:rPr>
                                <w:rFonts w:cs="Sylfaen"/>
                                <w:sz w:val="20"/>
                                <w:szCs w:val="20"/>
                                <w:lang w:val="hy-AM"/>
                              </w:rPr>
                              <w:t xml:space="preserve">Աղյուսակ.  </w:t>
                            </w:r>
                            <w:r w:rsidRPr="00517ABA">
                              <w:rPr>
                                <w:rFonts w:cs="Sylfaen"/>
                                <w:sz w:val="20"/>
                                <w:szCs w:val="20"/>
                                <w:lang w:val="hy-AM"/>
                              </w:rPr>
                              <w:t xml:space="preserve">Այլ կառույցների կողմից ՀՀ տնտեսական աճի կանխատեսումները </w:t>
                            </w:r>
                          </w:p>
                          <w:tbl>
                            <w:tblPr>
                              <w:tblW w:w="7743" w:type="dxa"/>
                              <w:tblInd w:w="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1558"/>
                              <w:gridCol w:w="1341"/>
                            </w:tblGrid>
                            <w:tr w:rsidR="00A04ABD" w:rsidRPr="00E27154" w:rsidTr="00E52D4A">
                              <w:trPr>
                                <w:trHeight w:val="431"/>
                              </w:trPr>
                              <w:tc>
                                <w:tcPr>
                                  <w:tcW w:w="4968" w:type="dxa"/>
                                  <w:shd w:val="clear" w:color="auto" w:fill="FFFFFF"/>
                                  <w:noWrap/>
                                  <w:vAlign w:val="center"/>
                                </w:tcPr>
                                <w:p w:rsidR="00A04ABD" w:rsidRPr="00E27154" w:rsidRDefault="00A04ABD" w:rsidP="00E52D4A">
                                  <w:pPr>
                                    <w:rPr>
                                      <w:rFonts w:cs="Calibri"/>
                                      <w:color w:val="000000"/>
                                      <w:sz w:val="20"/>
                                      <w:szCs w:val="22"/>
                                      <w:lang w:val="it-IT"/>
                                    </w:rPr>
                                  </w:pPr>
                                </w:p>
                              </w:tc>
                              <w:tc>
                                <w:tcPr>
                                  <w:tcW w:w="1558" w:type="dxa"/>
                                  <w:noWrap/>
                                  <w:vAlign w:val="center"/>
                                  <w:hideMark/>
                                </w:tcPr>
                                <w:p w:rsidR="00A04ABD" w:rsidRDefault="00A04ABD" w:rsidP="00E52D4A">
                                  <w:pPr>
                                    <w:jc w:val="center"/>
                                    <w:rPr>
                                      <w:rFonts w:cs="Calibri"/>
                                      <w:b w:val="0"/>
                                      <w:bCs/>
                                      <w:color w:val="000000"/>
                                      <w:sz w:val="20"/>
                                      <w:szCs w:val="22"/>
                                    </w:rPr>
                                  </w:pPr>
                                  <w:r w:rsidRPr="00E27154">
                                    <w:rPr>
                                      <w:rFonts w:cs="Calibri"/>
                                      <w:bCs/>
                                      <w:color w:val="000000"/>
                                      <w:sz w:val="20"/>
                                      <w:szCs w:val="22"/>
                                    </w:rPr>
                                    <w:t>2019</w:t>
                                  </w:r>
                                  <w:r w:rsidRPr="00E27154">
                                    <w:rPr>
                                      <w:rFonts w:cs="Calibri"/>
                                      <w:bCs/>
                                      <w:color w:val="000000"/>
                                      <w:sz w:val="20"/>
                                      <w:szCs w:val="22"/>
                                      <w:lang w:val="hy-AM"/>
                                    </w:rPr>
                                    <w:t>*</w:t>
                                  </w:r>
                                </w:p>
                              </w:tc>
                              <w:tc>
                                <w:tcPr>
                                  <w:tcW w:w="1217" w:type="dxa"/>
                                  <w:noWrap/>
                                  <w:vAlign w:val="center"/>
                                  <w:hideMark/>
                                </w:tcPr>
                                <w:p w:rsidR="00A04ABD" w:rsidRDefault="00A04ABD" w:rsidP="00E52D4A">
                                  <w:pPr>
                                    <w:jc w:val="center"/>
                                    <w:rPr>
                                      <w:rFonts w:cs="Calibri"/>
                                      <w:b w:val="0"/>
                                      <w:bCs/>
                                      <w:color w:val="000000"/>
                                      <w:sz w:val="20"/>
                                      <w:szCs w:val="22"/>
                                    </w:rPr>
                                  </w:pPr>
                                  <w:r w:rsidRPr="00E27154">
                                    <w:rPr>
                                      <w:rFonts w:cs="Calibri"/>
                                      <w:bCs/>
                                      <w:color w:val="000000"/>
                                      <w:sz w:val="20"/>
                                      <w:szCs w:val="22"/>
                                    </w:rPr>
                                    <w:t>2020</w:t>
                                  </w:r>
                                  <w:r w:rsidRPr="00E27154">
                                    <w:rPr>
                                      <w:rFonts w:cs="Calibri"/>
                                      <w:bCs/>
                                      <w:color w:val="000000"/>
                                      <w:sz w:val="20"/>
                                      <w:szCs w:val="22"/>
                                      <w:lang w:val="hy-AM"/>
                                    </w:rPr>
                                    <w:t>*</w:t>
                                  </w:r>
                                </w:p>
                              </w:tc>
                            </w:tr>
                            <w:tr w:rsidR="00A04ABD" w:rsidRPr="00E27154" w:rsidTr="00E52D4A">
                              <w:trPr>
                                <w:trHeight w:val="345"/>
                              </w:trPr>
                              <w:tc>
                                <w:tcPr>
                                  <w:tcW w:w="4968" w:type="dxa"/>
                                  <w:shd w:val="clear" w:color="auto" w:fill="FFFFFF"/>
                                  <w:noWrap/>
                                  <w:vAlign w:val="center"/>
                                  <w:hideMark/>
                                </w:tcPr>
                                <w:p w:rsidR="00A04ABD" w:rsidRPr="00E27154" w:rsidRDefault="00A04ABD" w:rsidP="00E52D4A">
                                  <w:pPr>
                                    <w:rPr>
                                      <w:rFonts w:cs="Calibri"/>
                                      <w:color w:val="000000"/>
                                      <w:sz w:val="20"/>
                                      <w:szCs w:val="22"/>
                                    </w:rPr>
                                  </w:pPr>
                                  <w:r w:rsidRPr="00E27154">
                                    <w:rPr>
                                      <w:rFonts w:cs="Calibri"/>
                                      <w:color w:val="000000"/>
                                      <w:sz w:val="20"/>
                                      <w:szCs w:val="22"/>
                                    </w:rPr>
                                    <w:t>Արժույթի միջազգային հիմնադրամ (2019</w:t>
                                  </w:r>
                                  <w:r w:rsidRPr="00E27154">
                                    <w:rPr>
                                      <w:rFonts w:cs="Calibri"/>
                                      <w:color w:val="000000"/>
                                      <w:sz w:val="20"/>
                                      <w:szCs w:val="22"/>
                                      <w:lang w:val="hy-AM"/>
                                    </w:rPr>
                                    <w:t>թ.</w:t>
                                  </w:r>
                                  <w:r w:rsidRPr="00E27154">
                                    <w:rPr>
                                      <w:rFonts w:cs="Calibri"/>
                                      <w:color w:val="000000"/>
                                      <w:sz w:val="20"/>
                                      <w:szCs w:val="22"/>
                                    </w:rPr>
                                    <w:t xml:space="preserve"> հունիս)</w:t>
                                  </w:r>
                                </w:p>
                              </w:tc>
                              <w:tc>
                                <w:tcPr>
                                  <w:tcW w:w="1558" w:type="dxa"/>
                                  <w:shd w:val="clear" w:color="auto" w:fill="auto"/>
                                  <w:noWrap/>
                                  <w:vAlign w:val="center"/>
                                  <w:hideMark/>
                                </w:tcPr>
                                <w:p w:rsidR="00A04ABD" w:rsidRPr="00E27154" w:rsidRDefault="00A04ABD" w:rsidP="00E52D4A">
                                  <w:pPr>
                                    <w:jc w:val="center"/>
                                    <w:rPr>
                                      <w:rFonts w:cs="Calibri"/>
                                      <w:color w:val="000000"/>
                                      <w:sz w:val="20"/>
                                      <w:szCs w:val="22"/>
                                    </w:rPr>
                                  </w:pPr>
                                  <w:r w:rsidRPr="00E27154">
                                    <w:rPr>
                                      <w:color w:val="000000"/>
                                      <w:sz w:val="20"/>
                                      <w:szCs w:val="22"/>
                                    </w:rPr>
                                    <w:t>4.6%</w:t>
                                  </w:r>
                                </w:p>
                              </w:tc>
                              <w:tc>
                                <w:tcPr>
                                  <w:tcW w:w="1217" w:type="dxa"/>
                                  <w:shd w:val="clear" w:color="auto" w:fill="auto"/>
                                  <w:noWrap/>
                                  <w:vAlign w:val="center"/>
                                  <w:hideMark/>
                                </w:tcPr>
                                <w:p w:rsidR="00A04ABD" w:rsidRPr="00E27154" w:rsidRDefault="00A04ABD" w:rsidP="00E52D4A">
                                  <w:pPr>
                                    <w:jc w:val="center"/>
                                    <w:rPr>
                                      <w:rFonts w:cs="Calibri"/>
                                      <w:color w:val="000000"/>
                                      <w:sz w:val="20"/>
                                      <w:szCs w:val="22"/>
                                    </w:rPr>
                                  </w:pPr>
                                  <w:r w:rsidRPr="00E27154">
                                    <w:rPr>
                                      <w:color w:val="000000"/>
                                      <w:sz w:val="20"/>
                                      <w:szCs w:val="22"/>
                                    </w:rPr>
                                    <w:t>4.5%</w:t>
                                  </w:r>
                                </w:p>
                              </w:tc>
                            </w:tr>
                            <w:tr w:rsidR="00A04ABD" w:rsidRPr="00E27154" w:rsidTr="00E52D4A">
                              <w:trPr>
                                <w:trHeight w:val="345"/>
                              </w:trPr>
                              <w:tc>
                                <w:tcPr>
                                  <w:tcW w:w="4968" w:type="dxa"/>
                                  <w:shd w:val="clear" w:color="auto" w:fill="FFFFFF"/>
                                  <w:noWrap/>
                                  <w:vAlign w:val="center"/>
                                </w:tcPr>
                                <w:p w:rsidR="00A04ABD" w:rsidRPr="00E27154" w:rsidRDefault="00A04ABD" w:rsidP="00E52D4A">
                                  <w:pPr>
                                    <w:rPr>
                                      <w:rFonts w:cs="Calibri"/>
                                      <w:color w:val="000000"/>
                                      <w:sz w:val="20"/>
                                      <w:szCs w:val="22"/>
                                    </w:rPr>
                                  </w:pPr>
                                  <w:r w:rsidRPr="00E27154">
                                    <w:rPr>
                                      <w:rFonts w:cs="Calibri"/>
                                      <w:color w:val="000000"/>
                                      <w:sz w:val="20"/>
                                      <w:szCs w:val="22"/>
                                    </w:rPr>
                                    <w:t xml:space="preserve">Համաշխարհային </w:t>
                                  </w:r>
                                  <w:r>
                                    <w:rPr>
                                      <w:rFonts w:cs="Calibri"/>
                                      <w:color w:val="000000"/>
                                      <w:sz w:val="20"/>
                                      <w:szCs w:val="22"/>
                                    </w:rPr>
                                    <w:t>բ</w:t>
                                  </w:r>
                                  <w:r w:rsidRPr="00E27154">
                                    <w:rPr>
                                      <w:rFonts w:cs="Calibri"/>
                                      <w:color w:val="000000"/>
                                      <w:sz w:val="20"/>
                                      <w:szCs w:val="22"/>
                                    </w:rPr>
                                    <w:t>անկ (2019</w:t>
                                  </w:r>
                                  <w:r w:rsidRPr="00E27154">
                                    <w:rPr>
                                      <w:rFonts w:cs="Calibri"/>
                                      <w:color w:val="000000"/>
                                      <w:sz w:val="20"/>
                                      <w:szCs w:val="22"/>
                                      <w:lang w:val="hy-AM"/>
                                    </w:rPr>
                                    <w:t>թ.</w:t>
                                  </w:r>
                                  <w:r w:rsidRPr="00E27154">
                                    <w:rPr>
                                      <w:rFonts w:cs="Calibri"/>
                                      <w:color w:val="000000"/>
                                      <w:sz w:val="20"/>
                                      <w:szCs w:val="22"/>
                                    </w:rPr>
                                    <w:t xml:space="preserve"> հունիս)</w:t>
                                  </w:r>
                                </w:p>
                              </w:tc>
                              <w:tc>
                                <w:tcPr>
                                  <w:tcW w:w="1558" w:type="dxa"/>
                                  <w:shd w:val="clear" w:color="auto" w:fill="auto"/>
                                  <w:noWrap/>
                                  <w:vAlign w:val="center"/>
                                </w:tcPr>
                                <w:p w:rsidR="00A04ABD" w:rsidRPr="00E27154" w:rsidRDefault="00A04ABD" w:rsidP="00E52D4A">
                                  <w:pPr>
                                    <w:jc w:val="center"/>
                                    <w:rPr>
                                      <w:rFonts w:cs="Calibri"/>
                                      <w:color w:val="000000"/>
                                      <w:sz w:val="20"/>
                                      <w:szCs w:val="22"/>
                                    </w:rPr>
                                  </w:pPr>
                                  <w:r w:rsidRPr="00E27154">
                                    <w:rPr>
                                      <w:color w:val="000000"/>
                                      <w:sz w:val="20"/>
                                      <w:szCs w:val="22"/>
                                    </w:rPr>
                                    <w:t>4.2%</w:t>
                                  </w:r>
                                </w:p>
                              </w:tc>
                              <w:tc>
                                <w:tcPr>
                                  <w:tcW w:w="1217" w:type="dxa"/>
                                  <w:shd w:val="clear" w:color="auto" w:fill="auto"/>
                                  <w:noWrap/>
                                  <w:vAlign w:val="center"/>
                                </w:tcPr>
                                <w:p w:rsidR="00A04ABD" w:rsidRPr="00E27154" w:rsidRDefault="00A04ABD" w:rsidP="00E52D4A">
                                  <w:pPr>
                                    <w:jc w:val="center"/>
                                    <w:rPr>
                                      <w:rFonts w:cs="Calibri"/>
                                      <w:color w:val="000000"/>
                                      <w:sz w:val="20"/>
                                      <w:szCs w:val="22"/>
                                    </w:rPr>
                                  </w:pPr>
                                  <w:r w:rsidRPr="00E27154">
                                    <w:rPr>
                                      <w:color w:val="000000"/>
                                      <w:sz w:val="20"/>
                                      <w:szCs w:val="22"/>
                                    </w:rPr>
                                    <w:t>4.9%</w:t>
                                  </w:r>
                                </w:p>
                              </w:tc>
                            </w:tr>
                            <w:tr w:rsidR="00A04ABD" w:rsidRPr="00E27154" w:rsidTr="00E52D4A">
                              <w:trPr>
                                <w:trHeight w:val="345"/>
                              </w:trPr>
                              <w:tc>
                                <w:tcPr>
                                  <w:tcW w:w="4968" w:type="dxa"/>
                                  <w:shd w:val="clear" w:color="auto" w:fill="FFFFFF"/>
                                  <w:noWrap/>
                                  <w:vAlign w:val="center"/>
                                  <w:hideMark/>
                                </w:tcPr>
                                <w:p w:rsidR="00A04ABD" w:rsidRPr="00E27154" w:rsidRDefault="00A04ABD" w:rsidP="00E52D4A">
                                  <w:pPr>
                                    <w:rPr>
                                      <w:rFonts w:cs="Calibri"/>
                                      <w:color w:val="000000"/>
                                      <w:sz w:val="20"/>
                                      <w:szCs w:val="22"/>
                                    </w:rPr>
                                  </w:pPr>
                                  <w:r w:rsidRPr="00E27154">
                                    <w:rPr>
                                      <w:rFonts w:cs="Calibri"/>
                                      <w:color w:val="000000"/>
                                      <w:sz w:val="20"/>
                                      <w:szCs w:val="22"/>
                                    </w:rPr>
                                    <w:t>Մուդիս (2019</w:t>
                                  </w:r>
                                  <w:r w:rsidRPr="00E27154">
                                    <w:rPr>
                                      <w:rFonts w:cs="Calibri"/>
                                      <w:color w:val="000000"/>
                                      <w:sz w:val="20"/>
                                      <w:szCs w:val="22"/>
                                      <w:lang w:val="hy-AM"/>
                                    </w:rPr>
                                    <w:t xml:space="preserve">թ. </w:t>
                                  </w:r>
                                  <w:r w:rsidRPr="00E27154">
                                    <w:rPr>
                                      <w:rFonts w:cs="Calibri"/>
                                      <w:color w:val="000000"/>
                                      <w:sz w:val="20"/>
                                      <w:szCs w:val="22"/>
                                    </w:rPr>
                                    <w:t>օգոստոս)</w:t>
                                  </w:r>
                                </w:p>
                              </w:tc>
                              <w:tc>
                                <w:tcPr>
                                  <w:tcW w:w="1558" w:type="dxa"/>
                                  <w:noWrap/>
                                  <w:vAlign w:val="center"/>
                                  <w:hideMark/>
                                </w:tcPr>
                                <w:p w:rsidR="00A04ABD" w:rsidRPr="00E27154" w:rsidRDefault="00A04ABD" w:rsidP="00E52D4A">
                                  <w:pPr>
                                    <w:jc w:val="center"/>
                                    <w:rPr>
                                      <w:color w:val="000000"/>
                                      <w:sz w:val="20"/>
                                      <w:szCs w:val="22"/>
                                    </w:rPr>
                                  </w:pPr>
                                  <w:r w:rsidRPr="00E27154">
                                    <w:rPr>
                                      <w:color w:val="000000"/>
                                      <w:sz w:val="20"/>
                                      <w:szCs w:val="22"/>
                                    </w:rPr>
                                    <w:t>7.7%</w:t>
                                  </w:r>
                                </w:p>
                              </w:tc>
                              <w:tc>
                                <w:tcPr>
                                  <w:tcW w:w="1217" w:type="dxa"/>
                                  <w:noWrap/>
                                  <w:vAlign w:val="center"/>
                                  <w:hideMark/>
                                </w:tcPr>
                                <w:p w:rsidR="00A04ABD" w:rsidRPr="00E27154" w:rsidRDefault="00A04ABD">
                                  <w:pPr>
                                    <w:jc w:val="center"/>
                                    <w:rPr>
                                      <w:color w:val="000000"/>
                                      <w:sz w:val="20"/>
                                      <w:szCs w:val="22"/>
                                    </w:rPr>
                                  </w:pPr>
                                  <w:r w:rsidRPr="00E27154">
                                    <w:rPr>
                                      <w:color w:val="000000"/>
                                      <w:sz w:val="20"/>
                                      <w:szCs w:val="22"/>
                                    </w:rPr>
                                    <w:t>5.4%</w:t>
                                  </w:r>
                                </w:p>
                              </w:tc>
                            </w:tr>
                            <w:tr w:rsidR="00A04ABD" w:rsidRPr="00E27154" w:rsidTr="00E52D4A">
                              <w:trPr>
                                <w:trHeight w:val="334"/>
                              </w:trPr>
                              <w:tc>
                                <w:tcPr>
                                  <w:tcW w:w="4968" w:type="dxa"/>
                                  <w:shd w:val="clear" w:color="auto" w:fill="FFFFFF"/>
                                  <w:noWrap/>
                                  <w:vAlign w:val="center"/>
                                  <w:hideMark/>
                                </w:tcPr>
                                <w:p w:rsidR="00A04ABD" w:rsidRPr="00E27154" w:rsidRDefault="00A04ABD" w:rsidP="00E52D4A">
                                  <w:pPr>
                                    <w:rPr>
                                      <w:rFonts w:cs="Calibri"/>
                                      <w:color w:val="000000"/>
                                      <w:sz w:val="20"/>
                                      <w:szCs w:val="22"/>
                                    </w:rPr>
                                  </w:pPr>
                                  <w:r w:rsidRPr="00E27154">
                                    <w:rPr>
                                      <w:rFonts w:cs="Calibri"/>
                                      <w:color w:val="000000"/>
                                      <w:sz w:val="20"/>
                                      <w:szCs w:val="22"/>
                                    </w:rPr>
                                    <w:t>Ֆիթչ (2019</w:t>
                                  </w:r>
                                  <w:r w:rsidRPr="00E27154">
                                    <w:rPr>
                                      <w:rFonts w:cs="Calibri"/>
                                      <w:color w:val="000000"/>
                                      <w:sz w:val="20"/>
                                      <w:szCs w:val="22"/>
                                      <w:lang w:val="hy-AM"/>
                                    </w:rPr>
                                    <w:t>թ.</w:t>
                                  </w:r>
                                  <w:r w:rsidRPr="00E27154">
                                    <w:rPr>
                                      <w:rFonts w:cs="Calibri"/>
                                      <w:color w:val="000000"/>
                                      <w:sz w:val="20"/>
                                      <w:szCs w:val="22"/>
                                    </w:rPr>
                                    <w:t xml:space="preserve"> մայիս)</w:t>
                                  </w:r>
                                </w:p>
                              </w:tc>
                              <w:tc>
                                <w:tcPr>
                                  <w:tcW w:w="1558" w:type="dxa"/>
                                  <w:noWrap/>
                                  <w:vAlign w:val="center"/>
                                  <w:hideMark/>
                                </w:tcPr>
                                <w:p w:rsidR="00A04ABD" w:rsidRPr="00A52E8E" w:rsidRDefault="00A04ABD" w:rsidP="00E52D4A">
                                  <w:pPr>
                                    <w:jc w:val="center"/>
                                    <w:rPr>
                                      <w:rFonts w:cs="Calibri"/>
                                      <w:color w:val="000000"/>
                                      <w:sz w:val="20"/>
                                      <w:szCs w:val="22"/>
                                    </w:rPr>
                                  </w:pPr>
                                  <w:r w:rsidRPr="00A52E8E">
                                    <w:rPr>
                                      <w:rFonts w:cs="Calibri"/>
                                      <w:color w:val="000000"/>
                                      <w:sz w:val="20"/>
                                      <w:szCs w:val="22"/>
                                    </w:rPr>
                                    <w:t>4.6%</w:t>
                                  </w:r>
                                </w:p>
                              </w:tc>
                              <w:tc>
                                <w:tcPr>
                                  <w:tcW w:w="1217" w:type="dxa"/>
                                  <w:noWrap/>
                                  <w:vAlign w:val="center"/>
                                  <w:hideMark/>
                                </w:tcPr>
                                <w:p w:rsidR="00A04ABD" w:rsidRPr="00502015" w:rsidRDefault="00A04ABD" w:rsidP="00E52D4A">
                                  <w:pPr>
                                    <w:jc w:val="center"/>
                                    <w:rPr>
                                      <w:rFonts w:cs="Calibri"/>
                                      <w:color w:val="000000"/>
                                      <w:sz w:val="20"/>
                                      <w:szCs w:val="22"/>
                                    </w:rPr>
                                  </w:pPr>
                                  <w:r w:rsidRPr="00502015">
                                    <w:rPr>
                                      <w:rFonts w:cs="Calibri"/>
                                      <w:color w:val="000000"/>
                                      <w:sz w:val="20"/>
                                      <w:szCs w:val="22"/>
                                    </w:rPr>
                                    <w:t>4.5%</w:t>
                                  </w:r>
                                </w:p>
                              </w:tc>
                            </w:tr>
                            <w:tr w:rsidR="00A04ABD" w:rsidRPr="00E27154" w:rsidTr="00E52D4A">
                              <w:trPr>
                                <w:trHeight w:val="449"/>
                              </w:trPr>
                              <w:tc>
                                <w:tcPr>
                                  <w:tcW w:w="4968" w:type="dxa"/>
                                  <w:shd w:val="clear" w:color="auto" w:fill="FFFFFF"/>
                                  <w:vAlign w:val="center"/>
                                  <w:hideMark/>
                                </w:tcPr>
                                <w:p w:rsidR="00A04ABD" w:rsidRPr="00E27154" w:rsidRDefault="00A04ABD" w:rsidP="00E52D4A">
                                  <w:pPr>
                                    <w:rPr>
                                      <w:rFonts w:cs="Calibri"/>
                                      <w:color w:val="000000"/>
                                      <w:sz w:val="20"/>
                                      <w:szCs w:val="22"/>
                                    </w:rPr>
                                  </w:pPr>
                                  <w:r w:rsidRPr="00E27154">
                                    <w:rPr>
                                      <w:rFonts w:cs="Calibri"/>
                                      <w:color w:val="000000"/>
                                      <w:sz w:val="20"/>
                                      <w:szCs w:val="22"/>
                                    </w:rPr>
                                    <w:t>ՀՀ կենտրոնական բանկ (2019թ.</w:t>
                                  </w:r>
                                  <w:r w:rsidRPr="00E27154">
                                    <w:rPr>
                                      <w:rFonts w:cs="Calibri"/>
                                      <w:color w:val="000000"/>
                                      <w:sz w:val="20"/>
                                      <w:szCs w:val="22"/>
                                      <w:lang w:val="hy-AM"/>
                                    </w:rPr>
                                    <w:t xml:space="preserve"> </w:t>
                                  </w:r>
                                  <w:r>
                                    <w:rPr>
                                      <w:rFonts w:cs="Calibri"/>
                                      <w:color w:val="000000"/>
                                      <w:sz w:val="20"/>
                                      <w:szCs w:val="22"/>
                                    </w:rPr>
                                    <w:t>սպտեմբեր</w:t>
                                  </w:r>
                                  <w:r w:rsidRPr="00E27154">
                                    <w:rPr>
                                      <w:rFonts w:cs="Calibri"/>
                                      <w:color w:val="000000"/>
                                      <w:sz w:val="20"/>
                                      <w:szCs w:val="22"/>
                                    </w:rPr>
                                    <w:t>)</w:t>
                                  </w:r>
                                </w:p>
                              </w:tc>
                              <w:tc>
                                <w:tcPr>
                                  <w:tcW w:w="1558" w:type="dxa"/>
                                  <w:shd w:val="clear" w:color="auto" w:fill="auto"/>
                                  <w:noWrap/>
                                  <w:vAlign w:val="center"/>
                                  <w:hideMark/>
                                </w:tcPr>
                                <w:p w:rsidR="00A04ABD" w:rsidRPr="00A52E8E" w:rsidRDefault="00A04ABD">
                                  <w:pPr>
                                    <w:jc w:val="center"/>
                                    <w:rPr>
                                      <w:rFonts w:cs="Calibri"/>
                                      <w:color w:val="000000"/>
                                      <w:sz w:val="20"/>
                                      <w:szCs w:val="22"/>
                                    </w:rPr>
                                  </w:pPr>
                                  <w:r w:rsidRPr="00A52E8E">
                                    <w:rPr>
                                      <w:rFonts w:cs="Calibri"/>
                                      <w:color w:val="000000"/>
                                      <w:sz w:val="20"/>
                                      <w:szCs w:val="22"/>
                                    </w:rPr>
                                    <w:t>6.</w:t>
                                  </w:r>
                                  <w:r>
                                    <w:rPr>
                                      <w:rFonts w:cs="Calibri"/>
                                      <w:color w:val="000000"/>
                                      <w:sz w:val="20"/>
                                      <w:szCs w:val="22"/>
                                    </w:rPr>
                                    <w:t>9</w:t>
                                  </w:r>
                                  <w:r w:rsidRPr="00A52E8E">
                                    <w:rPr>
                                      <w:rFonts w:cs="Calibri"/>
                                      <w:color w:val="000000"/>
                                      <w:sz w:val="20"/>
                                      <w:szCs w:val="22"/>
                                    </w:rPr>
                                    <w:t>%</w:t>
                                  </w:r>
                                </w:p>
                              </w:tc>
                              <w:tc>
                                <w:tcPr>
                                  <w:tcW w:w="1217" w:type="dxa"/>
                                  <w:shd w:val="clear" w:color="auto" w:fill="auto"/>
                                  <w:noWrap/>
                                  <w:vAlign w:val="center"/>
                                  <w:hideMark/>
                                </w:tcPr>
                                <w:p w:rsidR="00A04ABD" w:rsidRPr="00502015" w:rsidRDefault="00A04ABD">
                                  <w:pPr>
                                    <w:jc w:val="center"/>
                                    <w:rPr>
                                      <w:rFonts w:cs="Calibri"/>
                                      <w:color w:val="000000"/>
                                      <w:sz w:val="20"/>
                                      <w:szCs w:val="22"/>
                                    </w:rPr>
                                  </w:pPr>
                                  <w:r w:rsidRPr="00502015">
                                    <w:rPr>
                                      <w:rFonts w:cs="Calibri"/>
                                      <w:color w:val="000000"/>
                                      <w:sz w:val="20"/>
                                      <w:szCs w:val="22"/>
                                    </w:rPr>
                                    <w:t>4.</w:t>
                                  </w:r>
                                  <w:r>
                                    <w:rPr>
                                      <w:rFonts w:cs="Calibri"/>
                                      <w:color w:val="000000"/>
                                      <w:sz w:val="20"/>
                                      <w:szCs w:val="22"/>
                                    </w:rPr>
                                    <w:t>9</w:t>
                                  </w:r>
                                  <w:r w:rsidRPr="00502015">
                                    <w:rPr>
                                      <w:rFonts w:cs="Calibri"/>
                                      <w:color w:val="000000"/>
                                      <w:sz w:val="20"/>
                                      <w:szCs w:val="22"/>
                                    </w:rPr>
                                    <w:t>%</w:t>
                                  </w:r>
                                </w:p>
                              </w:tc>
                            </w:tr>
                          </w:tbl>
                          <w:p w:rsidR="00A04ABD" w:rsidRPr="00A22B92" w:rsidRDefault="00A04ABD" w:rsidP="00961B35">
                            <w:pPr>
                              <w:ind w:hanging="180"/>
                              <w:rPr>
                                <w:sz w:val="16"/>
                                <w:szCs w:val="16"/>
                                <w:lang w:val="hy-AM"/>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1.35pt;margin-top:28.95pt;width:518.25pt;height:444.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">
                <v:textbox>
                  <w:txbxContent>
                    <w:p w:rsidR="00A04ABD" w:rsidRPr="00595950" w:rsidRDefault="00A04ABD" w:rsidP="00961B35">
                      <w:pPr>
                        <w:jc w:val="right"/>
                        <w:rPr>
                          <w:rFonts w:cs="Sylfaen"/>
                          <w:b w:val="0"/>
                          <w:sz w:val="20"/>
                          <w:szCs w:val="20"/>
                        </w:rPr>
                      </w:pPr>
                      <w:r>
                        <w:rPr>
                          <w:rFonts w:cs="Sylfaen"/>
                          <w:szCs w:val="22"/>
                        </w:rPr>
                        <w:t>Ներդիր 1</w:t>
                      </w:r>
                    </w:p>
                    <w:p w:rsidR="00A04ABD" w:rsidRDefault="00A04ABD" w:rsidP="00961B35">
                      <w:pPr>
                        <w:jc w:val="center"/>
                        <w:rPr>
                          <w:rFonts w:cs="Sylfaen"/>
                          <w:b w:val="0"/>
                          <w:szCs w:val="22"/>
                        </w:rPr>
                      </w:pPr>
                    </w:p>
                    <w:p w:rsidR="00A04ABD" w:rsidRDefault="00A04ABD" w:rsidP="00961B35">
                      <w:pPr>
                        <w:jc w:val="center"/>
                        <w:rPr>
                          <w:rFonts w:cs="Sylfaen"/>
                          <w:b w:val="0"/>
                          <w:szCs w:val="22"/>
                        </w:rPr>
                      </w:pPr>
                      <w:r w:rsidRPr="003D2013">
                        <w:rPr>
                          <w:rFonts w:cs="Sylfaen"/>
                          <w:szCs w:val="22"/>
                        </w:rPr>
                        <w:t>Այլ կառույցների կողմից ՀՀ տնտեսական աճի կանխատեսումները</w:t>
                      </w:r>
                    </w:p>
                    <w:p w:rsidR="00A04ABD" w:rsidRPr="003D2013" w:rsidRDefault="00A04ABD" w:rsidP="00961B35">
                      <w:pPr>
                        <w:jc w:val="center"/>
                        <w:rPr>
                          <w:rFonts w:cs="Sylfaen"/>
                          <w:b w:val="0"/>
                          <w:szCs w:val="22"/>
                        </w:rPr>
                      </w:pPr>
                    </w:p>
                    <w:p w:rsidR="00A04ABD" w:rsidRPr="001013D0" w:rsidRDefault="00A04ABD" w:rsidP="00961B35">
                      <w:pPr>
                        <w:jc w:val="center"/>
                        <w:rPr>
                          <w:rFonts w:cs="Sylfaen"/>
                          <w:b w:val="0"/>
                          <w:sz w:val="20"/>
                          <w:szCs w:val="20"/>
                        </w:rPr>
                      </w:pPr>
                    </w:p>
                    <w:p w:rsidR="00A04ABD" w:rsidRPr="008773F3" w:rsidRDefault="00A04ABD" w:rsidP="00961B35">
                      <w:pPr>
                        <w:ind w:left="86" w:firstLine="360"/>
                        <w:rPr>
                          <w:rFonts w:cs="Sylfaen"/>
                          <w:sz w:val="20"/>
                          <w:szCs w:val="20"/>
                        </w:rPr>
                      </w:pPr>
                      <w:r w:rsidRPr="003D2013">
                        <w:rPr>
                          <w:rFonts w:cs="Sylfaen"/>
                          <w:sz w:val="20"/>
                          <w:szCs w:val="20"/>
                          <w:lang w:val="hy-AM"/>
                        </w:rPr>
                        <w:t>Աղյուսակում ներկայացված են այլ կառույցների կողմից ՀՀ տնտեսական աճի 201</w:t>
                      </w:r>
                      <w:r w:rsidRPr="00517ABA">
                        <w:rPr>
                          <w:rFonts w:cs="Sylfaen"/>
                          <w:sz w:val="20"/>
                          <w:szCs w:val="20"/>
                          <w:lang w:val="hy-AM"/>
                        </w:rPr>
                        <w:t>9</w:t>
                      </w:r>
                      <w:r w:rsidRPr="003D2013">
                        <w:rPr>
                          <w:rFonts w:cs="Sylfaen"/>
                          <w:sz w:val="20"/>
                          <w:szCs w:val="20"/>
                          <w:lang w:val="hy-AM"/>
                        </w:rPr>
                        <w:t xml:space="preserve"> և 20</w:t>
                      </w:r>
                      <w:r w:rsidRPr="00517ABA">
                        <w:rPr>
                          <w:rFonts w:cs="Sylfaen"/>
                          <w:sz w:val="20"/>
                          <w:szCs w:val="20"/>
                          <w:lang w:val="hy-AM"/>
                        </w:rPr>
                        <w:t>20</w:t>
                      </w:r>
                      <w:r>
                        <w:rPr>
                          <w:rFonts w:cs="Sylfaen"/>
                          <w:sz w:val="20"/>
                          <w:szCs w:val="20"/>
                          <w:lang w:val="hy-AM"/>
                        </w:rPr>
                        <w:t xml:space="preserve"> </w:t>
                      </w:r>
                      <w:r w:rsidRPr="003D2013">
                        <w:rPr>
                          <w:rFonts w:cs="Sylfaen"/>
                          <w:sz w:val="20"/>
                          <w:szCs w:val="20"/>
                          <w:lang w:val="hy-AM"/>
                        </w:rPr>
                        <w:t>թ</w:t>
                      </w:r>
                      <w:r>
                        <w:rPr>
                          <w:rFonts w:cs="Sylfaen"/>
                          <w:sz w:val="20"/>
                          <w:szCs w:val="20"/>
                          <w:lang w:val="hy-AM"/>
                        </w:rPr>
                        <w:t>վականների</w:t>
                      </w:r>
                      <w:r w:rsidRPr="003D2013">
                        <w:rPr>
                          <w:rFonts w:cs="Sylfaen"/>
                          <w:sz w:val="20"/>
                          <w:szCs w:val="20"/>
                          <w:lang w:val="hy-AM"/>
                        </w:rPr>
                        <w:t xml:space="preserve"> կանխատեսումները: </w:t>
                      </w:r>
                      <w:r>
                        <w:rPr>
                          <w:rFonts w:cs="Sylfaen"/>
                          <w:sz w:val="20"/>
                          <w:szCs w:val="20"/>
                        </w:rPr>
                        <w:t>Ըստ</w:t>
                      </w:r>
                      <w:r w:rsidRPr="00517ABA">
                        <w:rPr>
                          <w:rFonts w:cs="Sylfaen"/>
                          <w:sz w:val="20"/>
                          <w:szCs w:val="20"/>
                          <w:lang w:val="hy-AM"/>
                        </w:rPr>
                        <w:t xml:space="preserve"> </w:t>
                      </w:r>
                      <w:r w:rsidRPr="003D2013">
                        <w:rPr>
                          <w:rFonts w:cs="Sylfaen"/>
                          <w:sz w:val="20"/>
                          <w:szCs w:val="20"/>
                          <w:lang w:val="hy-AM"/>
                        </w:rPr>
                        <w:t xml:space="preserve">ՀՀ կենտրոնական բանկի </w:t>
                      </w:r>
                      <w:r>
                        <w:rPr>
                          <w:rFonts w:cs="Sylfaen"/>
                          <w:sz w:val="20"/>
                          <w:szCs w:val="20"/>
                        </w:rPr>
                        <w:t xml:space="preserve">և </w:t>
                      </w:r>
                      <w:r w:rsidRPr="003D2013">
                        <w:rPr>
                          <w:rFonts w:cs="Sylfaen"/>
                          <w:sz w:val="20"/>
                          <w:szCs w:val="20"/>
                          <w:lang w:val="hy-AM"/>
                        </w:rPr>
                        <w:t xml:space="preserve">«Մուդիս» միջազգային </w:t>
                      </w:r>
                      <w:r>
                        <w:rPr>
                          <w:rFonts w:cs="Sylfaen"/>
                          <w:sz w:val="20"/>
                          <w:szCs w:val="20"/>
                          <w:lang w:val="hy-AM"/>
                        </w:rPr>
                        <w:t>վարկանշային</w:t>
                      </w:r>
                      <w:r w:rsidRPr="003D2013">
                        <w:rPr>
                          <w:rFonts w:cs="Sylfaen"/>
                          <w:sz w:val="20"/>
                          <w:szCs w:val="20"/>
                          <w:lang w:val="hy-AM"/>
                        </w:rPr>
                        <w:t xml:space="preserve"> կազմակերպության</w:t>
                      </w:r>
                      <w:r w:rsidRPr="00517ABA">
                        <w:rPr>
                          <w:rFonts w:cs="Sylfaen"/>
                          <w:sz w:val="20"/>
                          <w:szCs w:val="20"/>
                          <w:lang w:val="hy-AM"/>
                        </w:rPr>
                        <w:t xml:space="preserve"> կանխատեսումների </w:t>
                      </w:r>
                      <w:r>
                        <w:rPr>
                          <w:rFonts w:cs="Sylfaen"/>
                          <w:sz w:val="20"/>
                          <w:szCs w:val="20"/>
                          <w:lang w:val="hy-AM"/>
                        </w:rPr>
                        <w:t xml:space="preserve">ՀՀ </w:t>
                      </w:r>
                      <w:r w:rsidRPr="003D2013">
                        <w:rPr>
                          <w:rFonts w:cs="Sylfaen"/>
                          <w:sz w:val="20"/>
                          <w:szCs w:val="20"/>
                          <w:lang w:val="hy-AM"/>
                        </w:rPr>
                        <w:t xml:space="preserve">տնտեսական աճը 2019 թվականին </w:t>
                      </w:r>
                      <w:r>
                        <w:rPr>
                          <w:rFonts w:cs="Sylfaen"/>
                          <w:sz w:val="20"/>
                          <w:szCs w:val="20"/>
                        </w:rPr>
                        <w:t>կլինի ավելի բարձր:</w:t>
                      </w:r>
                      <w:r w:rsidRPr="00517ABA">
                        <w:rPr>
                          <w:rFonts w:cs="Sylfaen"/>
                          <w:sz w:val="20"/>
                          <w:szCs w:val="20"/>
                          <w:lang w:val="hy-AM"/>
                        </w:rPr>
                        <w:t xml:space="preserve">  </w:t>
                      </w:r>
                      <w:r>
                        <w:rPr>
                          <w:rFonts w:cs="Sylfaen"/>
                          <w:sz w:val="20"/>
                          <w:szCs w:val="20"/>
                          <w:lang w:val="hy-AM"/>
                        </w:rPr>
                        <w:t>Իսկ մյուս միջազգային հեղինակավոր կառույցների կանխատեսումներով այն կլինի համեմատաբար ցածր</w:t>
                      </w:r>
                      <w:r>
                        <w:rPr>
                          <w:rFonts w:cs="Sylfaen"/>
                          <w:sz w:val="20"/>
                          <w:szCs w:val="20"/>
                        </w:rPr>
                        <w:t>,</w:t>
                      </w:r>
                      <w:r w:rsidRPr="00E27154">
                        <w:rPr>
                          <w:rFonts w:cs="Sylfaen"/>
                          <w:sz w:val="20"/>
                          <w:szCs w:val="20"/>
                          <w:lang w:val="hy-AM"/>
                        </w:rPr>
                        <w:t xml:space="preserve"> </w:t>
                      </w:r>
                      <w:r w:rsidRPr="00517ABA">
                        <w:rPr>
                          <w:rFonts w:cs="Sylfaen"/>
                          <w:sz w:val="20"/>
                          <w:szCs w:val="20"/>
                          <w:lang w:val="hy-AM"/>
                        </w:rPr>
                        <w:t>ինչը կարող է պայմանավորված լինել այն հանգամանքով, որ դրանք ավելի վաղ կատարված կանխատեսումներ են և չեն ներառում ՀՀ տնտեսության վերջին դրական զարգացումները:</w:t>
                      </w:r>
                      <w:r>
                        <w:rPr>
                          <w:rFonts w:cs="Sylfaen"/>
                          <w:sz w:val="20"/>
                          <w:szCs w:val="20"/>
                        </w:rPr>
                        <w:t xml:space="preserve"> Ա</w:t>
                      </w:r>
                      <w:r>
                        <w:rPr>
                          <w:rFonts w:cs="Sylfaen"/>
                          <w:sz w:val="20"/>
                          <w:szCs w:val="20"/>
                          <w:lang w:val="hy-AM"/>
                        </w:rPr>
                        <w:t xml:space="preserve">յլ կառույցների կողմից ՀՀ տնտեսական աճի </w:t>
                      </w:r>
                      <w:r>
                        <w:rPr>
                          <w:rFonts w:cs="Sylfaen"/>
                          <w:sz w:val="20"/>
                          <w:szCs w:val="20"/>
                        </w:rPr>
                        <w:t xml:space="preserve">2020 թվականի կանխատեսումները հիմնականում մոտ են </w:t>
                      </w:r>
                      <w:r>
                        <w:rPr>
                          <w:rFonts w:cs="Sylfaen"/>
                          <w:sz w:val="20"/>
                          <w:szCs w:val="20"/>
                          <w:lang w:val="hy-AM"/>
                        </w:rPr>
                        <w:t xml:space="preserve">ՀՀ 2020 թվականի պետական բյուջեի հիմքում </w:t>
                      </w:r>
                      <w:r>
                        <w:rPr>
                          <w:rFonts w:cs="Sylfaen"/>
                          <w:sz w:val="20"/>
                          <w:szCs w:val="20"/>
                        </w:rPr>
                        <w:t xml:space="preserve">դրված </w:t>
                      </w:r>
                      <w:r>
                        <w:rPr>
                          <w:rFonts w:cs="Sylfaen"/>
                          <w:sz w:val="20"/>
                          <w:szCs w:val="20"/>
                          <w:lang w:val="hy-AM"/>
                        </w:rPr>
                        <w:t>տնտեսական աճի կանխատեսումների</w:t>
                      </w:r>
                      <w:r>
                        <w:rPr>
                          <w:rFonts w:cs="Sylfaen"/>
                          <w:sz w:val="20"/>
                          <w:szCs w:val="20"/>
                        </w:rPr>
                        <w:t>ն</w:t>
                      </w:r>
                      <w:r>
                        <w:rPr>
                          <w:rFonts w:cs="Sylfaen"/>
                          <w:sz w:val="16"/>
                          <w:szCs w:val="16"/>
                        </w:rPr>
                        <w:t>:</w:t>
                      </w:r>
                    </w:p>
                    <w:p w:rsidR="00A04ABD" w:rsidRDefault="00A04ABD" w:rsidP="00961B35">
                      <w:pPr>
                        <w:ind w:left="86" w:firstLine="360"/>
                        <w:rPr>
                          <w:rFonts w:cs="Sylfaen"/>
                          <w:sz w:val="20"/>
                          <w:szCs w:val="20"/>
                        </w:rPr>
                      </w:pPr>
                    </w:p>
                    <w:p w:rsidR="00A04ABD" w:rsidRPr="00517ABA" w:rsidRDefault="00A04ABD" w:rsidP="00961B35">
                      <w:pPr>
                        <w:ind w:left="1526"/>
                        <w:rPr>
                          <w:rFonts w:cs="Sylfaen"/>
                          <w:sz w:val="20"/>
                          <w:szCs w:val="20"/>
                          <w:lang w:val="hy-AM"/>
                        </w:rPr>
                      </w:pPr>
                      <w:r w:rsidRPr="003D2013">
                        <w:rPr>
                          <w:rFonts w:cs="Sylfaen"/>
                          <w:sz w:val="20"/>
                          <w:szCs w:val="20"/>
                          <w:lang w:val="hy-AM"/>
                        </w:rPr>
                        <w:t xml:space="preserve">Աղյուսակ.  </w:t>
                      </w:r>
                      <w:r w:rsidRPr="00517ABA">
                        <w:rPr>
                          <w:rFonts w:cs="Sylfaen"/>
                          <w:sz w:val="20"/>
                          <w:szCs w:val="20"/>
                          <w:lang w:val="hy-AM"/>
                        </w:rPr>
                        <w:t xml:space="preserve">Այլ կառույցների կողմից ՀՀ տնտեսական աճի կանխատեսումները </w:t>
                      </w:r>
                    </w:p>
                    <w:tbl>
                      <w:tblPr>
                        <w:tblW w:w="7743" w:type="dxa"/>
                        <w:tblInd w:w="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1558"/>
                        <w:gridCol w:w="1341"/>
                      </w:tblGrid>
                      <w:tr w:rsidR="00A04ABD" w:rsidRPr="00E27154" w:rsidTr="00E52D4A">
                        <w:trPr>
                          <w:trHeight w:val="431"/>
                        </w:trPr>
                        <w:tc>
                          <w:tcPr>
                            <w:tcW w:w="4968" w:type="dxa"/>
                            <w:shd w:val="clear" w:color="auto" w:fill="FFFFFF"/>
                            <w:noWrap/>
                            <w:vAlign w:val="center"/>
                          </w:tcPr>
                          <w:p w:rsidR="00A04ABD" w:rsidRPr="00E27154" w:rsidRDefault="00A04ABD" w:rsidP="00E52D4A">
                            <w:pPr>
                              <w:rPr>
                                <w:rFonts w:cs="Calibri"/>
                                <w:color w:val="000000"/>
                                <w:sz w:val="20"/>
                                <w:szCs w:val="22"/>
                                <w:lang w:val="it-IT"/>
                              </w:rPr>
                            </w:pPr>
                          </w:p>
                        </w:tc>
                        <w:tc>
                          <w:tcPr>
                            <w:tcW w:w="1558" w:type="dxa"/>
                            <w:noWrap/>
                            <w:vAlign w:val="center"/>
                            <w:hideMark/>
                          </w:tcPr>
                          <w:p w:rsidR="00A04ABD" w:rsidRDefault="00A04ABD" w:rsidP="00E52D4A">
                            <w:pPr>
                              <w:jc w:val="center"/>
                              <w:rPr>
                                <w:rFonts w:cs="Calibri"/>
                                <w:b w:val="0"/>
                                <w:bCs/>
                                <w:color w:val="000000"/>
                                <w:sz w:val="20"/>
                                <w:szCs w:val="22"/>
                              </w:rPr>
                            </w:pPr>
                            <w:r w:rsidRPr="00E27154">
                              <w:rPr>
                                <w:rFonts w:cs="Calibri"/>
                                <w:bCs/>
                                <w:color w:val="000000"/>
                                <w:sz w:val="20"/>
                                <w:szCs w:val="22"/>
                              </w:rPr>
                              <w:t>2019</w:t>
                            </w:r>
                            <w:r w:rsidRPr="00E27154">
                              <w:rPr>
                                <w:rFonts w:cs="Calibri"/>
                                <w:bCs/>
                                <w:color w:val="000000"/>
                                <w:sz w:val="20"/>
                                <w:szCs w:val="22"/>
                                <w:lang w:val="hy-AM"/>
                              </w:rPr>
                              <w:t>*</w:t>
                            </w:r>
                          </w:p>
                        </w:tc>
                        <w:tc>
                          <w:tcPr>
                            <w:tcW w:w="1217" w:type="dxa"/>
                            <w:noWrap/>
                            <w:vAlign w:val="center"/>
                            <w:hideMark/>
                          </w:tcPr>
                          <w:p w:rsidR="00A04ABD" w:rsidRDefault="00A04ABD" w:rsidP="00E52D4A">
                            <w:pPr>
                              <w:jc w:val="center"/>
                              <w:rPr>
                                <w:rFonts w:cs="Calibri"/>
                                <w:b w:val="0"/>
                                <w:bCs/>
                                <w:color w:val="000000"/>
                                <w:sz w:val="20"/>
                                <w:szCs w:val="22"/>
                              </w:rPr>
                            </w:pPr>
                            <w:r w:rsidRPr="00E27154">
                              <w:rPr>
                                <w:rFonts w:cs="Calibri"/>
                                <w:bCs/>
                                <w:color w:val="000000"/>
                                <w:sz w:val="20"/>
                                <w:szCs w:val="22"/>
                              </w:rPr>
                              <w:t>2020</w:t>
                            </w:r>
                            <w:r w:rsidRPr="00E27154">
                              <w:rPr>
                                <w:rFonts w:cs="Calibri"/>
                                <w:bCs/>
                                <w:color w:val="000000"/>
                                <w:sz w:val="20"/>
                                <w:szCs w:val="22"/>
                                <w:lang w:val="hy-AM"/>
                              </w:rPr>
                              <w:t>*</w:t>
                            </w:r>
                          </w:p>
                        </w:tc>
                      </w:tr>
                      <w:tr w:rsidR="00A04ABD" w:rsidRPr="00E27154" w:rsidTr="00E52D4A">
                        <w:trPr>
                          <w:trHeight w:val="345"/>
                        </w:trPr>
                        <w:tc>
                          <w:tcPr>
                            <w:tcW w:w="4968" w:type="dxa"/>
                            <w:shd w:val="clear" w:color="auto" w:fill="FFFFFF"/>
                            <w:noWrap/>
                            <w:vAlign w:val="center"/>
                            <w:hideMark/>
                          </w:tcPr>
                          <w:p w:rsidR="00A04ABD" w:rsidRPr="00E27154" w:rsidRDefault="00A04ABD" w:rsidP="00E52D4A">
                            <w:pPr>
                              <w:rPr>
                                <w:rFonts w:cs="Calibri"/>
                                <w:color w:val="000000"/>
                                <w:sz w:val="20"/>
                                <w:szCs w:val="22"/>
                              </w:rPr>
                            </w:pPr>
                            <w:r w:rsidRPr="00E27154">
                              <w:rPr>
                                <w:rFonts w:cs="Calibri"/>
                                <w:color w:val="000000"/>
                                <w:sz w:val="20"/>
                                <w:szCs w:val="22"/>
                              </w:rPr>
                              <w:t>Արժույթի միջազգային հիմնադրամ (2019</w:t>
                            </w:r>
                            <w:r w:rsidRPr="00E27154">
                              <w:rPr>
                                <w:rFonts w:cs="Calibri"/>
                                <w:color w:val="000000"/>
                                <w:sz w:val="20"/>
                                <w:szCs w:val="22"/>
                                <w:lang w:val="hy-AM"/>
                              </w:rPr>
                              <w:t>թ.</w:t>
                            </w:r>
                            <w:r w:rsidRPr="00E27154">
                              <w:rPr>
                                <w:rFonts w:cs="Calibri"/>
                                <w:color w:val="000000"/>
                                <w:sz w:val="20"/>
                                <w:szCs w:val="22"/>
                              </w:rPr>
                              <w:t xml:space="preserve"> հունիս)</w:t>
                            </w:r>
                          </w:p>
                        </w:tc>
                        <w:tc>
                          <w:tcPr>
                            <w:tcW w:w="1558" w:type="dxa"/>
                            <w:shd w:val="clear" w:color="auto" w:fill="auto"/>
                            <w:noWrap/>
                            <w:vAlign w:val="center"/>
                            <w:hideMark/>
                          </w:tcPr>
                          <w:p w:rsidR="00A04ABD" w:rsidRPr="00E27154" w:rsidRDefault="00A04ABD" w:rsidP="00E52D4A">
                            <w:pPr>
                              <w:jc w:val="center"/>
                              <w:rPr>
                                <w:rFonts w:cs="Calibri"/>
                                <w:color w:val="000000"/>
                                <w:sz w:val="20"/>
                                <w:szCs w:val="22"/>
                              </w:rPr>
                            </w:pPr>
                            <w:r w:rsidRPr="00E27154">
                              <w:rPr>
                                <w:color w:val="000000"/>
                                <w:sz w:val="20"/>
                                <w:szCs w:val="22"/>
                              </w:rPr>
                              <w:t>4.6%</w:t>
                            </w:r>
                          </w:p>
                        </w:tc>
                        <w:tc>
                          <w:tcPr>
                            <w:tcW w:w="1217" w:type="dxa"/>
                            <w:shd w:val="clear" w:color="auto" w:fill="auto"/>
                            <w:noWrap/>
                            <w:vAlign w:val="center"/>
                            <w:hideMark/>
                          </w:tcPr>
                          <w:p w:rsidR="00A04ABD" w:rsidRPr="00E27154" w:rsidRDefault="00A04ABD" w:rsidP="00E52D4A">
                            <w:pPr>
                              <w:jc w:val="center"/>
                              <w:rPr>
                                <w:rFonts w:cs="Calibri"/>
                                <w:color w:val="000000"/>
                                <w:sz w:val="20"/>
                                <w:szCs w:val="22"/>
                              </w:rPr>
                            </w:pPr>
                            <w:r w:rsidRPr="00E27154">
                              <w:rPr>
                                <w:color w:val="000000"/>
                                <w:sz w:val="20"/>
                                <w:szCs w:val="22"/>
                              </w:rPr>
                              <w:t>4.5%</w:t>
                            </w:r>
                          </w:p>
                        </w:tc>
                      </w:tr>
                      <w:tr w:rsidR="00A04ABD" w:rsidRPr="00E27154" w:rsidTr="00E52D4A">
                        <w:trPr>
                          <w:trHeight w:val="345"/>
                        </w:trPr>
                        <w:tc>
                          <w:tcPr>
                            <w:tcW w:w="4968" w:type="dxa"/>
                            <w:shd w:val="clear" w:color="auto" w:fill="FFFFFF"/>
                            <w:noWrap/>
                            <w:vAlign w:val="center"/>
                          </w:tcPr>
                          <w:p w:rsidR="00A04ABD" w:rsidRPr="00E27154" w:rsidRDefault="00A04ABD" w:rsidP="00E52D4A">
                            <w:pPr>
                              <w:rPr>
                                <w:rFonts w:cs="Calibri"/>
                                <w:color w:val="000000"/>
                                <w:sz w:val="20"/>
                                <w:szCs w:val="22"/>
                              </w:rPr>
                            </w:pPr>
                            <w:r w:rsidRPr="00E27154">
                              <w:rPr>
                                <w:rFonts w:cs="Calibri"/>
                                <w:color w:val="000000"/>
                                <w:sz w:val="20"/>
                                <w:szCs w:val="22"/>
                              </w:rPr>
                              <w:t xml:space="preserve">Համաշխարհային </w:t>
                            </w:r>
                            <w:r>
                              <w:rPr>
                                <w:rFonts w:cs="Calibri"/>
                                <w:color w:val="000000"/>
                                <w:sz w:val="20"/>
                                <w:szCs w:val="22"/>
                              </w:rPr>
                              <w:t>բ</w:t>
                            </w:r>
                            <w:r w:rsidRPr="00E27154">
                              <w:rPr>
                                <w:rFonts w:cs="Calibri"/>
                                <w:color w:val="000000"/>
                                <w:sz w:val="20"/>
                                <w:szCs w:val="22"/>
                              </w:rPr>
                              <w:t>անկ (2019</w:t>
                            </w:r>
                            <w:r w:rsidRPr="00E27154">
                              <w:rPr>
                                <w:rFonts w:cs="Calibri"/>
                                <w:color w:val="000000"/>
                                <w:sz w:val="20"/>
                                <w:szCs w:val="22"/>
                                <w:lang w:val="hy-AM"/>
                              </w:rPr>
                              <w:t>թ.</w:t>
                            </w:r>
                            <w:r w:rsidRPr="00E27154">
                              <w:rPr>
                                <w:rFonts w:cs="Calibri"/>
                                <w:color w:val="000000"/>
                                <w:sz w:val="20"/>
                                <w:szCs w:val="22"/>
                              </w:rPr>
                              <w:t xml:space="preserve"> հունիս)</w:t>
                            </w:r>
                          </w:p>
                        </w:tc>
                        <w:tc>
                          <w:tcPr>
                            <w:tcW w:w="1558" w:type="dxa"/>
                            <w:shd w:val="clear" w:color="auto" w:fill="auto"/>
                            <w:noWrap/>
                            <w:vAlign w:val="center"/>
                          </w:tcPr>
                          <w:p w:rsidR="00A04ABD" w:rsidRPr="00E27154" w:rsidRDefault="00A04ABD" w:rsidP="00E52D4A">
                            <w:pPr>
                              <w:jc w:val="center"/>
                              <w:rPr>
                                <w:rFonts w:cs="Calibri"/>
                                <w:color w:val="000000"/>
                                <w:sz w:val="20"/>
                                <w:szCs w:val="22"/>
                              </w:rPr>
                            </w:pPr>
                            <w:r w:rsidRPr="00E27154">
                              <w:rPr>
                                <w:color w:val="000000"/>
                                <w:sz w:val="20"/>
                                <w:szCs w:val="22"/>
                              </w:rPr>
                              <w:t>4.2%</w:t>
                            </w:r>
                          </w:p>
                        </w:tc>
                        <w:tc>
                          <w:tcPr>
                            <w:tcW w:w="1217" w:type="dxa"/>
                            <w:shd w:val="clear" w:color="auto" w:fill="auto"/>
                            <w:noWrap/>
                            <w:vAlign w:val="center"/>
                          </w:tcPr>
                          <w:p w:rsidR="00A04ABD" w:rsidRPr="00E27154" w:rsidRDefault="00A04ABD" w:rsidP="00E52D4A">
                            <w:pPr>
                              <w:jc w:val="center"/>
                              <w:rPr>
                                <w:rFonts w:cs="Calibri"/>
                                <w:color w:val="000000"/>
                                <w:sz w:val="20"/>
                                <w:szCs w:val="22"/>
                              </w:rPr>
                            </w:pPr>
                            <w:r w:rsidRPr="00E27154">
                              <w:rPr>
                                <w:color w:val="000000"/>
                                <w:sz w:val="20"/>
                                <w:szCs w:val="22"/>
                              </w:rPr>
                              <w:t>4.9%</w:t>
                            </w:r>
                          </w:p>
                        </w:tc>
                      </w:tr>
                      <w:tr w:rsidR="00A04ABD" w:rsidRPr="00E27154" w:rsidTr="00E52D4A">
                        <w:trPr>
                          <w:trHeight w:val="345"/>
                        </w:trPr>
                        <w:tc>
                          <w:tcPr>
                            <w:tcW w:w="4968" w:type="dxa"/>
                            <w:shd w:val="clear" w:color="auto" w:fill="FFFFFF"/>
                            <w:noWrap/>
                            <w:vAlign w:val="center"/>
                            <w:hideMark/>
                          </w:tcPr>
                          <w:p w:rsidR="00A04ABD" w:rsidRPr="00E27154" w:rsidRDefault="00A04ABD" w:rsidP="00E52D4A">
                            <w:pPr>
                              <w:rPr>
                                <w:rFonts w:cs="Calibri"/>
                                <w:color w:val="000000"/>
                                <w:sz w:val="20"/>
                                <w:szCs w:val="22"/>
                              </w:rPr>
                            </w:pPr>
                            <w:r w:rsidRPr="00E27154">
                              <w:rPr>
                                <w:rFonts w:cs="Calibri"/>
                                <w:color w:val="000000"/>
                                <w:sz w:val="20"/>
                                <w:szCs w:val="22"/>
                              </w:rPr>
                              <w:t>Մուդիս (2019</w:t>
                            </w:r>
                            <w:r w:rsidRPr="00E27154">
                              <w:rPr>
                                <w:rFonts w:cs="Calibri"/>
                                <w:color w:val="000000"/>
                                <w:sz w:val="20"/>
                                <w:szCs w:val="22"/>
                                <w:lang w:val="hy-AM"/>
                              </w:rPr>
                              <w:t xml:space="preserve">թ. </w:t>
                            </w:r>
                            <w:r w:rsidRPr="00E27154">
                              <w:rPr>
                                <w:rFonts w:cs="Calibri"/>
                                <w:color w:val="000000"/>
                                <w:sz w:val="20"/>
                                <w:szCs w:val="22"/>
                              </w:rPr>
                              <w:t>օգոստոս)</w:t>
                            </w:r>
                          </w:p>
                        </w:tc>
                        <w:tc>
                          <w:tcPr>
                            <w:tcW w:w="1558" w:type="dxa"/>
                            <w:noWrap/>
                            <w:vAlign w:val="center"/>
                            <w:hideMark/>
                          </w:tcPr>
                          <w:p w:rsidR="00A04ABD" w:rsidRPr="00E27154" w:rsidRDefault="00A04ABD" w:rsidP="00E52D4A">
                            <w:pPr>
                              <w:jc w:val="center"/>
                              <w:rPr>
                                <w:color w:val="000000"/>
                                <w:sz w:val="20"/>
                                <w:szCs w:val="22"/>
                              </w:rPr>
                            </w:pPr>
                            <w:r w:rsidRPr="00E27154">
                              <w:rPr>
                                <w:color w:val="000000"/>
                                <w:sz w:val="20"/>
                                <w:szCs w:val="22"/>
                              </w:rPr>
                              <w:t>7.7%</w:t>
                            </w:r>
                          </w:p>
                        </w:tc>
                        <w:tc>
                          <w:tcPr>
                            <w:tcW w:w="1217" w:type="dxa"/>
                            <w:noWrap/>
                            <w:vAlign w:val="center"/>
                            <w:hideMark/>
                          </w:tcPr>
                          <w:p w:rsidR="00A04ABD" w:rsidRPr="00E27154" w:rsidRDefault="00A04ABD">
                            <w:pPr>
                              <w:jc w:val="center"/>
                              <w:rPr>
                                <w:color w:val="000000"/>
                                <w:sz w:val="20"/>
                                <w:szCs w:val="22"/>
                              </w:rPr>
                            </w:pPr>
                            <w:r w:rsidRPr="00E27154">
                              <w:rPr>
                                <w:color w:val="000000"/>
                                <w:sz w:val="20"/>
                                <w:szCs w:val="22"/>
                              </w:rPr>
                              <w:t>5.4%</w:t>
                            </w:r>
                          </w:p>
                        </w:tc>
                      </w:tr>
                      <w:tr w:rsidR="00A04ABD" w:rsidRPr="00E27154" w:rsidTr="00E52D4A">
                        <w:trPr>
                          <w:trHeight w:val="334"/>
                        </w:trPr>
                        <w:tc>
                          <w:tcPr>
                            <w:tcW w:w="4968" w:type="dxa"/>
                            <w:shd w:val="clear" w:color="auto" w:fill="FFFFFF"/>
                            <w:noWrap/>
                            <w:vAlign w:val="center"/>
                            <w:hideMark/>
                          </w:tcPr>
                          <w:p w:rsidR="00A04ABD" w:rsidRPr="00E27154" w:rsidRDefault="00A04ABD" w:rsidP="00E52D4A">
                            <w:pPr>
                              <w:rPr>
                                <w:rFonts w:cs="Calibri"/>
                                <w:color w:val="000000"/>
                                <w:sz w:val="20"/>
                                <w:szCs w:val="22"/>
                              </w:rPr>
                            </w:pPr>
                            <w:r w:rsidRPr="00E27154">
                              <w:rPr>
                                <w:rFonts w:cs="Calibri"/>
                                <w:color w:val="000000"/>
                                <w:sz w:val="20"/>
                                <w:szCs w:val="22"/>
                              </w:rPr>
                              <w:t>Ֆիթչ (2019</w:t>
                            </w:r>
                            <w:r w:rsidRPr="00E27154">
                              <w:rPr>
                                <w:rFonts w:cs="Calibri"/>
                                <w:color w:val="000000"/>
                                <w:sz w:val="20"/>
                                <w:szCs w:val="22"/>
                                <w:lang w:val="hy-AM"/>
                              </w:rPr>
                              <w:t>թ.</w:t>
                            </w:r>
                            <w:r w:rsidRPr="00E27154">
                              <w:rPr>
                                <w:rFonts w:cs="Calibri"/>
                                <w:color w:val="000000"/>
                                <w:sz w:val="20"/>
                                <w:szCs w:val="22"/>
                              </w:rPr>
                              <w:t xml:space="preserve"> մայիս)</w:t>
                            </w:r>
                          </w:p>
                        </w:tc>
                        <w:tc>
                          <w:tcPr>
                            <w:tcW w:w="1558" w:type="dxa"/>
                            <w:noWrap/>
                            <w:vAlign w:val="center"/>
                            <w:hideMark/>
                          </w:tcPr>
                          <w:p w:rsidR="00A04ABD" w:rsidRPr="00A52E8E" w:rsidRDefault="00A04ABD" w:rsidP="00E52D4A">
                            <w:pPr>
                              <w:jc w:val="center"/>
                              <w:rPr>
                                <w:rFonts w:cs="Calibri"/>
                                <w:color w:val="000000"/>
                                <w:sz w:val="20"/>
                                <w:szCs w:val="22"/>
                              </w:rPr>
                            </w:pPr>
                            <w:r w:rsidRPr="00A52E8E">
                              <w:rPr>
                                <w:rFonts w:cs="Calibri"/>
                                <w:color w:val="000000"/>
                                <w:sz w:val="20"/>
                                <w:szCs w:val="22"/>
                              </w:rPr>
                              <w:t>4.6%</w:t>
                            </w:r>
                          </w:p>
                        </w:tc>
                        <w:tc>
                          <w:tcPr>
                            <w:tcW w:w="1217" w:type="dxa"/>
                            <w:noWrap/>
                            <w:vAlign w:val="center"/>
                            <w:hideMark/>
                          </w:tcPr>
                          <w:p w:rsidR="00A04ABD" w:rsidRPr="00502015" w:rsidRDefault="00A04ABD" w:rsidP="00E52D4A">
                            <w:pPr>
                              <w:jc w:val="center"/>
                              <w:rPr>
                                <w:rFonts w:cs="Calibri"/>
                                <w:color w:val="000000"/>
                                <w:sz w:val="20"/>
                                <w:szCs w:val="22"/>
                              </w:rPr>
                            </w:pPr>
                            <w:r w:rsidRPr="00502015">
                              <w:rPr>
                                <w:rFonts w:cs="Calibri"/>
                                <w:color w:val="000000"/>
                                <w:sz w:val="20"/>
                                <w:szCs w:val="22"/>
                              </w:rPr>
                              <w:t>4.5%</w:t>
                            </w:r>
                          </w:p>
                        </w:tc>
                      </w:tr>
                      <w:tr w:rsidR="00A04ABD" w:rsidRPr="00E27154" w:rsidTr="00E52D4A">
                        <w:trPr>
                          <w:trHeight w:val="449"/>
                        </w:trPr>
                        <w:tc>
                          <w:tcPr>
                            <w:tcW w:w="4968" w:type="dxa"/>
                            <w:shd w:val="clear" w:color="auto" w:fill="FFFFFF"/>
                            <w:vAlign w:val="center"/>
                            <w:hideMark/>
                          </w:tcPr>
                          <w:p w:rsidR="00A04ABD" w:rsidRPr="00E27154" w:rsidRDefault="00A04ABD" w:rsidP="00E52D4A">
                            <w:pPr>
                              <w:rPr>
                                <w:rFonts w:cs="Calibri"/>
                                <w:color w:val="000000"/>
                                <w:sz w:val="20"/>
                                <w:szCs w:val="22"/>
                              </w:rPr>
                            </w:pPr>
                            <w:r w:rsidRPr="00E27154">
                              <w:rPr>
                                <w:rFonts w:cs="Calibri"/>
                                <w:color w:val="000000"/>
                                <w:sz w:val="20"/>
                                <w:szCs w:val="22"/>
                              </w:rPr>
                              <w:t>ՀՀ կենտրոնական բանկ (2019թ.</w:t>
                            </w:r>
                            <w:r w:rsidRPr="00E27154">
                              <w:rPr>
                                <w:rFonts w:cs="Calibri"/>
                                <w:color w:val="000000"/>
                                <w:sz w:val="20"/>
                                <w:szCs w:val="22"/>
                                <w:lang w:val="hy-AM"/>
                              </w:rPr>
                              <w:t xml:space="preserve"> </w:t>
                            </w:r>
                            <w:r>
                              <w:rPr>
                                <w:rFonts w:cs="Calibri"/>
                                <w:color w:val="000000"/>
                                <w:sz w:val="20"/>
                                <w:szCs w:val="22"/>
                              </w:rPr>
                              <w:t>սպտեմբեր</w:t>
                            </w:r>
                            <w:r w:rsidRPr="00E27154">
                              <w:rPr>
                                <w:rFonts w:cs="Calibri"/>
                                <w:color w:val="000000"/>
                                <w:sz w:val="20"/>
                                <w:szCs w:val="22"/>
                              </w:rPr>
                              <w:t>)</w:t>
                            </w:r>
                          </w:p>
                        </w:tc>
                        <w:tc>
                          <w:tcPr>
                            <w:tcW w:w="1558" w:type="dxa"/>
                            <w:shd w:val="clear" w:color="auto" w:fill="auto"/>
                            <w:noWrap/>
                            <w:vAlign w:val="center"/>
                            <w:hideMark/>
                          </w:tcPr>
                          <w:p w:rsidR="00A04ABD" w:rsidRPr="00A52E8E" w:rsidRDefault="00A04ABD">
                            <w:pPr>
                              <w:jc w:val="center"/>
                              <w:rPr>
                                <w:rFonts w:cs="Calibri"/>
                                <w:color w:val="000000"/>
                                <w:sz w:val="20"/>
                                <w:szCs w:val="22"/>
                              </w:rPr>
                            </w:pPr>
                            <w:r w:rsidRPr="00A52E8E">
                              <w:rPr>
                                <w:rFonts w:cs="Calibri"/>
                                <w:color w:val="000000"/>
                                <w:sz w:val="20"/>
                                <w:szCs w:val="22"/>
                              </w:rPr>
                              <w:t>6.</w:t>
                            </w:r>
                            <w:r>
                              <w:rPr>
                                <w:rFonts w:cs="Calibri"/>
                                <w:color w:val="000000"/>
                                <w:sz w:val="20"/>
                                <w:szCs w:val="22"/>
                              </w:rPr>
                              <w:t>9</w:t>
                            </w:r>
                            <w:r w:rsidRPr="00A52E8E">
                              <w:rPr>
                                <w:rFonts w:cs="Calibri"/>
                                <w:color w:val="000000"/>
                                <w:sz w:val="20"/>
                                <w:szCs w:val="22"/>
                              </w:rPr>
                              <w:t>%</w:t>
                            </w:r>
                          </w:p>
                        </w:tc>
                        <w:tc>
                          <w:tcPr>
                            <w:tcW w:w="1217" w:type="dxa"/>
                            <w:shd w:val="clear" w:color="auto" w:fill="auto"/>
                            <w:noWrap/>
                            <w:vAlign w:val="center"/>
                            <w:hideMark/>
                          </w:tcPr>
                          <w:p w:rsidR="00A04ABD" w:rsidRPr="00502015" w:rsidRDefault="00A04ABD">
                            <w:pPr>
                              <w:jc w:val="center"/>
                              <w:rPr>
                                <w:rFonts w:cs="Calibri"/>
                                <w:color w:val="000000"/>
                                <w:sz w:val="20"/>
                                <w:szCs w:val="22"/>
                              </w:rPr>
                            </w:pPr>
                            <w:r w:rsidRPr="00502015">
                              <w:rPr>
                                <w:rFonts w:cs="Calibri"/>
                                <w:color w:val="000000"/>
                                <w:sz w:val="20"/>
                                <w:szCs w:val="22"/>
                              </w:rPr>
                              <w:t>4.</w:t>
                            </w:r>
                            <w:r>
                              <w:rPr>
                                <w:rFonts w:cs="Calibri"/>
                                <w:color w:val="000000"/>
                                <w:sz w:val="20"/>
                                <w:szCs w:val="22"/>
                              </w:rPr>
                              <w:t>9</w:t>
                            </w:r>
                            <w:r w:rsidRPr="00502015">
                              <w:rPr>
                                <w:rFonts w:cs="Calibri"/>
                                <w:color w:val="000000"/>
                                <w:sz w:val="20"/>
                                <w:szCs w:val="22"/>
                              </w:rPr>
                              <w:t>%</w:t>
                            </w:r>
                          </w:p>
                        </w:tc>
                      </w:tr>
                    </w:tbl>
                    <w:p w:rsidR="00A04ABD" w:rsidRPr="00A22B92" w:rsidRDefault="00A04ABD" w:rsidP="00961B35">
                      <w:pPr>
                        <w:ind w:hanging="180"/>
                        <w:rPr>
                          <w:sz w:val="16"/>
                          <w:szCs w:val="16"/>
                          <w:lang w:val="hy-AM"/>
                        </w:rPr>
                      </w:pPr>
                    </w:p>
                  </w:txbxContent>
                </v:textbox>
                <w10:wrap type="square"/>
              </v:shape>
            </w:pict>
          </mc:Fallback>
        </mc:AlternateContent>
      </w:r>
    </w:p>
    <w:p w:rsidR="00961B35" w:rsidRPr="00961B35" w:rsidRDefault="00961B35" w:rsidP="00961B35">
      <w:pPr>
        <w:spacing w:before="0"/>
        <w:ind w:firstLine="450"/>
        <w:contextualSpacing w:val="0"/>
        <w:jc w:val="left"/>
        <w:rPr>
          <w:rFonts w:cs="Sylfaen"/>
          <w:szCs w:val="22"/>
          <w:lang w:val="en-US" w:eastAsia="en-US"/>
        </w:rPr>
      </w:pPr>
    </w:p>
    <w:p w:rsidR="00961B35" w:rsidRPr="00961B35" w:rsidRDefault="00961B35" w:rsidP="00961B35">
      <w:pPr>
        <w:spacing w:before="0"/>
        <w:ind w:hanging="180"/>
        <w:contextualSpacing w:val="0"/>
        <w:rPr>
          <w:b w:val="0"/>
          <w:sz w:val="16"/>
          <w:szCs w:val="16"/>
          <w:lang w:val="hy-AM" w:eastAsia="en-US"/>
        </w:rPr>
      </w:pPr>
    </w:p>
    <w:p w:rsidR="00961B35" w:rsidRPr="00961B35" w:rsidRDefault="00961B35" w:rsidP="00961B35">
      <w:pPr>
        <w:spacing w:before="0" w:line="240" w:lineRule="auto"/>
        <w:ind w:firstLine="0"/>
        <w:contextualSpacing w:val="0"/>
        <w:jc w:val="left"/>
        <w:rPr>
          <w:b w:val="0"/>
          <w:sz w:val="24"/>
          <w:lang w:val="en-US" w:eastAsia="en-US"/>
        </w:rPr>
      </w:pPr>
    </w:p>
    <w:p w:rsidR="00961B35" w:rsidRPr="00961B35" w:rsidRDefault="00961B35" w:rsidP="00961B35">
      <w:pPr>
        <w:spacing w:before="0"/>
        <w:ind w:firstLine="450"/>
        <w:contextualSpacing w:val="0"/>
        <w:jc w:val="left"/>
        <w:rPr>
          <w:rFonts w:cs="Sylfaen"/>
          <w:szCs w:val="22"/>
          <w:lang w:val="hy-AM" w:eastAsia="en-US"/>
        </w:rPr>
      </w:pPr>
      <w:r w:rsidRPr="00961B35">
        <w:rPr>
          <w:rFonts w:cs="Sylfaen"/>
          <w:szCs w:val="22"/>
          <w:lang w:val="en-US" w:eastAsia="en-US"/>
        </w:rPr>
        <w:t>1</w:t>
      </w:r>
      <w:r w:rsidRPr="00961B35">
        <w:rPr>
          <w:rFonts w:cs="Sylfaen"/>
          <w:szCs w:val="22"/>
          <w:lang w:val="hy-AM" w:eastAsia="en-US"/>
        </w:rPr>
        <w:t>.2.1.  Արդյունաբերություն</w:t>
      </w:r>
    </w:p>
    <w:p w:rsidR="00961B35" w:rsidRPr="00961B35" w:rsidRDefault="00961B35" w:rsidP="00961B35">
      <w:pPr>
        <w:spacing w:before="0"/>
        <w:ind w:firstLine="450"/>
        <w:contextualSpacing w:val="0"/>
        <w:rPr>
          <w:rFonts w:cs="Sylfaen"/>
          <w:szCs w:val="22"/>
          <w:lang w:val="hy-AM" w:eastAsia="en-US"/>
        </w:rPr>
      </w:pPr>
    </w:p>
    <w:p w:rsidR="00961B35" w:rsidRPr="00961B35" w:rsidRDefault="00961B35" w:rsidP="00961B35">
      <w:pPr>
        <w:spacing w:before="0"/>
        <w:ind w:firstLine="450"/>
        <w:contextualSpacing w:val="0"/>
        <w:rPr>
          <w:rFonts w:cs="Sylfaen"/>
          <w:szCs w:val="22"/>
          <w:lang w:val="hy-AM" w:eastAsia="en-US"/>
        </w:rPr>
      </w:pPr>
      <w:r w:rsidRPr="00961B35">
        <w:rPr>
          <w:rFonts w:cs="Sylfaen"/>
          <w:szCs w:val="22"/>
          <w:lang w:val="hy-AM" w:eastAsia="en-US"/>
        </w:rPr>
        <w:t>2018 թվականին արդյունաբերությունն աճել է 4.3%-ով՝ պայմանավորված և՛ արտաքին, և՛ ներքին պահանջարկի աճով</w:t>
      </w:r>
      <w:r w:rsidRPr="00961B35">
        <w:rPr>
          <w:rFonts w:cs="Sylfaen"/>
          <w:b w:val="0"/>
          <w:szCs w:val="22"/>
          <w:vertAlign w:val="superscript"/>
          <w:lang w:val="hy-AM" w:eastAsia="en-US"/>
        </w:rPr>
        <w:footnoteReference w:id="6"/>
      </w:r>
      <w:r w:rsidRPr="00961B35">
        <w:rPr>
          <w:rFonts w:cs="Sylfaen"/>
          <w:szCs w:val="22"/>
          <w:lang w:val="hy-AM" w:eastAsia="en-US"/>
        </w:rPr>
        <w:t xml:space="preserve">: </w:t>
      </w:r>
    </w:p>
    <w:p w:rsidR="00961B35" w:rsidRPr="00961B35" w:rsidRDefault="00961B35" w:rsidP="00961B35">
      <w:pPr>
        <w:tabs>
          <w:tab w:val="right" w:pos="8640"/>
        </w:tabs>
        <w:spacing w:before="0"/>
        <w:ind w:firstLine="450"/>
        <w:contextualSpacing w:val="0"/>
        <w:rPr>
          <w:rFonts w:cs="Sylfaen"/>
          <w:b w:val="0"/>
          <w:szCs w:val="22"/>
          <w:lang w:val="hy-AM" w:eastAsia="en-US"/>
        </w:rPr>
      </w:pPr>
      <w:r w:rsidRPr="00961B35">
        <w:rPr>
          <w:rFonts w:cs="Sylfaen"/>
          <w:b w:val="0"/>
          <w:szCs w:val="22"/>
          <w:lang w:val="hy-AM" w:eastAsia="en-US"/>
        </w:rPr>
        <w:t xml:space="preserve">Արդյունաբերության աճին հիմնականում նպաստել է մշակող արդյունաբերությունը՝ 6.3 տոկոսային կետով (աճը՝ 10.0%), իսկ հանքագործական արդյունաբերությունը 2.9 տոկոսային </w:t>
      </w:r>
      <w:r w:rsidRPr="00961B35">
        <w:rPr>
          <w:rFonts w:cs="Sylfaen"/>
          <w:b w:val="0"/>
          <w:szCs w:val="22"/>
          <w:lang w:val="hy-AM" w:eastAsia="en-US"/>
        </w:rPr>
        <w:lastRenderedPageBreak/>
        <w:t>կետով բացասական է ազդել աճին արդյունաբերության աճին (նվազումը՝ 14.0%)՝ պայմանավորված մետաղական հանքաքարի արդյունահանման 15.8% նվազմամբ:</w:t>
      </w:r>
    </w:p>
    <w:p w:rsidR="00961B35" w:rsidRPr="00961B35" w:rsidRDefault="00961B35" w:rsidP="00961B35">
      <w:pPr>
        <w:spacing w:before="0"/>
        <w:ind w:firstLine="450"/>
        <w:contextualSpacing w:val="0"/>
        <w:rPr>
          <w:rFonts w:cs="Sylfaen"/>
          <w:b w:val="0"/>
          <w:szCs w:val="22"/>
          <w:lang w:val="hy-AM" w:eastAsia="en-US"/>
        </w:rPr>
      </w:pPr>
      <w:r w:rsidRPr="00961B35">
        <w:rPr>
          <w:rFonts w:cs="Sylfaen"/>
          <w:szCs w:val="22"/>
          <w:lang w:val="hy-AM" w:eastAsia="en-US"/>
        </w:rPr>
        <w:t xml:space="preserve">2019 թվականին արդյունաբերության ճյուղի աճի տեմպերը նախորդ տարվա նույն ժամանակահատվածի նկատմամբ արագացել են: </w:t>
      </w:r>
      <w:r w:rsidRPr="00961B35">
        <w:rPr>
          <w:rFonts w:cs="Sylfaen"/>
          <w:b w:val="0"/>
          <w:szCs w:val="22"/>
          <w:lang w:val="hy-AM" w:eastAsia="en-US"/>
        </w:rPr>
        <w:t>Չնայած տարեսկզբի դանդաղ աճի տեմպերին՝</w:t>
      </w:r>
      <w:r w:rsidRPr="00961B35">
        <w:rPr>
          <w:rFonts w:cs="Sylfaen"/>
          <w:szCs w:val="22"/>
          <w:lang w:val="hy-AM" w:eastAsia="en-US"/>
        </w:rPr>
        <w:t xml:space="preserve"> </w:t>
      </w:r>
      <w:r w:rsidRPr="00961B35">
        <w:rPr>
          <w:rFonts w:cs="Sylfaen"/>
          <w:b w:val="0"/>
          <w:szCs w:val="22"/>
          <w:lang w:val="hy-AM" w:eastAsia="en-US"/>
        </w:rPr>
        <w:t>2019 թվականի հունվար-հուլիս ամիսներին արձանագրվել է արդյունաբերական արտադրան</w:t>
      </w:r>
      <w:r w:rsidRPr="00961B35">
        <w:rPr>
          <w:rFonts w:cs="Sylfaen"/>
          <w:b w:val="0"/>
          <w:szCs w:val="22"/>
          <w:lang w:val="hy-AM" w:eastAsia="en-US"/>
        </w:rPr>
        <w:softHyphen/>
        <w:t xml:space="preserve">քի համախառն թողարկման ծավալների 8.4% աճ: 2019 թվականին արդյունաբերության աճը հիմնականում տեղի է ունեցել ի հաշիվ մշակող արդյունաբերության 10.4% աճի (նպաստումը՝ 6.8 տոկոսային կետ), ինչպես նաև հանքագործական արդյունաբերության աճի վերականգնման, որն աճել է 9.5%-ով (նպաստումը՝ 1.9 տոկոսային կետ): Մշակող արդյունաբերության աճը հիմնականում պայմանավորված է եղել այլ ոչ մետաղական հանքային արտադրատեսակների 70.0% (նպաստումը՝ 3.6 տոկոսային կետ), ծխախոտային արտադրատեսակների 17.0% (նպաստումը՝ 2.5 տոկոսային կետ), սննդամթերքի 7.6% (նպաստումը՝ 2.2 տոկոսային կետ) և խմիչքների 9.8% (նպաստումը՝ 1.3 տոկոսային կետ) արտադրության աճերով: </w:t>
      </w:r>
    </w:p>
    <w:p w:rsidR="00961B35" w:rsidRPr="00961B35" w:rsidRDefault="00961B35" w:rsidP="00961B35">
      <w:pPr>
        <w:spacing w:before="0"/>
        <w:ind w:firstLine="450"/>
        <w:contextualSpacing w:val="0"/>
        <w:rPr>
          <w:rFonts w:cs="Sylfaen"/>
          <w:b w:val="0"/>
          <w:szCs w:val="22"/>
          <w:lang w:val="hy-AM" w:eastAsia="en-US"/>
        </w:rPr>
      </w:pPr>
      <w:r w:rsidRPr="00961B35">
        <w:rPr>
          <w:rFonts w:cs="Sylfaen"/>
          <w:szCs w:val="22"/>
          <w:lang w:val="hy-AM" w:eastAsia="en-US"/>
        </w:rPr>
        <w:t>Կանխատեսում</w:t>
      </w:r>
      <w:r w:rsidRPr="00961B35">
        <w:rPr>
          <w:b w:val="0"/>
          <w:szCs w:val="22"/>
          <w:lang w:val="hy-AM" w:eastAsia="en-US"/>
        </w:rPr>
        <w:t xml:space="preserve">. </w:t>
      </w:r>
      <w:r w:rsidRPr="00961B35">
        <w:rPr>
          <w:rFonts w:cs="Sylfaen"/>
          <w:szCs w:val="22"/>
          <w:lang w:val="hy-AM" w:eastAsia="en-US"/>
        </w:rPr>
        <w:t xml:space="preserve">2019 թվականին արդյունաբերության ճյուղում կպահպանվեն աճի միտումները: </w:t>
      </w:r>
      <w:r w:rsidRPr="00961B35">
        <w:rPr>
          <w:rFonts w:cs="Sylfaen"/>
          <w:b w:val="0"/>
          <w:szCs w:val="22"/>
          <w:lang w:val="hy-AM" w:eastAsia="en-US"/>
        </w:rPr>
        <w:t xml:space="preserve">Ելնելով արդյունաբերության ճյուղում տարվա առաջին յոթ ամիսների տնտեսական զարգացումներից կանխատեսվում է, որ 2019 թվականին տարեկան աճը կկազմի շուրջ 6.5%: </w:t>
      </w:r>
    </w:p>
    <w:p w:rsidR="00961B35" w:rsidRPr="00961B35" w:rsidRDefault="00961B35" w:rsidP="00961B35">
      <w:pPr>
        <w:spacing w:before="0"/>
        <w:ind w:firstLine="450"/>
        <w:contextualSpacing w:val="0"/>
        <w:rPr>
          <w:rFonts w:cs="Sylfaen"/>
          <w:b w:val="0"/>
          <w:szCs w:val="22"/>
          <w:lang w:val="hy-AM" w:eastAsia="en-US"/>
        </w:rPr>
      </w:pPr>
      <w:r w:rsidRPr="00961B35">
        <w:rPr>
          <w:rFonts w:cs="Sylfaen"/>
          <w:szCs w:val="22"/>
          <w:lang w:val="hy-AM" w:eastAsia="en-US"/>
        </w:rPr>
        <w:t>2020 թվականին կանխատեսվում է արդյունաբերության շուրջ 5.0% աճ</w:t>
      </w:r>
      <w:r w:rsidRPr="00961B35">
        <w:rPr>
          <w:rFonts w:cs="Sylfaen"/>
          <w:b w:val="0"/>
          <w:szCs w:val="22"/>
          <w:lang w:val="hy-AM" w:eastAsia="en-US"/>
        </w:rPr>
        <w:t xml:space="preserve">, ինչը պայմանավորված կլինի ճյուղում իրականացվող ներդրումների աճով, գործընկեր երկրների զարգացման միտումներով և տնօրինվող եկամտի աճով պայմանավորված՝ ներքին պահանջարկի աճով: </w:t>
      </w:r>
    </w:p>
    <w:p w:rsidR="00961B35" w:rsidRPr="00961B35" w:rsidRDefault="00961B35" w:rsidP="00961B35">
      <w:pPr>
        <w:spacing w:before="0"/>
        <w:ind w:firstLine="450"/>
        <w:contextualSpacing w:val="0"/>
        <w:rPr>
          <w:rFonts w:cs="Sylfaen"/>
          <w:b w:val="0"/>
          <w:szCs w:val="22"/>
          <w:lang w:val="hy-AM" w:eastAsia="en-US"/>
        </w:rPr>
      </w:pPr>
    </w:p>
    <w:p w:rsidR="00961B35" w:rsidRPr="00961B35" w:rsidRDefault="00961B35" w:rsidP="00961B35">
      <w:pPr>
        <w:spacing w:before="0"/>
        <w:ind w:firstLine="0"/>
        <w:contextualSpacing w:val="0"/>
        <w:rPr>
          <w:rFonts w:cs="Sylfaen"/>
          <w:b w:val="0"/>
          <w:szCs w:val="22"/>
          <w:lang w:val="hy-AM" w:eastAsia="en-US"/>
        </w:rPr>
      </w:pPr>
    </w:p>
    <w:p w:rsidR="00961B35" w:rsidRPr="00961B35" w:rsidRDefault="00961B35" w:rsidP="00961B35">
      <w:pPr>
        <w:spacing w:before="0"/>
        <w:ind w:firstLine="450"/>
        <w:contextualSpacing w:val="0"/>
        <w:jc w:val="left"/>
        <w:rPr>
          <w:rFonts w:cs="Sylfaen"/>
          <w:szCs w:val="22"/>
          <w:lang w:val="hy-AM" w:eastAsia="en-US"/>
        </w:rPr>
      </w:pPr>
      <w:r w:rsidRPr="00961B35">
        <w:rPr>
          <w:rFonts w:cs="Sylfaen"/>
          <w:szCs w:val="22"/>
          <w:lang w:val="hy-AM" w:eastAsia="en-US"/>
        </w:rPr>
        <w:t>1.2.2.  Գյուղատնտեսություն</w:t>
      </w:r>
    </w:p>
    <w:p w:rsidR="00961B35" w:rsidRPr="00961B35" w:rsidRDefault="00961B35" w:rsidP="00961B35">
      <w:pPr>
        <w:tabs>
          <w:tab w:val="right" w:pos="8640"/>
        </w:tabs>
        <w:spacing w:before="0"/>
        <w:ind w:firstLine="450"/>
        <w:contextualSpacing w:val="0"/>
        <w:rPr>
          <w:b w:val="0"/>
          <w:szCs w:val="22"/>
          <w:lang w:val="hy-AM" w:eastAsia="en-US"/>
        </w:rPr>
      </w:pPr>
      <w:r w:rsidRPr="00961B35">
        <w:rPr>
          <w:rFonts w:cs="Sylfaen"/>
          <w:szCs w:val="22"/>
          <w:lang w:val="hy-AM" w:eastAsia="en-US"/>
        </w:rPr>
        <w:t>Գյուղատնտեսության ճյուղի անկումը շարունակվել է նաև 2018 թվականին:</w:t>
      </w:r>
      <w:r w:rsidRPr="00961B35">
        <w:rPr>
          <w:rFonts w:cs="Sylfaen"/>
          <w:b w:val="0"/>
          <w:szCs w:val="22"/>
          <w:lang w:val="hy-AM" w:eastAsia="en-US"/>
        </w:rPr>
        <w:t xml:space="preserve"> Գյուղատնտեսության և ձկնորսության համախառն արտադրանքը իրական արտահայտությամբ նվազել է 7.3%-ով: Գյուղատնտեսության ճյուղի նվազումը պայմանավորված էր բուսաբուծության ենթաճյուղի </w:t>
      </w:r>
      <w:r w:rsidRPr="00961B35">
        <w:rPr>
          <w:b w:val="0"/>
          <w:szCs w:val="22"/>
          <w:lang w:val="hy-AM" w:eastAsia="en-US"/>
        </w:rPr>
        <w:t xml:space="preserve">12.1% </w:t>
      </w:r>
      <w:r w:rsidRPr="00961B35">
        <w:rPr>
          <w:rFonts w:cs="Sylfaen"/>
          <w:b w:val="0"/>
          <w:szCs w:val="22"/>
          <w:lang w:val="hy-AM" w:eastAsia="en-US"/>
        </w:rPr>
        <w:t>(նպաստումը՝ 6.1 տոկոսային կետ)</w:t>
      </w:r>
      <w:r w:rsidRPr="00961B35">
        <w:rPr>
          <w:b w:val="0"/>
          <w:szCs w:val="22"/>
          <w:lang w:val="hy-AM" w:eastAsia="en-US"/>
        </w:rPr>
        <w:t xml:space="preserve"> և անասնաբուծության 2.7% </w:t>
      </w:r>
      <w:r w:rsidRPr="00961B35">
        <w:rPr>
          <w:rFonts w:cs="Sylfaen"/>
          <w:b w:val="0"/>
          <w:szCs w:val="22"/>
          <w:lang w:val="hy-AM" w:eastAsia="en-US"/>
        </w:rPr>
        <w:t>(նպաստումը՝ 1.3 տոկոսային կետ)</w:t>
      </w:r>
      <w:r w:rsidRPr="00961B35">
        <w:rPr>
          <w:b w:val="0"/>
          <w:szCs w:val="22"/>
          <w:lang w:val="hy-AM" w:eastAsia="en-US"/>
        </w:rPr>
        <w:t xml:space="preserve"> </w:t>
      </w:r>
      <w:r w:rsidRPr="00961B35">
        <w:rPr>
          <w:rFonts w:cs="Sylfaen"/>
          <w:b w:val="0"/>
          <w:szCs w:val="22"/>
          <w:lang w:val="hy-AM" w:eastAsia="en-US"/>
        </w:rPr>
        <w:t xml:space="preserve">նվազմամբ: </w:t>
      </w:r>
      <w:r w:rsidRPr="00961B35">
        <w:rPr>
          <w:b w:val="0"/>
          <w:szCs w:val="22"/>
          <w:lang w:val="hy-AM" w:eastAsia="en-US"/>
        </w:rPr>
        <w:t xml:space="preserve">Բուսաբուծության նվազումը պայմանավորված է եղել բոստանի` շուրջ 41.2%, բանջարեղենի 27.0% և կարտոֆիլի բերքի շուրջ 24.2%, ինչպես նաև խաղողի համախառն բերքի 14.4% և պտուղ, հատապտուղների՝ 5.0% նվազմամբ: Անասնաբուծության </w:t>
      </w:r>
      <w:r w:rsidRPr="00961B35">
        <w:rPr>
          <w:b w:val="0"/>
          <w:szCs w:val="22"/>
          <w:lang w:val="hy-AM" w:eastAsia="en-US"/>
        </w:rPr>
        <w:lastRenderedPageBreak/>
        <w:t xml:space="preserve">նվազումը պայմանավորված է եղել մսի և կաթի արտադրության՝ համապատասխանաբար 1.1% և 8.0% նվազմամբ: </w:t>
      </w:r>
    </w:p>
    <w:p w:rsidR="00961B35" w:rsidRPr="00961B35" w:rsidRDefault="00961B35" w:rsidP="00961B35">
      <w:pPr>
        <w:tabs>
          <w:tab w:val="right" w:pos="8640"/>
        </w:tabs>
        <w:spacing w:before="0"/>
        <w:ind w:firstLine="450"/>
        <w:contextualSpacing w:val="0"/>
        <w:rPr>
          <w:rFonts w:cs="Sylfaen"/>
          <w:b w:val="0"/>
          <w:szCs w:val="22"/>
          <w:lang w:val="hy-AM" w:eastAsia="en-US"/>
        </w:rPr>
      </w:pPr>
      <w:r w:rsidRPr="00961B35">
        <w:rPr>
          <w:rFonts w:cs="Sylfaen"/>
          <w:szCs w:val="22"/>
          <w:lang w:val="hy-AM" w:eastAsia="en-US"/>
        </w:rPr>
        <w:t>2019 թվականին հունվար-հունիս ամիսներին</w:t>
      </w:r>
      <w:r w:rsidRPr="00961B35">
        <w:rPr>
          <w:rFonts w:ascii="Arial Armenian" w:hAnsi="Arial Armenian" w:cs="Sylfaen"/>
          <w:sz w:val="20"/>
          <w:szCs w:val="20"/>
          <w:vertAlign w:val="superscript"/>
          <w:lang w:val="hy-AM" w:eastAsia="en-US"/>
        </w:rPr>
        <w:footnoteReference w:id="7"/>
      </w:r>
      <w:r w:rsidRPr="00961B35">
        <w:rPr>
          <w:rFonts w:cs="Sylfaen"/>
          <w:szCs w:val="22"/>
          <w:lang w:val="hy-AM" w:eastAsia="en-US"/>
        </w:rPr>
        <w:t xml:space="preserve"> գյուղատնտեսության ճյուղը նվազել է: </w:t>
      </w:r>
      <w:r w:rsidRPr="00961B35">
        <w:rPr>
          <w:rFonts w:cs="Sylfaen"/>
          <w:b w:val="0"/>
          <w:szCs w:val="22"/>
          <w:lang w:val="hy-AM" w:eastAsia="en-US"/>
        </w:rPr>
        <w:t>Գյուղատնտեսության և ձկնորսության համախառն արտադրանքն իրական արտահայտու</w:t>
      </w:r>
      <w:r w:rsidRPr="00961B35">
        <w:rPr>
          <w:rFonts w:cs="Sylfaen"/>
          <w:b w:val="0"/>
          <w:szCs w:val="22"/>
          <w:lang w:val="hy-AM" w:eastAsia="en-US"/>
        </w:rPr>
        <w:softHyphen/>
        <w:t>թյամբ նվազել է 6.5%-ով</w:t>
      </w:r>
      <w:r w:rsidRPr="00961B35">
        <w:rPr>
          <w:rFonts w:cs="Sylfaen"/>
          <w:b w:val="0"/>
          <w:szCs w:val="22"/>
          <w:vertAlign w:val="superscript"/>
          <w:lang w:eastAsia="en-US"/>
        </w:rPr>
        <w:footnoteReference w:id="8"/>
      </w:r>
      <w:r w:rsidRPr="00961B35">
        <w:rPr>
          <w:rFonts w:cs="Times Armenian"/>
          <w:b w:val="0"/>
          <w:szCs w:val="22"/>
          <w:lang w:val="hy-AM" w:eastAsia="en-US"/>
        </w:rPr>
        <w:t xml:space="preserve">, </w:t>
      </w:r>
      <w:r w:rsidRPr="00961B35">
        <w:rPr>
          <w:rFonts w:cs="Sylfaen"/>
          <w:b w:val="0"/>
          <w:szCs w:val="22"/>
          <w:lang w:val="hy-AM" w:eastAsia="en-US"/>
        </w:rPr>
        <w:t>որը պայմանավորվել է բուսաբուծության 15.3</w:t>
      </w:r>
      <w:r w:rsidRPr="00961B35">
        <w:rPr>
          <w:rFonts w:cs="Arial"/>
          <w:b w:val="0"/>
          <w:szCs w:val="22"/>
          <w:lang w:val="hy-AM" w:eastAsia="en-US"/>
        </w:rPr>
        <w:t xml:space="preserve">% </w:t>
      </w:r>
      <w:r w:rsidRPr="00961B35">
        <w:rPr>
          <w:rFonts w:cs="Sylfaen"/>
          <w:b w:val="0"/>
          <w:szCs w:val="22"/>
          <w:lang w:val="hy-AM" w:eastAsia="en-US"/>
        </w:rPr>
        <w:t>(նպաստումը՝ 5.2 տոկոսային կետ)</w:t>
      </w:r>
      <w:r w:rsidRPr="00961B35">
        <w:rPr>
          <w:b w:val="0"/>
          <w:szCs w:val="22"/>
          <w:lang w:val="hy-AM" w:eastAsia="en-US"/>
        </w:rPr>
        <w:t xml:space="preserve"> </w:t>
      </w:r>
      <w:r w:rsidRPr="00961B35">
        <w:rPr>
          <w:rFonts w:cs="Arial"/>
          <w:b w:val="0"/>
          <w:szCs w:val="22"/>
          <w:lang w:val="hy-AM" w:eastAsia="en-US"/>
        </w:rPr>
        <w:t>և</w:t>
      </w:r>
      <w:r w:rsidRPr="00961B35">
        <w:rPr>
          <w:rFonts w:cs="Sylfaen"/>
          <w:b w:val="0"/>
          <w:szCs w:val="22"/>
          <w:lang w:val="hy-AM" w:eastAsia="en-US"/>
        </w:rPr>
        <w:t xml:space="preserve"> անասնաբուծության 3.0</w:t>
      </w:r>
      <w:r w:rsidRPr="00961B35">
        <w:rPr>
          <w:rFonts w:cs="Arial"/>
          <w:b w:val="0"/>
          <w:szCs w:val="22"/>
          <w:lang w:val="hy-AM" w:eastAsia="en-US"/>
        </w:rPr>
        <w:t xml:space="preserve">% նվազմամբ </w:t>
      </w:r>
      <w:r w:rsidRPr="00961B35">
        <w:rPr>
          <w:rFonts w:cs="Sylfaen"/>
          <w:b w:val="0"/>
          <w:szCs w:val="22"/>
          <w:lang w:val="hy-AM" w:eastAsia="en-US"/>
        </w:rPr>
        <w:t>(նպաստումը՝ 1.8 տոկոսային կետ): 2019 թվականին գյուղատնտեսության նվազումը պայմանավորվել է հիմնական մշակաբույսերի  ցանքատարածությունների շուրջ 6.7% նվազմամբ</w:t>
      </w:r>
      <w:r w:rsidRPr="00961B35">
        <w:rPr>
          <w:rFonts w:cs="Sylfaen"/>
          <w:b w:val="0"/>
          <w:szCs w:val="22"/>
          <w:vertAlign w:val="superscript"/>
          <w:lang w:val="hy-AM" w:eastAsia="en-US"/>
        </w:rPr>
        <w:footnoteReference w:id="9"/>
      </w:r>
      <w:r w:rsidRPr="00961B35">
        <w:rPr>
          <w:rFonts w:cs="Sylfaen"/>
          <w:b w:val="0"/>
          <w:szCs w:val="22"/>
          <w:lang w:val="hy-AM" w:eastAsia="en-US"/>
        </w:rPr>
        <w:t>:</w:t>
      </w:r>
    </w:p>
    <w:p w:rsidR="00961B35" w:rsidRPr="00961B35" w:rsidRDefault="00961B35" w:rsidP="00961B35">
      <w:pPr>
        <w:tabs>
          <w:tab w:val="right" w:pos="8640"/>
        </w:tabs>
        <w:spacing w:before="0"/>
        <w:ind w:firstLine="450"/>
        <w:contextualSpacing w:val="0"/>
        <w:rPr>
          <w:rFonts w:cs="Sylfaen"/>
          <w:b w:val="0"/>
          <w:szCs w:val="22"/>
          <w:lang w:val="hy-AM" w:eastAsia="en-US"/>
        </w:rPr>
      </w:pPr>
      <w:r w:rsidRPr="00961B35">
        <w:rPr>
          <w:rFonts w:cs="Sylfaen"/>
          <w:b w:val="0"/>
          <w:szCs w:val="22"/>
          <w:lang w:val="hy-AM" w:eastAsia="en-US"/>
        </w:rPr>
        <w:t xml:space="preserve"> </w:t>
      </w:r>
      <w:r w:rsidRPr="00961B35">
        <w:rPr>
          <w:rFonts w:cs="Sylfaen"/>
          <w:szCs w:val="22"/>
          <w:lang w:val="hy-AM" w:eastAsia="en-US"/>
        </w:rPr>
        <w:t>Կանխատեսում</w:t>
      </w:r>
      <w:r w:rsidRPr="00961B35">
        <w:rPr>
          <w:rFonts w:cs="Times Armenian"/>
          <w:szCs w:val="22"/>
          <w:lang w:val="hy-AM" w:eastAsia="en-US"/>
        </w:rPr>
        <w:t>. 2018 թվականին, հաշվի առնելով ընթացիկ զարգացումները, կանխատեսվում է գյուղատնտեսության ճյուղի</w:t>
      </w:r>
      <w:r w:rsidRPr="00961B35">
        <w:rPr>
          <w:rFonts w:cs="Sylfaen"/>
          <w:szCs w:val="22"/>
          <w:lang w:val="hy-AM" w:eastAsia="en-US"/>
        </w:rPr>
        <w:t xml:space="preserve"> փոքր </w:t>
      </w:r>
      <w:r w:rsidRPr="00961B35">
        <w:rPr>
          <w:rFonts w:cs="Times Armenian"/>
          <w:szCs w:val="22"/>
          <w:lang w:val="hy-AM" w:eastAsia="en-US"/>
        </w:rPr>
        <w:t xml:space="preserve">աճ՝ </w:t>
      </w:r>
      <w:r w:rsidRPr="00961B35">
        <w:rPr>
          <w:rFonts w:cs="Sylfaen"/>
          <w:szCs w:val="22"/>
          <w:lang w:val="hy-AM" w:eastAsia="en-US"/>
        </w:rPr>
        <w:t>0.2%</w:t>
      </w:r>
      <w:r w:rsidRPr="00961B35">
        <w:rPr>
          <w:rFonts w:cs="Sylfaen"/>
          <w:b w:val="0"/>
          <w:szCs w:val="22"/>
          <w:lang w:val="hy-AM" w:eastAsia="en-US"/>
        </w:rPr>
        <w:t xml:space="preserve">: </w:t>
      </w:r>
    </w:p>
    <w:p w:rsidR="00961B35" w:rsidRPr="00961B35" w:rsidRDefault="00961B35" w:rsidP="00961B35">
      <w:pPr>
        <w:tabs>
          <w:tab w:val="right" w:pos="8640"/>
        </w:tabs>
        <w:spacing w:before="0"/>
        <w:ind w:firstLine="450"/>
        <w:contextualSpacing w:val="0"/>
        <w:rPr>
          <w:rFonts w:cs="Sylfaen"/>
          <w:b w:val="0"/>
          <w:szCs w:val="22"/>
          <w:lang w:val="hy-AM" w:eastAsia="en-US"/>
        </w:rPr>
      </w:pPr>
      <w:r w:rsidRPr="00961B35">
        <w:rPr>
          <w:rFonts w:cs="Sylfaen"/>
          <w:szCs w:val="22"/>
          <w:lang w:val="hy-AM" w:eastAsia="en-US"/>
        </w:rPr>
        <w:t>2020 թվականին</w:t>
      </w:r>
      <w:r w:rsidRPr="00961B35">
        <w:rPr>
          <w:rFonts w:cs="Times Armenian"/>
          <w:szCs w:val="22"/>
          <w:lang w:val="hy-AM" w:eastAsia="en-US"/>
        </w:rPr>
        <w:t xml:space="preserve"> գյուղատնտեսության աճի ցածր միտումները կպահպանվեն.</w:t>
      </w:r>
      <w:r w:rsidRPr="00961B35">
        <w:rPr>
          <w:rFonts w:cs="Sylfaen"/>
          <w:b w:val="0"/>
          <w:szCs w:val="22"/>
          <w:lang w:val="hy-AM" w:eastAsia="en-US"/>
        </w:rPr>
        <w:t xml:space="preserve"> </w:t>
      </w:r>
      <w:r w:rsidRPr="00961B35">
        <w:rPr>
          <w:rFonts w:cs="Times Armenian"/>
          <w:szCs w:val="22"/>
          <w:lang w:val="hy-AM" w:eastAsia="en-US"/>
        </w:rPr>
        <w:t>աճը կկազմի շուրջ 0.5%:</w:t>
      </w:r>
      <w:r w:rsidRPr="00961B35">
        <w:rPr>
          <w:rFonts w:cs="Sylfaen"/>
          <w:b w:val="0"/>
          <w:szCs w:val="22"/>
          <w:lang w:val="hy-AM" w:eastAsia="en-US"/>
        </w:rPr>
        <w:t xml:space="preserve"> Կանխատեսման համար հիմք են հանդիսացել ճյուղի զարգացմանն ուղղված կառավարության կողմից իրականացվող ծրագրերի</w:t>
      </w:r>
      <w:r w:rsidRPr="00961B35">
        <w:rPr>
          <w:rFonts w:cs="Sylfaen"/>
          <w:b w:val="0"/>
          <w:szCs w:val="22"/>
          <w:vertAlign w:val="superscript"/>
          <w:lang w:val="en-US" w:eastAsia="en-US"/>
        </w:rPr>
        <w:footnoteReference w:id="10"/>
      </w:r>
      <w:r w:rsidRPr="00961B35">
        <w:rPr>
          <w:rFonts w:cs="Sylfaen"/>
          <w:b w:val="0"/>
          <w:szCs w:val="22"/>
          <w:lang w:val="hy-AM" w:eastAsia="en-US"/>
        </w:rPr>
        <w:t xml:space="preserve"> և ոլորտում իրականացված ներդրումների ակնկալվող արդյունքները ու նախորդ տարիներին ճյուղի զարգացման միտումները:</w:t>
      </w:r>
    </w:p>
    <w:p w:rsidR="00961B35" w:rsidRPr="00961B35" w:rsidRDefault="00961B35" w:rsidP="00961B35">
      <w:pPr>
        <w:spacing w:before="0"/>
        <w:ind w:firstLine="450"/>
        <w:contextualSpacing w:val="0"/>
        <w:jc w:val="left"/>
        <w:rPr>
          <w:rFonts w:cs="Sylfaen"/>
          <w:szCs w:val="22"/>
          <w:lang w:val="hy-AM" w:eastAsia="en-US"/>
        </w:rPr>
      </w:pPr>
    </w:p>
    <w:p w:rsidR="00961B35" w:rsidRPr="00961B35" w:rsidRDefault="00961B35" w:rsidP="00961B35">
      <w:pPr>
        <w:numPr>
          <w:ilvl w:val="2"/>
          <w:numId w:val="32"/>
        </w:numPr>
        <w:spacing w:before="0" w:line="240" w:lineRule="auto"/>
        <w:ind w:left="90" w:firstLine="450"/>
        <w:contextualSpacing w:val="0"/>
        <w:jc w:val="left"/>
        <w:rPr>
          <w:rFonts w:cs="Sylfaen"/>
          <w:i/>
          <w:szCs w:val="22"/>
          <w:lang w:val="en-US" w:eastAsia="en-US"/>
        </w:rPr>
      </w:pPr>
      <w:r w:rsidRPr="00961B35">
        <w:rPr>
          <w:rFonts w:cs="Sylfaen"/>
          <w:szCs w:val="22"/>
          <w:lang w:val="hy-AM" w:eastAsia="en-US"/>
        </w:rPr>
        <w:t>Շինարարություն</w:t>
      </w:r>
      <w:r w:rsidRPr="00961B35">
        <w:rPr>
          <w:rFonts w:cs="Sylfaen"/>
          <w:szCs w:val="22"/>
          <w:lang w:val="en-US" w:eastAsia="en-US"/>
        </w:rPr>
        <w:t xml:space="preserve"> </w:t>
      </w:r>
    </w:p>
    <w:p w:rsidR="00961B35" w:rsidRPr="00961B35" w:rsidRDefault="00961B35" w:rsidP="00961B35">
      <w:pPr>
        <w:spacing w:before="0"/>
        <w:ind w:firstLine="540"/>
        <w:rPr>
          <w:b w:val="0"/>
          <w:szCs w:val="22"/>
          <w:highlight w:val="yellow"/>
          <w:lang w:val="hy-AM" w:eastAsia="en-US"/>
        </w:rPr>
      </w:pPr>
      <w:r w:rsidRPr="00961B35">
        <w:rPr>
          <w:rFonts w:cs="Sylfaen"/>
          <w:szCs w:val="22"/>
          <w:lang w:val="en-US" w:eastAsia="en-US"/>
        </w:rPr>
        <w:t>Տնտ</w:t>
      </w:r>
      <w:r w:rsidRPr="00961B35">
        <w:rPr>
          <w:rFonts w:cs="Sylfaen"/>
          <w:szCs w:val="22"/>
          <w:lang w:val="hy-AM" w:eastAsia="en-US"/>
        </w:rPr>
        <w:t>եսությունում իրականացված շինարարության ծավալներ</w:t>
      </w:r>
      <w:r w:rsidRPr="00961B35">
        <w:rPr>
          <w:rFonts w:cs="Sylfaen"/>
          <w:szCs w:val="22"/>
          <w:lang w:val="en-US" w:eastAsia="en-US"/>
        </w:rPr>
        <w:t>ը 2018 թվականին դրսևորել են աճի միտում</w:t>
      </w:r>
      <w:r w:rsidRPr="00961B35">
        <w:rPr>
          <w:b w:val="0"/>
          <w:szCs w:val="22"/>
          <w:lang w:val="en-US" w:eastAsia="en-US"/>
        </w:rPr>
        <w:t xml:space="preserve">: </w:t>
      </w:r>
      <w:r w:rsidRPr="00961B35">
        <w:rPr>
          <w:b w:val="0"/>
          <w:szCs w:val="22"/>
          <w:lang w:val="hy-AM" w:eastAsia="en-US"/>
        </w:rPr>
        <w:t>201</w:t>
      </w:r>
      <w:r w:rsidRPr="00961B35">
        <w:rPr>
          <w:b w:val="0"/>
          <w:szCs w:val="22"/>
          <w:lang w:val="en-US" w:eastAsia="en-US"/>
        </w:rPr>
        <w:t>8</w:t>
      </w:r>
      <w:r w:rsidRPr="00961B35">
        <w:rPr>
          <w:b w:val="0"/>
          <w:szCs w:val="22"/>
          <w:lang w:val="hy-AM" w:eastAsia="en-US"/>
        </w:rPr>
        <w:t xml:space="preserve"> թվականին ֆինանսավորման բոլոր աղբյուրների հաշվին իրականացված շի</w:t>
      </w:r>
      <w:r w:rsidRPr="00961B35">
        <w:rPr>
          <w:b w:val="0"/>
          <w:szCs w:val="22"/>
          <w:lang w:val="hy-AM" w:eastAsia="en-US"/>
        </w:rPr>
        <w:softHyphen/>
        <w:t>նա</w:t>
      </w:r>
      <w:r w:rsidRPr="00961B35">
        <w:rPr>
          <w:b w:val="0"/>
          <w:szCs w:val="22"/>
          <w:lang w:val="hy-AM" w:eastAsia="en-US"/>
        </w:rPr>
        <w:softHyphen/>
        <w:t>րա</w:t>
      </w:r>
      <w:r w:rsidRPr="00961B35">
        <w:rPr>
          <w:b w:val="0"/>
          <w:szCs w:val="22"/>
          <w:lang w:val="hy-AM" w:eastAsia="en-US"/>
        </w:rPr>
        <w:softHyphen/>
        <w:t>րու</w:t>
      </w:r>
      <w:r w:rsidRPr="00961B35">
        <w:rPr>
          <w:b w:val="0"/>
          <w:szCs w:val="22"/>
          <w:lang w:val="hy-AM" w:eastAsia="en-US"/>
        </w:rPr>
        <w:softHyphen/>
        <w:t xml:space="preserve">թյան ծավալներն աճել են </w:t>
      </w:r>
      <w:r w:rsidRPr="00961B35">
        <w:rPr>
          <w:b w:val="0"/>
          <w:szCs w:val="22"/>
          <w:lang w:val="en-US" w:eastAsia="en-US"/>
        </w:rPr>
        <w:t>4</w:t>
      </w:r>
      <w:r w:rsidRPr="00961B35">
        <w:rPr>
          <w:b w:val="0"/>
          <w:szCs w:val="22"/>
          <w:lang w:val="hy-AM" w:eastAsia="en-US"/>
        </w:rPr>
        <w:t xml:space="preserve">.5%-ով, ինչին հիմնականում նպաստել է պետական բյուջեի միջոցներով իրականացված շինարարությայն 9.8% աճը (նպաստումը՝ 2.6 տոկոսային կետ՝ պայմանավորված հիմնականում միջազգային վարկերի հաշվին իրականացվող շինարարության աճով) և բնակչության միջոցների հաշվին իրականացված </w:t>
      </w:r>
      <w:r w:rsidRPr="00961B35">
        <w:rPr>
          <w:b w:val="0"/>
          <w:szCs w:val="22"/>
          <w:lang w:val="hy-AM" w:eastAsia="en-US"/>
        </w:rPr>
        <w:lastRenderedPageBreak/>
        <w:t xml:space="preserve">շինարարության ծավալների 5.4% աճով (նպաստումը՝ 1.3 տոկոսային կետ): Շինարարության աճին փոքր-ինչ հակազդել է մարդասիրական օգնության միջոցների հաշվին իրականացվող շինարարության 0.9% նվազումը: </w:t>
      </w:r>
    </w:p>
    <w:p w:rsidR="00961B35" w:rsidRPr="00961B35" w:rsidRDefault="00961B35" w:rsidP="00961B35">
      <w:pPr>
        <w:spacing w:before="0"/>
        <w:ind w:firstLine="450"/>
        <w:contextualSpacing w:val="0"/>
        <w:rPr>
          <w:rFonts w:cs="Sylfaen"/>
          <w:b w:val="0"/>
          <w:szCs w:val="22"/>
          <w:lang w:val="hy-AM" w:eastAsia="en-US"/>
        </w:rPr>
      </w:pPr>
      <w:r w:rsidRPr="00961B35">
        <w:rPr>
          <w:rFonts w:cs="Sylfaen"/>
          <w:szCs w:val="22"/>
          <w:lang w:val="hy-AM" w:eastAsia="en-US"/>
        </w:rPr>
        <w:t xml:space="preserve">2019 թվականի առաջին յոթ ամիսներին տնտեսությունում իրականացված շինարարության աճի տեմպերը նախորդ տարվա համեմատ դանդաղել են: </w:t>
      </w:r>
      <w:r w:rsidRPr="00961B35">
        <w:rPr>
          <w:rFonts w:cs="Sylfaen"/>
          <w:b w:val="0"/>
          <w:szCs w:val="22"/>
          <w:lang w:val="hy-AM" w:eastAsia="en-US"/>
        </w:rPr>
        <w:t>Տարեսկզբին ճյուղում արձանագրված երկնիշ աճի տեմպերը աստիճանաբար նվազել են և 2019 թվականի հունվար-հուլիս ամիսներին նախորդ տարվա նույն ժամանակաշրջանի նկատմամբ գրանցվել է 4.5% աճ: Ճյուղի աճին 3.5 տոկոսային կետով նպաստել է բնակչության (աճը՝ 13.6%) և 2.6 տոկոսային կետով՝ կազմակերպությունների (աճը՝ 5.6%) միջոցների հաշվին իրականացված շինարա</w:t>
      </w:r>
      <w:r w:rsidRPr="00961B35">
        <w:rPr>
          <w:rFonts w:cs="Sylfaen"/>
          <w:b w:val="0"/>
          <w:szCs w:val="22"/>
          <w:lang w:val="hy-AM" w:eastAsia="en-US"/>
        </w:rPr>
        <w:softHyphen/>
        <w:t>րու</w:t>
      </w:r>
      <w:r w:rsidRPr="00961B35">
        <w:rPr>
          <w:rFonts w:cs="Sylfaen"/>
          <w:b w:val="0"/>
          <w:szCs w:val="22"/>
          <w:lang w:val="hy-AM" w:eastAsia="en-US"/>
        </w:rPr>
        <w:softHyphen/>
        <w:t>թյան ծավալների աճերը։ Շինարա</w:t>
      </w:r>
      <w:r w:rsidRPr="00961B35">
        <w:rPr>
          <w:rFonts w:cs="Sylfaen"/>
          <w:b w:val="0"/>
          <w:szCs w:val="22"/>
          <w:lang w:val="hy-AM" w:eastAsia="en-US"/>
        </w:rPr>
        <w:softHyphen/>
        <w:t>րու</w:t>
      </w:r>
      <w:r w:rsidRPr="00961B35">
        <w:rPr>
          <w:rFonts w:cs="Sylfaen"/>
          <w:b w:val="0"/>
          <w:szCs w:val="22"/>
          <w:lang w:val="hy-AM" w:eastAsia="en-US"/>
        </w:rPr>
        <w:softHyphen/>
        <w:t>թյան ծավալների աճին փոքր-ինչ հակազդել են պետական բյուջեի, համայնքների և մարդասիրական օգնության միջոցների հաշվին իրա</w:t>
      </w:r>
      <w:r w:rsidRPr="00961B35">
        <w:rPr>
          <w:rFonts w:cs="Sylfaen"/>
          <w:b w:val="0"/>
          <w:szCs w:val="22"/>
          <w:lang w:val="hy-AM" w:eastAsia="en-US"/>
        </w:rPr>
        <w:softHyphen/>
        <w:t>կա</w:t>
      </w:r>
      <w:r w:rsidRPr="00961B35">
        <w:rPr>
          <w:rFonts w:cs="Sylfaen"/>
          <w:b w:val="0"/>
          <w:szCs w:val="22"/>
          <w:lang w:val="hy-AM" w:eastAsia="en-US"/>
        </w:rPr>
        <w:softHyphen/>
        <w:t>նաց</w:t>
      </w:r>
      <w:r w:rsidRPr="00961B35">
        <w:rPr>
          <w:rFonts w:cs="Sylfaen"/>
          <w:b w:val="0"/>
          <w:szCs w:val="22"/>
          <w:lang w:val="hy-AM" w:eastAsia="en-US"/>
        </w:rPr>
        <w:softHyphen/>
        <w:t xml:space="preserve">ված շինարարության ծավալների համապատասխանաբար՝ 3.7%, 21.4% և 24.4% նվազումները (նպաստումները՝ համապատասխանաբար՝ -0.9, -0.3 և -0.3 տոկոսային կետեր): </w:t>
      </w:r>
    </w:p>
    <w:p w:rsidR="00961B35" w:rsidRPr="00961B35" w:rsidRDefault="00961B35" w:rsidP="00961B35">
      <w:pPr>
        <w:tabs>
          <w:tab w:val="num" w:pos="720"/>
        </w:tabs>
        <w:spacing w:before="0"/>
        <w:ind w:firstLine="450"/>
        <w:contextualSpacing w:val="0"/>
        <w:rPr>
          <w:rFonts w:cs="Sylfaen"/>
          <w:b w:val="0"/>
          <w:szCs w:val="22"/>
          <w:lang w:val="hy-AM" w:eastAsia="en-US"/>
        </w:rPr>
      </w:pPr>
      <w:r w:rsidRPr="00961B35">
        <w:rPr>
          <w:rFonts w:cs="Sylfaen"/>
          <w:b w:val="0"/>
          <w:szCs w:val="22"/>
          <w:lang w:val="hy-AM" w:eastAsia="en-US"/>
        </w:rPr>
        <w:t xml:space="preserve">2019 թվականի առաջին յոթ ամիսներին տնտեսությունում իրականացված շինարարության ծավալում խոշոր մասնաբաժին են ունեցել անշարժ գույքի հետ կապված (կշիռը՝ 31.0%), էլեկտրականության, գազի, գոլորշու և լավորակ օդի մատակարարում (կշիռը՝ 16.4%) և տրանսպորտի (կշիռը՝ 12.9%) գործունեության տեսակներով իրականացված շինարարության ծավալները: </w:t>
      </w:r>
    </w:p>
    <w:p w:rsidR="00961B35" w:rsidRPr="00961B35" w:rsidRDefault="00961B35" w:rsidP="00961B35">
      <w:pPr>
        <w:tabs>
          <w:tab w:val="num" w:pos="720"/>
        </w:tabs>
        <w:spacing w:before="0"/>
        <w:ind w:firstLine="450"/>
        <w:contextualSpacing w:val="0"/>
        <w:rPr>
          <w:rFonts w:cs="Sylfaen"/>
          <w:b w:val="0"/>
          <w:szCs w:val="22"/>
          <w:lang w:val="hy-AM" w:eastAsia="en-US"/>
        </w:rPr>
      </w:pPr>
      <w:r w:rsidRPr="00961B35">
        <w:rPr>
          <w:rFonts w:cs="Sylfaen"/>
          <w:szCs w:val="22"/>
          <w:lang w:val="hy-AM" w:eastAsia="en-US"/>
        </w:rPr>
        <w:t xml:space="preserve">Կանխատեսում. 2019 թվականին կանխատեսվում է շինարարության ճյուղի աճի տեմպի արագացում: </w:t>
      </w:r>
      <w:r w:rsidRPr="00961B35">
        <w:rPr>
          <w:rFonts w:cs="Sylfaen"/>
          <w:b w:val="0"/>
          <w:szCs w:val="22"/>
          <w:lang w:val="hy-AM" w:eastAsia="en-US"/>
        </w:rPr>
        <w:t xml:space="preserve">Հաշվի առնելով 2019 թվականի միտումները` ակնկալվում է, որ մինչև տարեվերջ ճյուղի աճը կկազմի շուրջ 4.0%: </w:t>
      </w:r>
    </w:p>
    <w:p w:rsidR="00961B35" w:rsidRPr="00961B35" w:rsidRDefault="00961B35" w:rsidP="00961B35">
      <w:pPr>
        <w:tabs>
          <w:tab w:val="num" w:pos="720"/>
        </w:tabs>
        <w:spacing w:before="0"/>
        <w:ind w:firstLine="450"/>
        <w:contextualSpacing w:val="0"/>
        <w:rPr>
          <w:rFonts w:cs="Sylfaen"/>
          <w:b w:val="0"/>
          <w:szCs w:val="22"/>
          <w:lang w:val="hy-AM" w:eastAsia="en-US"/>
        </w:rPr>
      </w:pPr>
      <w:r w:rsidRPr="00961B35">
        <w:rPr>
          <w:rFonts w:cs="Sylfaen"/>
          <w:szCs w:val="22"/>
          <w:lang w:val="hy-AM" w:eastAsia="en-US"/>
        </w:rPr>
        <w:t>2020 թվականին ճյուղում կշարունակվեն աճի միտումները</w:t>
      </w:r>
      <w:r w:rsidRPr="00961B35">
        <w:rPr>
          <w:rFonts w:cs="Sylfaen"/>
          <w:b w:val="0"/>
          <w:szCs w:val="22"/>
          <w:lang w:val="hy-AM" w:eastAsia="en-US"/>
        </w:rPr>
        <w:t>: 2020 թվականին կանխատեսվում է շինարարության 4.0% աճ, ինչը պայմանավորված կլինի ինչպես պետական, այնպես էլ մասնավոր ներդրումների աճով:</w:t>
      </w:r>
    </w:p>
    <w:p w:rsidR="00961B35" w:rsidRPr="00961B35" w:rsidRDefault="00961B35" w:rsidP="00961B35">
      <w:pPr>
        <w:spacing w:before="0"/>
        <w:ind w:firstLine="450"/>
        <w:contextualSpacing w:val="0"/>
        <w:rPr>
          <w:rFonts w:cs="Sylfaen"/>
          <w:szCs w:val="22"/>
          <w:lang w:val="hy-AM" w:eastAsia="en-US"/>
        </w:rPr>
      </w:pPr>
    </w:p>
    <w:p w:rsidR="00961B35" w:rsidRPr="00961B35" w:rsidRDefault="00961B35" w:rsidP="00961B35">
      <w:pPr>
        <w:spacing w:before="0"/>
        <w:ind w:firstLine="450"/>
        <w:contextualSpacing w:val="0"/>
        <w:rPr>
          <w:szCs w:val="22"/>
          <w:lang w:val="hy-AM" w:eastAsia="en-US"/>
        </w:rPr>
      </w:pPr>
      <w:r w:rsidRPr="00961B35">
        <w:rPr>
          <w:rFonts w:cs="Sylfaen"/>
          <w:szCs w:val="22"/>
          <w:lang w:val="hy-AM" w:eastAsia="en-US"/>
        </w:rPr>
        <w:t>1.2.4.  Ծառայություններ և առևտուր</w:t>
      </w:r>
    </w:p>
    <w:p w:rsidR="00961B35" w:rsidRPr="00961B35" w:rsidRDefault="00961B35" w:rsidP="00961B35">
      <w:pPr>
        <w:tabs>
          <w:tab w:val="right" w:pos="8640"/>
        </w:tabs>
        <w:spacing w:before="0"/>
        <w:ind w:firstLine="450"/>
        <w:contextualSpacing w:val="0"/>
        <w:rPr>
          <w:b w:val="0"/>
          <w:szCs w:val="22"/>
          <w:highlight w:val="yellow"/>
          <w:lang w:val="hy-AM" w:eastAsia="en-US"/>
        </w:rPr>
      </w:pPr>
      <w:r w:rsidRPr="00961B35">
        <w:rPr>
          <w:rFonts w:cs="Sylfaen"/>
          <w:szCs w:val="22"/>
          <w:lang w:val="hy-AM" w:eastAsia="en-US"/>
        </w:rPr>
        <w:t>Ծառայությունների (ներառյալ առևտուրը)</w:t>
      </w:r>
      <w:r w:rsidRPr="00961B35">
        <w:rPr>
          <w:rFonts w:cs="Sylfaen"/>
          <w:b w:val="0"/>
          <w:szCs w:val="22"/>
          <w:lang w:val="hy-AM" w:eastAsia="en-US"/>
        </w:rPr>
        <w:t xml:space="preserve"> </w:t>
      </w:r>
      <w:r w:rsidRPr="00961B35">
        <w:rPr>
          <w:rFonts w:cs="Sylfaen"/>
          <w:szCs w:val="22"/>
          <w:lang w:val="hy-AM" w:eastAsia="en-US"/>
        </w:rPr>
        <w:t>ոլորտում արձանագրված երկնիշ աճի տեմպերի միտումները պահպանվել են 2018 թվականին:</w:t>
      </w:r>
      <w:r w:rsidRPr="00961B35">
        <w:rPr>
          <w:b w:val="0"/>
          <w:szCs w:val="22"/>
          <w:lang w:val="hy-AM" w:eastAsia="en-US"/>
        </w:rPr>
        <w:t xml:space="preserve">  2018 թվականի ընթացքում մատուցված ծառա</w:t>
      </w:r>
      <w:r w:rsidRPr="00961B35">
        <w:rPr>
          <w:b w:val="0"/>
          <w:szCs w:val="22"/>
          <w:lang w:val="hy-AM" w:eastAsia="en-US"/>
        </w:rPr>
        <w:softHyphen/>
        <w:t>յու</w:t>
      </w:r>
      <w:r w:rsidRPr="00961B35">
        <w:rPr>
          <w:b w:val="0"/>
          <w:szCs w:val="22"/>
          <w:lang w:val="hy-AM" w:eastAsia="en-US"/>
        </w:rPr>
        <w:softHyphen/>
        <w:t xml:space="preserve">թյունների </w:t>
      </w:r>
      <w:r w:rsidRPr="00961B35">
        <w:rPr>
          <w:rFonts w:cs="Sylfaen"/>
          <w:b w:val="0"/>
          <w:szCs w:val="22"/>
          <w:lang w:val="hy-AM" w:eastAsia="en-US"/>
        </w:rPr>
        <w:t>(առանց առևտրի շրջանառության) 18</w:t>
      </w:r>
      <w:r w:rsidRPr="00961B35">
        <w:rPr>
          <w:b w:val="0"/>
          <w:szCs w:val="22"/>
          <w:lang w:val="hy-AM" w:eastAsia="en-US"/>
        </w:rPr>
        <w:t>.8% աճին 7.2 տոկոսային կետով նպաստել է մշակույթ, զվարճու</w:t>
      </w:r>
      <w:r w:rsidRPr="00961B35">
        <w:rPr>
          <w:b w:val="0"/>
          <w:szCs w:val="22"/>
          <w:lang w:val="hy-AM" w:eastAsia="en-US"/>
        </w:rPr>
        <w:softHyphen/>
        <w:t>թյուն</w:t>
      </w:r>
      <w:r w:rsidRPr="00961B35">
        <w:rPr>
          <w:b w:val="0"/>
          <w:szCs w:val="22"/>
          <w:lang w:val="hy-AM" w:eastAsia="en-US"/>
        </w:rPr>
        <w:softHyphen/>
        <w:t xml:space="preserve">ներ և հանգիստ ենթաճյուղի (աճը՝ 36.6%), 4.1 տոկոսային կետով՝ ֆինանսական և ապահովագրական գործունեության (աճը՝ 19.6%), 2.5 տոկոսային կետով՝ հանրային սննդի կազմակերպման (աճը՝ 32.0%), 1.5 տոկոսային կետով՝ </w:t>
      </w:r>
      <w:r w:rsidRPr="00961B35">
        <w:rPr>
          <w:b w:val="0"/>
          <w:szCs w:val="22"/>
          <w:lang w:val="hy-AM" w:eastAsia="en-US"/>
        </w:rPr>
        <w:lastRenderedPageBreak/>
        <w:t xml:space="preserve">տրանսպորտի (աճը՝ 10.9%), ինչպես նաև 1.0 տոկոսային կետով՝ առողջապահության և բնակչության սոցիալական սպասարկման (աճը՝ 25.7%) ծառայությունների աճերը: </w:t>
      </w:r>
    </w:p>
    <w:p w:rsidR="00961B35" w:rsidRPr="00961B35" w:rsidRDefault="00961B35" w:rsidP="00961B35">
      <w:pPr>
        <w:tabs>
          <w:tab w:val="right" w:pos="8640"/>
        </w:tabs>
        <w:spacing w:before="0"/>
        <w:ind w:firstLine="450"/>
        <w:contextualSpacing w:val="0"/>
        <w:rPr>
          <w:rFonts w:cs="Sylfaen"/>
          <w:b w:val="0"/>
          <w:szCs w:val="22"/>
          <w:lang w:val="hy-AM" w:eastAsia="en-US"/>
        </w:rPr>
      </w:pPr>
      <w:r w:rsidRPr="00961B35">
        <w:rPr>
          <w:rFonts w:cs="Sylfaen"/>
          <w:szCs w:val="22"/>
          <w:lang w:val="hy-AM" w:eastAsia="en-US"/>
        </w:rPr>
        <w:t>2019 թվականին նախորդ տարվա հա</w:t>
      </w:r>
      <w:r w:rsidRPr="00961B35">
        <w:rPr>
          <w:rFonts w:cs="Sylfaen"/>
          <w:szCs w:val="22"/>
          <w:lang w:val="hy-AM" w:eastAsia="en-US"/>
        </w:rPr>
        <w:softHyphen/>
        <w:t>մեմատ ծառայությունների աճի տեմպը թեև դանդաղել է, սակայն գրանցվել է երկնիշ աճ:</w:t>
      </w:r>
      <w:r w:rsidRPr="00961B35">
        <w:rPr>
          <w:rFonts w:cs="Sylfaen"/>
          <w:b w:val="0"/>
          <w:szCs w:val="22"/>
          <w:lang w:val="hy-AM" w:eastAsia="en-US"/>
        </w:rPr>
        <w:t xml:space="preserve"> 2019 թվականի հունվար-հուլիս ամիսներին մա</w:t>
      </w:r>
      <w:r w:rsidRPr="00961B35">
        <w:rPr>
          <w:rFonts w:cs="Sylfaen"/>
          <w:b w:val="0"/>
          <w:szCs w:val="22"/>
          <w:lang w:val="hy-AM" w:eastAsia="en-US"/>
        </w:rPr>
        <w:softHyphen/>
        <w:t>տուց</w:t>
      </w:r>
      <w:r w:rsidRPr="00961B35">
        <w:rPr>
          <w:rFonts w:cs="Sylfaen"/>
          <w:b w:val="0"/>
          <w:szCs w:val="22"/>
          <w:lang w:val="hy-AM" w:eastAsia="en-US"/>
        </w:rPr>
        <w:softHyphen/>
        <w:t>ված ծառայությունների ծա</w:t>
      </w:r>
      <w:r w:rsidRPr="00961B35">
        <w:rPr>
          <w:rFonts w:cs="Sylfaen"/>
          <w:b w:val="0"/>
          <w:szCs w:val="22"/>
          <w:lang w:val="hy-AM" w:eastAsia="en-US"/>
        </w:rPr>
        <w:softHyphen/>
        <w:t>վա</w:t>
      </w:r>
      <w:r w:rsidRPr="00961B35">
        <w:rPr>
          <w:rFonts w:cs="Sylfaen"/>
          <w:b w:val="0"/>
          <w:szCs w:val="22"/>
          <w:lang w:val="hy-AM" w:eastAsia="en-US"/>
        </w:rPr>
        <w:softHyphen/>
        <w:t>լը 2018 թվականի համապա</w:t>
      </w:r>
      <w:r w:rsidRPr="00961B35">
        <w:rPr>
          <w:rFonts w:cs="Sylfaen"/>
          <w:b w:val="0"/>
          <w:szCs w:val="22"/>
          <w:lang w:val="hy-AM" w:eastAsia="en-US"/>
        </w:rPr>
        <w:softHyphen/>
        <w:t>տասխան ժամանակահատվածի համեմատ իրական արտա</w:t>
      </w:r>
      <w:r w:rsidRPr="00961B35">
        <w:rPr>
          <w:rFonts w:cs="Sylfaen"/>
          <w:b w:val="0"/>
          <w:szCs w:val="22"/>
          <w:lang w:val="hy-AM" w:eastAsia="en-US"/>
        </w:rPr>
        <w:softHyphen/>
        <w:t>հայ</w:t>
      </w:r>
      <w:r w:rsidRPr="00961B35">
        <w:rPr>
          <w:rFonts w:cs="Sylfaen"/>
          <w:b w:val="0"/>
          <w:szCs w:val="22"/>
          <w:lang w:val="hy-AM" w:eastAsia="en-US"/>
        </w:rPr>
        <w:softHyphen/>
        <w:t>տու</w:t>
      </w:r>
      <w:r w:rsidRPr="00961B35">
        <w:rPr>
          <w:rFonts w:cs="Sylfaen"/>
          <w:b w:val="0"/>
          <w:szCs w:val="22"/>
          <w:lang w:val="hy-AM" w:eastAsia="en-US"/>
        </w:rPr>
        <w:softHyphen/>
        <w:t>թյամբ աճել է 15.2%-ով՝ պայմանավորված հիմնականում մշակույթ, զվարճություն</w:t>
      </w:r>
      <w:r w:rsidRPr="00961B35">
        <w:rPr>
          <w:rFonts w:cs="Sylfaen"/>
          <w:b w:val="0"/>
          <w:szCs w:val="22"/>
          <w:lang w:val="hy-AM" w:eastAsia="en-US"/>
        </w:rPr>
        <w:softHyphen/>
        <w:t>նե</w:t>
      </w:r>
      <w:r w:rsidRPr="00961B35">
        <w:rPr>
          <w:rFonts w:cs="Sylfaen"/>
          <w:b w:val="0"/>
          <w:szCs w:val="22"/>
          <w:lang w:val="hy-AM" w:eastAsia="en-US"/>
        </w:rPr>
        <w:softHyphen/>
        <w:t>ր և հանգիստ ենթաճյուղի 27.3% աճով (նպաստումը՝ 5.8 տոկոսային կետ),  ֆինանսական և ապահովագրական գործունեության 16.3% աճով (նպաստումը՝ 3.5 տոկոսային կետ) ու կացության և հանրային սննդի կազմակերպման 34.0% աճով (նպաստումը՝ 2.6 տոկոսային կետ):</w:t>
      </w:r>
    </w:p>
    <w:p w:rsidR="00961B35" w:rsidRPr="00961B35" w:rsidRDefault="00961B35" w:rsidP="00961B35">
      <w:pPr>
        <w:tabs>
          <w:tab w:val="right" w:pos="8640"/>
        </w:tabs>
        <w:spacing w:before="0"/>
        <w:ind w:firstLine="450"/>
        <w:contextualSpacing w:val="0"/>
        <w:rPr>
          <w:rFonts w:cs="Sylfaen"/>
          <w:b w:val="0"/>
          <w:szCs w:val="22"/>
          <w:lang w:val="hy-AM" w:eastAsia="en-US"/>
        </w:rPr>
      </w:pPr>
      <w:r w:rsidRPr="00961B35">
        <w:rPr>
          <w:rFonts w:cs="Sylfaen"/>
          <w:szCs w:val="22"/>
          <w:lang w:val="hy-AM" w:eastAsia="en-US"/>
        </w:rPr>
        <w:t xml:space="preserve">Առևտրի շրջանառության ծավալներն արձանագրել են աճի բարձր ցուցանիշներ: </w:t>
      </w:r>
      <w:r w:rsidRPr="00961B35">
        <w:rPr>
          <w:b w:val="0"/>
          <w:szCs w:val="22"/>
          <w:lang w:val="hy-AM" w:eastAsia="en-US"/>
        </w:rPr>
        <w:t xml:space="preserve">2018 թվականին առևտրի շրջանառությունն աճել է 8.7%-ով` պայմանավորված </w:t>
      </w:r>
      <w:r w:rsidRPr="00961B35">
        <w:rPr>
          <w:rFonts w:cs="Sylfaen"/>
          <w:b w:val="0"/>
          <w:szCs w:val="22"/>
          <w:lang w:val="hy-AM" w:eastAsia="en-US"/>
        </w:rPr>
        <w:t>մեծածախ</w:t>
      </w:r>
      <w:r w:rsidRPr="00961B35">
        <w:rPr>
          <w:b w:val="0"/>
          <w:szCs w:val="22"/>
          <w:lang w:val="hy-AM" w:eastAsia="en-US"/>
        </w:rPr>
        <w:t xml:space="preserve"> առևտրի </w:t>
      </w:r>
      <w:r w:rsidRPr="00961B35">
        <w:rPr>
          <w:rFonts w:cs="Sylfaen"/>
          <w:b w:val="0"/>
          <w:szCs w:val="22"/>
          <w:lang w:val="hy-AM" w:eastAsia="en-US"/>
        </w:rPr>
        <w:t xml:space="preserve">16.4% աճով (նպաստումը՝ </w:t>
      </w:r>
      <w:r w:rsidRPr="00961B35">
        <w:rPr>
          <w:b w:val="0"/>
          <w:szCs w:val="22"/>
          <w:lang w:val="hy-AM" w:eastAsia="en-US"/>
        </w:rPr>
        <w:t>7.3 տոկոսային կետ)</w:t>
      </w:r>
      <w:r w:rsidRPr="00961B35">
        <w:rPr>
          <w:rFonts w:cs="Sylfaen"/>
          <w:b w:val="0"/>
          <w:szCs w:val="22"/>
          <w:lang w:val="hy-AM" w:eastAsia="en-US"/>
        </w:rPr>
        <w:t>: Առևտրի շրջանառության աճին 0.7 տոկոսային կետով նպաստել են նաև մանրածախ առևտրի և ավտոմեքենաների առևտրի աճերը (համապատասխանաբար՝ 1.3% և 16.7%):</w:t>
      </w:r>
    </w:p>
    <w:p w:rsidR="00961B35" w:rsidRPr="00961B35" w:rsidRDefault="00961B35" w:rsidP="00961B35">
      <w:pPr>
        <w:tabs>
          <w:tab w:val="right" w:pos="8640"/>
        </w:tabs>
        <w:spacing w:before="0"/>
        <w:ind w:firstLine="450"/>
        <w:contextualSpacing w:val="0"/>
        <w:rPr>
          <w:rFonts w:cs="Sylfaen"/>
          <w:b w:val="0"/>
          <w:szCs w:val="22"/>
          <w:lang w:val="hy-AM" w:eastAsia="en-US"/>
        </w:rPr>
      </w:pPr>
      <w:r w:rsidRPr="00961B35">
        <w:rPr>
          <w:rFonts w:cs="Sylfaen"/>
          <w:b w:val="0"/>
          <w:szCs w:val="22"/>
          <w:lang w:val="hy-AM" w:eastAsia="en-US"/>
        </w:rPr>
        <w:t>2019 թվականի հունվար-հուլիս ամիսներին առևտրի շրջանառությունը նախորդ տարվա նույն ժամանա</w:t>
      </w:r>
      <w:r w:rsidRPr="00961B35">
        <w:rPr>
          <w:rFonts w:cs="Sylfaen"/>
          <w:b w:val="0"/>
          <w:szCs w:val="22"/>
          <w:lang w:val="hy-AM" w:eastAsia="en-US"/>
        </w:rPr>
        <w:softHyphen/>
        <w:t>կա</w:t>
      </w:r>
      <w:r w:rsidRPr="00961B35">
        <w:rPr>
          <w:rFonts w:cs="Sylfaen"/>
          <w:b w:val="0"/>
          <w:szCs w:val="22"/>
          <w:lang w:val="hy-AM" w:eastAsia="en-US"/>
        </w:rPr>
        <w:softHyphen/>
        <w:t>շրջանի համեմատ աճել է 8.9</w:t>
      </w:r>
      <w:r w:rsidRPr="00961B35">
        <w:rPr>
          <w:rFonts w:eastAsiaTheme="minorEastAsia" w:cs="Sylfaen"/>
          <w:b w:val="0"/>
          <w:szCs w:val="22"/>
          <w:lang w:val="hy-AM" w:eastAsia="en-US"/>
        </w:rPr>
        <w:t>%-ով</w:t>
      </w:r>
      <w:r w:rsidRPr="00961B35">
        <w:rPr>
          <w:rFonts w:cs="Sylfaen"/>
          <w:b w:val="0"/>
          <w:szCs w:val="22"/>
          <w:lang w:val="hy-AM" w:eastAsia="en-US"/>
        </w:rPr>
        <w:t>, ինչին 5.7 տոկոսային կետով նպաստել է մեծածախ առևտրի և 4.1 տոկոսային կետով՝ մանրածախ առևտրի աճերը (համապատասխանաբար՝ 12.0% և 8.6%): Առևտրի շրջանառության աճին 0.9 տոկոսային կետով հակազդել է ավտոմեքենաների առևտրի նվազումը (18.8%):</w:t>
      </w:r>
    </w:p>
    <w:p w:rsidR="00961B35" w:rsidRPr="00961B35" w:rsidRDefault="00961B35" w:rsidP="00961B35">
      <w:pPr>
        <w:tabs>
          <w:tab w:val="right" w:pos="8640"/>
        </w:tabs>
        <w:spacing w:before="0"/>
        <w:ind w:firstLine="450"/>
        <w:contextualSpacing w:val="0"/>
        <w:rPr>
          <w:rFonts w:eastAsiaTheme="minorEastAsia" w:cs="Sylfaen"/>
          <w:b w:val="0"/>
          <w:szCs w:val="22"/>
          <w:lang w:val="hy-AM" w:eastAsia="en-US"/>
        </w:rPr>
      </w:pPr>
      <w:r w:rsidRPr="00961B35">
        <w:rPr>
          <w:rFonts w:cs="Sylfaen"/>
          <w:b w:val="0"/>
          <w:szCs w:val="22"/>
          <w:lang w:val="hy-AM" w:eastAsia="en-US"/>
        </w:rPr>
        <w:t xml:space="preserve"> </w:t>
      </w:r>
      <w:r w:rsidRPr="00961B35">
        <w:rPr>
          <w:rFonts w:cs="Sylfaen"/>
          <w:szCs w:val="22"/>
          <w:lang w:val="hy-AM" w:eastAsia="en-US"/>
        </w:rPr>
        <w:t>Կանխատեսում.</w:t>
      </w:r>
      <w:r w:rsidRPr="00961B35">
        <w:rPr>
          <w:rFonts w:cs="Sylfaen"/>
          <w:b w:val="0"/>
          <w:szCs w:val="22"/>
          <w:lang w:val="hy-AM" w:eastAsia="en-US"/>
        </w:rPr>
        <w:t xml:space="preserve"> </w:t>
      </w:r>
      <w:r w:rsidRPr="00961B35">
        <w:rPr>
          <w:rFonts w:cs="Sylfaen"/>
          <w:szCs w:val="22"/>
          <w:lang w:val="hy-AM" w:eastAsia="en-US"/>
        </w:rPr>
        <w:t>2020 թվականին ծառայությունների աճի տեմպը կգերազանցի տնտեսական աճի տեմպին:</w:t>
      </w:r>
      <w:r w:rsidRPr="00961B35">
        <w:rPr>
          <w:rFonts w:eastAsiaTheme="minorEastAsia" w:cs="Sylfaen"/>
          <w:color w:val="C00000"/>
          <w:szCs w:val="22"/>
          <w:lang w:val="hy-AM" w:eastAsia="en-US"/>
        </w:rPr>
        <w:t xml:space="preserve"> </w:t>
      </w:r>
      <w:r w:rsidRPr="00961B35">
        <w:rPr>
          <w:rFonts w:cs="Sylfaen"/>
          <w:b w:val="0"/>
          <w:szCs w:val="22"/>
          <w:lang w:val="hy-AM" w:eastAsia="en-US"/>
        </w:rPr>
        <w:t>Հ</w:t>
      </w:r>
      <w:r w:rsidRPr="00961B35">
        <w:rPr>
          <w:rFonts w:eastAsiaTheme="minorEastAsia" w:cs="Sylfaen"/>
          <w:b w:val="0"/>
          <w:szCs w:val="22"/>
          <w:lang w:val="hy-AM" w:eastAsia="en-US"/>
        </w:rPr>
        <w:t>աշվի առնելով ընթացիկ զարգացումները և 2019 թվականի ա</w:t>
      </w:r>
      <w:r w:rsidRPr="00961B35">
        <w:rPr>
          <w:rFonts w:eastAsiaTheme="minorEastAsia" w:cs="Sylfaen"/>
          <w:b w:val="0"/>
          <w:szCs w:val="22"/>
          <w:lang w:val="hy-AM" w:eastAsia="en-US"/>
        </w:rPr>
        <w:softHyphen/>
        <w:t>ճի միտումները` մինչև տարեվերջ աճը կկազմի շուրջ 8.1%, իսկ 2020 թվա</w:t>
      </w:r>
      <w:r w:rsidRPr="00961B35">
        <w:rPr>
          <w:rFonts w:eastAsiaTheme="minorEastAsia" w:cs="Sylfaen"/>
          <w:b w:val="0"/>
          <w:szCs w:val="22"/>
          <w:lang w:val="hy-AM" w:eastAsia="en-US"/>
        </w:rPr>
        <w:softHyphen/>
      </w:r>
      <w:r w:rsidRPr="00961B35">
        <w:rPr>
          <w:rFonts w:eastAsiaTheme="minorEastAsia" w:cs="Sylfaen"/>
          <w:b w:val="0"/>
          <w:szCs w:val="22"/>
          <w:lang w:val="hy-AM" w:eastAsia="en-US"/>
        </w:rPr>
        <w:softHyphen/>
        <w:t>կան</w:t>
      </w:r>
      <w:r w:rsidRPr="00961B35">
        <w:rPr>
          <w:rFonts w:eastAsiaTheme="minorEastAsia" w:cs="Sylfaen"/>
          <w:b w:val="0"/>
          <w:szCs w:val="22"/>
          <w:lang w:val="hy-AM" w:eastAsia="en-US"/>
        </w:rPr>
        <w:softHyphen/>
        <w:t>ին ճյուղի աճը փոքր-ինչ կդանդաղի և կկազմի 6.0%:</w:t>
      </w:r>
    </w:p>
    <w:p w:rsidR="00961B35" w:rsidRPr="00961B35" w:rsidRDefault="00961B35" w:rsidP="00961B35">
      <w:pPr>
        <w:tabs>
          <w:tab w:val="right" w:pos="8640"/>
        </w:tabs>
        <w:spacing w:before="0"/>
        <w:ind w:firstLine="450"/>
        <w:contextualSpacing w:val="0"/>
        <w:rPr>
          <w:rFonts w:cs="Sylfaen"/>
          <w:szCs w:val="22"/>
          <w:lang w:val="hy-AM" w:eastAsia="en-US"/>
        </w:rPr>
      </w:pPr>
    </w:p>
    <w:p w:rsidR="00961B35" w:rsidRPr="00961B35" w:rsidRDefault="00961B35" w:rsidP="00961B35">
      <w:pPr>
        <w:tabs>
          <w:tab w:val="right" w:pos="8640"/>
        </w:tabs>
        <w:spacing w:before="0"/>
        <w:ind w:firstLine="450"/>
        <w:contextualSpacing w:val="0"/>
        <w:rPr>
          <w:rFonts w:cs="Sylfaen"/>
          <w:szCs w:val="22"/>
          <w:lang w:val="hy-AM" w:eastAsia="en-US"/>
        </w:rPr>
      </w:pPr>
      <w:r w:rsidRPr="00961B35">
        <w:rPr>
          <w:rFonts w:cs="Sylfaen"/>
          <w:szCs w:val="22"/>
          <w:lang w:val="hy-AM" w:eastAsia="en-US"/>
        </w:rPr>
        <w:t>1.2.5. Աշխատանքի շուկա</w:t>
      </w:r>
    </w:p>
    <w:p w:rsidR="00961B35" w:rsidRPr="00961B35" w:rsidRDefault="00961B35" w:rsidP="00961B35">
      <w:pPr>
        <w:spacing w:before="0"/>
        <w:ind w:firstLine="540"/>
        <w:contextualSpacing w:val="0"/>
        <w:rPr>
          <w:rFonts w:eastAsiaTheme="minorEastAsia" w:cs="Sylfaen"/>
          <w:szCs w:val="22"/>
          <w:lang w:val="hy-AM" w:eastAsia="en-US"/>
        </w:rPr>
      </w:pPr>
      <w:r w:rsidRPr="00961B35">
        <w:rPr>
          <w:rFonts w:eastAsiaTheme="minorEastAsia" w:cs="Sylfaen"/>
          <w:szCs w:val="22"/>
          <w:lang w:val="hy-AM" w:eastAsia="en-US"/>
        </w:rPr>
        <w:t xml:space="preserve">2018 թվականին տնտեսական աճն ուղեկցվել է գործազրկության մակարդակի նվազմամբ: </w:t>
      </w:r>
      <w:r w:rsidRPr="00961B35">
        <w:rPr>
          <w:rFonts w:eastAsiaTheme="minorEastAsia" w:cs="Sylfaen"/>
          <w:b w:val="0"/>
          <w:szCs w:val="22"/>
          <w:lang w:val="hy-AM" w:eastAsia="en-US"/>
        </w:rPr>
        <w:t>Գործազրկության մակարդակը նախորդ տարվա նկատմամբ նվազել է 1.5 տոկոսային կետով՝ կազմելով 16.3%: Զբաղվածների թիվը նախորդ տարվա նկատմամբ աճել է 6.1%-ով, իսկ գործազուրկների թիվը կրճատվել է 4.8%-ով:</w:t>
      </w:r>
      <w:r w:rsidRPr="00961B35">
        <w:rPr>
          <w:rFonts w:eastAsiaTheme="minorEastAsia" w:cs="Sylfaen"/>
          <w:szCs w:val="22"/>
          <w:lang w:val="hy-AM" w:eastAsia="en-US"/>
        </w:rPr>
        <w:t xml:space="preserve"> </w:t>
      </w:r>
    </w:p>
    <w:p w:rsidR="00961B35" w:rsidRPr="00961B35" w:rsidRDefault="00961B35" w:rsidP="00961B35">
      <w:pPr>
        <w:spacing w:before="0"/>
        <w:ind w:firstLine="540"/>
        <w:contextualSpacing w:val="0"/>
        <w:rPr>
          <w:rFonts w:eastAsiaTheme="minorEastAsia" w:cs="Sylfaen"/>
          <w:b w:val="0"/>
          <w:szCs w:val="22"/>
          <w:lang w:val="hy-AM" w:eastAsia="en-US"/>
        </w:rPr>
      </w:pPr>
      <w:r w:rsidRPr="00961B35">
        <w:rPr>
          <w:rFonts w:eastAsiaTheme="minorEastAsia" w:cs="Sylfaen"/>
          <w:b w:val="0"/>
          <w:szCs w:val="22"/>
          <w:lang w:val="hy-AM" w:eastAsia="en-US"/>
        </w:rPr>
        <w:t xml:space="preserve">ՀՀ վիճակագրական կոմիտեի կողմից նոր մեթոդաբանությամբ հաշվարկված գործազրկության մակարդակը 2018 թվականին կազմել է 20.4%` 0.4 տոկոսային կետով </w:t>
      </w:r>
      <w:r w:rsidRPr="00961B35">
        <w:rPr>
          <w:rFonts w:eastAsiaTheme="minorEastAsia" w:cs="Sylfaen"/>
          <w:b w:val="0"/>
          <w:szCs w:val="22"/>
          <w:lang w:val="hy-AM" w:eastAsia="en-US"/>
        </w:rPr>
        <w:lastRenderedPageBreak/>
        <w:t>նվազելով նախորդ տարվա նկատմամբ</w:t>
      </w:r>
      <w:r w:rsidRPr="00961B35">
        <w:rPr>
          <w:rFonts w:cs="Sylfaen"/>
          <w:b w:val="0"/>
          <w:sz w:val="24"/>
          <w:lang w:val="hy-AM" w:eastAsia="en-US"/>
        </w:rPr>
        <w:t xml:space="preserve">: </w:t>
      </w:r>
      <w:r w:rsidRPr="00961B35">
        <w:rPr>
          <w:rFonts w:eastAsiaTheme="minorEastAsia" w:cs="Sylfaen"/>
          <w:b w:val="0"/>
          <w:szCs w:val="22"/>
          <w:lang w:val="hy-AM" w:eastAsia="en-US"/>
        </w:rPr>
        <w:t>Զբաղվածների թիվն աճել է 1.4%-ով, իսկ գործազուրկների թիվը կրճատվել է 1.1%-ով</w:t>
      </w:r>
      <w:r w:rsidRPr="00961B35">
        <w:rPr>
          <w:b w:val="0"/>
          <w:sz w:val="20"/>
          <w:szCs w:val="20"/>
          <w:vertAlign w:val="superscript"/>
          <w:lang w:val="en-US" w:eastAsia="en-US"/>
        </w:rPr>
        <w:footnoteReference w:id="11"/>
      </w:r>
      <w:r w:rsidRPr="00961B35">
        <w:rPr>
          <w:rFonts w:eastAsiaTheme="minorEastAsia" w:cs="Sylfaen"/>
          <w:b w:val="0"/>
          <w:szCs w:val="22"/>
          <w:lang w:val="hy-AM" w:eastAsia="en-US"/>
        </w:rPr>
        <w:t>:</w:t>
      </w:r>
    </w:p>
    <w:p w:rsidR="00961B35" w:rsidRPr="00961B35" w:rsidRDefault="00961B35" w:rsidP="00961B35">
      <w:pPr>
        <w:tabs>
          <w:tab w:val="right" w:pos="8640"/>
        </w:tabs>
        <w:spacing w:before="0"/>
        <w:ind w:firstLine="450"/>
        <w:contextualSpacing w:val="0"/>
        <w:rPr>
          <w:rFonts w:eastAsiaTheme="minorEastAsia" w:cs="Sylfaen"/>
          <w:szCs w:val="22"/>
          <w:lang w:val="hy-AM" w:eastAsia="en-US"/>
        </w:rPr>
      </w:pPr>
      <w:r w:rsidRPr="00961B35">
        <w:rPr>
          <w:rFonts w:eastAsiaTheme="minorEastAsia" w:cs="Sylfaen"/>
          <w:szCs w:val="22"/>
          <w:lang w:val="hy-AM" w:eastAsia="en-US"/>
        </w:rPr>
        <w:t>Զբաղվածների թվի աճը շարունակվել է նաև 2019 թվականին:</w:t>
      </w:r>
      <w:r w:rsidRPr="00961B35">
        <w:rPr>
          <w:rFonts w:eastAsiaTheme="minorEastAsia" w:cs="Sylfaen"/>
          <w:b w:val="0"/>
          <w:szCs w:val="22"/>
          <w:lang w:val="hy-AM" w:eastAsia="en-US"/>
        </w:rPr>
        <w:t xml:space="preserve"> 2019 թվականի առաջին եռամսյակում նախորդ տարվա նույն ժամանակաշրջանի նկատմամբ զբաղվածների թիվն աճել է 1.2%-ով: Նույն ժամանակահատվածում գործազրկության մակարդակն աճել է՝ 21.0%-ից հասնելով 21.9%-ի՝ պայմանավորված գործազուրկների թվի 6.7% աճով</w:t>
      </w:r>
      <w:r w:rsidRPr="00961B35">
        <w:rPr>
          <w:rFonts w:ascii="Arial Armenian" w:eastAsiaTheme="minorEastAsia" w:hAnsi="Arial Armenian" w:cs="Sylfaen"/>
          <w:b w:val="0"/>
          <w:sz w:val="20"/>
          <w:szCs w:val="20"/>
          <w:vertAlign w:val="superscript"/>
          <w:lang w:val="hy-AM" w:eastAsia="en-US"/>
        </w:rPr>
        <w:footnoteReference w:id="12"/>
      </w:r>
      <w:r w:rsidRPr="00961B35">
        <w:rPr>
          <w:rFonts w:eastAsiaTheme="minorEastAsia" w:cs="Sylfaen"/>
          <w:b w:val="0"/>
          <w:szCs w:val="22"/>
          <w:lang w:val="hy-AM" w:eastAsia="en-US"/>
        </w:rPr>
        <w:t>:</w:t>
      </w:r>
    </w:p>
    <w:p w:rsidR="00961B35" w:rsidRPr="00961B35" w:rsidRDefault="00961B35" w:rsidP="00961B35">
      <w:pPr>
        <w:tabs>
          <w:tab w:val="right" w:pos="8640"/>
        </w:tabs>
        <w:spacing w:before="0"/>
        <w:ind w:firstLine="450"/>
        <w:contextualSpacing w:val="0"/>
        <w:rPr>
          <w:rFonts w:cs="Sylfaen"/>
          <w:b w:val="0"/>
          <w:sz w:val="24"/>
          <w:szCs w:val="22"/>
          <w:lang w:val="hy-AM" w:eastAsia="en-US"/>
        </w:rPr>
      </w:pPr>
      <w:r w:rsidRPr="00961B35">
        <w:rPr>
          <w:rFonts w:eastAsiaTheme="minorEastAsia" w:cs="Sylfaen"/>
          <w:b w:val="0"/>
          <w:szCs w:val="22"/>
          <w:lang w:val="hy-AM" w:eastAsia="en-US"/>
        </w:rPr>
        <w:t>2018 թվականին միջին ամսական անվանական աշխատավարձն աճել է 4.0%-ով</w:t>
      </w:r>
      <w:r w:rsidRPr="00961B35">
        <w:rPr>
          <w:rFonts w:cs="Sylfaen"/>
          <w:b w:val="0"/>
          <w:sz w:val="24"/>
          <w:szCs w:val="22"/>
          <w:lang w:val="hy-AM" w:eastAsia="en-US"/>
        </w:rPr>
        <w:t xml:space="preserve">, </w:t>
      </w:r>
      <w:r w:rsidRPr="00961B35">
        <w:rPr>
          <w:rFonts w:eastAsiaTheme="minorEastAsia" w:cs="Sylfaen"/>
          <w:b w:val="0"/>
          <w:szCs w:val="22"/>
          <w:lang w:val="hy-AM" w:eastAsia="en-US"/>
        </w:rPr>
        <w:t>իսկ 2019 թվականի հունվար-հուլիսին նախորդ տարվա նույն ժամանակաշրջանի նկատմամբ՝ 5.9%-ով՝ կազմելով 178,325 դրամ: Ընդ որում պետական հատվածում աշխատավարձն աճել է 7.3%-ով, իսկ մասնավոր հատվածում՝ 4.1%-ով՝ կազմելով համա</w:t>
      </w:r>
      <w:r w:rsidRPr="00961B35">
        <w:rPr>
          <w:rFonts w:eastAsiaTheme="minorEastAsia" w:cs="Sylfaen"/>
          <w:b w:val="0"/>
          <w:szCs w:val="22"/>
          <w:lang w:val="hy-AM" w:eastAsia="en-US"/>
        </w:rPr>
        <w:softHyphen/>
        <w:t>պա</w:t>
      </w:r>
      <w:r w:rsidRPr="00961B35">
        <w:rPr>
          <w:rFonts w:eastAsiaTheme="minorEastAsia" w:cs="Sylfaen"/>
          <w:b w:val="0"/>
          <w:szCs w:val="22"/>
          <w:lang w:val="hy-AM" w:eastAsia="en-US"/>
        </w:rPr>
        <w:softHyphen/>
        <w:t>տաս</w:t>
      </w:r>
      <w:r w:rsidRPr="00961B35">
        <w:rPr>
          <w:rFonts w:eastAsiaTheme="minorEastAsia" w:cs="Sylfaen"/>
          <w:b w:val="0"/>
          <w:szCs w:val="22"/>
          <w:lang w:val="hy-AM" w:eastAsia="en-US"/>
        </w:rPr>
        <w:softHyphen/>
        <w:t>խանաբար 154,015 դրամ և 190,954 դրամ: Իրական աշխատավարձի աճը, 2019 թվականի հունվար-հուլիսի 1.9% միջին գնաճի պայմաններում, կազմել է 4.0%</w:t>
      </w:r>
      <w:r w:rsidRPr="00961B35">
        <w:rPr>
          <w:rFonts w:eastAsiaTheme="minorEastAsia" w:cs="Sylfaen"/>
          <w:b w:val="0"/>
          <w:sz w:val="24"/>
          <w:szCs w:val="22"/>
          <w:vertAlign w:val="superscript"/>
          <w:lang w:val="hy-AM" w:eastAsia="en-US"/>
        </w:rPr>
        <w:footnoteReference w:id="13"/>
      </w:r>
      <w:r w:rsidRPr="00961B35">
        <w:rPr>
          <w:rFonts w:cs="Sylfaen"/>
          <w:b w:val="0"/>
          <w:sz w:val="24"/>
          <w:szCs w:val="22"/>
          <w:lang w:val="hy-AM" w:eastAsia="en-US"/>
        </w:rPr>
        <w:t>:</w:t>
      </w:r>
    </w:p>
    <w:p w:rsidR="00961B35" w:rsidRPr="00961B35" w:rsidRDefault="00961B35" w:rsidP="00961B35">
      <w:pPr>
        <w:tabs>
          <w:tab w:val="right" w:pos="8640"/>
        </w:tabs>
        <w:spacing w:before="0"/>
        <w:ind w:firstLine="450"/>
        <w:contextualSpacing w:val="0"/>
        <w:rPr>
          <w:rFonts w:eastAsiaTheme="minorEastAsia" w:cs="Sylfaen"/>
          <w:szCs w:val="22"/>
          <w:lang w:val="hy-AM" w:eastAsia="en-US"/>
        </w:rPr>
      </w:pPr>
    </w:p>
    <w:p w:rsidR="00961B35" w:rsidRPr="00961B35" w:rsidRDefault="00961B35" w:rsidP="00961B35">
      <w:pPr>
        <w:widowControl w:val="0"/>
        <w:tabs>
          <w:tab w:val="left" w:pos="993"/>
        </w:tabs>
        <w:spacing w:after="120"/>
        <w:ind w:firstLine="450"/>
        <w:contextualSpacing w:val="0"/>
        <w:jc w:val="left"/>
        <w:rPr>
          <w:rFonts w:cs="Sylfaen"/>
          <w:szCs w:val="22"/>
          <w:u w:val="single"/>
          <w:lang w:val="hy-AM" w:eastAsia="en-US"/>
        </w:rPr>
      </w:pPr>
      <w:r w:rsidRPr="00961B35">
        <w:rPr>
          <w:rFonts w:cs="Sylfaen"/>
          <w:szCs w:val="22"/>
          <w:u w:val="single"/>
          <w:lang w:val="hy-AM" w:eastAsia="en-US"/>
        </w:rPr>
        <w:t xml:space="preserve"> Գծապատկեր 1.2.2. Տնտեսության ճյուղերի տեսակարար կշիռները ՀՆԱ-ում </w:t>
      </w:r>
    </w:p>
    <w:p w:rsidR="00961B35" w:rsidRPr="00961B35" w:rsidRDefault="00961B35" w:rsidP="00961B35">
      <w:pPr>
        <w:tabs>
          <w:tab w:val="num" w:pos="720"/>
        </w:tabs>
        <w:spacing w:before="0" w:line="240" w:lineRule="auto"/>
        <w:ind w:firstLine="450"/>
        <w:contextualSpacing w:val="0"/>
        <w:rPr>
          <w:szCs w:val="22"/>
          <w:u w:val="single"/>
          <w:lang w:val="it-IT" w:eastAsia="en-US"/>
        </w:rPr>
      </w:pPr>
    </w:p>
    <w:p w:rsidR="00961B35" w:rsidRPr="00961B35" w:rsidRDefault="00961B35" w:rsidP="00961B35">
      <w:pPr>
        <w:spacing w:before="0"/>
        <w:ind w:firstLine="450"/>
        <w:contextualSpacing w:val="0"/>
        <w:jc w:val="center"/>
        <w:rPr>
          <w:rFonts w:cs="Sylfaen"/>
          <w:szCs w:val="22"/>
          <w:lang w:val="it-IT" w:eastAsia="en-US"/>
        </w:rPr>
      </w:pPr>
      <w:r w:rsidRPr="00961B35">
        <w:rPr>
          <w:rFonts w:cs="Sylfaen"/>
          <w:noProof/>
          <w:szCs w:val="22"/>
          <w:lang w:val="en-US" w:eastAsia="en-US"/>
        </w:rPr>
        <w:drawing>
          <wp:inline distT="0" distB="0" distL="0" distR="0" wp14:anchorId="35973319" wp14:editId="04900B05">
            <wp:extent cx="5800725" cy="2736215"/>
            <wp:effectExtent l="0" t="0" r="9525" b="6985"/>
            <wp:docPr id="32" name="Chart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61B35" w:rsidRPr="00961B35" w:rsidRDefault="00961B35" w:rsidP="00961B35">
      <w:pPr>
        <w:spacing w:before="0"/>
        <w:ind w:firstLine="450"/>
        <w:contextualSpacing w:val="0"/>
        <w:rPr>
          <w:szCs w:val="22"/>
          <w:lang w:val="en-US" w:eastAsia="en-US"/>
        </w:rPr>
      </w:pPr>
    </w:p>
    <w:p w:rsidR="00961B35" w:rsidRPr="00961B35" w:rsidRDefault="00961B35" w:rsidP="00961B35">
      <w:pPr>
        <w:spacing w:before="0"/>
        <w:ind w:firstLine="450"/>
        <w:contextualSpacing w:val="0"/>
        <w:rPr>
          <w:b w:val="0"/>
          <w:szCs w:val="22"/>
          <w:lang w:val="hy-AM" w:eastAsia="en-US"/>
        </w:rPr>
      </w:pPr>
      <w:r w:rsidRPr="00961B35">
        <w:rPr>
          <w:szCs w:val="22"/>
          <w:lang w:val="hy-AM" w:eastAsia="en-US"/>
        </w:rPr>
        <w:lastRenderedPageBreak/>
        <w:t>Ամփոփելով նշենք, որ 20</w:t>
      </w:r>
      <w:r w:rsidRPr="00961B35">
        <w:rPr>
          <w:szCs w:val="22"/>
          <w:lang w:val="en-US" w:eastAsia="en-US"/>
        </w:rPr>
        <w:t>20</w:t>
      </w:r>
      <w:r w:rsidRPr="00961B35">
        <w:rPr>
          <w:szCs w:val="22"/>
          <w:lang w:val="hy-AM" w:eastAsia="en-US"/>
        </w:rPr>
        <w:t xml:space="preserve"> թվականին տնտեսությունում</w:t>
      </w:r>
      <w:r w:rsidRPr="00961B35">
        <w:rPr>
          <w:szCs w:val="22"/>
          <w:lang w:val="en-US" w:eastAsia="en-US"/>
        </w:rPr>
        <w:t xml:space="preserve"> արդյունաբերության և ծառայությունների մասնաբաժինները </w:t>
      </w:r>
      <w:r w:rsidRPr="00961B35">
        <w:rPr>
          <w:szCs w:val="22"/>
          <w:lang w:val="hy-AM" w:eastAsia="en-US"/>
        </w:rPr>
        <w:t>կ</w:t>
      </w:r>
      <w:r w:rsidRPr="00961B35">
        <w:rPr>
          <w:szCs w:val="22"/>
          <w:lang w:val="en-US" w:eastAsia="en-US"/>
        </w:rPr>
        <w:t>աճեն՝</w:t>
      </w:r>
      <w:r w:rsidRPr="00961B35">
        <w:rPr>
          <w:szCs w:val="22"/>
          <w:lang w:val="hy-AM" w:eastAsia="en-US"/>
        </w:rPr>
        <w:t xml:space="preserve"> </w:t>
      </w:r>
      <w:r w:rsidRPr="00961B35">
        <w:rPr>
          <w:b w:val="0"/>
          <w:szCs w:val="22"/>
          <w:lang w:val="en-US" w:eastAsia="en-US"/>
        </w:rPr>
        <w:t>կազմելով</w:t>
      </w:r>
      <w:r w:rsidRPr="00961B35">
        <w:rPr>
          <w:szCs w:val="22"/>
          <w:lang w:val="en-US" w:eastAsia="en-US"/>
        </w:rPr>
        <w:t xml:space="preserve"> </w:t>
      </w:r>
      <w:r w:rsidRPr="00961B35">
        <w:rPr>
          <w:b w:val="0"/>
          <w:szCs w:val="22"/>
          <w:lang w:val="en-US" w:eastAsia="en-US"/>
        </w:rPr>
        <w:t>ամբողջական առաջարկի ճյուղային կառուցված</w:t>
      </w:r>
      <w:r w:rsidRPr="00961B35">
        <w:rPr>
          <w:b w:val="0"/>
          <w:szCs w:val="22"/>
          <w:lang w:val="hy-AM" w:eastAsia="en-US"/>
        </w:rPr>
        <w:t>ք</w:t>
      </w:r>
      <w:r w:rsidRPr="00961B35">
        <w:rPr>
          <w:b w:val="0"/>
          <w:szCs w:val="22"/>
          <w:lang w:val="en-US" w:eastAsia="en-US"/>
        </w:rPr>
        <w:t>ում</w:t>
      </w:r>
      <w:r w:rsidRPr="00961B35">
        <w:rPr>
          <w:b w:val="0"/>
          <w:szCs w:val="22"/>
          <w:lang w:val="hy-AM" w:eastAsia="en-US"/>
        </w:rPr>
        <w:t xml:space="preserve"> ՀՆԱ-ի համապատասխանաբար՝ </w:t>
      </w:r>
      <w:r w:rsidRPr="00961B35">
        <w:rPr>
          <w:b w:val="0"/>
          <w:szCs w:val="22"/>
          <w:lang w:val="en-US" w:eastAsia="en-US"/>
        </w:rPr>
        <w:t>18.3</w:t>
      </w:r>
      <w:r w:rsidRPr="00961B35">
        <w:rPr>
          <w:b w:val="0"/>
          <w:szCs w:val="22"/>
          <w:lang w:val="hy-AM" w:eastAsia="en-US"/>
        </w:rPr>
        <w:t xml:space="preserve"> և </w:t>
      </w:r>
      <w:r w:rsidRPr="00961B35">
        <w:rPr>
          <w:b w:val="0"/>
          <w:szCs w:val="22"/>
          <w:lang w:val="en-US" w:eastAsia="en-US"/>
        </w:rPr>
        <w:t>51</w:t>
      </w:r>
      <w:r w:rsidRPr="00961B35">
        <w:rPr>
          <w:b w:val="0"/>
          <w:szCs w:val="22"/>
          <w:lang w:val="hy-AM" w:eastAsia="en-US"/>
        </w:rPr>
        <w:t>.</w:t>
      </w:r>
      <w:r w:rsidRPr="00961B35">
        <w:rPr>
          <w:b w:val="0"/>
          <w:szCs w:val="22"/>
          <w:lang w:val="en-US" w:eastAsia="en-US"/>
        </w:rPr>
        <w:t>6</w:t>
      </w:r>
      <w:r w:rsidRPr="00961B35">
        <w:rPr>
          <w:b w:val="0"/>
          <w:szCs w:val="22"/>
          <w:lang w:val="hy-AM" w:eastAsia="en-US"/>
        </w:rPr>
        <w:t>%-ը</w:t>
      </w:r>
      <w:r w:rsidRPr="00961B35">
        <w:rPr>
          <w:b w:val="0"/>
          <w:szCs w:val="22"/>
          <w:lang w:val="en-US" w:eastAsia="en-US"/>
        </w:rPr>
        <w:t xml:space="preserve">: </w:t>
      </w:r>
      <w:r w:rsidRPr="00961B35">
        <w:rPr>
          <w:b w:val="0"/>
          <w:szCs w:val="22"/>
          <w:lang w:val="hy-AM" w:eastAsia="en-US"/>
        </w:rPr>
        <w:t>(տես՝ Գծապատկեր 1.2.2):</w:t>
      </w:r>
    </w:p>
    <w:p w:rsidR="00961B35" w:rsidRPr="00961B35" w:rsidRDefault="00961B35" w:rsidP="00961B35">
      <w:pPr>
        <w:spacing w:before="0"/>
        <w:ind w:firstLine="0"/>
        <w:contextualSpacing w:val="0"/>
        <w:jc w:val="center"/>
        <w:rPr>
          <w:rFonts w:cs="Sylfaen"/>
          <w:szCs w:val="22"/>
          <w:lang w:val="it-IT" w:eastAsia="en-US"/>
        </w:rPr>
      </w:pPr>
    </w:p>
    <w:p w:rsidR="00961B35" w:rsidRPr="00961B35" w:rsidRDefault="00961B35" w:rsidP="00961B35">
      <w:pPr>
        <w:keepNext/>
        <w:numPr>
          <w:ilvl w:val="1"/>
          <w:numId w:val="32"/>
        </w:numPr>
        <w:tabs>
          <w:tab w:val="left" w:pos="540"/>
        </w:tabs>
        <w:spacing w:before="240" w:after="60" w:line="240" w:lineRule="auto"/>
        <w:ind w:hanging="1080"/>
        <w:contextualSpacing w:val="0"/>
        <w:jc w:val="center"/>
        <w:outlineLvl w:val="2"/>
        <w:rPr>
          <w:rFonts w:cs="Arial"/>
          <w:szCs w:val="26"/>
          <w:lang w:val="en-US" w:eastAsia="en-US"/>
        </w:rPr>
      </w:pPr>
      <w:bookmarkStart w:id="13" w:name="_Toc525892377"/>
      <w:bookmarkStart w:id="14" w:name="_Toc525893568"/>
      <w:bookmarkStart w:id="15" w:name="_Toc525893660"/>
      <w:bookmarkStart w:id="16" w:name="_Toc26174917"/>
      <w:r w:rsidRPr="00961B35">
        <w:rPr>
          <w:rFonts w:cs="Arial"/>
          <w:szCs w:val="26"/>
          <w:lang w:val="hy-AM" w:eastAsia="en-US"/>
        </w:rPr>
        <w:t>Համախառն պահանջարկ</w:t>
      </w:r>
      <w:bookmarkEnd w:id="13"/>
      <w:bookmarkEnd w:id="14"/>
      <w:bookmarkEnd w:id="15"/>
      <w:bookmarkEnd w:id="16"/>
    </w:p>
    <w:p w:rsidR="00961B35" w:rsidRPr="00961B35" w:rsidRDefault="00961B35" w:rsidP="00961B35">
      <w:pPr>
        <w:keepNext/>
        <w:spacing w:before="240" w:after="60" w:line="240" w:lineRule="auto"/>
        <w:ind w:left="1170" w:firstLine="0"/>
        <w:jc w:val="left"/>
        <w:outlineLvl w:val="2"/>
        <w:rPr>
          <w:rFonts w:cs="Arial"/>
          <w:szCs w:val="26"/>
          <w:lang w:val="en-US" w:eastAsia="en-US"/>
        </w:rPr>
      </w:pPr>
    </w:p>
    <w:p w:rsidR="00961B35" w:rsidRPr="00961B35" w:rsidRDefault="00961B35" w:rsidP="00961B35">
      <w:pPr>
        <w:spacing w:before="0"/>
        <w:ind w:firstLine="450"/>
        <w:contextualSpacing w:val="0"/>
        <w:rPr>
          <w:rFonts w:cs="Sylfaen"/>
          <w:b w:val="0"/>
          <w:szCs w:val="22"/>
          <w:lang w:val="hy-AM" w:eastAsia="en-US"/>
        </w:rPr>
      </w:pPr>
      <w:r w:rsidRPr="00961B35">
        <w:rPr>
          <w:rFonts w:cs="Sylfaen"/>
          <w:szCs w:val="22"/>
          <w:lang w:val="hy-AM" w:eastAsia="en-US"/>
        </w:rPr>
        <w:t>Համախառն պահանջարկը պատկերացում է տալիս տնտեսությունում  եկամուտների ծախսման ուղղությունների վերաբերյալ:</w:t>
      </w:r>
      <w:r w:rsidRPr="00961B35">
        <w:rPr>
          <w:rFonts w:cs="Sylfaen"/>
          <w:b w:val="0"/>
          <w:szCs w:val="22"/>
          <w:lang w:val="hy-AM" w:eastAsia="en-US"/>
        </w:rPr>
        <w:t xml:space="preserve"> Համախառն պահանջարկը կազմված է ներքին և արտաքին պահանջարկներից: Ներքին պահանջարկը տեղեկատվություն է տալիս, թե ձևավորված եկա</w:t>
      </w:r>
      <w:r w:rsidRPr="00961B35">
        <w:rPr>
          <w:rFonts w:cs="Sylfaen"/>
          <w:b w:val="0"/>
          <w:szCs w:val="22"/>
          <w:lang w:val="it-IT" w:eastAsia="en-US"/>
        </w:rPr>
        <w:softHyphen/>
      </w:r>
      <w:r w:rsidRPr="00961B35">
        <w:rPr>
          <w:rFonts w:cs="Sylfaen"/>
          <w:b w:val="0"/>
          <w:szCs w:val="22"/>
          <w:lang w:val="hy-AM" w:eastAsia="en-US"/>
        </w:rPr>
        <w:t>մուտները ուղղվելու են սպառմանը, թե ներդրվելու են տնտեսության մեջ: Նշվածը հիմնականում բնութագրվում է պետական և մասնավոր հատվածների կողմից ստեղծված ընդհանուր եկամտում սպառման և ներդրումների մասնաբաժիններով, որոնք արտացոլվում են սպառում/ՀՆԱ և ներդրումներ/ՀՆԱ ցուցանիշներով: Իսկ արտաքին պահանջարկը տեղեկատվություն է տալիս գործընկեր երկրների կողմից մեր ապրանքների և ծառայությունների վրա կատարված ծախսումների մասին, որը բնութագրվում է զուտ արտահանման ցուցանիշով:</w:t>
      </w:r>
    </w:p>
    <w:p w:rsidR="00961B35" w:rsidRPr="00961B35" w:rsidRDefault="00961B35" w:rsidP="00961B35">
      <w:pPr>
        <w:spacing w:before="0"/>
        <w:ind w:firstLine="450"/>
        <w:contextualSpacing w:val="0"/>
        <w:jc w:val="center"/>
        <w:rPr>
          <w:rFonts w:cs="Sylfaen"/>
          <w:szCs w:val="22"/>
          <w:highlight w:val="yellow"/>
          <w:lang w:val="it-IT" w:eastAsia="en-US"/>
        </w:rPr>
      </w:pPr>
    </w:p>
    <w:p w:rsidR="00961B35" w:rsidRPr="00961B35" w:rsidRDefault="00961B35" w:rsidP="00961B35">
      <w:pPr>
        <w:tabs>
          <w:tab w:val="right" w:pos="8640"/>
        </w:tabs>
        <w:spacing w:before="0"/>
        <w:ind w:firstLine="0"/>
        <w:contextualSpacing w:val="0"/>
        <w:jc w:val="center"/>
        <w:rPr>
          <w:rFonts w:cs="Sylfaen"/>
          <w:szCs w:val="22"/>
          <w:lang w:val="it-IT" w:eastAsia="en-US"/>
        </w:rPr>
      </w:pPr>
      <w:r w:rsidRPr="00961B35">
        <w:rPr>
          <w:rFonts w:cs="Sylfaen"/>
          <w:szCs w:val="22"/>
          <w:lang w:val="it-IT" w:eastAsia="en-US"/>
        </w:rPr>
        <w:t>Վերջին տարիների միտումները, ընթացիկ իրավիճակը և կանխատեսումները</w:t>
      </w:r>
    </w:p>
    <w:p w:rsidR="00961B35" w:rsidRPr="00961B35" w:rsidRDefault="00961B35" w:rsidP="00961B35">
      <w:pPr>
        <w:tabs>
          <w:tab w:val="num" w:pos="720"/>
        </w:tabs>
        <w:spacing w:before="0"/>
        <w:ind w:firstLine="450"/>
        <w:contextualSpacing w:val="0"/>
        <w:rPr>
          <w:rFonts w:cs="Sylfaen"/>
          <w:szCs w:val="22"/>
          <w:highlight w:val="yellow"/>
          <w:lang w:val="it-IT" w:eastAsia="en-US"/>
        </w:rPr>
      </w:pPr>
    </w:p>
    <w:p w:rsidR="00961B35" w:rsidRPr="00961B35" w:rsidRDefault="00961B35" w:rsidP="00961B35">
      <w:pPr>
        <w:tabs>
          <w:tab w:val="num" w:pos="720"/>
        </w:tabs>
        <w:spacing w:before="0"/>
        <w:ind w:firstLine="450"/>
        <w:contextualSpacing w:val="0"/>
        <w:rPr>
          <w:rFonts w:cs="Sylfaen"/>
          <w:szCs w:val="22"/>
          <w:lang w:val="it-IT" w:eastAsia="en-US"/>
        </w:rPr>
      </w:pPr>
      <w:r w:rsidRPr="00961B35">
        <w:rPr>
          <w:rFonts w:cs="Sylfaen"/>
          <w:szCs w:val="22"/>
          <w:lang w:val="it-IT" w:eastAsia="en-US"/>
        </w:rPr>
        <w:t>1.3.1. Սպառում</w:t>
      </w:r>
    </w:p>
    <w:p w:rsidR="00961B35" w:rsidRPr="00961B35" w:rsidRDefault="00961B35" w:rsidP="00961B35">
      <w:pPr>
        <w:tabs>
          <w:tab w:val="num" w:pos="720"/>
        </w:tabs>
        <w:spacing w:before="0"/>
        <w:ind w:firstLine="450"/>
        <w:contextualSpacing w:val="0"/>
        <w:rPr>
          <w:rFonts w:cs="Sylfaen"/>
          <w:b w:val="0"/>
          <w:szCs w:val="22"/>
          <w:lang w:val="hy-AM" w:eastAsia="en-US"/>
        </w:rPr>
      </w:pPr>
      <w:r w:rsidRPr="00961B35">
        <w:rPr>
          <w:rFonts w:cs="Sylfaen"/>
          <w:szCs w:val="22"/>
          <w:lang w:val="it-IT" w:eastAsia="en-US"/>
        </w:rPr>
        <w:t xml:space="preserve">2018 թվականին վերջնական </w:t>
      </w:r>
      <w:r w:rsidRPr="00961B35">
        <w:rPr>
          <w:rFonts w:cs="Sylfaen"/>
          <w:szCs w:val="22"/>
          <w:lang w:val="hy-AM" w:eastAsia="en-US"/>
        </w:rPr>
        <w:t>սպառ</w:t>
      </w:r>
      <w:r w:rsidRPr="00961B35">
        <w:rPr>
          <w:rFonts w:cs="Sylfaen"/>
          <w:szCs w:val="22"/>
          <w:lang w:val="en-US" w:eastAsia="en-US"/>
        </w:rPr>
        <w:t>մ</w:t>
      </w:r>
      <w:r w:rsidRPr="00961B35">
        <w:rPr>
          <w:rFonts w:cs="Sylfaen"/>
          <w:szCs w:val="22"/>
          <w:lang w:val="hy-AM" w:eastAsia="en-US"/>
        </w:rPr>
        <w:t>ան աճը</w:t>
      </w:r>
      <w:r w:rsidRPr="00961B35">
        <w:rPr>
          <w:rFonts w:cs="Sylfaen"/>
          <w:szCs w:val="22"/>
          <w:lang w:val="it-IT" w:eastAsia="en-US"/>
        </w:rPr>
        <w:t xml:space="preserve"> </w:t>
      </w:r>
      <w:r w:rsidRPr="00961B35">
        <w:rPr>
          <w:rFonts w:cs="Sylfaen"/>
          <w:szCs w:val="22"/>
          <w:lang w:val="en-US" w:eastAsia="en-US"/>
        </w:rPr>
        <w:t>նախորդ</w:t>
      </w:r>
      <w:r w:rsidRPr="00961B35">
        <w:rPr>
          <w:rFonts w:cs="Sylfaen"/>
          <w:szCs w:val="22"/>
          <w:lang w:val="it-IT" w:eastAsia="en-US"/>
        </w:rPr>
        <w:t xml:space="preserve"> </w:t>
      </w:r>
      <w:r w:rsidRPr="00961B35">
        <w:rPr>
          <w:rFonts w:cs="Sylfaen"/>
          <w:szCs w:val="22"/>
          <w:lang w:val="en-US" w:eastAsia="en-US"/>
        </w:rPr>
        <w:t>տարվա</w:t>
      </w:r>
      <w:r w:rsidRPr="00961B35">
        <w:rPr>
          <w:rFonts w:cs="Sylfaen"/>
          <w:szCs w:val="22"/>
          <w:lang w:val="it-IT" w:eastAsia="en-US"/>
        </w:rPr>
        <w:t xml:space="preserve"> </w:t>
      </w:r>
      <w:r w:rsidRPr="00961B35">
        <w:rPr>
          <w:rFonts w:cs="Sylfaen"/>
          <w:szCs w:val="22"/>
          <w:lang w:val="en-US" w:eastAsia="en-US"/>
        </w:rPr>
        <w:t>համեմատ</w:t>
      </w:r>
      <w:r w:rsidRPr="00961B35">
        <w:rPr>
          <w:rFonts w:cs="Sylfaen"/>
          <w:szCs w:val="22"/>
          <w:lang w:val="it-IT" w:eastAsia="en-US"/>
        </w:rPr>
        <w:t xml:space="preserve"> </w:t>
      </w:r>
      <w:r w:rsidRPr="00961B35">
        <w:rPr>
          <w:rFonts w:cs="Sylfaen"/>
          <w:szCs w:val="22"/>
          <w:lang w:val="en-US" w:eastAsia="en-US"/>
        </w:rPr>
        <w:t>դանդաղել</w:t>
      </w:r>
      <w:r w:rsidRPr="00961B35">
        <w:rPr>
          <w:rFonts w:cs="Sylfaen"/>
          <w:szCs w:val="22"/>
          <w:lang w:val="it-IT" w:eastAsia="en-US"/>
        </w:rPr>
        <w:t xml:space="preserve"> </w:t>
      </w:r>
      <w:r w:rsidRPr="00961B35">
        <w:rPr>
          <w:rFonts w:cs="Sylfaen"/>
          <w:szCs w:val="22"/>
          <w:lang w:val="en-US" w:eastAsia="en-US"/>
        </w:rPr>
        <w:t>է</w:t>
      </w:r>
      <w:r w:rsidRPr="00961B35">
        <w:rPr>
          <w:rFonts w:cs="Sylfaen"/>
          <w:b w:val="0"/>
          <w:szCs w:val="22"/>
          <w:lang w:val="it-IT" w:eastAsia="en-US"/>
        </w:rPr>
        <w:t xml:space="preserve">: </w:t>
      </w:r>
      <w:r w:rsidRPr="00961B35">
        <w:rPr>
          <w:rFonts w:cs="Sylfaen"/>
          <w:b w:val="0"/>
          <w:szCs w:val="22"/>
          <w:lang w:val="en-US" w:eastAsia="en-US"/>
        </w:rPr>
        <w:t>Սպառման</w:t>
      </w:r>
      <w:r w:rsidRPr="00961B35">
        <w:rPr>
          <w:rFonts w:cs="Sylfaen"/>
          <w:b w:val="0"/>
          <w:szCs w:val="22"/>
          <w:lang w:val="it-IT" w:eastAsia="en-US"/>
        </w:rPr>
        <w:t xml:space="preserve"> </w:t>
      </w:r>
      <w:r w:rsidRPr="00961B35">
        <w:rPr>
          <w:rFonts w:cs="Sylfaen"/>
          <w:b w:val="0"/>
          <w:szCs w:val="22"/>
          <w:lang w:val="hy-AM" w:eastAsia="en-US"/>
        </w:rPr>
        <w:t>5</w:t>
      </w:r>
      <w:r w:rsidRPr="00961B35">
        <w:rPr>
          <w:rFonts w:cs="Sylfaen"/>
          <w:b w:val="0"/>
          <w:szCs w:val="22"/>
          <w:lang w:val="it-IT" w:eastAsia="en-US"/>
        </w:rPr>
        <w:t>.</w:t>
      </w:r>
      <w:r w:rsidRPr="00961B35">
        <w:rPr>
          <w:rFonts w:cs="Sylfaen"/>
          <w:b w:val="0"/>
          <w:szCs w:val="22"/>
          <w:lang w:val="hy-AM" w:eastAsia="en-US"/>
        </w:rPr>
        <w:t>1</w:t>
      </w:r>
      <w:r w:rsidRPr="00961B35">
        <w:rPr>
          <w:rFonts w:cs="Sylfaen"/>
          <w:b w:val="0"/>
          <w:szCs w:val="22"/>
          <w:lang w:val="it-IT" w:eastAsia="en-US"/>
        </w:rPr>
        <w:t xml:space="preserve">% </w:t>
      </w:r>
      <w:r w:rsidRPr="00961B35">
        <w:rPr>
          <w:rFonts w:cs="Sylfaen"/>
          <w:b w:val="0"/>
          <w:szCs w:val="22"/>
          <w:lang w:val="hy-AM" w:eastAsia="en-US"/>
        </w:rPr>
        <w:t>աճը</w:t>
      </w:r>
      <w:r w:rsidRPr="00961B35">
        <w:rPr>
          <w:rFonts w:cs="Sylfaen"/>
          <w:b w:val="0"/>
          <w:szCs w:val="22"/>
          <w:lang w:val="it-IT" w:eastAsia="en-US"/>
        </w:rPr>
        <w:t xml:space="preserve"> </w:t>
      </w:r>
      <w:r w:rsidRPr="00961B35">
        <w:rPr>
          <w:rFonts w:cs="Sylfaen"/>
          <w:b w:val="0"/>
          <w:szCs w:val="22"/>
          <w:lang w:val="hy-AM" w:eastAsia="en-US"/>
        </w:rPr>
        <w:t>պայմանավորված</w:t>
      </w:r>
      <w:r w:rsidRPr="00961B35">
        <w:rPr>
          <w:rFonts w:cs="Sylfaen"/>
          <w:b w:val="0"/>
          <w:szCs w:val="22"/>
          <w:lang w:val="it-IT" w:eastAsia="en-US"/>
        </w:rPr>
        <w:t xml:space="preserve"> </w:t>
      </w:r>
      <w:r w:rsidRPr="00961B35">
        <w:rPr>
          <w:rFonts w:cs="Sylfaen"/>
          <w:b w:val="0"/>
          <w:szCs w:val="22"/>
          <w:lang w:val="hy-AM" w:eastAsia="en-US"/>
        </w:rPr>
        <w:t>է</w:t>
      </w:r>
      <w:r w:rsidRPr="00961B35">
        <w:rPr>
          <w:rFonts w:cs="Sylfaen"/>
          <w:b w:val="0"/>
          <w:szCs w:val="22"/>
          <w:lang w:val="it-IT" w:eastAsia="en-US"/>
        </w:rPr>
        <w:t xml:space="preserve"> եղել</w:t>
      </w:r>
      <w:r w:rsidRPr="00961B35">
        <w:rPr>
          <w:rFonts w:cs="Sylfaen"/>
          <w:b w:val="0"/>
          <w:szCs w:val="22"/>
          <w:lang w:val="hy-AM" w:eastAsia="en-US"/>
        </w:rPr>
        <w:t xml:space="preserve"> </w:t>
      </w:r>
      <w:r w:rsidRPr="00961B35">
        <w:rPr>
          <w:rFonts w:cs="Sylfaen"/>
          <w:b w:val="0"/>
          <w:szCs w:val="22"/>
          <w:lang w:val="it-IT" w:eastAsia="en-US"/>
        </w:rPr>
        <w:t>հի</w:t>
      </w:r>
      <w:r w:rsidRPr="00961B35">
        <w:rPr>
          <w:rFonts w:cs="Sylfaen"/>
          <w:b w:val="0"/>
          <w:szCs w:val="22"/>
          <w:lang w:val="hy-AM" w:eastAsia="en-US"/>
        </w:rPr>
        <w:t>մնականում</w:t>
      </w:r>
      <w:r w:rsidRPr="00961B35">
        <w:rPr>
          <w:rFonts w:cs="Sylfaen"/>
          <w:b w:val="0"/>
          <w:szCs w:val="22"/>
          <w:lang w:val="it-IT" w:eastAsia="en-US"/>
        </w:rPr>
        <w:t xml:space="preserve"> մասնավոր սպառման </w:t>
      </w:r>
      <w:r w:rsidRPr="00961B35">
        <w:rPr>
          <w:b w:val="0"/>
          <w:szCs w:val="22"/>
          <w:lang w:val="it-IT" w:eastAsia="en-US"/>
        </w:rPr>
        <w:t xml:space="preserve">4.8% </w:t>
      </w:r>
      <w:r w:rsidRPr="00961B35">
        <w:rPr>
          <w:rFonts w:cs="Sylfaen"/>
          <w:b w:val="0"/>
          <w:szCs w:val="22"/>
          <w:lang w:val="it-IT" w:eastAsia="en-US"/>
        </w:rPr>
        <w:t>աճով</w:t>
      </w:r>
      <w:r w:rsidRPr="00961B35">
        <w:rPr>
          <w:rFonts w:cs="Sylfaen"/>
          <w:b w:val="0"/>
          <w:szCs w:val="22"/>
          <w:lang w:val="hy-AM" w:eastAsia="en-US"/>
        </w:rPr>
        <w:t xml:space="preserve"> (նպաստումը՝ 4.1 տոկոսային կետ</w:t>
      </w:r>
      <w:r w:rsidRPr="00961B35">
        <w:rPr>
          <w:b w:val="0"/>
          <w:szCs w:val="22"/>
          <w:lang w:val="it-IT" w:eastAsia="en-US"/>
        </w:rPr>
        <w:t>): Պ</w:t>
      </w:r>
      <w:r w:rsidRPr="00961B35">
        <w:rPr>
          <w:b w:val="0"/>
          <w:szCs w:val="22"/>
          <w:lang w:val="hy-AM" w:eastAsia="en-US"/>
        </w:rPr>
        <w:t xml:space="preserve">ետական սպառումը նույնպես նպաստել է վերջնական սպառման աճին՝ աճելով </w:t>
      </w:r>
      <w:r w:rsidRPr="00961B35">
        <w:rPr>
          <w:b w:val="0"/>
          <w:szCs w:val="22"/>
          <w:lang w:val="it-IT" w:eastAsia="en-US"/>
        </w:rPr>
        <w:t>7.4%-</w:t>
      </w:r>
      <w:r w:rsidRPr="00961B35">
        <w:rPr>
          <w:b w:val="0"/>
          <w:szCs w:val="22"/>
          <w:lang w:val="hy-AM" w:eastAsia="en-US"/>
        </w:rPr>
        <w:t xml:space="preserve">ով </w:t>
      </w:r>
      <w:r w:rsidRPr="00961B35">
        <w:rPr>
          <w:rFonts w:cs="Sylfaen"/>
          <w:b w:val="0"/>
          <w:szCs w:val="22"/>
          <w:lang w:val="hy-AM" w:eastAsia="en-US"/>
        </w:rPr>
        <w:t>(նպաստումը՝ 1.0 տոկոսային կետ</w:t>
      </w:r>
      <w:r w:rsidRPr="00961B35">
        <w:rPr>
          <w:b w:val="0"/>
          <w:szCs w:val="22"/>
          <w:lang w:val="it-IT" w:eastAsia="en-US"/>
        </w:rPr>
        <w:t>)</w:t>
      </w:r>
      <w:r w:rsidRPr="00961B35">
        <w:rPr>
          <w:b w:val="0"/>
          <w:szCs w:val="22"/>
          <w:lang w:val="hy-AM" w:eastAsia="en-US"/>
        </w:rPr>
        <w:t>։</w:t>
      </w:r>
    </w:p>
    <w:p w:rsidR="00961B35" w:rsidRPr="00961B35" w:rsidRDefault="00961B35" w:rsidP="00961B35">
      <w:pPr>
        <w:tabs>
          <w:tab w:val="num" w:pos="720"/>
        </w:tabs>
        <w:spacing w:before="0"/>
        <w:ind w:firstLine="450"/>
        <w:contextualSpacing w:val="0"/>
        <w:rPr>
          <w:rFonts w:cs="Sylfaen"/>
          <w:b w:val="0"/>
          <w:szCs w:val="22"/>
          <w:highlight w:val="yellow"/>
          <w:lang w:val="it-IT" w:eastAsia="en-US"/>
        </w:rPr>
      </w:pPr>
      <w:r w:rsidRPr="00961B35">
        <w:rPr>
          <w:rFonts w:cs="Sylfaen"/>
          <w:szCs w:val="22"/>
          <w:lang w:val="it-IT" w:eastAsia="en-US"/>
        </w:rPr>
        <w:t>2019 թվականի հունվար-հունիսին վերջնական սպառում</w:t>
      </w:r>
      <w:r w:rsidRPr="00961B35">
        <w:rPr>
          <w:rFonts w:cs="Sylfaen"/>
          <w:szCs w:val="22"/>
          <w:lang w:val="hy-AM" w:eastAsia="en-US"/>
        </w:rPr>
        <w:t>ն</w:t>
      </w:r>
      <w:r w:rsidRPr="00961B35">
        <w:rPr>
          <w:rFonts w:cs="Sylfaen"/>
          <w:szCs w:val="22"/>
          <w:lang w:val="it-IT" w:eastAsia="en-US"/>
        </w:rPr>
        <w:t xml:space="preserve"> իրական արտահայտությամբ աճել է 11.</w:t>
      </w:r>
      <w:r w:rsidRPr="00961B35">
        <w:rPr>
          <w:rFonts w:cs="Sylfaen"/>
          <w:szCs w:val="22"/>
          <w:lang w:val="hy-AM" w:eastAsia="en-US"/>
        </w:rPr>
        <w:t>2</w:t>
      </w:r>
      <w:r w:rsidRPr="00961B35">
        <w:rPr>
          <w:rFonts w:cs="Sylfaen"/>
          <w:szCs w:val="22"/>
          <w:lang w:val="it-IT" w:eastAsia="en-US"/>
        </w:rPr>
        <w:t>%</w:t>
      </w:r>
      <w:r w:rsidRPr="00961B35">
        <w:rPr>
          <w:rFonts w:cs="Sylfaen"/>
          <w:b w:val="0"/>
          <w:szCs w:val="22"/>
          <w:lang w:val="it-IT" w:eastAsia="en-US"/>
        </w:rPr>
        <w:t>-</w:t>
      </w:r>
      <w:r w:rsidRPr="00961B35">
        <w:rPr>
          <w:rFonts w:cs="Sylfaen"/>
          <w:szCs w:val="22"/>
          <w:lang w:val="it-IT" w:eastAsia="en-US"/>
        </w:rPr>
        <w:t>ով:</w:t>
      </w:r>
      <w:r w:rsidRPr="00961B35">
        <w:rPr>
          <w:rFonts w:cs="Sylfaen"/>
          <w:b w:val="0"/>
          <w:szCs w:val="22"/>
          <w:lang w:val="it-IT" w:eastAsia="en-US"/>
        </w:rPr>
        <w:t xml:space="preserve"> 201</w:t>
      </w:r>
      <w:r w:rsidRPr="00961B35">
        <w:rPr>
          <w:rFonts w:cs="Sylfaen"/>
          <w:b w:val="0"/>
          <w:szCs w:val="22"/>
          <w:lang w:val="hy-AM" w:eastAsia="en-US"/>
        </w:rPr>
        <w:t>9</w:t>
      </w:r>
      <w:r w:rsidRPr="00961B35">
        <w:rPr>
          <w:rFonts w:cs="Sylfaen"/>
          <w:b w:val="0"/>
          <w:szCs w:val="22"/>
          <w:lang w:val="it-IT" w:eastAsia="en-US"/>
        </w:rPr>
        <w:t xml:space="preserve"> թվականի առաջին կիսամյակում բնակչության տնօրինվող եկամտի աճի և </w:t>
      </w:r>
      <w:r w:rsidRPr="00961B35">
        <w:rPr>
          <w:rFonts w:cs="Sylfaen"/>
          <w:b w:val="0"/>
          <w:szCs w:val="22"/>
          <w:lang w:val="hy-AM" w:eastAsia="en-US"/>
        </w:rPr>
        <w:t xml:space="preserve">վարկավորման բարձր ծավալների պայմաններում </w:t>
      </w:r>
      <w:r w:rsidRPr="00961B35">
        <w:rPr>
          <w:rFonts w:cs="Sylfaen"/>
          <w:b w:val="0"/>
          <w:szCs w:val="22"/>
          <w:lang w:val="it-IT" w:eastAsia="en-US"/>
        </w:rPr>
        <w:t xml:space="preserve">մասնավոր սպառումն իրական արտահայտությամբ աճել է </w:t>
      </w:r>
      <w:r w:rsidRPr="00961B35">
        <w:rPr>
          <w:rFonts w:cs="Sylfaen"/>
          <w:b w:val="0"/>
          <w:szCs w:val="22"/>
          <w:lang w:val="hy-AM" w:eastAsia="en-US"/>
        </w:rPr>
        <w:t>1</w:t>
      </w:r>
      <w:r w:rsidRPr="00961B35">
        <w:rPr>
          <w:rFonts w:cs="Sylfaen"/>
          <w:b w:val="0"/>
          <w:szCs w:val="22"/>
          <w:lang w:val="it-IT" w:eastAsia="en-US"/>
        </w:rPr>
        <w:t>4.</w:t>
      </w:r>
      <w:r w:rsidRPr="00961B35">
        <w:rPr>
          <w:rFonts w:cs="Sylfaen"/>
          <w:b w:val="0"/>
          <w:szCs w:val="22"/>
          <w:lang w:val="hy-AM" w:eastAsia="en-US"/>
        </w:rPr>
        <w:t>0</w:t>
      </w:r>
      <w:r w:rsidRPr="00961B35">
        <w:rPr>
          <w:rFonts w:cs="Sylfaen"/>
          <w:b w:val="0"/>
          <w:szCs w:val="22"/>
          <w:lang w:val="it-IT" w:eastAsia="en-US"/>
        </w:rPr>
        <w:t>%-ով</w:t>
      </w:r>
      <w:r w:rsidRPr="00961B35">
        <w:rPr>
          <w:rFonts w:cs="Sylfaen"/>
          <w:b w:val="0"/>
          <w:szCs w:val="22"/>
          <w:lang w:val="hy-AM" w:eastAsia="en-US"/>
        </w:rPr>
        <w:t>՝ վերջնական սպառման աճին նպաստելով 11.9 տոկոսային կետով</w:t>
      </w:r>
      <w:r w:rsidRPr="00961B35">
        <w:rPr>
          <w:rFonts w:cs="Sylfaen"/>
          <w:b w:val="0"/>
          <w:szCs w:val="22"/>
          <w:lang w:val="hy-AM" w:eastAsia="en-US"/>
        </w:rPr>
        <w:tab/>
      </w:r>
      <w:r w:rsidRPr="00961B35">
        <w:rPr>
          <w:rFonts w:cs="Sylfaen"/>
          <w:b w:val="0"/>
          <w:szCs w:val="22"/>
          <w:lang w:val="it-IT" w:eastAsia="en-US"/>
        </w:rPr>
        <w:t xml:space="preserve">: Նույն ժամանակահատվածում պետական սպառումը նվազել է </w:t>
      </w:r>
      <w:r w:rsidRPr="00961B35">
        <w:rPr>
          <w:rFonts w:cs="Sylfaen"/>
          <w:b w:val="0"/>
          <w:szCs w:val="22"/>
          <w:lang w:val="hy-AM" w:eastAsia="en-US"/>
        </w:rPr>
        <w:t>5</w:t>
      </w:r>
      <w:r w:rsidRPr="00961B35">
        <w:rPr>
          <w:rFonts w:cs="Sylfaen"/>
          <w:b w:val="0"/>
          <w:szCs w:val="22"/>
          <w:lang w:val="it-IT" w:eastAsia="en-US"/>
        </w:rPr>
        <w:t>.</w:t>
      </w:r>
      <w:r w:rsidRPr="00961B35">
        <w:rPr>
          <w:rFonts w:cs="Sylfaen"/>
          <w:b w:val="0"/>
          <w:szCs w:val="22"/>
          <w:lang w:val="hy-AM" w:eastAsia="en-US"/>
        </w:rPr>
        <w:t>8</w:t>
      </w:r>
      <w:r w:rsidRPr="00961B35">
        <w:rPr>
          <w:rFonts w:cs="Sylfaen"/>
          <w:b w:val="0"/>
          <w:szCs w:val="22"/>
          <w:lang w:val="it-IT" w:eastAsia="en-US"/>
        </w:rPr>
        <w:t>%-ով</w:t>
      </w:r>
      <w:r w:rsidRPr="00961B35">
        <w:rPr>
          <w:rFonts w:cs="Sylfaen"/>
          <w:b w:val="0"/>
          <w:szCs w:val="22"/>
          <w:lang w:val="hy-AM" w:eastAsia="en-US"/>
        </w:rPr>
        <w:t xml:space="preserve"> (նպաստումը՝ -0.7 տոկոսային կետ)</w:t>
      </w:r>
      <w:r w:rsidRPr="00961B35">
        <w:rPr>
          <w:rFonts w:cs="Sylfaen"/>
          <w:b w:val="0"/>
          <w:szCs w:val="22"/>
          <w:lang w:val="it-IT" w:eastAsia="en-US"/>
        </w:rPr>
        <w:t xml:space="preserve">՝ պայմանավորված պետական պարտքի կայունացմանն ուղղված զսպող հարկաբյուջետային քաղաքականությամբ: </w:t>
      </w:r>
    </w:p>
    <w:p w:rsidR="00961B35" w:rsidRPr="00961B35" w:rsidRDefault="00961B35" w:rsidP="00961B35">
      <w:pPr>
        <w:tabs>
          <w:tab w:val="num" w:pos="720"/>
        </w:tabs>
        <w:spacing w:before="0"/>
        <w:ind w:firstLine="450"/>
        <w:contextualSpacing w:val="0"/>
        <w:rPr>
          <w:rFonts w:cs="Sylfaen"/>
          <w:szCs w:val="22"/>
          <w:lang w:val="it-IT" w:eastAsia="en-US"/>
        </w:rPr>
      </w:pPr>
      <w:r w:rsidRPr="00961B35">
        <w:rPr>
          <w:rFonts w:cs="Sylfaen"/>
          <w:szCs w:val="22"/>
          <w:lang w:eastAsia="en-US"/>
        </w:rPr>
        <w:lastRenderedPageBreak/>
        <w:t>Կանխատեսում</w:t>
      </w:r>
      <w:r w:rsidRPr="00961B35">
        <w:rPr>
          <w:rFonts w:cs="Sylfaen"/>
          <w:szCs w:val="22"/>
          <w:lang w:val="it-IT" w:eastAsia="en-US"/>
        </w:rPr>
        <w:t xml:space="preserve">. 2019-2020 թվականներին կանխատեսվում է վերջնական սպառման աճ: </w:t>
      </w:r>
      <w:r w:rsidRPr="00961B35">
        <w:rPr>
          <w:rFonts w:cs="Sylfaen"/>
          <w:b w:val="0"/>
          <w:szCs w:val="22"/>
          <w:lang w:val="it-IT" w:eastAsia="en-US"/>
        </w:rPr>
        <w:t xml:space="preserve">2019 թվականին ակնկալվում է </w:t>
      </w:r>
      <w:r w:rsidRPr="00961B35">
        <w:rPr>
          <w:rFonts w:cs="Sylfaen"/>
          <w:b w:val="0"/>
          <w:szCs w:val="22"/>
          <w:lang w:val="en-US" w:eastAsia="en-US"/>
        </w:rPr>
        <w:t>սպառման</w:t>
      </w:r>
      <w:r w:rsidRPr="00961B35">
        <w:rPr>
          <w:rFonts w:cs="Sylfaen"/>
          <w:b w:val="0"/>
          <w:szCs w:val="22"/>
          <w:lang w:val="it-IT" w:eastAsia="en-US"/>
        </w:rPr>
        <w:t xml:space="preserve"> 7.</w:t>
      </w:r>
      <w:r w:rsidRPr="00961B35">
        <w:rPr>
          <w:rFonts w:cs="Sylfaen"/>
          <w:b w:val="0"/>
          <w:szCs w:val="22"/>
          <w:lang w:val="hy-AM" w:eastAsia="en-US"/>
        </w:rPr>
        <w:t>6</w:t>
      </w:r>
      <w:r w:rsidRPr="00961B35">
        <w:rPr>
          <w:rFonts w:cs="Sylfaen"/>
          <w:b w:val="0"/>
          <w:szCs w:val="22"/>
          <w:lang w:val="it-IT" w:eastAsia="en-US"/>
        </w:rPr>
        <w:t xml:space="preserve">% իրական </w:t>
      </w:r>
      <w:r w:rsidRPr="00961B35">
        <w:rPr>
          <w:rFonts w:cs="Sylfaen"/>
          <w:b w:val="0"/>
          <w:szCs w:val="22"/>
          <w:lang w:val="hy-AM" w:eastAsia="en-US"/>
        </w:rPr>
        <w:t>աճ՝</w:t>
      </w:r>
      <w:r w:rsidRPr="00961B35">
        <w:rPr>
          <w:rFonts w:cs="Sylfaen"/>
          <w:b w:val="0"/>
          <w:szCs w:val="22"/>
          <w:lang w:val="it-IT" w:eastAsia="en-US"/>
        </w:rPr>
        <w:t xml:space="preserve"> պայմանավորված </w:t>
      </w:r>
      <w:r w:rsidRPr="00961B35">
        <w:rPr>
          <w:rFonts w:cs="Sylfaen"/>
          <w:b w:val="0"/>
          <w:szCs w:val="22"/>
          <w:lang w:val="hy-AM" w:eastAsia="en-US"/>
        </w:rPr>
        <w:t>ինչպես</w:t>
      </w:r>
      <w:r w:rsidRPr="00961B35">
        <w:rPr>
          <w:rFonts w:cs="Sylfaen"/>
          <w:b w:val="0"/>
          <w:szCs w:val="22"/>
          <w:lang w:val="it-IT" w:eastAsia="en-US"/>
        </w:rPr>
        <w:t xml:space="preserve"> մասնավոր</w:t>
      </w:r>
      <w:r w:rsidRPr="00961B35">
        <w:rPr>
          <w:rFonts w:cs="Sylfaen"/>
          <w:b w:val="0"/>
          <w:szCs w:val="22"/>
          <w:lang w:val="hy-AM" w:eastAsia="en-US"/>
        </w:rPr>
        <w:t>, այնպես էլ պետական</w:t>
      </w:r>
      <w:r w:rsidRPr="00961B35">
        <w:rPr>
          <w:rFonts w:cs="Sylfaen"/>
          <w:b w:val="0"/>
          <w:szCs w:val="22"/>
          <w:lang w:val="it-IT" w:eastAsia="en-US"/>
        </w:rPr>
        <w:t xml:space="preserve"> սպառման աճ</w:t>
      </w:r>
      <w:r w:rsidRPr="00961B35">
        <w:rPr>
          <w:rFonts w:cs="Sylfaen"/>
          <w:b w:val="0"/>
          <w:szCs w:val="22"/>
          <w:lang w:val="hy-AM" w:eastAsia="en-US"/>
        </w:rPr>
        <w:t>եր</w:t>
      </w:r>
      <w:r w:rsidRPr="00961B35">
        <w:rPr>
          <w:rFonts w:cs="Sylfaen"/>
          <w:b w:val="0"/>
          <w:szCs w:val="22"/>
          <w:lang w:val="it-IT" w:eastAsia="en-US"/>
        </w:rPr>
        <w:t xml:space="preserve">ով: </w:t>
      </w:r>
      <w:r w:rsidRPr="00961B35">
        <w:rPr>
          <w:rFonts w:cs="Sylfaen"/>
          <w:b w:val="0"/>
          <w:szCs w:val="22"/>
          <w:lang w:val="hy-AM" w:eastAsia="en-US"/>
        </w:rPr>
        <w:t>2020 թվականին</w:t>
      </w:r>
      <w:r w:rsidRPr="00961B35">
        <w:rPr>
          <w:rFonts w:cs="Sylfaen"/>
          <w:b w:val="0"/>
          <w:szCs w:val="22"/>
          <w:lang w:val="it-IT" w:eastAsia="en-US"/>
        </w:rPr>
        <w:t xml:space="preserve"> վերջնական սպառմ</w:t>
      </w:r>
      <w:r w:rsidRPr="00961B35">
        <w:rPr>
          <w:rFonts w:cs="Sylfaen"/>
          <w:b w:val="0"/>
          <w:szCs w:val="22"/>
          <w:lang w:val="hy-AM" w:eastAsia="en-US"/>
        </w:rPr>
        <w:t>ան</w:t>
      </w:r>
      <w:r w:rsidRPr="00961B35">
        <w:rPr>
          <w:rFonts w:cs="Sylfaen"/>
          <w:b w:val="0"/>
          <w:szCs w:val="22"/>
          <w:lang w:val="it-IT" w:eastAsia="en-US"/>
        </w:rPr>
        <w:t xml:space="preserve"> աճ</w:t>
      </w:r>
      <w:r w:rsidRPr="00961B35">
        <w:rPr>
          <w:rFonts w:cs="Sylfaen"/>
          <w:b w:val="0"/>
          <w:szCs w:val="22"/>
          <w:lang w:val="hy-AM" w:eastAsia="en-US"/>
        </w:rPr>
        <w:t>ը կկազմի</w:t>
      </w:r>
      <w:r w:rsidRPr="00961B35">
        <w:rPr>
          <w:rFonts w:cs="Sylfaen"/>
          <w:b w:val="0"/>
          <w:szCs w:val="22"/>
          <w:lang w:val="it-IT" w:eastAsia="en-US"/>
        </w:rPr>
        <w:t xml:space="preserve"> </w:t>
      </w:r>
      <w:r w:rsidRPr="00961B35">
        <w:rPr>
          <w:rFonts w:cs="Sylfaen"/>
          <w:b w:val="0"/>
          <w:szCs w:val="22"/>
          <w:lang w:val="hy-AM" w:eastAsia="en-US"/>
        </w:rPr>
        <w:t>4.8</w:t>
      </w:r>
      <w:r w:rsidRPr="00961B35">
        <w:rPr>
          <w:rFonts w:cs="Sylfaen"/>
          <w:b w:val="0"/>
          <w:szCs w:val="22"/>
          <w:lang w:val="it-IT" w:eastAsia="en-US"/>
        </w:rPr>
        <w:t>%</w:t>
      </w:r>
      <w:r w:rsidRPr="00961B35">
        <w:rPr>
          <w:rFonts w:cs="Sylfaen"/>
          <w:b w:val="0"/>
          <w:szCs w:val="22"/>
          <w:lang w:val="hy-AM" w:eastAsia="en-US"/>
        </w:rPr>
        <w:t>, որը պայմանավորված կլինի մասնավոր սպառման աճով</w:t>
      </w:r>
      <w:r w:rsidRPr="00961B35">
        <w:rPr>
          <w:rFonts w:cs="Sylfaen"/>
          <w:b w:val="0"/>
          <w:szCs w:val="22"/>
          <w:lang w:val="it-IT" w:eastAsia="en-US"/>
        </w:rPr>
        <w:t xml:space="preserve">: </w:t>
      </w:r>
    </w:p>
    <w:p w:rsidR="00961B35" w:rsidRPr="00961B35" w:rsidRDefault="00961B35" w:rsidP="00961B35">
      <w:pPr>
        <w:spacing w:before="0"/>
        <w:ind w:firstLine="450"/>
        <w:contextualSpacing w:val="0"/>
        <w:rPr>
          <w:rFonts w:cs="Sylfaen"/>
          <w:szCs w:val="22"/>
          <w:highlight w:val="yellow"/>
          <w:lang w:val="it-IT" w:eastAsia="en-US"/>
        </w:rPr>
      </w:pPr>
    </w:p>
    <w:p w:rsidR="00961B35" w:rsidRPr="00961B35" w:rsidRDefault="00961B35" w:rsidP="00961B35">
      <w:pPr>
        <w:spacing w:before="0"/>
        <w:ind w:firstLine="450"/>
        <w:contextualSpacing w:val="0"/>
        <w:rPr>
          <w:rFonts w:cs="Sylfaen"/>
          <w:szCs w:val="22"/>
          <w:lang w:val="it-IT" w:eastAsia="en-US"/>
        </w:rPr>
      </w:pPr>
      <w:r w:rsidRPr="00961B35">
        <w:rPr>
          <w:rFonts w:cs="Sylfaen"/>
          <w:szCs w:val="22"/>
          <w:lang w:val="it-IT" w:eastAsia="en-US"/>
        </w:rPr>
        <w:t xml:space="preserve">1.3.2. </w:t>
      </w:r>
      <w:r w:rsidRPr="00961B35">
        <w:rPr>
          <w:rFonts w:cs="Sylfaen"/>
          <w:szCs w:val="22"/>
          <w:lang w:eastAsia="en-US"/>
        </w:rPr>
        <w:t>Կապիտալ</w:t>
      </w:r>
      <w:r w:rsidRPr="00961B35">
        <w:rPr>
          <w:rFonts w:cs="Sylfaen"/>
          <w:szCs w:val="22"/>
          <w:lang w:val="it-IT" w:eastAsia="en-US"/>
        </w:rPr>
        <w:t xml:space="preserve"> </w:t>
      </w:r>
      <w:r w:rsidRPr="00961B35">
        <w:rPr>
          <w:rFonts w:cs="Sylfaen"/>
          <w:szCs w:val="22"/>
          <w:lang w:eastAsia="en-US"/>
        </w:rPr>
        <w:t>ներդրումներ</w:t>
      </w:r>
    </w:p>
    <w:p w:rsidR="00961B35" w:rsidRPr="00961B35" w:rsidRDefault="00961B35" w:rsidP="00961B35">
      <w:pPr>
        <w:spacing w:before="0"/>
        <w:ind w:firstLine="450"/>
        <w:contextualSpacing w:val="0"/>
        <w:rPr>
          <w:rFonts w:cs="Sylfaen"/>
          <w:b w:val="0"/>
          <w:szCs w:val="22"/>
          <w:highlight w:val="yellow"/>
          <w:lang w:val="it-IT" w:eastAsia="en-US"/>
        </w:rPr>
      </w:pPr>
      <w:r w:rsidRPr="00961B35">
        <w:rPr>
          <w:rFonts w:cs="Sylfaen"/>
          <w:szCs w:val="22"/>
          <w:lang w:val="it-IT" w:eastAsia="en-US"/>
        </w:rPr>
        <w:t xml:space="preserve">2018 </w:t>
      </w:r>
      <w:r w:rsidRPr="00961B35">
        <w:rPr>
          <w:rFonts w:cs="Sylfaen"/>
          <w:szCs w:val="22"/>
          <w:lang w:val="en-US" w:eastAsia="en-US"/>
        </w:rPr>
        <w:t>թվականին</w:t>
      </w:r>
      <w:r w:rsidRPr="00961B35">
        <w:rPr>
          <w:rFonts w:cs="Sylfaen"/>
          <w:szCs w:val="22"/>
          <w:lang w:val="it-IT" w:eastAsia="en-US"/>
        </w:rPr>
        <w:t xml:space="preserve"> </w:t>
      </w:r>
      <w:r w:rsidRPr="00961B35">
        <w:rPr>
          <w:rFonts w:cs="Sylfaen"/>
          <w:szCs w:val="22"/>
          <w:lang w:val="en-US" w:eastAsia="en-US"/>
        </w:rPr>
        <w:t>կապիտալ</w:t>
      </w:r>
      <w:r w:rsidRPr="00961B35">
        <w:rPr>
          <w:rFonts w:cs="Sylfaen"/>
          <w:szCs w:val="22"/>
          <w:lang w:val="it-IT" w:eastAsia="en-US"/>
        </w:rPr>
        <w:t xml:space="preserve"> </w:t>
      </w:r>
      <w:r w:rsidRPr="00961B35">
        <w:rPr>
          <w:rFonts w:cs="Sylfaen"/>
          <w:szCs w:val="22"/>
          <w:lang w:val="en-US" w:eastAsia="en-US"/>
        </w:rPr>
        <w:t>ներդրումներ</w:t>
      </w:r>
      <w:r w:rsidRPr="00961B35">
        <w:rPr>
          <w:rFonts w:cs="Sylfaen"/>
          <w:szCs w:val="22"/>
          <w:lang w:val="hy-AM" w:eastAsia="en-US"/>
        </w:rPr>
        <w:t>ի</w:t>
      </w:r>
      <w:r w:rsidRPr="00961B35">
        <w:rPr>
          <w:rFonts w:cs="Sylfaen"/>
          <w:szCs w:val="22"/>
          <w:lang w:val="it-IT" w:eastAsia="en-US"/>
        </w:rPr>
        <w:t xml:space="preserve"> </w:t>
      </w:r>
      <w:r w:rsidRPr="00961B35">
        <w:rPr>
          <w:rFonts w:cs="Sylfaen"/>
          <w:szCs w:val="22"/>
          <w:lang w:val="hy-AM" w:eastAsia="en-US"/>
        </w:rPr>
        <w:t>աճի միտումներ</w:t>
      </w:r>
      <w:r w:rsidRPr="00961B35">
        <w:rPr>
          <w:rFonts w:cs="Sylfaen"/>
          <w:szCs w:val="22"/>
          <w:lang w:val="en-US" w:eastAsia="en-US"/>
        </w:rPr>
        <w:t>ն</w:t>
      </w:r>
      <w:r w:rsidRPr="00961B35">
        <w:rPr>
          <w:rFonts w:cs="Sylfaen"/>
          <w:szCs w:val="22"/>
          <w:lang w:val="hy-AM" w:eastAsia="en-US"/>
        </w:rPr>
        <w:t xml:space="preserve"> արագաց</w:t>
      </w:r>
      <w:r w:rsidRPr="00961B35">
        <w:rPr>
          <w:rFonts w:cs="Sylfaen"/>
          <w:szCs w:val="22"/>
          <w:lang w:val="en-US" w:eastAsia="en-US"/>
        </w:rPr>
        <w:t>ել</w:t>
      </w:r>
      <w:r w:rsidRPr="00961B35">
        <w:rPr>
          <w:rFonts w:cs="Sylfaen"/>
          <w:szCs w:val="22"/>
          <w:lang w:val="it-IT" w:eastAsia="en-US"/>
        </w:rPr>
        <w:t xml:space="preserve"> </w:t>
      </w:r>
      <w:r w:rsidRPr="00961B35">
        <w:rPr>
          <w:rFonts w:cs="Sylfaen"/>
          <w:szCs w:val="22"/>
          <w:lang w:val="en-US" w:eastAsia="en-US"/>
        </w:rPr>
        <w:t>են</w:t>
      </w:r>
      <w:r w:rsidRPr="00961B35">
        <w:rPr>
          <w:rFonts w:cs="Sylfaen"/>
          <w:szCs w:val="22"/>
          <w:lang w:val="it-IT" w:eastAsia="en-US"/>
        </w:rPr>
        <w:t>:</w:t>
      </w:r>
      <w:r w:rsidRPr="00961B35">
        <w:rPr>
          <w:rFonts w:cs="Sylfaen"/>
          <w:b w:val="0"/>
          <w:szCs w:val="22"/>
          <w:lang w:val="it-IT" w:eastAsia="en-US"/>
        </w:rPr>
        <w:t xml:space="preserve"> 201</w:t>
      </w:r>
      <w:r w:rsidRPr="00961B35">
        <w:rPr>
          <w:rFonts w:cs="Sylfaen"/>
          <w:b w:val="0"/>
          <w:szCs w:val="22"/>
          <w:lang w:val="hy-AM" w:eastAsia="en-US"/>
        </w:rPr>
        <w:t>8</w:t>
      </w:r>
      <w:r w:rsidRPr="00961B35">
        <w:rPr>
          <w:rFonts w:cs="Sylfaen"/>
          <w:b w:val="0"/>
          <w:szCs w:val="22"/>
          <w:lang w:val="it-IT" w:eastAsia="en-US"/>
        </w:rPr>
        <w:t xml:space="preserve"> թվականին կապիտալ ներդրումներն աճել են 26.8%-ով, ինչը պայմանավորված է եղել մասնավոր ներդրումների 31.1% աճով: Միևնույն ժամանակ պետական ներդրումներն աճել են 2.4%-ով։ Անհրաժեշտ է նկատել նաև, որ 2018 թվականի կապիտալ ներդրումների զգալի աճը պայմանավորված է եղել նյութական</w:t>
      </w:r>
      <w:r w:rsidRPr="00961B35">
        <w:rPr>
          <w:b w:val="0"/>
          <w:szCs w:val="22"/>
          <w:lang w:val="hy-AM" w:eastAsia="en-US"/>
        </w:rPr>
        <w:t xml:space="preserve"> շրջանառու միջոցների պաշարների զգալի</w:t>
      </w:r>
      <w:r w:rsidRPr="00961B35">
        <w:rPr>
          <w:rFonts w:cs="Sylfaen"/>
          <w:b w:val="0"/>
          <w:szCs w:val="22"/>
          <w:lang w:val="hy-AM" w:eastAsia="en-US"/>
        </w:rPr>
        <w:t xml:space="preserve"> աճով: Այնուամենայնիվ </w:t>
      </w:r>
      <w:r w:rsidRPr="00961B35">
        <w:rPr>
          <w:b w:val="0"/>
          <w:szCs w:val="22"/>
          <w:lang w:val="it-IT" w:eastAsia="en-US"/>
        </w:rPr>
        <w:t xml:space="preserve">հիմնական միջոցներում ներդրումները նախորդ տարվա նկատմամբ նույնպես աճել են՝ կազմելով </w:t>
      </w:r>
      <w:r w:rsidRPr="00961B35">
        <w:rPr>
          <w:rFonts w:cs="Sylfaen"/>
          <w:b w:val="0"/>
          <w:szCs w:val="22"/>
          <w:lang w:val="hy-AM" w:eastAsia="en-US"/>
        </w:rPr>
        <w:t xml:space="preserve">4.5%։  </w:t>
      </w:r>
    </w:p>
    <w:p w:rsidR="00961B35" w:rsidRPr="00961B35" w:rsidRDefault="00961B35" w:rsidP="00961B35">
      <w:pPr>
        <w:spacing w:before="0"/>
        <w:ind w:firstLine="450"/>
        <w:contextualSpacing w:val="0"/>
        <w:rPr>
          <w:b w:val="0"/>
          <w:szCs w:val="22"/>
          <w:lang w:val="hy-AM" w:eastAsia="en-US"/>
        </w:rPr>
      </w:pPr>
      <w:r w:rsidRPr="00961B35">
        <w:rPr>
          <w:szCs w:val="22"/>
          <w:lang w:val="it-IT" w:eastAsia="en-US"/>
        </w:rPr>
        <w:t xml:space="preserve">2019 թվականի հունվար-հունիսին </w:t>
      </w:r>
      <w:r w:rsidRPr="00961B35">
        <w:rPr>
          <w:szCs w:val="22"/>
          <w:lang w:val="hy-AM" w:eastAsia="en-US"/>
        </w:rPr>
        <w:t>հիմնական միջոցներ</w:t>
      </w:r>
      <w:r w:rsidRPr="00961B35">
        <w:rPr>
          <w:szCs w:val="22"/>
          <w:lang w:val="en-US" w:eastAsia="en-US"/>
        </w:rPr>
        <w:t>ի</w:t>
      </w:r>
      <w:r w:rsidRPr="00961B35">
        <w:rPr>
          <w:szCs w:val="22"/>
          <w:lang w:val="it-IT" w:eastAsia="en-US"/>
        </w:rPr>
        <w:t xml:space="preserve"> </w:t>
      </w:r>
      <w:r w:rsidRPr="00961B35">
        <w:rPr>
          <w:szCs w:val="22"/>
          <w:lang w:val="en-US" w:eastAsia="en-US"/>
        </w:rPr>
        <w:t>համախառն</w:t>
      </w:r>
      <w:r w:rsidRPr="00961B35">
        <w:rPr>
          <w:szCs w:val="22"/>
          <w:lang w:val="it-IT" w:eastAsia="en-US"/>
        </w:rPr>
        <w:t xml:space="preserve"> </w:t>
      </w:r>
      <w:r w:rsidRPr="00961B35">
        <w:rPr>
          <w:szCs w:val="22"/>
          <w:lang w:val="en-US" w:eastAsia="en-US"/>
        </w:rPr>
        <w:t>կուտակման</w:t>
      </w:r>
      <w:r w:rsidRPr="00961B35">
        <w:rPr>
          <w:szCs w:val="22"/>
          <w:lang w:val="it-IT" w:eastAsia="en-US"/>
        </w:rPr>
        <w:t xml:space="preserve"> </w:t>
      </w:r>
      <w:r w:rsidRPr="00961B35">
        <w:rPr>
          <w:szCs w:val="22"/>
          <w:lang w:val="hy-AM" w:eastAsia="en-US"/>
        </w:rPr>
        <w:t xml:space="preserve">աճի միտումները շարունակվել են։ </w:t>
      </w:r>
      <w:r w:rsidRPr="00961B35">
        <w:rPr>
          <w:b w:val="0"/>
          <w:szCs w:val="22"/>
          <w:lang w:val="hy-AM" w:eastAsia="en-US"/>
        </w:rPr>
        <w:t xml:space="preserve">Չնայած 2019 թվականի հունվար-հունիսին </w:t>
      </w:r>
      <w:r w:rsidRPr="00961B35">
        <w:rPr>
          <w:b w:val="0"/>
          <w:szCs w:val="22"/>
          <w:lang w:val="it-IT" w:eastAsia="en-US"/>
        </w:rPr>
        <w:t>կապիտալ ներդրումներ</w:t>
      </w:r>
      <w:r w:rsidRPr="00961B35">
        <w:rPr>
          <w:b w:val="0"/>
          <w:szCs w:val="22"/>
          <w:lang w:val="hy-AM" w:eastAsia="en-US"/>
        </w:rPr>
        <w:t>ն իրական արտահայտությամբ</w:t>
      </w:r>
      <w:r w:rsidRPr="00961B35">
        <w:rPr>
          <w:b w:val="0"/>
          <w:szCs w:val="22"/>
          <w:lang w:val="it-IT" w:eastAsia="en-US"/>
        </w:rPr>
        <w:t xml:space="preserve"> </w:t>
      </w:r>
      <w:r w:rsidRPr="00961B35">
        <w:rPr>
          <w:b w:val="0"/>
          <w:szCs w:val="22"/>
          <w:lang w:val="hy-AM" w:eastAsia="en-US"/>
        </w:rPr>
        <w:t>նվազ</w:t>
      </w:r>
      <w:r w:rsidRPr="00961B35">
        <w:rPr>
          <w:b w:val="0"/>
          <w:szCs w:val="22"/>
          <w:lang w:val="it-IT" w:eastAsia="en-US"/>
        </w:rPr>
        <w:t>ել են</w:t>
      </w:r>
      <w:r w:rsidRPr="00961B35">
        <w:rPr>
          <w:b w:val="0"/>
          <w:szCs w:val="22"/>
          <w:lang w:val="hy-AM" w:eastAsia="en-US"/>
        </w:rPr>
        <w:t xml:space="preserve"> 20</w:t>
      </w:r>
      <w:r w:rsidRPr="00961B35">
        <w:rPr>
          <w:b w:val="0"/>
          <w:szCs w:val="22"/>
          <w:lang w:val="it-IT" w:eastAsia="en-US"/>
        </w:rPr>
        <w:t>.1%-ով</w:t>
      </w:r>
      <w:r w:rsidRPr="00961B35">
        <w:rPr>
          <w:b w:val="0"/>
          <w:szCs w:val="22"/>
          <w:lang w:val="hy-AM" w:eastAsia="en-US"/>
        </w:rPr>
        <w:t>, հիմնական միջոցների համախառն կուտակումն  աճել է</w:t>
      </w:r>
      <w:r w:rsidRPr="00961B35">
        <w:rPr>
          <w:b w:val="0"/>
          <w:szCs w:val="22"/>
          <w:lang w:val="it-IT" w:eastAsia="en-US"/>
        </w:rPr>
        <w:t xml:space="preserve"> </w:t>
      </w:r>
      <w:r w:rsidRPr="00961B35">
        <w:rPr>
          <w:b w:val="0"/>
          <w:szCs w:val="22"/>
          <w:lang w:val="hy-AM" w:eastAsia="en-US"/>
        </w:rPr>
        <w:t>3</w:t>
      </w:r>
      <w:r w:rsidRPr="00961B35">
        <w:rPr>
          <w:b w:val="0"/>
          <w:szCs w:val="22"/>
          <w:lang w:val="it-IT" w:eastAsia="en-US"/>
        </w:rPr>
        <w:t>.7%-ով</w:t>
      </w:r>
      <w:r w:rsidRPr="00961B35">
        <w:rPr>
          <w:b w:val="0"/>
          <w:szCs w:val="22"/>
          <w:lang w:val="hy-AM" w:eastAsia="en-US"/>
        </w:rPr>
        <w:t>, իսկ կապիտալ ներդրումների՝ որպես հաշվեկշռող հոդվածի նվազումը, պայմանավորված  է եղել նյութական շրջանառու միջոցների զգալի նվազմամբ:</w:t>
      </w:r>
    </w:p>
    <w:p w:rsidR="00961B35" w:rsidRPr="00961B35" w:rsidRDefault="00961B35" w:rsidP="00961B35">
      <w:pPr>
        <w:spacing w:before="0"/>
        <w:ind w:firstLine="450"/>
        <w:contextualSpacing w:val="0"/>
        <w:rPr>
          <w:rFonts w:cs="Sylfaen"/>
          <w:b w:val="0"/>
          <w:szCs w:val="22"/>
          <w:lang w:val="it-IT" w:eastAsia="en-US"/>
        </w:rPr>
      </w:pPr>
      <w:r w:rsidRPr="00961B35">
        <w:rPr>
          <w:b w:val="0"/>
          <w:szCs w:val="22"/>
          <w:lang w:val="it-IT" w:eastAsia="en-US"/>
        </w:rPr>
        <w:t xml:space="preserve"> </w:t>
      </w:r>
      <w:r w:rsidRPr="00961B35">
        <w:rPr>
          <w:rFonts w:cs="Sylfaen"/>
          <w:szCs w:val="22"/>
          <w:lang w:val="hy-AM" w:eastAsia="en-US"/>
        </w:rPr>
        <w:t>Կանխատեսում</w:t>
      </w:r>
      <w:r w:rsidRPr="00961B35">
        <w:rPr>
          <w:rFonts w:cs="Sylfaen"/>
          <w:szCs w:val="22"/>
          <w:lang w:val="it-IT" w:eastAsia="en-US"/>
        </w:rPr>
        <w:t>.</w:t>
      </w:r>
      <w:r w:rsidRPr="00961B35">
        <w:rPr>
          <w:rFonts w:cs="Sylfaen"/>
          <w:b w:val="0"/>
          <w:szCs w:val="22"/>
          <w:lang w:val="it-IT" w:eastAsia="en-US"/>
        </w:rPr>
        <w:t xml:space="preserve"> </w:t>
      </w:r>
      <w:r w:rsidRPr="00961B35">
        <w:rPr>
          <w:rFonts w:cs="Sylfaen"/>
          <w:szCs w:val="22"/>
          <w:lang w:val="it-IT" w:eastAsia="en-US"/>
        </w:rPr>
        <w:t xml:space="preserve">2019-2020 </w:t>
      </w:r>
      <w:r w:rsidRPr="00961B35">
        <w:rPr>
          <w:rFonts w:cs="Sylfaen"/>
          <w:szCs w:val="22"/>
          <w:lang w:val="hy-AM" w:eastAsia="en-US"/>
        </w:rPr>
        <w:t>թվականներին</w:t>
      </w:r>
      <w:r w:rsidRPr="00961B35">
        <w:rPr>
          <w:rFonts w:cs="Sylfaen"/>
          <w:szCs w:val="22"/>
          <w:lang w:val="it-IT" w:eastAsia="en-US"/>
        </w:rPr>
        <w:t xml:space="preserve"> </w:t>
      </w:r>
      <w:r w:rsidRPr="00961B35">
        <w:rPr>
          <w:rFonts w:cs="Sylfaen"/>
          <w:szCs w:val="22"/>
          <w:lang w:val="hy-AM" w:eastAsia="en-US"/>
        </w:rPr>
        <w:t>կանխատեսվում</w:t>
      </w:r>
      <w:r w:rsidRPr="00961B35">
        <w:rPr>
          <w:rFonts w:cs="Sylfaen"/>
          <w:szCs w:val="22"/>
          <w:lang w:val="it-IT" w:eastAsia="en-US"/>
        </w:rPr>
        <w:t xml:space="preserve"> </w:t>
      </w:r>
      <w:r w:rsidRPr="00961B35">
        <w:rPr>
          <w:rFonts w:cs="Sylfaen"/>
          <w:szCs w:val="22"/>
          <w:lang w:val="hy-AM" w:eastAsia="en-US"/>
        </w:rPr>
        <w:t>է</w:t>
      </w:r>
      <w:r w:rsidRPr="00961B35">
        <w:rPr>
          <w:rFonts w:cs="Sylfaen"/>
          <w:szCs w:val="22"/>
          <w:lang w:val="it-IT" w:eastAsia="en-US"/>
        </w:rPr>
        <w:t xml:space="preserve"> </w:t>
      </w:r>
      <w:r w:rsidRPr="00961B35">
        <w:rPr>
          <w:rFonts w:cs="Sylfaen"/>
          <w:szCs w:val="22"/>
          <w:lang w:val="hy-AM" w:eastAsia="en-US"/>
        </w:rPr>
        <w:t>ներդրումների</w:t>
      </w:r>
      <w:r w:rsidRPr="00961B35">
        <w:rPr>
          <w:rFonts w:cs="Sylfaen"/>
          <w:szCs w:val="22"/>
          <w:lang w:val="it-IT" w:eastAsia="en-US"/>
        </w:rPr>
        <w:t xml:space="preserve"> </w:t>
      </w:r>
      <w:r w:rsidRPr="00961B35">
        <w:rPr>
          <w:rFonts w:cs="Sylfaen"/>
          <w:szCs w:val="22"/>
          <w:lang w:val="hy-AM" w:eastAsia="en-US"/>
        </w:rPr>
        <w:t>աճ</w:t>
      </w:r>
      <w:r w:rsidRPr="00961B35">
        <w:rPr>
          <w:rFonts w:cs="Sylfaen"/>
          <w:b w:val="0"/>
          <w:szCs w:val="22"/>
          <w:lang w:val="it-IT" w:eastAsia="en-US"/>
        </w:rPr>
        <w:t xml:space="preserve">: </w:t>
      </w:r>
      <w:r w:rsidRPr="00961B35">
        <w:rPr>
          <w:rFonts w:cs="Sylfaen"/>
          <w:b w:val="0"/>
          <w:szCs w:val="22"/>
          <w:lang w:val="hy-AM" w:eastAsia="en-US"/>
        </w:rPr>
        <w:t>Ընթացիկ</w:t>
      </w:r>
      <w:r w:rsidRPr="00961B35">
        <w:rPr>
          <w:rFonts w:cs="Sylfaen"/>
          <w:b w:val="0"/>
          <w:szCs w:val="22"/>
          <w:lang w:val="it-IT" w:eastAsia="en-US"/>
        </w:rPr>
        <w:t xml:space="preserve"> </w:t>
      </w:r>
      <w:r w:rsidRPr="00961B35">
        <w:rPr>
          <w:rFonts w:cs="Sylfaen"/>
          <w:b w:val="0"/>
          <w:szCs w:val="22"/>
          <w:lang w:val="hy-AM" w:eastAsia="en-US"/>
        </w:rPr>
        <w:t>տարվա</w:t>
      </w:r>
      <w:r w:rsidRPr="00961B35">
        <w:rPr>
          <w:rFonts w:cs="Sylfaen"/>
          <w:b w:val="0"/>
          <w:szCs w:val="22"/>
          <w:lang w:val="it-IT" w:eastAsia="en-US"/>
        </w:rPr>
        <w:t xml:space="preserve"> </w:t>
      </w:r>
      <w:r w:rsidRPr="00961B35">
        <w:rPr>
          <w:rFonts w:cs="Sylfaen"/>
          <w:b w:val="0"/>
          <w:szCs w:val="22"/>
          <w:lang w:val="hy-AM" w:eastAsia="en-US"/>
        </w:rPr>
        <w:t>զարգացումներով</w:t>
      </w:r>
      <w:r w:rsidRPr="00961B35">
        <w:rPr>
          <w:rFonts w:cs="Sylfaen"/>
          <w:b w:val="0"/>
          <w:szCs w:val="22"/>
          <w:lang w:val="it-IT" w:eastAsia="en-US"/>
        </w:rPr>
        <w:t xml:space="preserve"> </w:t>
      </w:r>
      <w:r w:rsidRPr="00961B35">
        <w:rPr>
          <w:rFonts w:cs="Sylfaen"/>
          <w:b w:val="0"/>
          <w:szCs w:val="22"/>
          <w:lang w:val="hy-AM" w:eastAsia="en-US"/>
        </w:rPr>
        <w:t>պայմանավորված</w:t>
      </w:r>
      <w:r w:rsidRPr="00961B35">
        <w:rPr>
          <w:rFonts w:cs="Sylfaen"/>
          <w:b w:val="0"/>
          <w:szCs w:val="22"/>
          <w:lang w:val="it-IT" w:eastAsia="en-US"/>
        </w:rPr>
        <w:t xml:space="preserve"> 2019 </w:t>
      </w:r>
      <w:r w:rsidRPr="00961B35">
        <w:rPr>
          <w:rFonts w:cs="Sylfaen"/>
          <w:b w:val="0"/>
          <w:szCs w:val="22"/>
          <w:lang w:val="hy-AM" w:eastAsia="en-US"/>
        </w:rPr>
        <w:t>թվականին</w:t>
      </w:r>
      <w:r w:rsidRPr="00961B35">
        <w:rPr>
          <w:rFonts w:cs="Sylfaen"/>
          <w:b w:val="0"/>
          <w:szCs w:val="22"/>
          <w:lang w:val="it-IT" w:eastAsia="en-US"/>
        </w:rPr>
        <w:t xml:space="preserve"> </w:t>
      </w:r>
      <w:r w:rsidRPr="00961B35">
        <w:rPr>
          <w:rFonts w:cs="Sylfaen"/>
          <w:b w:val="0"/>
          <w:szCs w:val="22"/>
          <w:lang w:val="hy-AM" w:eastAsia="en-US"/>
        </w:rPr>
        <w:t>ակնկալվում</w:t>
      </w:r>
      <w:r w:rsidRPr="00961B35">
        <w:rPr>
          <w:rFonts w:cs="Sylfaen"/>
          <w:b w:val="0"/>
          <w:szCs w:val="22"/>
          <w:lang w:val="it-IT" w:eastAsia="en-US"/>
        </w:rPr>
        <w:t xml:space="preserve"> </w:t>
      </w:r>
      <w:r w:rsidRPr="00961B35">
        <w:rPr>
          <w:rFonts w:cs="Sylfaen"/>
          <w:b w:val="0"/>
          <w:szCs w:val="22"/>
          <w:lang w:val="hy-AM" w:eastAsia="en-US"/>
        </w:rPr>
        <w:t>է</w:t>
      </w:r>
      <w:r w:rsidRPr="00961B35">
        <w:rPr>
          <w:rFonts w:cs="Sylfaen"/>
          <w:b w:val="0"/>
          <w:szCs w:val="22"/>
          <w:lang w:val="it-IT" w:eastAsia="en-US"/>
        </w:rPr>
        <w:t xml:space="preserve"> </w:t>
      </w:r>
      <w:r w:rsidRPr="00961B35">
        <w:rPr>
          <w:rFonts w:cs="Sylfaen"/>
          <w:b w:val="0"/>
          <w:szCs w:val="22"/>
          <w:lang w:val="hy-AM" w:eastAsia="en-US"/>
        </w:rPr>
        <w:t>ներդրումների</w:t>
      </w:r>
      <w:r w:rsidRPr="00961B35">
        <w:rPr>
          <w:rFonts w:cs="Sylfaen"/>
          <w:b w:val="0"/>
          <w:szCs w:val="22"/>
          <w:lang w:val="it-IT" w:eastAsia="en-US"/>
        </w:rPr>
        <w:t xml:space="preserve"> 6.8%, </w:t>
      </w:r>
      <w:r w:rsidRPr="00961B35">
        <w:rPr>
          <w:rFonts w:cs="Sylfaen"/>
          <w:b w:val="0"/>
          <w:szCs w:val="22"/>
          <w:lang w:val="hy-AM" w:eastAsia="en-US"/>
        </w:rPr>
        <w:t>իսկ</w:t>
      </w:r>
      <w:r w:rsidRPr="00961B35">
        <w:rPr>
          <w:rFonts w:cs="Sylfaen"/>
          <w:b w:val="0"/>
          <w:szCs w:val="22"/>
          <w:lang w:val="it-IT" w:eastAsia="en-US"/>
        </w:rPr>
        <w:t xml:space="preserve"> 2020 </w:t>
      </w:r>
      <w:r w:rsidRPr="00961B35">
        <w:rPr>
          <w:rFonts w:cs="Sylfaen"/>
          <w:b w:val="0"/>
          <w:szCs w:val="22"/>
          <w:lang w:val="hy-AM" w:eastAsia="en-US"/>
        </w:rPr>
        <w:t>թվականին՝</w:t>
      </w:r>
      <w:r w:rsidRPr="00961B35">
        <w:rPr>
          <w:rFonts w:cs="Sylfaen"/>
          <w:b w:val="0"/>
          <w:szCs w:val="22"/>
          <w:lang w:val="it-IT" w:eastAsia="en-US"/>
        </w:rPr>
        <w:t xml:space="preserve"> 6.</w:t>
      </w:r>
      <w:r w:rsidRPr="00961B35">
        <w:rPr>
          <w:rFonts w:cs="Sylfaen"/>
          <w:b w:val="0"/>
          <w:szCs w:val="22"/>
          <w:lang w:val="hy-AM" w:eastAsia="en-US"/>
        </w:rPr>
        <w:t>2</w:t>
      </w:r>
      <w:r w:rsidRPr="00961B35">
        <w:rPr>
          <w:rFonts w:cs="Sylfaen"/>
          <w:b w:val="0"/>
          <w:szCs w:val="22"/>
          <w:lang w:val="it-IT" w:eastAsia="en-US"/>
        </w:rPr>
        <w:t xml:space="preserve">% </w:t>
      </w:r>
      <w:r w:rsidRPr="00961B35">
        <w:rPr>
          <w:rFonts w:cs="Sylfaen"/>
          <w:b w:val="0"/>
          <w:szCs w:val="22"/>
          <w:lang w:val="hy-AM" w:eastAsia="en-US"/>
        </w:rPr>
        <w:t>իրական</w:t>
      </w:r>
      <w:r w:rsidRPr="00961B35">
        <w:rPr>
          <w:rFonts w:cs="Sylfaen"/>
          <w:b w:val="0"/>
          <w:szCs w:val="22"/>
          <w:lang w:val="it-IT" w:eastAsia="en-US"/>
        </w:rPr>
        <w:t xml:space="preserve"> </w:t>
      </w:r>
      <w:r w:rsidRPr="00961B35">
        <w:rPr>
          <w:rFonts w:cs="Sylfaen"/>
          <w:b w:val="0"/>
          <w:szCs w:val="22"/>
          <w:lang w:val="hy-AM" w:eastAsia="en-US"/>
        </w:rPr>
        <w:t>աճ՝</w:t>
      </w:r>
      <w:r w:rsidRPr="00961B35">
        <w:rPr>
          <w:rFonts w:cs="Sylfaen"/>
          <w:b w:val="0"/>
          <w:szCs w:val="22"/>
          <w:lang w:val="it-IT" w:eastAsia="en-US"/>
        </w:rPr>
        <w:t xml:space="preserve"> </w:t>
      </w:r>
      <w:r w:rsidRPr="00961B35">
        <w:rPr>
          <w:rFonts w:cs="Sylfaen"/>
          <w:b w:val="0"/>
          <w:szCs w:val="22"/>
          <w:lang w:val="hy-AM" w:eastAsia="en-US"/>
        </w:rPr>
        <w:t>պայմանավորված</w:t>
      </w:r>
      <w:r w:rsidRPr="00961B35">
        <w:rPr>
          <w:rFonts w:cs="Sylfaen"/>
          <w:b w:val="0"/>
          <w:szCs w:val="22"/>
          <w:lang w:val="it-IT" w:eastAsia="en-US"/>
        </w:rPr>
        <w:t xml:space="preserve"> </w:t>
      </w:r>
      <w:r w:rsidRPr="00961B35">
        <w:rPr>
          <w:rFonts w:cs="Sylfaen"/>
          <w:b w:val="0"/>
          <w:szCs w:val="22"/>
          <w:lang w:val="hy-AM" w:eastAsia="en-US"/>
        </w:rPr>
        <w:t>ինչպես</w:t>
      </w:r>
      <w:r w:rsidRPr="00961B35">
        <w:rPr>
          <w:rFonts w:cs="Sylfaen"/>
          <w:b w:val="0"/>
          <w:szCs w:val="22"/>
          <w:lang w:val="it-IT" w:eastAsia="en-US"/>
        </w:rPr>
        <w:t xml:space="preserve"> </w:t>
      </w:r>
      <w:r w:rsidRPr="00961B35">
        <w:rPr>
          <w:rFonts w:cs="Sylfaen"/>
          <w:b w:val="0"/>
          <w:szCs w:val="22"/>
          <w:lang w:val="hy-AM" w:eastAsia="en-US"/>
        </w:rPr>
        <w:t>մասնավոր</w:t>
      </w:r>
      <w:r w:rsidRPr="00961B35">
        <w:rPr>
          <w:rFonts w:cs="Sylfaen"/>
          <w:b w:val="0"/>
          <w:szCs w:val="22"/>
          <w:lang w:val="it-IT" w:eastAsia="en-US"/>
        </w:rPr>
        <w:t xml:space="preserve">, </w:t>
      </w:r>
      <w:r w:rsidRPr="00961B35">
        <w:rPr>
          <w:rFonts w:cs="Sylfaen"/>
          <w:b w:val="0"/>
          <w:szCs w:val="22"/>
          <w:lang w:val="hy-AM" w:eastAsia="en-US"/>
        </w:rPr>
        <w:t>այնպես</w:t>
      </w:r>
      <w:r w:rsidRPr="00961B35">
        <w:rPr>
          <w:rFonts w:cs="Sylfaen"/>
          <w:b w:val="0"/>
          <w:szCs w:val="22"/>
          <w:lang w:val="it-IT" w:eastAsia="en-US"/>
        </w:rPr>
        <w:t xml:space="preserve"> </w:t>
      </w:r>
      <w:r w:rsidRPr="00961B35">
        <w:rPr>
          <w:rFonts w:cs="Sylfaen"/>
          <w:b w:val="0"/>
          <w:szCs w:val="22"/>
          <w:lang w:val="hy-AM" w:eastAsia="en-US"/>
        </w:rPr>
        <w:t>էլ</w:t>
      </w:r>
      <w:r w:rsidRPr="00961B35">
        <w:rPr>
          <w:rFonts w:cs="Sylfaen"/>
          <w:b w:val="0"/>
          <w:szCs w:val="22"/>
          <w:lang w:val="it-IT" w:eastAsia="en-US"/>
        </w:rPr>
        <w:t xml:space="preserve"> </w:t>
      </w:r>
      <w:r w:rsidRPr="00961B35">
        <w:rPr>
          <w:rFonts w:cs="Sylfaen"/>
          <w:b w:val="0"/>
          <w:szCs w:val="22"/>
          <w:lang w:val="hy-AM" w:eastAsia="en-US"/>
        </w:rPr>
        <w:t>պետական</w:t>
      </w:r>
      <w:r w:rsidRPr="00961B35">
        <w:rPr>
          <w:rFonts w:cs="Sylfaen"/>
          <w:b w:val="0"/>
          <w:szCs w:val="22"/>
          <w:lang w:val="it-IT" w:eastAsia="en-US"/>
        </w:rPr>
        <w:t xml:space="preserve"> </w:t>
      </w:r>
      <w:r w:rsidRPr="00961B35">
        <w:rPr>
          <w:rFonts w:cs="Sylfaen"/>
          <w:b w:val="0"/>
          <w:szCs w:val="22"/>
          <w:lang w:val="hy-AM" w:eastAsia="en-US"/>
        </w:rPr>
        <w:t>ներդրումների</w:t>
      </w:r>
      <w:r w:rsidRPr="00961B35">
        <w:rPr>
          <w:rFonts w:cs="Sylfaen"/>
          <w:b w:val="0"/>
          <w:szCs w:val="22"/>
          <w:lang w:val="it-IT" w:eastAsia="en-US"/>
        </w:rPr>
        <w:t xml:space="preserve"> </w:t>
      </w:r>
      <w:r w:rsidRPr="00961B35">
        <w:rPr>
          <w:rFonts w:cs="Sylfaen"/>
          <w:b w:val="0"/>
          <w:szCs w:val="22"/>
          <w:lang w:val="hy-AM" w:eastAsia="en-US"/>
        </w:rPr>
        <w:t>աճերով</w:t>
      </w:r>
      <w:r w:rsidRPr="00961B35">
        <w:rPr>
          <w:rFonts w:cs="Sylfaen"/>
          <w:b w:val="0"/>
          <w:szCs w:val="22"/>
          <w:lang w:val="it-IT" w:eastAsia="en-US"/>
        </w:rPr>
        <w:t>:</w:t>
      </w:r>
    </w:p>
    <w:p w:rsidR="00961B35" w:rsidRPr="00961B35" w:rsidRDefault="00961B35" w:rsidP="00961B35">
      <w:pPr>
        <w:spacing w:before="0"/>
        <w:ind w:firstLine="450"/>
        <w:contextualSpacing w:val="0"/>
        <w:rPr>
          <w:rFonts w:cs="Sylfaen"/>
          <w:szCs w:val="22"/>
          <w:highlight w:val="yellow"/>
          <w:lang w:val="it-IT" w:eastAsia="en-US"/>
        </w:rPr>
      </w:pPr>
    </w:p>
    <w:p w:rsidR="00961B35" w:rsidRPr="00961B35" w:rsidRDefault="00961B35" w:rsidP="00961B35">
      <w:pPr>
        <w:spacing w:before="0"/>
        <w:ind w:firstLine="450"/>
        <w:contextualSpacing w:val="0"/>
        <w:rPr>
          <w:rFonts w:cs="Sylfaen"/>
          <w:szCs w:val="22"/>
          <w:lang w:val="it-IT" w:eastAsia="en-US"/>
        </w:rPr>
      </w:pPr>
      <w:r w:rsidRPr="00961B35">
        <w:rPr>
          <w:rFonts w:cs="Sylfaen"/>
          <w:szCs w:val="22"/>
          <w:lang w:val="it-IT" w:eastAsia="en-US"/>
        </w:rPr>
        <w:t>1.3.3 Զուտ արտահանում</w:t>
      </w:r>
      <w:r w:rsidRPr="00961B35">
        <w:rPr>
          <w:rFonts w:cs="Sylfaen"/>
          <w:b w:val="0"/>
          <w:szCs w:val="22"/>
          <w:vertAlign w:val="superscript"/>
          <w:lang w:val="en-US" w:eastAsia="en-US"/>
        </w:rPr>
        <w:footnoteReference w:id="14"/>
      </w:r>
    </w:p>
    <w:p w:rsidR="00961B35" w:rsidRPr="00961B35" w:rsidRDefault="00961B35" w:rsidP="00961B35">
      <w:pPr>
        <w:spacing w:before="0"/>
        <w:ind w:firstLine="450"/>
        <w:contextualSpacing w:val="0"/>
        <w:rPr>
          <w:rFonts w:cs="Sylfaen"/>
          <w:b w:val="0"/>
          <w:szCs w:val="22"/>
          <w:highlight w:val="yellow"/>
          <w:lang w:val="it-IT" w:eastAsia="en-US"/>
        </w:rPr>
      </w:pPr>
      <w:r w:rsidRPr="00961B35">
        <w:rPr>
          <w:rFonts w:cs="Sylfaen"/>
          <w:szCs w:val="22"/>
          <w:lang w:val="hy-AM" w:eastAsia="en-US"/>
        </w:rPr>
        <w:t xml:space="preserve"> 201</w:t>
      </w:r>
      <w:r w:rsidRPr="00961B35">
        <w:rPr>
          <w:rFonts w:cs="Sylfaen"/>
          <w:szCs w:val="22"/>
          <w:lang w:val="it-IT" w:eastAsia="en-US"/>
        </w:rPr>
        <w:t>8</w:t>
      </w:r>
      <w:r w:rsidRPr="00961B35">
        <w:rPr>
          <w:rFonts w:cs="Sylfaen"/>
          <w:szCs w:val="22"/>
          <w:lang w:val="hy-AM" w:eastAsia="en-US"/>
        </w:rPr>
        <w:t xml:space="preserve"> թվականին զուտ</w:t>
      </w:r>
      <w:r w:rsidRPr="00961B35">
        <w:rPr>
          <w:rFonts w:cs="Sylfaen"/>
          <w:szCs w:val="22"/>
          <w:lang w:val="it-IT" w:eastAsia="en-US"/>
        </w:rPr>
        <w:t xml:space="preserve"> </w:t>
      </w:r>
      <w:r w:rsidRPr="00961B35">
        <w:rPr>
          <w:rFonts w:cs="Sylfaen"/>
          <w:szCs w:val="22"/>
          <w:lang w:val="hy-AM" w:eastAsia="en-US"/>
        </w:rPr>
        <w:t>արտահանումը</w:t>
      </w:r>
      <w:r w:rsidRPr="00961B35">
        <w:rPr>
          <w:rFonts w:cs="Sylfaen"/>
          <w:szCs w:val="22"/>
          <w:lang w:val="it-IT" w:eastAsia="en-US"/>
        </w:rPr>
        <w:t xml:space="preserve"> </w:t>
      </w:r>
      <w:r w:rsidRPr="00961B35">
        <w:rPr>
          <w:rFonts w:cs="Sylfaen"/>
          <w:szCs w:val="22"/>
          <w:lang w:val="hy-AM" w:eastAsia="en-US"/>
        </w:rPr>
        <w:t>վատթարացել</w:t>
      </w:r>
      <w:r w:rsidRPr="00961B35">
        <w:rPr>
          <w:rFonts w:cs="Sylfaen"/>
          <w:szCs w:val="22"/>
          <w:lang w:val="it-IT" w:eastAsia="en-US"/>
        </w:rPr>
        <w:t xml:space="preserve"> </w:t>
      </w:r>
      <w:r w:rsidRPr="00961B35">
        <w:rPr>
          <w:rFonts w:cs="Sylfaen"/>
          <w:szCs w:val="22"/>
          <w:lang w:val="hy-AM" w:eastAsia="en-US"/>
        </w:rPr>
        <w:t>է՝</w:t>
      </w:r>
      <w:r w:rsidRPr="00961B35">
        <w:rPr>
          <w:rFonts w:cs="Sylfaen"/>
          <w:szCs w:val="22"/>
          <w:lang w:val="it-IT" w:eastAsia="en-US"/>
        </w:rPr>
        <w:t xml:space="preserve"> </w:t>
      </w:r>
      <w:r w:rsidRPr="00961B35">
        <w:rPr>
          <w:rFonts w:cs="Sylfaen"/>
          <w:szCs w:val="22"/>
          <w:lang w:val="hy-AM" w:eastAsia="en-US"/>
        </w:rPr>
        <w:t>պայմանավորված</w:t>
      </w:r>
      <w:r w:rsidRPr="00961B35">
        <w:rPr>
          <w:rFonts w:cs="Sylfaen"/>
          <w:szCs w:val="22"/>
          <w:lang w:val="it-IT" w:eastAsia="en-US"/>
        </w:rPr>
        <w:t xml:space="preserve"> </w:t>
      </w:r>
      <w:r w:rsidRPr="00961B35">
        <w:rPr>
          <w:rFonts w:cs="Sylfaen"/>
          <w:szCs w:val="22"/>
          <w:lang w:val="hy-AM" w:eastAsia="en-US"/>
        </w:rPr>
        <w:t>ներմուծման</w:t>
      </w:r>
      <w:r w:rsidRPr="00961B35">
        <w:rPr>
          <w:rFonts w:cs="Sylfaen"/>
          <w:szCs w:val="22"/>
          <w:lang w:val="it-IT" w:eastAsia="en-US"/>
        </w:rPr>
        <w:t xml:space="preserve"> բարձր </w:t>
      </w:r>
      <w:r w:rsidRPr="00961B35">
        <w:rPr>
          <w:rFonts w:cs="Sylfaen"/>
          <w:szCs w:val="22"/>
          <w:lang w:val="hy-AM" w:eastAsia="en-US"/>
        </w:rPr>
        <w:t>աճով:</w:t>
      </w:r>
      <w:r w:rsidRPr="00961B35">
        <w:rPr>
          <w:rFonts w:cs="Sylfaen"/>
          <w:b w:val="0"/>
          <w:szCs w:val="22"/>
          <w:lang w:val="it-IT" w:eastAsia="en-US"/>
        </w:rPr>
        <w:t xml:space="preserve"> 201</w:t>
      </w:r>
      <w:r w:rsidRPr="00961B35">
        <w:rPr>
          <w:rFonts w:cs="Sylfaen"/>
          <w:b w:val="0"/>
          <w:szCs w:val="22"/>
          <w:lang w:val="hy-AM" w:eastAsia="en-US"/>
        </w:rPr>
        <w:t>8</w:t>
      </w:r>
      <w:r w:rsidRPr="00961B35">
        <w:rPr>
          <w:rFonts w:cs="Sylfaen"/>
          <w:b w:val="0"/>
          <w:szCs w:val="22"/>
          <w:lang w:val="it-IT" w:eastAsia="en-US"/>
        </w:rPr>
        <w:t xml:space="preserve"> </w:t>
      </w:r>
      <w:r w:rsidRPr="00961B35">
        <w:rPr>
          <w:rFonts w:cs="Sylfaen"/>
          <w:b w:val="0"/>
          <w:szCs w:val="22"/>
          <w:lang w:val="hy-AM" w:eastAsia="en-US"/>
        </w:rPr>
        <w:t>թվականին</w:t>
      </w:r>
      <w:r w:rsidRPr="00961B35">
        <w:rPr>
          <w:rFonts w:cs="Sylfaen"/>
          <w:b w:val="0"/>
          <w:szCs w:val="22"/>
          <w:lang w:val="it-IT" w:eastAsia="en-US"/>
        </w:rPr>
        <w:t xml:space="preserve"> ապրանքների և ծառայությունների արտահանումն իրական արտահայտությամբ աճել է </w:t>
      </w:r>
      <w:r w:rsidRPr="00961B35">
        <w:rPr>
          <w:rFonts w:cs="Sylfaen"/>
          <w:b w:val="0"/>
          <w:szCs w:val="22"/>
          <w:lang w:val="hy-AM" w:eastAsia="en-US"/>
        </w:rPr>
        <w:t>4</w:t>
      </w:r>
      <w:r w:rsidRPr="00961B35">
        <w:rPr>
          <w:rFonts w:cs="Sylfaen"/>
          <w:b w:val="0"/>
          <w:szCs w:val="22"/>
          <w:lang w:val="it-IT" w:eastAsia="en-US"/>
        </w:rPr>
        <w:t>.</w:t>
      </w:r>
      <w:r w:rsidRPr="00961B35">
        <w:rPr>
          <w:rFonts w:cs="Sylfaen"/>
          <w:b w:val="0"/>
          <w:szCs w:val="22"/>
          <w:lang w:val="hy-AM" w:eastAsia="en-US"/>
        </w:rPr>
        <w:t>6</w:t>
      </w:r>
      <w:r w:rsidRPr="00961B35">
        <w:rPr>
          <w:rFonts w:cs="Sylfaen"/>
          <w:b w:val="0"/>
          <w:szCs w:val="22"/>
          <w:lang w:val="it-IT" w:eastAsia="en-US"/>
        </w:rPr>
        <w:t xml:space="preserve">%-ով, իսկ ներմուծումը՝ </w:t>
      </w:r>
      <w:r w:rsidRPr="00961B35">
        <w:rPr>
          <w:rFonts w:cs="Sylfaen"/>
          <w:b w:val="0"/>
          <w:szCs w:val="22"/>
          <w:lang w:val="hy-AM" w:eastAsia="en-US"/>
        </w:rPr>
        <w:t>12</w:t>
      </w:r>
      <w:r w:rsidRPr="00961B35">
        <w:rPr>
          <w:rFonts w:cs="Sylfaen"/>
          <w:b w:val="0"/>
          <w:szCs w:val="22"/>
          <w:lang w:val="it-IT" w:eastAsia="en-US"/>
        </w:rPr>
        <w:t>.</w:t>
      </w:r>
      <w:r w:rsidRPr="00961B35">
        <w:rPr>
          <w:rFonts w:cs="Sylfaen"/>
          <w:b w:val="0"/>
          <w:szCs w:val="22"/>
          <w:lang w:val="hy-AM" w:eastAsia="en-US"/>
        </w:rPr>
        <w:t>7</w:t>
      </w:r>
      <w:r w:rsidRPr="00961B35">
        <w:rPr>
          <w:rFonts w:cs="Sylfaen"/>
          <w:b w:val="0"/>
          <w:szCs w:val="22"/>
          <w:lang w:val="it-IT" w:eastAsia="en-US"/>
        </w:rPr>
        <w:t xml:space="preserve">%-ով: </w:t>
      </w:r>
      <w:r w:rsidRPr="00961B35">
        <w:rPr>
          <w:rFonts w:cs="Sylfaen"/>
          <w:b w:val="0"/>
          <w:szCs w:val="22"/>
          <w:lang w:val="hy-AM" w:eastAsia="en-US"/>
        </w:rPr>
        <w:t xml:space="preserve">Արտահանման ծավալների աճը պայմանավորված է եղել հիմնական գործընկեր երկրների տնտեսական զարգացման դրական </w:t>
      </w:r>
      <w:r w:rsidRPr="00961B35">
        <w:rPr>
          <w:rFonts w:cs="Sylfaen"/>
          <w:b w:val="0"/>
          <w:szCs w:val="22"/>
          <w:lang w:val="hy-AM" w:eastAsia="en-US"/>
        </w:rPr>
        <w:lastRenderedPageBreak/>
        <w:t>միտումներով, իսկ ներմուծման աճը՝ բնակչության տնօրինվող եկամտի աճով և տնտեսական բարձր ակտիվությամբ</w:t>
      </w:r>
      <w:r w:rsidRPr="00961B35">
        <w:rPr>
          <w:rFonts w:cs="Sylfaen"/>
          <w:b w:val="0"/>
          <w:szCs w:val="22"/>
          <w:lang w:val="it-IT" w:eastAsia="en-US"/>
        </w:rPr>
        <w:t xml:space="preserve">: </w:t>
      </w:r>
    </w:p>
    <w:p w:rsidR="00961B35" w:rsidRPr="00961B35" w:rsidRDefault="00961B35" w:rsidP="00961B35">
      <w:pPr>
        <w:spacing w:before="0"/>
        <w:ind w:firstLine="450"/>
        <w:contextualSpacing w:val="0"/>
        <w:rPr>
          <w:rFonts w:cs="Sylfaen"/>
          <w:b w:val="0"/>
          <w:szCs w:val="22"/>
          <w:lang w:val="it-IT" w:eastAsia="en-US"/>
        </w:rPr>
      </w:pPr>
      <w:r w:rsidRPr="00961B35">
        <w:rPr>
          <w:rFonts w:cs="Sylfaen"/>
          <w:szCs w:val="22"/>
          <w:lang w:val="it-IT" w:eastAsia="en-US"/>
        </w:rPr>
        <w:t>2019 թվականի հունվար-հունիսին զուտ արտահանումը</w:t>
      </w:r>
      <w:r w:rsidRPr="00961B35">
        <w:rPr>
          <w:rFonts w:cs="Sylfaen"/>
          <w:szCs w:val="22"/>
          <w:lang w:val="hy-AM" w:eastAsia="en-US"/>
        </w:rPr>
        <w:t xml:space="preserve"> նախորդ տարվա նույն ժամանակաշրջանի համեմատ</w:t>
      </w:r>
      <w:r w:rsidRPr="00961B35">
        <w:rPr>
          <w:rFonts w:cs="Sylfaen"/>
          <w:szCs w:val="22"/>
          <w:lang w:val="it-IT" w:eastAsia="en-US"/>
        </w:rPr>
        <w:t xml:space="preserve"> </w:t>
      </w:r>
      <w:r w:rsidRPr="00961B35">
        <w:rPr>
          <w:rFonts w:cs="Sylfaen"/>
          <w:szCs w:val="22"/>
          <w:lang w:val="hy-AM" w:eastAsia="en-US"/>
        </w:rPr>
        <w:t>փոքր-ինչ բարելավվ</w:t>
      </w:r>
      <w:r w:rsidRPr="00961B35">
        <w:rPr>
          <w:rFonts w:cs="Sylfaen"/>
          <w:szCs w:val="22"/>
          <w:lang w:val="it-IT" w:eastAsia="en-US"/>
        </w:rPr>
        <w:t>ել է:</w:t>
      </w:r>
      <w:r w:rsidRPr="00961B35">
        <w:rPr>
          <w:rFonts w:cs="Sylfaen"/>
          <w:b w:val="0"/>
          <w:szCs w:val="22"/>
          <w:lang w:val="it-IT" w:eastAsia="en-US"/>
        </w:rPr>
        <w:t xml:space="preserve"> 201</w:t>
      </w:r>
      <w:r w:rsidRPr="00961B35">
        <w:rPr>
          <w:rFonts w:cs="Sylfaen"/>
          <w:b w:val="0"/>
          <w:szCs w:val="22"/>
          <w:lang w:val="hy-AM" w:eastAsia="en-US"/>
        </w:rPr>
        <w:t>9</w:t>
      </w:r>
      <w:r w:rsidRPr="00961B35">
        <w:rPr>
          <w:rFonts w:cs="Sylfaen"/>
          <w:b w:val="0"/>
          <w:szCs w:val="22"/>
          <w:lang w:val="it-IT" w:eastAsia="en-US"/>
        </w:rPr>
        <w:t xml:space="preserve"> թվականի հունվար-հունիսին ապրանքների և ծառայությունների արտահանման</w:t>
      </w:r>
      <w:r w:rsidRPr="00961B35">
        <w:rPr>
          <w:rFonts w:cs="Sylfaen"/>
          <w:b w:val="0"/>
          <w:szCs w:val="22"/>
          <w:lang w:val="hy-AM" w:eastAsia="en-US"/>
        </w:rPr>
        <w:t xml:space="preserve"> և ներմուծման</w:t>
      </w:r>
      <w:r w:rsidRPr="00961B35">
        <w:rPr>
          <w:rFonts w:cs="Sylfaen"/>
          <w:b w:val="0"/>
          <w:szCs w:val="22"/>
          <w:lang w:val="it-IT" w:eastAsia="en-US"/>
        </w:rPr>
        <w:t xml:space="preserve"> ծավալները նախորդ տարվա նույն ժամանակահատվածի համեմատ իրական արտահայտությամբ աճել են </w:t>
      </w:r>
      <w:r w:rsidRPr="00961B35">
        <w:rPr>
          <w:rFonts w:cs="Sylfaen"/>
          <w:b w:val="0"/>
          <w:szCs w:val="22"/>
          <w:lang w:val="hy-AM" w:eastAsia="en-US"/>
        </w:rPr>
        <w:t>1</w:t>
      </w:r>
      <w:r w:rsidRPr="00961B35">
        <w:rPr>
          <w:rFonts w:cs="Sylfaen"/>
          <w:b w:val="0"/>
          <w:szCs w:val="22"/>
          <w:lang w:val="it-IT" w:eastAsia="en-US"/>
        </w:rPr>
        <w:t>.</w:t>
      </w:r>
      <w:r w:rsidRPr="00961B35">
        <w:rPr>
          <w:rFonts w:cs="Sylfaen"/>
          <w:b w:val="0"/>
          <w:szCs w:val="22"/>
          <w:lang w:val="hy-AM" w:eastAsia="en-US"/>
        </w:rPr>
        <w:t>7</w:t>
      </w:r>
      <w:r w:rsidRPr="00961B35">
        <w:rPr>
          <w:rFonts w:cs="Sylfaen"/>
          <w:b w:val="0"/>
          <w:szCs w:val="22"/>
          <w:lang w:val="it-IT" w:eastAsia="en-US"/>
        </w:rPr>
        <w:t>%-ով</w:t>
      </w:r>
      <w:r w:rsidRPr="00961B35">
        <w:rPr>
          <w:rFonts w:cs="Sylfaen"/>
          <w:b w:val="0"/>
          <w:szCs w:val="22"/>
          <w:lang w:val="hy-AM" w:eastAsia="en-US"/>
        </w:rPr>
        <w:t>։</w:t>
      </w:r>
      <w:r w:rsidRPr="00961B35">
        <w:rPr>
          <w:rFonts w:cs="Sylfaen"/>
          <w:b w:val="0"/>
          <w:szCs w:val="22"/>
          <w:lang w:val="it-IT" w:eastAsia="en-US"/>
        </w:rPr>
        <w:t xml:space="preserve"> Արտահանման ծավալների աճը պայմանավորված է եղել</w:t>
      </w:r>
      <w:r w:rsidRPr="00961B35">
        <w:rPr>
          <w:rFonts w:cs="Sylfaen"/>
          <w:b w:val="0"/>
          <w:szCs w:val="22"/>
          <w:lang w:val="hy-AM" w:eastAsia="en-US"/>
        </w:rPr>
        <w:t xml:space="preserve">  </w:t>
      </w:r>
      <w:r w:rsidRPr="00961B35">
        <w:rPr>
          <w:rFonts w:cs="Sylfaen"/>
          <w:b w:val="0"/>
          <w:szCs w:val="22"/>
          <w:lang w:eastAsia="en-US"/>
        </w:rPr>
        <w:t>հիմնականում</w:t>
      </w:r>
      <w:r w:rsidRPr="00961B35">
        <w:rPr>
          <w:rFonts w:cs="Sylfaen"/>
          <w:b w:val="0"/>
          <w:szCs w:val="22"/>
          <w:lang w:val="it-IT" w:eastAsia="en-US"/>
        </w:rPr>
        <w:t xml:space="preserve"> </w:t>
      </w:r>
      <w:r w:rsidRPr="00961B35">
        <w:rPr>
          <w:rFonts w:cs="Sylfaen"/>
          <w:b w:val="0"/>
          <w:szCs w:val="22"/>
          <w:lang w:val="hy-AM" w:eastAsia="en-US"/>
        </w:rPr>
        <w:t>արդյունաբերության</w:t>
      </w:r>
      <w:r w:rsidRPr="00961B35">
        <w:rPr>
          <w:rFonts w:cs="Sylfaen"/>
          <w:b w:val="0"/>
          <w:szCs w:val="22"/>
          <w:lang w:val="it-IT" w:eastAsia="en-US"/>
        </w:rPr>
        <w:t xml:space="preserve"> (</w:t>
      </w:r>
      <w:r w:rsidRPr="00961B35">
        <w:rPr>
          <w:rFonts w:cs="Sylfaen"/>
          <w:b w:val="0"/>
          <w:szCs w:val="22"/>
          <w:lang w:val="hy-AM" w:eastAsia="en-US"/>
        </w:rPr>
        <w:t>մասնավորապես՝ մշակող արդյունաբերության</w:t>
      </w:r>
      <w:r w:rsidRPr="00961B35">
        <w:rPr>
          <w:rFonts w:cs="Sylfaen"/>
          <w:b w:val="0"/>
          <w:szCs w:val="22"/>
          <w:lang w:val="it-IT" w:eastAsia="en-US"/>
        </w:rPr>
        <w:t>)</w:t>
      </w:r>
      <w:r w:rsidRPr="00961B35">
        <w:rPr>
          <w:rFonts w:cs="Sylfaen"/>
          <w:b w:val="0"/>
          <w:szCs w:val="22"/>
          <w:lang w:val="hy-AM" w:eastAsia="en-US"/>
        </w:rPr>
        <w:t xml:space="preserve"> </w:t>
      </w:r>
      <w:r w:rsidRPr="00961B35">
        <w:rPr>
          <w:rFonts w:cs="Sylfaen"/>
          <w:b w:val="0"/>
          <w:szCs w:val="22"/>
          <w:lang w:eastAsia="en-US"/>
        </w:rPr>
        <w:t>աճով</w:t>
      </w:r>
      <w:r w:rsidRPr="00961B35">
        <w:rPr>
          <w:rFonts w:cs="Sylfaen"/>
          <w:b w:val="0"/>
          <w:szCs w:val="22"/>
          <w:lang w:val="it-IT" w:eastAsia="en-US"/>
        </w:rPr>
        <w:t xml:space="preserve"> , իսկ ներմուծմանը՝ ներքին պահանջարկ</w:t>
      </w:r>
      <w:r w:rsidRPr="00961B35">
        <w:rPr>
          <w:rFonts w:cs="Sylfaen"/>
          <w:b w:val="0"/>
          <w:szCs w:val="22"/>
          <w:lang w:val="hy-AM" w:eastAsia="en-US"/>
        </w:rPr>
        <w:t xml:space="preserve">ի </w:t>
      </w:r>
      <w:r w:rsidRPr="00961B35">
        <w:rPr>
          <w:rFonts w:cs="Sylfaen"/>
          <w:b w:val="0"/>
          <w:szCs w:val="22"/>
          <w:lang w:val="it-IT" w:eastAsia="en-US"/>
        </w:rPr>
        <w:t>աճով և տնտեսական բարձր ակտիվությամբ:</w:t>
      </w:r>
    </w:p>
    <w:p w:rsidR="00961B35" w:rsidRPr="00961B35" w:rsidRDefault="00961B35" w:rsidP="00961B35">
      <w:pPr>
        <w:spacing w:before="0"/>
        <w:ind w:firstLine="450"/>
        <w:contextualSpacing w:val="0"/>
        <w:rPr>
          <w:rFonts w:cs="Sylfaen"/>
          <w:b w:val="0"/>
          <w:szCs w:val="22"/>
          <w:lang w:val="it-IT" w:eastAsia="en-US"/>
        </w:rPr>
      </w:pPr>
      <w:r w:rsidRPr="00961B35">
        <w:rPr>
          <w:rFonts w:cs="Sylfaen"/>
          <w:szCs w:val="22"/>
          <w:lang w:eastAsia="en-US"/>
        </w:rPr>
        <w:t>Կանխատեսում</w:t>
      </w:r>
      <w:r w:rsidRPr="00961B35">
        <w:rPr>
          <w:rFonts w:cs="Sylfaen"/>
          <w:szCs w:val="22"/>
          <w:lang w:val="it-IT" w:eastAsia="en-US"/>
        </w:rPr>
        <w:t xml:space="preserve">.  </w:t>
      </w:r>
      <w:r w:rsidRPr="00961B35">
        <w:rPr>
          <w:rFonts w:cs="Sylfaen"/>
          <w:b w:val="0"/>
          <w:szCs w:val="22"/>
          <w:lang w:val="it-IT" w:eastAsia="en-US"/>
        </w:rPr>
        <w:t xml:space="preserve">2019 թվականին կանխատեսվում է արտահանման 7.1% և ներմուծման 5.5% իրական աճ: </w:t>
      </w:r>
      <w:r w:rsidRPr="00961B35">
        <w:rPr>
          <w:rFonts w:cs="Sylfaen"/>
          <w:b w:val="0"/>
          <w:szCs w:val="22"/>
          <w:lang w:val="hy-AM" w:eastAsia="en-US"/>
        </w:rPr>
        <w:t>ՀՀ կառավարության կողմից վարվող արտահանման խրախուսման քաղաքականության արդյունքում</w:t>
      </w:r>
      <w:r w:rsidRPr="00961B35">
        <w:rPr>
          <w:rFonts w:cs="Sylfaen"/>
          <w:b w:val="0"/>
          <w:szCs w:val="22"/>
          <w:lang w:val="it-IT" w:eastAsia="en-US"/>
        </w:rPr>
        <w:t xml:space="preserve"> </w:t>
      </w:r>
      <w:r w:rsidRPr="00961B35">
        <w:rPr>
          <w:rFonts w:cs="Sylfaen"/>
          <w:b w:val="0"/>
          <w:szCs w:val="22"/>
          <w:lang w:val="hy-AM" w:eastAsia="en-US"/>
        </w:rPr>
        <w:t>արտահանելի հատվածում ներդրումների ավելացման</w:t>
      </w:r>
      <w:r w:rsidRPr="00961B35">
        <w:rPr>
          <w:rFonts w:cs="Sylfaen"/>
          <w:b w:val="0"/>
          <w:szCs w:val="22"/>
          <w:lang w:val="it-IT" w:eastAsia="en-US"/>
        </w:rPr>
        <w:t xml:space="preserve">, </w:t>
      </w:r>
      <w:r w:rsidRPr="00961B35">
        <w:rPr>
          <w:rFonts w:cs="Sylfaen"/>
          <w:b w:val="0"/>
          <w:szCs w:val="22"/>
          <w:lang w:val="en-US" w:eastAsia="en-US"/>
        </w:rPr>
        <w:t>ինչպես</w:t>
      </w:r>
      <w:r w:rsidRPr="00961B35">
        <w:rPr>
          <w:rFonts w:cs="Sylfaen"/>
          <w:b w:val="0"/>
          <w:szCs w:val="22"/>
          <w:lang w:val="it-IT" w:eastAsia="en-US"/>
        </w:rPr>
        <w:t xml:space="preserve"> </w:t>
      </w:r>
      <w:r w:rsidRPr="00961B35">
        <w:rPr>
          <w:rFonts w:cs="Sylfaen"/>
          <w:b w:val="0"/>
          <w:szCs w:val="22"/>
          <w:lang w:val="en-US" w:eastAsia="en-US"/>
        </w:rPr>
        <w:t>նաև</w:t>
      </w:r>
      <w:r w:rsidRPr="00961B35">
        <w:rPr>
          <w:rFonts w:cs="Sylfaen"/>
          <w:b w:val="0"/>
          <w:szCs w:val="22"/>
          <w:lang w:val="it-IT" w:eastAsia="en-US"/>
        </w:rPr>
        <w:t xml:space="preserve"> արտաքին պահանջարկի աճի պայմաններում 2020</w:t>
      </w:r>
      <w:r w:rsidRPr="00961B35">
        <w:rPr>
          <w:rFonts w:cs="Sylfaen"/>
          <w:b w:val="0"/>
          <w:szCs w:val="22"/>
          <w:lang w:val="hy-AM" w:eastAsia="en-US"/>
        </w:rPr>
        <w:t xml:space="preserve"> </w:t>
      </w:r>
      <w:r w:rsidRPr="00961B35">
        <w:rPr>
          <w:rFonts w:cs="Sylfaen"/>
          <w:b w:val="0"/>
          <w:szCs w:val="22"/>
          <w:lang w:val="it-IT" w:eastAsia="en-US"/>
        </w:rPr>
        <w:t>թ</w:t>
      </w:r>
      <w:r w:rsidRPr="00961B35">
        <w:rPr>
          <w:rFonts w:cs="Sylfaen"/>
          <w:b w:val="0"/>
          <w:szCs w:val="22"/>
          <w:lang w:val="hy-AM" w:eastAsia="en-US"/>
        </w:rPr>
        <w:t>վականին</w:t>
      </w:r>
      <w:r w:rsidRPr="00961B35">
        <w:rPr>
          <w:rFonts w:cs="Sylfaen"/>
          <w:b w:val="0"/>
          <w:szCs w:val="22"/>
          <w:lang w:val="it-IT" w:eastAsia="en-US"/>
        </w:rPr>
        <w:t xml:space="preserve"> կանխատեսվում է արտահանման 8.9% իրական աճ, իսկ տնօրինվող եկամտի աճի պայմաններում՝ ներմուծման շուրջ 5.2% իրական աճ: </w:t>
      </w:r>
    </w:p>
    <w:p w:rsidR="00961B35" w:rsidRPr="00961B35" w:rsidRDefault="00961B35" w:rsidP="00961B35">
      <w:pPr>
        <w:spacing w:before="0" w:line="276" w:lineRule="auto"/>
        <w:ind w:firstLine="450"/>
        <w:contextualSpacing w:val="0"/>
        <w:rPr>
          <w:rFonts w:cs="Sylfaen"/>
          <w:szCs w:val="22"/>
          <w:highlight w:val="yellow"/>
          <w:u w:val="single"/>
          <w:lang w:val="it-IT" w:eastAsia="en-US"/>
        </w:rPr>
      </w:pPr>
    </w:p>
    <w:p w:rsidR="00961B35" w:rsidRPr="00961B35" w:rsidRDefault="00961B35" w:rsidP="00961B35">
      <w:pPr>
        <w:spacing w:before="0" w:line="276" w:lineRule="auto"/>
        <w:ind w:firstLine="720"/>
        <w:contextualSpacing w:val="0"/>
        <w:rPr>
          <w:rFonts w:cs="Sylfaen"/>
          <w:szCs w:val="22"/>
          <w:u w:val="single"/>
          <w:lang w:val="it-IT" w:eastAsia="en-US"/>
        </w:rPr>
      </w:pPr>
      <w:r w:rsidRPr="00961B35">
        <w:rPr>
          <w:rFonts w:cs="Sylfaen"/>
          <w:szCs w:val="22"/>
          <w:u w:val="single"/>
          <w:lang w:val="en-US" w:eastAsia="en-US"/>
        </w:rPr>
        <w:t>Աղյուսակ</w:t>
      </w:r>
      <w:r w:rsidRPr="00961B35">
        <w:rPr>
          <w:rFonts w:cs="Sylfaen"/>
          <w:szCs w:val="22"/>
          <w:u w:val="single"/>
          <w:lang w:val="it-IT" w:eastAsia="en-US"/>
        </w:rPr>
        <w:t xml:space="preserve"> 1.3.1. </w:t>
      </w:r>
      <w:r w:rsidRPr="00961B35">
        <w:rPr>
          <w:rFonts w:cs="Sylfaen"/>
          <w:szCs w:val="22"/>
          <w:u w:val="single"/>
          <w:lang w:val="en-US" w:eastAsia="en-US"/>
        </w:rPr>
        <w:t>ՀՆԱ</w:t>
      </w:r>
      <w:r w:rsidRPr="00961B35">
        <w:rPr>
          <w:rFonts w:cs="Sylfaen"/>
          <w:szCs w:val="22"/>
          <w:u w:val="single"/>
          <w:lang w:val="it-IT" w:eastAsia="en-US"/>
        </w:rPr>
        <w:t>-</w:t>
      </w:r>
      <w:r w:rsidRPr="00961B35">
        <w:rPr>
          <w:rFonts w:cs="Sylfaen"/>
          <w:szCs w:val="22"/>
          <w:u w:val="single"/>
          <w:lang w:val="en-US" w:eastAsia="en-US"/>
        </w:rPr>
        <w:t>ի</w:t>
      </w:r>
      <w:r w:rsidRPr="00961B35">
        <w:rPr>
          <w:rFonts w:cs="Sylfaen"/>
          <w:szCs w:val="22"/>
          <w:u w:val="single"/>
          <w:lang w:val="it-IT" w:eastAsia="en-US"/>
        </w:rPr>
        <w:t xml:space="preserve"> </w:t>
      </w:r>
      <w:r w:rsidRPr="00961B35">
        <w:rPr>
          <w:rFonts w:cs="Sylfaen"/>
          <w:szCs w:val="22"/>
          <w:u w:val="single"/>
          <w:lang w:val="en-US" w:eastAsia="en-US"/>
        </w:rPr>
        <w:t>ծախսային</w:t>
      </w:r>
      <w:r w:rsidRPr="00961B35">
        <w:rPr>
          <w:rFonts w:cs="Sylfaen"/>
          <w:szCs w:val="22"/>
          <w:u w:val="single"/>
          <w:lang w:val="it-IT" w:eastAsia="en-US"/>
        </w:rPr>
        <w:t xml:space="preserve"> </w:t>
      </w:r>
      <w:r w:rsidRPr="00961B35">
        <w:rPr>
          <w:rFonts w:cs="Sylfaen"/>
          <w:szCs w:val="22"/>
          <w:u w:val="single"/>
          <w:lang w:val="en-US" w:eastAsia="en-US"/>
        </w:rPr>
        <w:t>բաղադրիչների</w:t>
      </w:r>
      <w:r w:rsidRPr="00961B35">
        <w:rPr>
          <w:rFonts w:cs="Sylfaen"/>
          <w:szCs w:val="22"/>
          <w:u w:val="single"/>
          <w:lang w:val="it-IT" w:eastAsia="en-US"/>
        </w:rPr>
        <w:t xml:space="preserve"> </w:t>
      </w:r>
      <w:r w:rsidRPr="00961B35">
        <w:rPr>
          <w:rFonts w:cs="Sylfaen"/>
          <w:szCs w:val="22"/>
          <w:u w:val="single"/>
          <w:lang w:val="en-US" w:eastAsia="en-US"/>
        </w:rPr>
        <w:t>իրական</w:t>
      </w:r>
      <w:r w:rsidRPr="00961B35">
        <w:rPr>
          <w:rFonts w:cs="Sylfaen"/>
          <w:szCs w:val="22"/>
          <w:u w:val="single"/>
          <w:lang w:val="it-IT" w:eastAsia="en-US"/>
        </w:rPr>
        <w:t xml:space="preserve"> </w:t>
      </w:r>
      <w:r w:rsidRPr="00961B35">
        <w:rPr>
          <w:rFonts w:cs="Sylfaen"/>
          <w:szCs w:val="22"/>
          <w:u w:val="single"/>
          <w:lang w:val="en-US" w:eastAsia="en-US"/>
        </w:rPr>
        <w:t>աճերը</w:t>
      </w:r>
      <w:r w:rsidRPr="00961B35">
        <w:rPr>
          <w:rFonts w:cs="Sylfaen"/>
          <w:szCs w:val="22"/>
          <w:u w:val="single"/>
          <w:lang w:val="it-IT" w:eastAsia="en-US"/>
        </w:rPr>
        <w:t xml:space="preserve">, </w:t>
      </w:r>
      <w:r w:rsidRPr="00961B35">
        <w:rPr>
          <w:rFonts w:cs="Sylfaen"/>
          <w:szCs w:val="22"/>
          <w:u w:val="single"/>
          <w:lang w:val="en-US" w:eastAsia="en-US"/>
        </w:rPr>
        <w:t>տոկոս</w:t>
      </w:r>
    </w:p>
    <w:tbl>
      <w:tblPr>
        <w:tblStyle w:val="Style211"/>
        <w:tblW w:w="4739" w:type="pct"/>
        <w:tblInd w:w="558" w:type="dxa"/>
        <w:tblLook w:val="04A0" w:firstRow="1" w:lastRow="0" w:firstColumn="1" w:lastColumn="0" w:noHBand="0" w:noVBand="1"/>
      </w:tblPr>
      <w:tblGrid>
        <w:gridCol w:w="2715"/>
        <w:gridCol w:w="1175"/>
        <w:gridCol w:w="1306"/>
        <w:gridCol w:w="1279"/>
        <w:gridCol w:w="1337"/>
        <w:gridCol w:w="1321"/>
      </w:tblGrid>
      <w:tr w:rsidR="00961B35" w:rsidRPr="00961B35" w:rsidTr="00E52D4A">
        <w:trPr>
          <w:cnfStyle w:val="100000000000" w:firstRow="1" w:lastRow="0" w:firstColumn="0" w:lastColumn="0" w:oddVBand="0" w:evenVBand="0" w:oddHBand="0" w:evenHBand="0" w:firstRowFirstColumn="0" w:firstRowLastColumn="0" w:lastRowFirstColumn="0" w:lastRowLastColumn="0"/>
          <w:trHeight w:val="272"/>
        </w:trPr>
        <w:tc>
          <w:tcPr>
            <w:cnfStyle w:val="000000000100" w:firstRow="0" w:lastRow="0" w:firstColumn="0" w:lastColumn="0" w:oddVBand="0" w:evenVBand="0" w:oddHBand="0" w:evenHBand="0" w:firstRowFirstColumn="1" w:firstRowLastColumn="0" w:lastRowFirstColumn="0" w:lastRowLastColumn="0"/>
            <w:tcW w:w="1487" w:type="pct"/>
            <w:tcBorders>
              <w:top w:val="single" w:sz="12" w:space="0" w:color="000000"/>
              <w:left w:val="single" w:sz="12" w:space="0" w:color="000000"/>
              <w:bottom w:val="single" w:sz="6" w:space="0" w:color="000000"/>
              <w:right w:val="single" w:sz="6" w:space="0" w:color="000000"/>
            </w:tcBorders>
            <w:noWrap/>
          </w:tcPr>
          <w:p w:rsidR="00961B35" w:rsidRPr="00961B35" w:rsidRDefault="00961B35" w:rsidP="00961B35">
            <w:pPr>
              <w:spacing w:before="0" w:line="276" w:lineRule="auto"/>
              <w:ind w:firstLine="450"/>
              <w:contextualSpacing w:val="0"/>
              <w:jc w:val="left"/>
              <w:rPr>
                <w:rFonts w:cs="Sylfaen"/>
                <w:szCs w:val="22"/>
                <w:highlight w:val="yellow"/>
                <w:lang w:val="it-IT" w:eastAsia="en-US"/>
              </w:rPr>
            </w:pPr>
          </w:p>
        </w:tc>
        <w:tc>
          <w:tcPr>
            <w:tcW w:w="643" w:type="pct"/>
            <w:tcBorders>
              <w:top w:val="single" w:sz="12" w:space="0" w:color="000000"/>
              <w:left w:val="single" w:sz="6" w:space="0" w:color="000000"/>
              <w:bottom w:val="single" w:sz="6" w:space="0" w:color="000000"/>
              <w:right w:val="single" w:sz="6" w:space="0" w:color="000000"/>
            </w:tcBorders>
            <w:vAlign w:val="center"/>
          </w:tcPr>
          <w:p w:rsidR="00961B35" w:rsidRPr="00961B35" w:rsidDel="00FA66C3" w:rsidRDefault="00961B35" w:rsidP="00961B35">
            <w:pPr>
              <w:spacing w:before="0" w:line="276" w:lineRule="auto"/>
              <w:ind w:firstLine="0"/>
              <w:contextualSpacing w:val="0"/>
              <w:jc w:val="center"/>
              <w:cnfStyle w:val="100000000000" w:firstRow="1" w:lastRow="0" w:firstColumn="0" w:lastColumn="0" w:oddVBand="0" w:evenVBand="0" w:oddHBand="0" w:evenHBand="0" w:firstRowFirstColumn="0" w:firstRowLastColumn="0" w:lastRowFirstColumn="0" w:lastRowLastColumn="0"/>
              <w:rPr>
                <w:rFonts w:cs="Sylfaen"/>
                <w:szCs w:val="22"/>
                <w:lang w:val="it-IT" w:eastAsia="en-US"/>
              </w:rPr>
            </w:pPr>
            <w:r w:rsidRPr="00961B35">
              <w:rPr>
                <w:rFonts w:cs="Sylfaen"/>
                <w:szCs w:val="22"/>
                <w:lang w:val="it-IT" w:eastAsia="en-US"/>
              </w:rPr>
              <w:t>2016</w:t>
            </w:r>
          </w:p>
        </w:tc>
        <w:tc>
          <w:tcPr>
            <w:tcW w:w="715" w:type="pct"/>
            <w:tcBorders>
              <w:top w:val="single" w:sz="12" w:space="0" w:color="000000"/>
              <w:left w:val="single" w:sz="6" w:space="0" w:color="000000"/>
              <w:bottom w:val="single" w:sz="6" w:space="0" w:color="000000"/>
              <w:right w:val="single" w:sz="6" w:space="0" w:color="000000"/>
            </w:tcBorders>
            <w:vAlign w:val="center"/>
          </w:tcPr>
          <w:p w:rsidR="00961B35" w:rsidRPr="00961B35" w:rsidDel="00FA66C3" w:rsidRDefault="00961B35" w:rsidP="00961B35">
            <w:pPr>
              <w:spacing w:before="0" w:line="276" w:lineRule="auto"/>
              <w:ind w:firstLine="0"/>
              <w:contextualSpacing w:val="0"/>
              <w:jc w:val="center"/>
              <w:cnfStyle w:val="100000000000" w:firstRow="1" w:lastRow="0" w:firstColumn="0" w:lastColumn="0" w:oddVBand="0" w:evenVBand="0" w:oddHBand="0" w:evenHBand="0" w:firstRowFirstColumn="0" w:firstRowLastColumn="0" w:lastRowFirstColumn="0" w:lastRowLastColumn="0"/>
              <w:rPr>
                <w:rFonts w:cs="Sylfaen"/>
                <w:szCs w:val="22"/>
                <w:lang w:val="it-IT" w:eastAsia="en-US"/>
              </w:rPr>
            </w:pPr>
            <w:r w:rsidRPr="00961B35">
              <w:rPr>
                <w:rFonts w:cs="Sylfaen"/>
                <w:szCs w:val="22"/>
                <w:lang w:val="it-IT" w:eastAsia="en-US"/>
              </w:rPr>
              <w:t>2017</w:t>
            </w:r>
          </w:p>
        </w:tc>
        <w:tc>
          <w:tcPr>
            <w:tcW w:w="700" w:type="pct"/>
            <w:tcBorders>
              <w:top w:val="single" w:sz="12" w:space="0" w:color="000000"/>
              <w:left w:val="single" w:sz="6" w:space="0" w:color="000000"/>
              <w:bottom w:val="single" w:sz="6" w:space="0" w:color="000000"/>
              <w:right w:val="single" w:sz="6" w:space="0" w:color="000000"/>
            </w:tcBorders>
            <w:vAlign w:val="center"/>
          </w:tcPr>
          <w:p w:rsidR="00961B35" w:rsidRPr="00961B35" w:rsidDel="00FA66C3" w:rsidRDefault="00961B35" w:rsidP="00961B35">
            <w:pPr>
              <w:spacing w:before="0" w:line="276" w:lineRule="auto"/>
              <w:ind w:firstLine="0"/>
              <w:contextualSpacing w:val="0"/>
              <w:jc w:val="center"/>
              <w:cnfStyle w:val="100000000000" w:firstRow="1" w:lastRow="0" w:firstColumn="0" w:lastColumn="0" w:oddVBand="0" w:evenVBand="0" w:oddHBand="0" w:evenHBand="0" w:firstRowFirstColumn="0" w:firstRowLastColumn="0" w:lastRowFirstColumn="0" w:lastRowLastColumn="0"/>
              <w:rPr>
                <w:rFonts w:cs="Sylfaen"/>
                <w:szCs w:val="22"/>
                <w:lang w:val="it-IT" w:eastAsia="en-US"/>
              </w:rPr>
            </w:pPr>
            <w:r w:rsidRPr="00961B35">
              <w:rPr>
                <w:rFonts w:cs="Sylfaen"/>
                <w:szCs w:val="22"/>
                <w:lang w:val="it-IT" w:eastAsia="en-US"/>
              </w:rPr>
              <w:t>2018</w:t>
            </w:r>
          </w:p>
        </w:tc>
        <w:tc>
          <w:tcPr>
            <w:tcW w:w="732" w:type="pct"/>
            <w:tcBorders>
              <w:top w:val="single" w:sz="12" w:space="0" w:color="000000"/>
              <w:left w:val="single" w:sz="6" w:space="0" w:color="000000"/>
              <w:bottom w:val="single" w:sz="6" w:space="0" w:color="000000"/>
              <w:right w:val="single" w:sz="6" w:space="0" w:color="000000"/>
            </w:tcBorders>
            <w:noWrap/>
            <w:vAlign w:val="center"/>
          </w:tcPr>
          <w:p w:rsidR="00961B35" w:rsidRPr="00961B35" w:rsidRDefault="00961B35" w:rsidP="00961B35">
            <w:pPr>
              <w:spacing w:before="0" w:line="276" w:lineRule="auto"/>
              <w:ind w:firstLine="0"/>
              <w:contextualSpacing w:val="0"/>
              <w:jc w:val="center"/>
              <w:cnfStyle w:val="100000000000" w:firstRow="1" w:lastRow="0" w:firstColumn="0" w:lastColumn="0" w:oddVBand="0" w:evenVBand="0" w:oddHBand="0" w:evenHBand="0" w:firstRowFirstColumn="0" w:firstRowLastColumn="0" w:lastRowFirstColumn="0" w:lastRowLastColumn="0"/>
              <w:rPr>
                <w:rFonts w:cs="Sylfaen"/>
                <w:szCs w:val="22"/>
                <w:lang w:val="it-IT" w:eastAsia="en-US"/>
              </w:rPr>
            </w:pPr>
            <w:r w:rsidRPr="00961B35">
              <w:rPr>
                <w:rFonts w:cs="Sylfaen"/>
                <w:szCs w:val="22"/>
                <w:lang w:val="it-IT" w:eastAsia="en-US"/>
              </w:rPr>
              <w:t>2019*</w:t>
            </w:r>
          </w:p>
        </w:tc>
        <w:tc>
          <w:tcPr>
            <w:tcW w:w="723" w:type="pct"/>
            <w:tcBorders>
              <w:top w:val="single" w:sz="12" w:space="0" w:color="000000"/>
              <w:left w:val="single" w:sz="6" w:space="0" w:color="000000"/>
              <w:bottom w:val="single" w:sz="6" w:space="0" w:color="000000"/>
              <w:right w:val="single" w:sz="12" w:space="0" w:color="000000"/>
            </w:tcBorders>
            <w:vAlign w:val="center"/>
            <w:hideMark/>
          </w:tcPr>
          <w:p w:rsidR="00961B35" w:rsidRPr="00961B35" w:rsidRDefault="00961B35" w:rsidP="00961B35">
            <w:pPr>
              <w:spacing w:before="0" w:line="276" w:lineRule="auto"/>
              <w:ind w:firstLine="0"/>
              <w:contextualSpacing w:val="0"/>
              <w:jc w:val="center"/>
              <w:cnfStyle w:val="100000000000" w:firstRow="1" w:lastRow="0" w:firstColumn="0" w:lastColumn="0" w:oddVBand="0" w:evenVBand="0" w:oddHBand="0" w:evenHBand="0" w:firstRowFirstColumn="0" w:firstRowLastColumn="0" w:lastRowFirstColumn="0" w:lastRowLastColumn="0"/>
              <w:rPr>
                <w:rFonts w:cs="Sylfaen"/>
                <w:szCs w:val="22"/>
                <w:lang w:val="it-IT" w:eastAsia="en-US"/>
              </w:rPr>
            </w:pPr>
            <w:r w:rsidRPr="00961B35">
              <w:rPr>
                <w:rFonts w:cs="Sylfaen"/>
                <w:szCs w:val="22"/>
                <w:lang w:val="it-IT" w:eastAsia="en-US"/>
              </w:rPr>
              <w:t>20</w:t>
            </w:r>
            <w:r w:rsidRPr="00961B35">
              <w:rPr>
                <w:rFonts w:cs="Sylfaen"/>
                <w:szCs w:val="22"/>
                <w:lang w:val="hy-AM" w:eastAsia="en-US"/>
              </w:rPr>
              <w:t>20</w:t>
            </w:r>
            <w:r w:rsidRPr="00961B35">
              <w:rPr>
                <w:rFonts w:cs="Sylfaen"/>
                <w:szCs w:val="22"/>
                <w:lang w:val="it-IT" w:eastAsia="en-US"/>
              </w:rPr>
              <w:t>*</w:t>
            </w:r>
          </w:p>
        </w:tc>
      </w:tr>
      <w:tr w:rsidR="00961B35" w:rsidRPr="00961B35" w:rsidTr="00E52D4A">
        <w:trPr>
          <w:trHeight w:val="191"/>
        </w:trPr>
        <w:tc>
          <w:tcPr>
            <w:tcW w:w="1487" w:type="pct"/>
            <w:tcBorders>
              <w:top w:val="single" w:sz="6" w:space="0" w:color="000000"/>
              <w:left w:val="single" w:sz="12" w:space="0" w:color="000000"/>
              <w:bottom w:val="single" w:sz="6" w:space="0" w:color="000000"/>
              <w:right w:val="single" w:sz="6" w:space="0" w:color="000000"/>
            </w:tcBorders>
            <w:noWrap/>
          </w:tcPr>
          <w:p w:rsidR="00961B35" w:rsidRPr="00961B35" w:rsidRDefault="00961B35" w:rsidP="00961B35">
            <w:pPr>
              <w:spacing w:before="0" w:line="276" w:lineRule="auto"/>
              <w:ind w:firstLine="450"/>
              <w:contextualSpacing w:val="0"/>
              <w:jc w:val="left"/>
              <w:rPr>
                <w:rFonts w:cs="Sylfaen"/>
                <w:szCs w:val="22"/>
                <w:highlight w:val="yellow"/>
                <w:lang w:val="it-IT" w:eastAsia="en-US"/>
              </w:rPr>
            </w:pPr>
          </w:p>
        </w:tc>
        <w:tc>
          <w:tcPr>
            <w:tcW w:w="643" w:type="pct"/>
            <w:tcBorders>
              <w:top w:val="single" w:sz="6" w:space="0" w:color="000000"/>
              <w:left w:val="single" w:sz="6" w:space="0" w:color="000000"/>
              <w:bottom w:val="single" w:sz="6" w:space="0" w:color="000000"/>
              <w:right w:val="single" w:sz="6" w:space="0" w:color="000000"/>
            </w:tcBorders>
            <w:vAlign w:val="center"/>
          </w:tcPr>
          <w:p w:rsidR="00961B35" w:rsidRPr="00961B35" w:rsidDel="00FA66C3" w:rsidRDefault="00961B35" w:rsidP="00961B35">
            <w:pPr>
              <w:spacing w:before="0" w:line="276" w:lineRule="auto"/>
              <w:ind w:firstLine="0"/>
              <w:contextualSpacing w:val="0"/>
              <w:jc w:val="center"/>
              <w:rPr>
                <w:rFonts w:cs="Sylfaen"/>
                <w:szCs w:val="22"/>
                <w:lang w:val="en-US" w:eastAsia="en-US"/>
              </w:rPr>
            </w:pPr>
            <w:r w:rsidRPr="00961B35">
              <w:rPr>
                <w:rFonts w:cs="Sylfaen"/>
                <w:szCs w:val="22"/>
                <w:lang w:val="en-US" w:eastAsia="en-US"/>
              </w:rPr>
              <w:t>փաստ.</w:t>
            </w:r>
          </w:p>
        </w:tc>
        <w:tc>
          <w:tcPr>
            <w:tcW w:w="715" w:type="pct"/>
            <w:tcBorders>
              <w:top w:val="single" w:sz="6" w:space="0" w:color="000000"/>
              <w:left w:val="single" w:sz="6" w:space="0" w:color="000000"/>
              <w:bottom w:val="single" w:sz="6" w:space="0" w:color="000000"/>
              <w:right w:val="single" w:sz="6" w:space="0" w:color="000000"/>
            </w:tcBorders>
            <w:vAlign w:val="center"/>
          </w:tcPr>
          <w:p w:rsidR="00961B35" w:rsidRPr="00961B35" w:rsidDel="00FA66C3" w:rsidRDefault="00961B35" w:rsidP="00961B35">
            <w:pPr>
              <w:spacing w:before="0" w:line="276" w:lineRule="auto"/>
              <w:ind w:firstLine="0"/>
              <w:contextualSpacing w:val="0"/>
              <w:jc w:val="center"/>
              <w:rPr>
                <w:rFonts w:cs="Sylfaen"/>
                <w:szCs w:val="22"/>
                <w:lang w:val="en-US" w:eastAsia="en-US"/>
              </w:rPr>
            </w:pPr>
            <w:r w:rsidRPr="00961B35">
              <w:rPr>
                <w:rFonts w:cs="Sylfaen"/>
                <w:szCs w:val="22"/>
                <w:lang w:val="en-US" w:eastAsia="en-US"/>
              </w:rPr>
              <w:t>փաստ.</w:t>
            </w:r>
          </w:p>
        </w:tc>
        <w:tc>
          <w:tcPr>
            <w:tcW w:w="700" w:type="pct"/>
            <w:tcBorders>
              <w:top w:val="single" w:sz="6" w:space="0" w:color="000000"/>
              <w:left w:val="single" w:sz="6" w:space="0" w:color="000000"/>
              <w:bottom w:val="single" w:sz="6" w:space="0" w:color="000000"/>
              <w:right w:val="single" w:sz="6" w:space="0" w:color="000000"/>
            </w:tcBorders>
            <w:vAlign w:val="center"/>
          </w:tcPr>
          <w:p w:rsidR="00961B35" w:rsidRPr="00961B35" w:rsidDel="00FA66C3" w:rsidRDefault="00961B35" w:rsidP="00961B35">
            <w:pPr>
              <w:spacing w:before="0" w:line="276" w:lineRule="auto"/>
              <w:ind w:firstLine="0"/>
              <w:contextualSpacing w:val="0"/>
              <w:jc w:val="center"/>
              <w:rPr>
                <w:rFonts w:cs="Sylfaen"/>
                <w:szCs w:val="22"/>
                <w:lang w:val="en-US" w:eastAsia="en-US"/>
              </w:rPr>
            </w:pPr>
            <w:r w:rsidRPr="00961B35">
              <w:rPr>
                <w:rFonts w:cs="Sylfaen"/>
                <w:szCs w:val="22"/>
                <w:lang w:val="en-US" w:eastAsia="en-US"/>
              </w:rPr>
              <w:t>փաստ.</w:t>
            </w:r>
          </w:p>
        </w:tc>
        <w:tc>
          <w:tcPr>
            <w:tcW w:w="732" w:type="pct"/>
            <w:tcBorders>
              <w:top w:val="single" w:sz="6" w:space="0" w:color="000000"/>
              <w:left w:val="single" w:sz="6" w:space="0" w:color="000000"/>
              <w:bottom w:val="single" w:sz="6" w:space="0" w:color="000000"/>
              <w:right w:val="single" w:sz="6" w:space="0" w:color="000000"/>
            </w:tcBorders>
            <w:noWrap/>
            <w:vAlign w:val="center"/>
          </w:tcPr>
          <w:p w:rsidR="00961B35" w:rsidRPr="00961B35" w:rsidRDefault="00961B35" w:rsidP="00961B35">
            <w:pPr>
              <w:spacing w:before="0" w:line="276" w:lineRule="auto"/>
              <w:ind w:firstLine="0"/>
              <w:contextualSpacing w:val="0"/>
              <w:jc w:val="center"/>
              <w:rPr>
                <w:bCs/>
                <w:szCs w:val="22"/>
                <w:lang w:val="it-IT" w:eastAsia="en-US"/>
              </w:rPr>
            </w:pPr>
            <w:r w:rsidRPr="00961B35">
              <w:rPr>
                <w:rFonts w:cs="Sylfaen"/>
                <w:szCs w:val="22"/>
                <w:lang w:val="en-US" w:eastAsia="en-US"/>
              </w:rPr>
              <w:t>կանխ.</w:t>
            </w:r>
          </w:p>
        </w:tc>
        <w:tc>
          <w:tcPr>
            <w:tcW w:w="723" w:type="pct"/>
            <w:tcBorders>
              <w:top w:val="single" w:sz="6" w:space="0" w:color="000000"/>
              <w:left w:val="single" w:sz="6" w:space="0" w:color="000000"/>
              <w:bottom w:val="single" w:sz="6" w:space="0" w:color="000000"/>
              <w:right w:val="single" w:sz="12" w:space="0" w:color="000000"/>
            </w:tcBorders>
            <w:vAlign w:val="center"/>
            <w:hideMark/>
          </w:tcPr>
          <w:p w:rsidR="00961B35" w:rsidRPr="00961B35" w:rsidRDefault="00961B35" w:rsidP="00961B35">
            <w:pPr>
              <w:spacing w:before="0" w:line="276" w:lineRule="auto"/>
              <w:ind w:firstLine="0"/>
              <w:contextualSpacing w:val="0"/>
              <w:jc w:val="center"/>
              <w:rPr>
                <w:rFonts w:cs="Sylfaen"/>
                <w:szCs w:val="22"/>
                <w:lang w:val="en-US" w:eastAsia="en-US"/>
              </w:rPr>
            </w:pPr>
            <w:r w:rsidRPr="00961B35">
              <w:rPr>
                <w:rFonts w:cs="Sylfaen"/>
                <w:szCs w:val="22"/>
                <w:lang w:val="en-US" w:eastAsia="en-US"/>
              </w:rPr>
              <w:t>կանխ.</w:t>
            </w:r>
          </w:p>
        </w:tc>
      </w:tr>
      <w:tr w:rsidR="00961B35" w:rsidRPr="00961B35" w:rsidTr="00E52D4A">
        <w:trPr>
          <w:trHeight w:val="191"/>
        </w:trPr>
        <w:tc>
          <w:tcPr>
            <w:tcW w:w="1487" w:type="pct"/>
            <w:tcBorders>
              <w:top w:val="single" w:sz="6" w:space="0" w:color="000000"/>
              <w:left w:val="single" w:sz="12" w:space="0" w:color="000000"/>
              <w:bottom w:val="single" w:sz="6" w:space="0" w:color="000000"/>
              <w:right w:val="single" w:sz="6" w:space="0" w:color="000000"/>
            </w:tcBorders>
            <w:noWrap/>
            <w:hideMark/>
          </w:tcPr>
          <w:p w:rsidR="00961B35" w:rsidRPr="00961B35" w:rsidRDefault="00961B35" w:rsidP="00961B35">
            <w:pPr>
              <w:spacing w:before="0" w:line="276" w:lineRule="auto"/>
              <w:ind w:firstLine="9"/>
              <w:contextualSpacing w:val="0"/>
              <w:jc w:val="left"/>
              <w:rPr>
                <w:rFonts w:cs="Sylfaen"/>
                <w:szCs w:val="22"/>
                <w:lang w:val="it-IT" w:eastAsia="en-US"/>
              </w:rPr>
            </w:pPr>
            <w:r w:rsidRPr="00961B35">
              <w:rPr>
                <w:rFonts w:cs="Sylfaen"/>
                <w:szCs w:val="22"/>
                <w:lang w:val="en-US" w:eastAsia="en-US"/>
              </w:rPr>
              <w:t>Սպառում</w:t>
            </w:r>
          </w:p>
        </w:tc>
        <w:tc>
          <w:tcPr>
            <w:tcW w:w="643" w:type="pct"/>
            <w:tcBorders>
              <w:top w:val="single" w:sz="6" w:space="0" w:color="000000"/>
              <w:left w:val="single" w:sz="6" w:space="0" w:color="000000"/>
              <w:bottom w:val="single" w:sz="6" w:space="0" w:color="000000"/>
              <w:right w:val="single" w:sz="6" w:space="0" w:color="000000"/>
            </w:tcBorders>
          </w:tcPr>
          <w:p w:rsidR="00961B35" w:rsidRPr="00961B35" w:rsidDel="00FA66C3" w:rsidRDefault="00961B35" w:rsidP="00961B35">
            <w:pPr>
              <w:spacing w:before="0" w:line="276" w:lineRule="auto"/>
              <w:ind w:firstLine="0"/>
              <w:contextualSpacing w:val="0"/>
              <w:jc w:val="center"/>
              <w:rPr>
                <w:szCs w:val="22"/>
                <w:lang w:val="en-US" w:eastAsia="en-US"/>
              </w:rPr>
            </w:pPr>
            <w:r w:rsidRPr="00961B35">
              <w:rPr>
                <w:szCs w:val="22"/>
                <w:lang w:val="en-US" w:eastAsia="en-US"/>
              </w:rPr>
              <w:t>-1.2</w:t>
            </w:r>
          </w:p>
        </w:tc>
        <w:tc>
          <w:tcPr>
            <w:tcW w:w="715" w:type="pct"/>
            <w:tcBorders>
              <w:top w:val="single" w:sz="6" w:space="0" w:color="000000"/>
              <w:left w:val="single" w:sz="6" w:space="0" w:color="000000"/>
              <w:bottom w:val="single" w:sz="6" w:space="0" w:color="000000"/>
              <w:right w:val="single" w:sz="6" w:space="0" w:color="000000"/>
            </w:tcBorders>
          </w:tcPr>
          <w:p w:rsidR="00961B35" w:rsidRPr="00961B35" w:rsidDel="00FA66C3" w:rsidRDefault="00961B35" w:rsidP="00961B35">
            <w:pPr>
              <w:spacing w:before="0" w:line="276" w:lineRule="auto"/>
              <w:ind w:firstLine="0"/>
              <w:contextualSpacing w:val="0"/>
              <w:jc w:val="center"/>
              <w:rPr>
                <w:szCs w:val="22"/>
                <w:lang w:val="hy-AM" w:eastAsia="en-US"/>
              </w:rPr>
            </w:pPr>
            <w:r w:rsidRPr="00961B35">
              <w:rPr>
                <w:szCs w:val="22"/>
                <w:lang w:val="hy-AM" w:eastAsia="en-US"/>
              </w:rPr>
              <w:t>10</w:t>
            </w:r>
            <w:r w:rsidRPr="00961B35">
              <w:rPr>
                <w:szCs w:val="22"/>
                <w:lang w:val="en-US" w:eastAsia="en-US"/>
              </w:rPr>
              <w:t>.</w:t>
            </w:r>
            <w:r w:rsidRPr="00961B35">
              <w:rPr>
                <w:szCs w:val="22"/>
                <w:lang w:val="hy-AM" w:eastAsia="en-US"/>
              </w:rPr>
              <w:t>5</w:t>
            </w:r>
          </w:p>
        </w:tc>
        <w:tc>
          <w:tcPr>
            <w:tcW w:w="700" w:type="pct"/>
            <w:tcBorders>
              <w:top w:val="single" w:sz="6" w:space="0" w:color="000000"/>
              <w:left w:val="single" w:sz="6" w:space="0" w:color="000000"/>
              <w:bottom w:val="single" w:sz="6" w:space="0" w:color="000000"/>
              <w:right w:val="single" w:sz="6" w:space="0" w:color="000000"/>
            </w:tcBorders>
          </w:tcPr>
          <w:p w:rsidR="00961B35" w:rsidRPr="00961B35" w:rsidDel="00FA66C3" w:rsidRDefault="00961B35" w:rsidP="00961B35">
            <w:pPr>
              <w:spacing w:before="0" w:line="276" w:lineRule="auto"/>
              <w:ind w:firstLine="0"/>
              <w:contextualSpacing w:val="0"/>
              <w:jc w:val="center"/>
              <w:rPr>
                <w:szCs w:val="22"/>
                <w:lang w:val="hy-AM" w:eastAsia="en-US"/>
              </w:rPr>
            </w:pPr>
            <w:r w:rsidRPr="00961B35">
              <w:rPr>
                <w:szCs w:val="22"/>
                <w:lang w:val="hy-AM" w:eastAsia="en-US"/>
              </w:rPr>
              <w:t>5</w:t>
            </w:r>
            <w:r w:rsidRPr="00961B35">
              <w:rPr>
                <w:szCs w:val="22"/>
                <w:lang w:val="en-US" w:eastAsia="en-US"/>
              </w:rPr>
              <w:t>.</w:t>
            </w:r>
            <w:r w:rsidRPr="00961B35">
              <w:rPr>
                <w:szCs w:val="22"/>
                <w:lang w:val="hy-AM" w:eastAsia="en-US"/>
              </w:rPr>
              <w:t>1</w:t>
            </w:r>
          </w:p>
        </w:tc>
        <w:tc>
          <w:tcPr>
            <w:tcW w:w="732" w:type="pct"/>
            <w:tcBorders>
              <w:top w:val="single" w:sz="6" w:space="0" w:color="000000"/>
              <w:left w:val="single" w:sz="6" w:space="0" w:color="000000"/>
              <w:bottom w:val="single" w:sz="6" w:space="0" w:color="000000"/>
              <w:right w:val="single" w:sz="6" w:space="0" w:color="000000"/>
            </w:tcBorders>
            <w:noWrap/>
          </w:tcPr>
          <w:p w:rsidR="00961B35" w:rsidRPr="00961B35" w:rsidRDefault="00961B35" w:rsidP="00961B35">
            <w:pPr>
              <w:spacing w:before="0" w:line="276" w:lineRule="auto"/>
              <w:ind w:firstLine="0"/>
              <w:contextualSpacing w:val="0"/>
              <w:jc w:val="center"/>
              <w:rPr>
                <w:szCs w:val="22"/>
                <w:lang w:val="en-US" w:eastAsia="en-US"/>
              </w:rPr>
            </w:pPr>
            <w:r w:rsidRPr="00961B35">
              <w:rPr>
                <w:szCs w:val="22"/>
                <w:lang w:val="en-US" w:eastAsia="en-US"/>
              </w:rPr>
              <w:t>7.6</w:t>
            </w:r>
          </w:p>
        </w:tc>
        <w:tc>
          <w:tcPr>
            <w:tcW w:w="723" w:type="pct"/>
            <w:tcBorders>
              <w:top w:val="single" w:sz="6" w:space="0" w:color="000000"/>
              <w:left w:val="single" w:sz="6" w:space="0" w:color="000000"/>
              <w:bottom w:val="single" w:sz="6" w:space="0" w:color="000000"/>
              <w:right w:val="single" w:sz="12" w:space="0" w:color="000000"/>
            </w:tcBorders>
          </w:tcPr>
          <w:p w:rsidR="00961B35" w:rsidRPr="00961B35" w:rsidRDefault="00961B35" w:rsidP="00961B35">
            <w:pPr>
              <w:spacing w:before="0" w:line="276" w:lineRule="auto"/>
              <w:ind w:firstLine="0"/>
              <w:contextualSpacing w:val="0"/>
              <w:jc w:val="center"/>
              <w:rPr>
                <w:rFonts w:ascii="Sylfaen" w:hAnsi="Sylfaen"/>
                <w:szCs w:val="22"/>
                <w:lang w:val="en-US" w:eastAsia="en-US"/>
              </w:rPr>
            </w:pPr>
            <w:r w:rsidRPr="00961B35">
              <w:rPr>
                <w:szCs w:val="22"/>
                <w:lang w:val="en-US" w:eastAsia="en-US"/>
              </w:rPr>
              <w:t>4.8</w:t>
            </w:r>
          </w:p>
        </w:tc>
      </w:tr>
      <w:tr w:rsidR="00961B35" w:rsidRPr="00961B35" w:rsidTr="00E52D4A">
        <w:trPr>
          <w:trHeight w:val="274"/>
        </w:trPr>
        <w:tc>
          <w:tcPr>
            <w:tcW w:w="1487" w:type="pct"/>
            <w:tcBorders>
              <w:top w:val="single" w:sz="6" w:space="0" w:color="000000"/>
              <w:left w:val="single" w:sz="12" w:space="0" w:color="000000"/>
              <w:bottom w:val="single" w:sz="6" w:space="0" w:color="000000"/>
              <w:right w:val="single" w:sz="6" w:space="0" w:color="000000"/>
            </w:tcBorders>
            <w:noWrap/>
            <w:hideMark/>
          </w:tcPr>
          <w:p w:rsidR="00961B35" w:rsidRPr="00961B35" w:rsidRDefault="00961B35" w:rsidP="00961B35">
            <w:pPr>
              <w:spacing w:before="0" w:line="276" w:lineRule="auto"/>
              <w:ind w:firstLine="9"/>
              <w:contextualSpacing w:val="0"/>
              <w:jc w:val="left"/>
              <w:rPr>
                <w:rFonts w:cs="Sylfaen"/>
                <w:szCs w:val="22"/>
                <w:lang w:val="it-IT" w:eastAsia="en-US"/>
              </w:rPr>
            </w:pPr>
            <w:r w:rsidRPr="00961B35">
              <w:rPr>
                <w:rFonts w:cs="Sylfaen"/>
                <w:szCs w:val="22"/>
                <w:lang w:val="en-US" w:eastAsia="en-US"/>
              </w:rPr>
              <w:t>Ներդրումներ</w:t>
            </w:r>
          </w:p>
        </w:tc>
        <w:tc>
          <w:tcPr>
            <w:tcW w:w="643" w:type="pct"/>
            <w:tcBorders>
              <w:top w:val="single" w:sz="6" w:space="0" w:color="000000"/>
              <w:left w:val="single" w:sz="6" w:space="0" w:color="000000"/>
              <w:bottom w:val="single" w:sz="6" w:space="0" w:color="000000"/>
              <w:right w:val="single" w:sz="6" w:space="0" w:color="000000"/>
            </w:tcBorders>
          </w:tcPr>
          <w:p w:rsidR="00961B35" w:rsidRPr="00961B35" w:rsidDel="00FA66C3" w:rsidRDefault="00961B35" w:rsidP="00961B35">
            <w:pPr>
              <w:spacing w:before="0" w:line="276" w:lineRule="auto"/>
              <w:ind w:firstLine="0"/>
              <w:contextualSpacing w:val="0"/>
              <w:jc w:val="center"/>
              <w:rPr>
                <w:szCs w:val="22"/>
                <w:lang w:val="en-US" w:eastAsia="en-US"/>
              </w:rPr>
            </w:pPr>
            <w:r w:rsidRPr="00961B35">
              <w:rPr>
                <w:szCs w:val="22"/>
                <w:lang w:val="en-US" w:eastAsia="en-US"/>
              </w:rPr>
              <w:t>-8.7</w:t>
            </w:r>
          </w:p>
        </w:tc>
        <w:tc>
          <w:tcPr>
            <w:tcW w:w="715" w:type="pct"/>
            <w:tcBorders>
              <w:top w:val="single" w:sz="6" w:space="0" w:color="000000"/>
              <w:left w:val="single" w:sz="6" w:space="0" w:color="000000"/>
              <w:bottom w:val="single" w:sz="6" w:space="0" w:color="000000"/>
              <w:right w:val="single" w:sz="6" w:space="0" w:color="000000"/>
            </w:tcBorders>
          </w:tcPr>
          <w:p w:rsidR="00961B35" w:rsidRPr="00961B35" w:rsidDel="00FA66C3" w:rsidRDefault="00961B35" w:rsidP="00961B35">
            <w:pPr>
              <w:spacing w:before="0" w:line="276" w:lineRule="auto"/>
              <w:ind w:firstLine="0"/>
              <w:contextualSpacing w:val="0"/>
              <w:jc w:val="center"/>
              <w:rPr>
                <w:szCs w:val="22"/>
                <w:lang w:val="hy-AM" w:eastAsia="en-US"/>
              </w:rPr>
            </w:pPr>
            <w:r w:rsidRPr="00961B35">
              <w:rPr>
                <w:szCs w:val="22"/>
                <w:lang w:val="en-US" w:eastAsia="en-US"/>
              </w:rPr>
              <w:t>15.</w:t>
            </w:r>
            <w:r w:rsidRPr="00961B35">
              <w:rPr>
                <w:szCs w:val="22"/>
                <w:lang w:val="hy-AM" w:eastAsia="en-US"/>
              </w:rPr>
              <w:t>4</w:t>
            </w:r>
          </w:p>
        </w:tc>
        <w:tc>
          <w:tcPr>
            <w:tcW w:w="700" w:type="pct"/>
            <w:tcBorders>
              <w:top w:val="single" w:sz="6" w:space="0" w:color="000000"/>
              <w:left w:val="single" w:sz="6" w:space="0" w:color="000000"/>
              <w:bottom w:val="single" w:sz="6" w:space="0" w:color="000000"/>
              <w:right w:val="single" w:sz="6" w:space="0" w:color="000000"/>
            </w:tcBorders>
          </w:tcPr>
          <w:p w:rsidR="00961B35" w:rsidRPr="00961B35" w:rsidDel="00FA66C3" w:rsidRDefault="00961B35" w:rsidP="00961B35">
            <w:pPr>
              <w:spacing w:before="0" w:line="276" w:lineRule="auto"/>
              <w:ind w:firstLine="0"/>
              <w:contextualSpacing w:val="0"/>
              <w:jc w:val="center"/>
              <w:rPr>
                <w:szCs w:val="22"/>
                <w:lang w:val="hy-AM" w:eastAsia="en-US"/>
              </w:rPr>
            </w:pPr>
            <w:r w:rsidRPr="00961B35">
              <w:rPr>
                <w:szCs w:val="22"/>
                <w:lang w:val="hy-AM" w:eastAsia="en-US"/>
              </w:rPr>
              <w:t>26</w:t>
            </w:r>
            <w:r w:rsidRPr="00961B35">
              <w:rPr>
                <w:szCs w:val="22"/>
                <w:lang w:val="en-US" w:eastAsia="en-US"/>
              </w:rPr>
              <w:t>.</w:t>
            </w:r>
            <w:r w:rsidRPr="00961B35">
              <w:rPr>
                <w:szCs w:val="22"/>
                <w:lang w:val="hy-AM" w:eastAsia="en-US"/>
              </w:rPr>
              <w:t>8</w:t>
            </w:r>
          </w:p>
        </w:tc>
        <w:tc>
          <w:tcPr>
            <w:tcW w:w="732" w:type="pct"/>
            <w:tcBorders>
              <w:top w:val="single" w:sz="6" w:space="0" w:color="000000"/>
              <w:left w:val="single" w:sz="6" w:space="0" w:color="000000"/>
              <w:bottom w:val="single" w:sz="6" w:space="0" w:color="000000"/>
              <w:right w:val="single" w:sz="6" w:space="0" w:color="000000"/>
            </w:tcBorders>
            <w:noWrap/>
          </w:tcPr>
          <w:p w:rsidR="00961B35" w:rsidRPr="00961B35" w:rsidRDefault="00961B35" w:rsidP="00961B35">
            <w:pPr>
              <w:spacing w:before="0" w:line="276" w:lineRule="auto"/>
              <w:ind w:firstLine="0"/>
              <w:contextualSpacing w:val="0"/>
              <w:jc w:val="center"/>
              <w:rPr>
                <w:szCs w:val="22"/>
                <w:lang w:val="en-US" w:eastAsia="en-US"/>
              </w:rPr>
            </w:pPr>
            <w:r w:rsidRPr="00961B35">
              <w:rPr>
                <w:szCs w:val="22"/>
                <w:lang w:val="en-US" w:eastAsia="en-US"/>
              </w:rPr>
              <w:t>6.8</w:t>
            </w:r>
          </w:p>
        </w:tc>
        <w:tc>
          <w:tcPr>
            <w:tcW w:w="723" w:type="pct"/>
            <w:tcBorders>
              <w:top w:val="single" w:sz="6" w:space="0" w:color="000000"/>
              <w:left w:val="single" w:sz="6" w:space="0" w:color="000000"/>
              <w:bottom w:val="single" w:sz="6" w:space="0" w:color="000000"/>
              <w:right w:val="single" w:sz="12" w:space="0" w:color="000000"/>
            </w:tcBorders>
          </w:tcPr>
          <w:p w:rsidR="00961B35" w:rsidRPr="00961B35" w:rsidRDefault="00961B35" w:rsidP="00961B35">
            <w:pPr>
              <w:spacing w:before="0" w:line="276" w:lineRule="auto"/>
              <w:ind w:firstLine="0"/>
              <w:contextualSpacing w:val="0"/>
              <w:jc w:val="center"/>
              <w:rPr>
                <w:szCs w:val="22"/>
                <w:lang w:val="hy-AM" w:eastAsia="en-US"/>
              </w:rPr>
            </w:pPr>
            <w:r w:rsidRPr="00961B35">
              <w:rPr>
                <w:szCs w:val="22"/>
                <w:lang w:val="en-US" w:eastAsia="en-US"/>
              </w:rPr>
              <w:t>6.</w:t>
            </w:r>
            <w:r w:rsidRPr="00961B35">
              <w:rPr>
                <w:szCs w:val="22"/>
                <w:lang w:val="hy-AM" w:eastAsia="en-US"/>
              </w:rPr>
              <w:t>2</w:t>
            </w:r>
          </w:p>
        </w:tc>
      </w:tr>
      <w:tr w:rsidR="00961B35" w:rsidRPr="00961B35" w:rsidTr="00E52D4A">
        <w:trPr>
          <w:trHeight w:val="272"/>
        </w:trPr>
        <w:tc>
          <w:tcPr>
            <w:tcW w:w="1487" w:type="pct"/>
            <w:tcBorders>
              <w:top w:val="single" w:sz="6" w:space="0" w:color="000000"/>
              <w:left w:val="single" w:sz="12" w:space="0" w:color="000000"/>
              <w:bottom w:val="single" w:sz="6" w:space="0" w:color="000000"/>
              <w:right w:val="single" w:sz="6" w:space="0" w:color="000000"/>
            </w:tcBorders>
            <w:noWrap/>
            <w:hideMark/>
          </w:tcPr>
          <w:p w:rsidR="00961B35" w:rsidRPr="00961B35" w:rsidRDefault="00961B35" w:rsidP="00961B35">
            <w:pPr>
              <w:spacing w:before="0" w:line="276" w:lineRule="auto"/>
              <w:ind w:firstLine="9"/>
              <w:contextualSpacing w:val="0"/>
              <w:jc w:val="left"/>
              <w:rPr>
                <w:rFonts w:cs="Sylfaen"/>
                <w:szCs w:val="22"/>
                <w:lang w:val="en-US" w:eastAsia="en-US"/>
              </w:rPr>
            </w:pPr>
            <w:r w:rsidRPr="00961B35">
              <w:rPr>
                <w:rFonts w:cs="Sylfaen"/>
                <w:szCs w:val="22"/>
                <w:lang w:val="en-US" w:eastAsia="en-US"/>
              </w:rPr>
              <w:t>Արտահանում</w:t>
            </w:r>
          </w:p>
        </w:tc>
        <w:tc>
          <w:tcPr>
            <w:tcW w:w="643" w:type="pct"/>
            <w:tcBorders>
              <w:top w:val="single" w:sz="6" w:space="0" w:color="000000"/>
              <w:left w:val="single" w:sz="6" w:space="0" w:color="000000"/>
              <w:bottom w:val="single" w:sz="6" w:space="0" w:color="000000"/>
              <w:right w:val="single" w:sz="6" w:space="0" w:color="000000"/>
            </w:tcBorders>
          </w:tcPr>
          <w:p w:rsidR="00961B35" w:rsidRPr="00961B35" w:rsidDel="00FA66C3" w:rsidRDefault="00961B35" w:rsidP="00961B35">
            <w:pPr>
              <w:spacing w:before="0" w:line="276" w:lineRule="auto"/>
              <w:ind w:firstLine="0"/>
              <w:contextualSpacing w:val="0"/>
              <w:jc w:val="center"/>
              <w:rPr>
                <w:szCs w:val="22"/>
                <w:lang w:val="en-US" w:eastAsia="en-US"/>
              </w:rPr>
            </w:pPr>
            <w:r w:rsidRPr="00961B35">
              <w:rPr>
                <w:szCs w:val="22"/>
                <w:lang w:val="en-US" w:eastAsia="en-US"/>
              </w:rPr>
              <w:t>19.1</w:t>
            </w:r>
          </w:p>
        </w:tc>
        <w:tc>
          <w:tcPr>
            <w:tcW w:w="715" w:type="pct"/>
            <w:tcBorders>
              <w:top w:val="single" w:sz="6" w:space="0" w:color="000000"/>
              <w:left w:val="single" w:sz="6" w:space="0" w:color="000000"/>
              <w:bottom w:val="single" w:sz="6" w:space="0" w:color="000000"/>
              <w:right w:val="single" w:sz="6" w:space="0" w:color="000000"/>
            </w:tcBorders>
          </w:tcPr>
          <w:p w:rsidR="00961B35" w:rsidRPr="00961B35" w:rsidDel="00FA66C3" w:rsidRDefault="00961B35" w:rsidP="00961B35">
            <w:pPr>
              <w:spacing w:before="0" w:line="276" w:lineRule="auto"/>
              <w:ind w:firstLine="0"/>
              <w:contextualSpacing w:val="0"/>
              <w:jc w:val="center"/>
              <w:rPr>
                <w:szCs w:val="22"/>
                <w:lang w:val="en-US" w:eastAsia="en-US"/>
              </w:rPr>
            </w:pPr>
            <w:r w:rsidRPr="00961B35">
              <w:rPr>
                <w:szCs w:val="22"/>
                <w:lang w:val="en-US" w:eastAsia="en-US"/>
              </w:rPr>
              <w:t>18.7</w:t>
            </w:r>
          </w:p>
        </w:tc>
        <w:tc>
          <w:tcPr>
            <w:tcW w:w="700" w:type="pct"/>
            <w:tcBorders>
              <w:top w:val="single" w:sz="6" w:space="0" w:color="000000"/>
              <w:left w:val="single" w:sz="6" w:space="0" w:color="000000"/>
              <w:bottom w:val="single" w:sz="6" w:space="0" w:color="000000"/>
              <w:right w:val="single" w:sz="6" w:space="0" w:color="000000"/>
            </w:tcBorders>
          </w:tcPr>
          <w:p w:rsidR="00961B35" w:rsidRPr="00961B35" w:rsidDel="00FA66C3" w:rsidRDefault="00961B35" w:rsidP="00961B35">
            <w:pPr>
              <w:spacing w:before="0" w:line="276" w:lineRule="auto"/>
              <w:ind w:firstLine="0"/>
              <w:contextualSpacing w:val="0"/>
              <w:jc w:val="center"/>
              <w:rPr>
                <w:szCs w:val="22"/>
                <w:lang w:val="hy-AM" w:eastAsia="en-US"/>
              </w:rPr>
            </w:pPr>
            <w:r w:rsidRPr="00961B35">
              <w:rPr>
                <w:szCs w:val="22"/>
                <w:lang w:val="hy-AM" w:eastAsia="en-US"/>
              </w:rPr>
              <w:t>4</w:t>
            </w:r>
            <w:r w:rsidRPr="00961B35">
              <w:rPr>
                <w:szCs w:val="22"/>
                <w:lang w:val="en-US" w:eastAsia="en-US"/>
              </w:rPr>
              <w:t>.</w:t>
            </w:r>
            <w:r w:rsidRPr="00961B35">
              <w:rPr>
                <w:szCs w:val="22"/>
                <w:lang w:val="hy-AM" w:eastAsia="en-US"/>
              </w:rPr>
              <w:t>6</w:t>
            </w:r>
          </w:p>
        </w:tc>
        <w:tc>
          <w:tcPr>
            <w:tcW w:w="732" w:type="pct"/>
            <w:tcBorders>
              <w:top w:val="single" w:sz="6" w:space="0" w:color="000000"/>
              <w:left w:val="single" w:sz="6" w:space="0" w:color="000000"/>
              <w:bottom w:val="single" w:sz="6" w:space="0" w:color="000000"/>
              <w:right w:val="single" w:sz="6" w:space="0" w:color="000000"/>
            </w:tcBorders>
            <w:noWrap/>
          </w:tcPr>
          <w:p w:rsidR="00961B35" w:rsidRPr="00961B35" w:rsidRDefault="00961B35" w:rsidP="00961B35">
            <w:pPr>
              <w:spacing w:before="0" w:line="276" w:lineRule="auto"/>
              <w:ind w:firstLine="0"/>
              <w:contextualSpacing w:val="0"/>
              <w:jc w:val="center"/>
              <w:rPr>
                <w:szCs w:val="22"/>
                <w:lang w:val="en-US" w:eastAsia="en-US"/>
              </w:rPr>
            </w:pPr>
            <w:r w:rsidRPr="00961B35">
              <w:rPr>
                <w:szCs w:val="22"/>
                <w:lang w:val="en-US" w:eastAsia="en-US"/>
              </w:rPr>
              <w:t>7.1</w:t>
            </w:r>
          </w:p>
        </w:tc>
        <w:tc>
          <w:tcPr>
            <w:tcW w:w="723" w:type="pct"/>
            <w:tcBorders>
              <w:top w:val="single" w:sz="6" w:space="0" w:color="000000"/>
              <w:left w:val="single" w:sz="6" w:space="0" w:color="000000"/>
              <w:bottom w:val="single" w:sz="6" w:space="0" w:color="000000"/>
              <w:right w:val="single" w:sz="12" w:space="0" w:color="000000"/>
            </w:tcBorders>
          </w:tcPr>
          <w:p w:rsidR="00961B35" w:rsidRPr="00961B35" w:rsidRDefault="00961B35" w:rsidP="00961B35">
            <w:pPr>
              <w:spacing w:before="0" w:line="276" w:lineRule="auto"/>
              <w:ind w:firstLine="0"/>
              <w:contextualSpacing w:val="0"/>
              <w:jc w:val="center"/>
              <w:rPr>
                <w:szCs w:val="22"/>
                <w:lang w:val="en-US" w:eastAsia="en-US"/>
              </w:rPr>
            </w:pPr>
            <w:r w:rsidRPr="00961B35">
              <w:rPr>
                <w:szCs w:val="22"/>
                <w:lang w:val="en-US" w:eastAsia="en-US"/>
              </w:rPr>
              <w:t>8.9</w:t>
            </w:r>
          </w:p>
        </w:tc>
      </w:tr>
      <w:tr w:rsidR="00961B35" w:rsidRPr="00961B35" w:rsidTr="00E52D4A">
        <w:trPr>
          <w:trHeight w:val="272"/>
        </w:trPr>
        <w:tc>
          <w:tcPr>
            <w:tcW w:w="1487" w:type="pct"/>
            <w:tcBorders>
              <w:top w:val="single" w:sz="6" w:space="0" w:color="000000"/>
              <w:left w:val="single" w:sz="12" w:space="0" w:color="000000"/>
              <w:bottom w:val="single" w:sz="6" w:space="0" w:color="000000"/>
              <w:right w:val="single" w:sz="6" w:space="0" w:color="000000"/>
            </w:tcBorders>
            <w:noWrap/>
            <w:hideMark/>
          </w:tcPr>
          <w:p w:rsidR="00961B35" w:rsidRPr="00961B35" w:rsidRDefault="00961B35" w:rsidP="00961B35">
            <w:pPr>
              <w:spacing w:before="0" w:line="276" w:lineRule="auto"/>
              <w:ind w:firstLine="9"/>
              <w:contextualSpacing w:val="0"/>
              <w:jc w:val="left"/>
              <w:rPr>
                <w:rFonts w:cs="Sylfaen"/>
                <w:szCs w:val="22"/>
                <w:lang w:val="en-US" w:eastAsia="en-US"/>
              </w:rPr>
            </w:pPr>
            <w:r w:rsidRPr="00961B35">
              <w:rPr>
                <w:rFonts w:cs="Sylfaen"/>
                <w:szCs w:val="22"/>
                <w:lang w:val="en-US" w:eastAsia="en-US"/>
              </w:rPr>
              <w:t>Ներմուծում</w:t>
            </w:r>
          </w:p>
        </w:tc>
        <w:tc>
          <w:tcPr>
            <w:tcW w:w="643" w:type="pct"/>
            <w:tcBorders>
              <w:top w:val="single" w:sz="6" w:space="0" w:color="000000"/>
              <w:left w:val="single" w:sz="6" w:space="0" w:color="000000"/>
              <w:bottom w:val="single" w:sz="6" w:space="0" w:color="000000"/>
              <w:right w:val="single" w:sz="6" w:space="0" w:color="000000"/>
            </w:tcBorders>
          </w:tcPr>
          <w:p w:rsidR="00961B35" w:rsidRPr="00961B35" w:rsidDel="00FA66C3" w:rsidRDefault="00961B35" w:rsidP="00961B35">
            <w:pPr>
              <w:spacing w:before="0" w:line="276" w:lineRule="auto"/>
              <w:ind w:firstLine="0"/>
              <w:contextualSpacing w:val="0"/>
              <w:jc w:val="center"/>
              <w:rPr>
                <w:szCs w:val="22"/>
                <w:lang w:val="en-US" w:eastAsia="en-US"/>
              </w:rPr>
            </w:pPr>
            <w:r w:rsidRPr="00961B35">
              <w:rPr>
                <w:szCs w:val="22"/>
                <w:lang w:val="en-US" w:eastAsia="en-US"/>
              </w:rPr>
              <w:t>7.6</w:t>
            </w:r>
          </w:p>
        </w:tc>
        <w:tc>
          <w:tcPr>
            <w:tcW w:w="715" w:type="pct"/>
            <w:tcBorders>
              <w:top w:val="single" w:sz="6" w:space="0" w:color="000000"/>
              <w:left w:val="single" w:sz="6" w:space="0" w:color="000000"/>
              <w:bottom w:val="single" w:sz="6" w:space="0" w:color="000000"/>
              <w:right w:val="single" w:sz="6" w:space="0" w:color="000000"/>
            </w:tcBorders>
          </w:tcPr>
          <w:p w:rsidR="00961B35" w:rsidRPr="00961B35" w:rsidDel="00FA66C3" w:rsidRDefault="00961B35" w:rsidP="00961B35">
            <w:pPr>
              <w:spacing w:before="0" w:line="276" w:lineRule="auto"/>
              <w:ind w:firstLine="0"/>
              <w:contextualSpacing w:val="0"/>
              <w:jc w:val="center"/>
              <w:rPr>
                <w:szCs w:val="22"/>
                <w:lang w:val="en-US" w:eastAsia="en-US"/>
              </w:rPr>
            </w:pPr>
            <w:r w:rsidRPr="00961B35">
              <w:rPr>
                <w:szCs w:val="22"/>
                <w:lang w:val="en-US" w:eastAsia="en-US"/>
              </w:rPr>
              <w:t>24.6</w:t>
            </w:r>
          </w:p>
        </w:tc>
        <w:tc>
          <w:tcPr>
            <w:tcW w:w="700" w:type="pct"/>
            <w:tcBorders>
              <w:top w:val="single" w:sz="6" w:space="0" w:color="000000"/>
              <w:left w:val="single" w:sz="6" w:space="0" w:color="000000"/>
              <w:bottom w:val="single" w:sz="6" w:space="0" w:color="000000"/>
              <w:right w:val="single" w:sz="6" w:space="0" w:color="000000"/>
            </w:tcBorders>
          </w:tcPr>
          <w:p w:rsidR="00961B35" w:rsidRPr="00961B35" w:rsidDel="00FA66C3" w:rsidRDefault="00961B35" w:rsidP="00961B35">
            <w:pPr>
              <w:spacing w:before="0" w:line="276" w:lineRule="auto"/>
              <w:ind w:firstLine="0"/>
              <w:contextualSpacing w:val="0"/>
              <w:jc w:val="center"/>
              <w:rPr>
                <w:szCs w:val="22"/>
                <w:lang w:val="hy-AM" w:eastAsia="en-US"/>
              </w:rPr>
            </w:pPr>
            <w:r w:rsidRPr="00961B35">
              <w:rPr>
                <w:szCs w:val="22"/>
                <w:lang w:val="en-US" w:eastAsia="en-US"/>
              </w:rPr>
              <w:t>1</w:t>
            </w:r>
            <w:r w:rsidRPr="00961B35">
              <w:rPr>
                <w:szCs w:val="22"/>
                <w:lang w:val="hy-AM" w:eastAsia="en-US"/>
              </w:rPr>
              <w:t>2</w:t>
            </w:r>
            <w:r w:rsidRPr="00961B35">
              <w:rPr>
                <w:szCs w:val="22"/>
                <w:lang w:val="en-US" w:eastAsia="en-US"/>
              </w:rPr>
              <w:t>.</w:t>
            </w:r>
            <w:r w:rsidRPr="00961B35">
              <w:rPr>
                <w:szCs w:val="22"/>
                <w:lang w:val="hy-AM" w:eastAsia="en-US"/>
              </w:rPr>
              <w:t>7</w:t>
            </w:r>
          </w:p>
        </w:tc>
        <w:tc>
          <w:tcPr>
            <w:tcW w:w="732" w:type="pct"/>
            <w:tcBorders>
              <w:top w:val="single" w:sz="6" w:space="0" w:color="000000"/>
              <w:left w:val="single" w:sz="6" w:space="0" w:color="000000"/>
              <w:bottom w:val="single" w:sz="6" w:space="0" w:color="000000"/>
              <w:right w:val="single" w:sz="6" w:space="0" w:color="000000"/>
            </w:tcBorders>
            <w:noWrap/>
          </w:tcPr>
          <w:p w:rsidR="00961B35" w:rsidRPr="00961B35" w:rsidRDefault="00961B35" w:rsidP="00961B35">
            <w:pPr>
              <w:spacing w:before="0" w:line="276" w:lineRule="auto"/>
              <w:ind w:firstLine="0"/>
              <w:contextualSpacing w:val="0"/>
              <w:jc w:val="center"/>
              <w:rPr>
                <w:szCs w:val="22"/>
                <w:lang w:val="en-US" w:eastAsia="en-US"/>
              </w:rPr>
            </w:pPr>
            <w:r w:rsidRPr="00961B35">
              <w:rPr>
                <w:szCs w:val="22"/>
                <w:lang w:val="en-US" w:eastAsia="en-US"/>
              </w:rPr>
              <w:t>5.5</w:t>
            </w:r>
          </w:p>
        </w:tc>
        <w:tc>
          <w:tcPr>
            <w:tcW w:w="723" w:type="pct"/>
            <w:tcBorders>
              <w:top w:val="single" w:sz="6" w:space="0" w:color="000000"/>
              <w:left w:val="single" w:sz="6" w:space="0" w:color="000000"/>
              <w:bottom w:val="single" w:sz="6" w:space="0" w:color="000000"/>
              <w:right w:val="single" w:sz="12" w:space="0" w:color="000000"/>
            </w:tcBorders>
          </w:tcPr>
          <w:p w:rsidR="00961B35" w:rsidRPr="00961B35" w:rsidRDefault="00961B35" w:rsidP="00961B35">
            <w:pPr>
              <w:spacing w:before="0" w:line="276" w:lineRule="auto"/>
              <w:ind w:firstLine="0"/>
              <w:contextualSpacing w:val="0"/>
              <w:jc w:val="center"/>
              <w:rPr>
                <w:szCs w:val="22"/>
                <w:lang w:val="en-US" w:eastAsia="en-US"/>
              </w:rPr>
            </w:pPr>
            <w:r w:rsidRPr="00961B35">
              <w:rPr>
                <w:szCs w:val="22"/>
                <w:lang w:val="en-US" w:eastAsia="en-US"/>
              </w:rPr>
              <w:t>5.2</w:t>
            </w:r>
          </w:p>
        </w:tc>
      </w:tr>
      <w:tr w:rsidR="00961B35" w:rsidRPr="00961B35" w:rsidTr="00E52D4A">
        <w:trPr>
          <w:trHeight w:val="272"/>
        </w:trPr>
        <w:tc>
          <w:tcPr>
            <w:tcW w:w="1487" w:type="pct"/>
            <w:tcBorders>
              <w:top w:val="single" w:sz="6" w:space="0" w:color="000000"/>
              <w:left w:val="single" w:sz="12" w:space="0" w:color="000000"/>
              <w:bottom w:val="single" w:sz="12" w:space="0" w:color="000000"/>
              <w:right w:val="single" w:sz="6" w:space="0" w:color="000000"/>
            </w:tcBorders>
            <w:noWrap/>
            <w:hideMark/>
          </w:tcPr>
          <w:p w:rsidR="00961B35" w:rsidRPr="00961B35" w:rsidRDefault="00961B35" w:rsidP="00961B35">
            <w:pPr>
              <w:spacing w:before="0" w:line="276" w:lineRule="auto"/>
              <w:ind w:firstLine="9"/>
              <w:contextualSpacing w:val="0"/>
              <w:jc w:val="left"/>
              <w:rPr>
                <w:rFonts w:cs="Sylfaen"/>
                <w:szCs w:val="22"/>
                <w:lang w:val="en-US" w:eastAsia="en-US"/>
              </w:rPr>
            </w:pPr>
            <w:r w:rsidRPr="00961B35">
              <w:rPr>
                <w:rFonts w:cs="Sylfaen"/>
                <w:szCs w:val="22"/>
                <w:lang w:val="en-US" w:eastAsia="en-US"/>
              </w:rPr>
              <w:t>Ընդամենը ՀՆԱ</w:t>
            </w:r>
          </w:p>
        </w:tc>
        <w:tc>
          <w:tcPr>
            <w:tcW w:w="643" w:type="pct"/>
            <w:tcBorders>
              <w:top w:val="single" w:sz="6" w:space="0" w:color="000000"/>
              <w:left w:val="single" w:sz="6" w:space="0" w:color="000000"/>
              <w:bottom w:val="single" w:sz="12" w:space="0" w:color="000000"/>
              <w:right w:val="single" w:sz="6" w:space="0" w:color="000000"/>
            </w:tcBorders>
          </w:tcPr>
          <w:p w:rsidR="00961B35" w:rsidRPr="00961B35" w:rsidDel="00FA66C3" w:rsidRDefault="00961B35" w:rsidP="00961B35">
            <w:pPr>
              <w:spacing w:before="0" w:line="276" w:lineRule="auto"/>
              <w:ind w:firstLine="0"/>
              <w:contextualSpacing w:val="0"/>
              <w:jc w:val="center"/>
              <w:rPr>
                <w:szCs w:val="22"/>
                <w:lang w:val="en-US" w:eastAsia="en-US"/>
              </w:rPr>
            </w:pPr>
            <w:r w:rsidRPr="00961B35">
              <w:rPr>
                <w:szCs w:val="22"/>
                <w:lang w:val="en-US" w:eastAsia="en-US"/>
              </w:rPr>
              <w:t>0.2</w:t>
            </w:r>
          </w:p>
        </w:tc>
        <w:tc>
          <w:tcPr>
            <w:tcW w:w="715" w:type="pct"/>
            <w:tcBorders>
              <w:top w:val="single" w:sz="6" w:space="0" w:color="000000"/>
              <w:left w:val="single" w:sz="6" w:space="0" w:color="000000"/>
              <w:bottom w:val="single" w:sz="12" w:space="0" w:color="000000"/>
              <w:right w:val="single" w:sz="6" w:space="0" w:color="000000"/>
            </w:tcBorders>
          </w:tcPr>
          <w:p w:rsidR="00961B35" w:rsidRPr="00961B35" w:rsidDel="00FA66C3" w:rsidRDefault="00961B35" w:rsidP="00961B35">
            <w:pPr>
              <w:spacing w:before="0" w:line="276" w:lineRule="auto"/>
              <w:ind w:firstLine="0"/>
              <w:contextualSpacing w:val="0"/>
              <w:jc w:val="center"/>
              <w:rPr>
                <w:szCs w:val="22"/>
                <w:lang w:val="en-US" w:eastAsia="en-US"/>
              </w:rPr>
            </w:pPr>
            <w:r w:rsidRPr="00961B35">
              <w:rPr>
                <w:szCs w:val="22"/>
                <w:lang w:val="en-US" w:eastAsia="en-US"/>
              </w:rPr>
              <w:t>7.5</w:t>
            </w:r>
          </w:p>
        </w:tc>
        <w:tc>
          <w:tcPr>
            <w:tcW w:w="700" w:type="pct"/>
            <w:tcBorders>
              <w:top w:val="single" w:sz="6" w:space="0" w:color="000000"/>
              <w:left w:val="single" w:sz="6" w:space="0" w:color="000000"/>
              <w:bottom w:val="single" w:sz="12" w:space="0" w:color="000000"/>
              <w:right w:val="single" w:sz="6" w:space="0" w:color="000000"/>
            </w:tcBorders>
          </w:tcPr>
          <w:p w:rsidR="00961B35" w:rsidRPr="00961B35" w:rsidDel="00FA66C3" w:rsidRDefault="00961B35" w:rsidP="00961B35">
            <w:pPr>
              <w:spacing w:before="0" w:line="276" w:lineRule="auto"/>
              <w:ind w:firstLine="0"/>
              <w:contextualSpacing w:val="0"/>
              <w:jc w:val="center"/>
              <w:rPr>
                <w:szCs w:val="22"/>
                <w:lang w:val="hy-AM" w:eastAsia="en-US"/>
              </w:rPr>
            </w:pPr>
            <w:r w:rsidRPr="00961B35">
              <w:rPr>
                <w:szCs w:val="22"/>
                <w:lang w:val="hy-AM" w:eastAsia="en-US"/>
              </w:rPr>
              <w:t>5</w:t>
            </w:r>
            <w:r w:rsidRPr="00961B35">
              <w:rPr>
                <w:szCs w:val="22"/>
                <w:lang w:val="en-US" w:eastAsia="en-US"/>
              </w:rPr>
              <w:t>.</w:t>
            </w:r>
            <w:r w:rsidRPr="00961B35">
              <w:rPr>
                <w:szCs w:val="22"/>
                <w:lang w:val="hy-AM" w:eastAsia="en-US"/>
              </w:rPr>
              <w:t>2</w:t>
            </w:r>
          </w:p>
        </w:tc>
        <w:tc>
          <w:tcPr>
            <w:tcW w:w="732" w:type="pct"/>
            <w:tcBorders>
              <w:top w:val="single" w:sz="6" w:space="0" w:color="000000"/>
              <w:left w:val="single" w:sz="6" w:space="0" w:color="000000"/>
              <w:bottom w:val="single" w:sz="12" w:space="0" w:color="000000"/>
              <w:right w:val="single" w:sz="6" w:space="0" w:color="000000"/>
            </w:tcBorders>
            <w:noWrap/>
          </w:tcPr>
          <w:p w:rsidR="00961B35" w:rsidRPr="00961B35" w:rsidRDefault="00961B35" w:rsidP="00961B35">
            <w:pPr>
              <w:spacing w:before="0" w:line="276" w:lineRule="auto"/>
              <w:ind w:firstLine="0"/>
              <w:contextualSpacing w:val="0"/>
              <w:jc w:val="center"/>
              <w:rPr>
                <w:szCs w:val="22"/>
                <w:lang w:val="en-US" w:eastAsia="en-US"/>
              </w:rPr>
            </w:pPr>
            <w:r w:rsidRPr="00961B35">
              <w:rPr>
                <w:szCs w:val="22"/>
                <w:lang w:val="en-US" w:eastAsia="en-US"/>
              </w:rPr>
              <w:t>6.3</w:t>
            </w:r>
          </w:p>
        </w:tc>
        <w:tc>
          <w:tcPr>
            <w:tcW w:w="723" w:type="pct"/>
            <w:tcBorders>
              <w:top w:val="single" w:sz="6" w:space="0" w:color="000000"/>
              <w:left w:val="single" w:sz="6" w:space="0" w:color="000000"/>
              <w:bottom w:val="single" w:sz="12" w:space="0" w:color="000000"/>
              <w:right w:val="single" w:sz="12" w:space="0" w:color="000000"/>
            </w:tcBorders>
          </w:tcPr>
          <w:p w:rsidR="00961B35" w:rsidRPr="00961B35" w:rsidRDefault="00961B35" w:rsidP="00961B35">
            <w:pPr>
              <w:spacing w:before="0" w:line="276" w:lineRule="auto"/>
              <w:ind w:firstLine="0"/>
              <w:contextualSpacing w:val="0"/>
              <w:jc w:val="center"/>
              <w:rPr>
                <w:szCs w:val="22"/>
                <w:lang w:val="en-US" w:eastAsia="en-US"/>
              </w:rPr>
            </w:pPr>
            <w:r w:rsidRPr="00961B35">
              <w:rPr>
                <w:szCs w:val="22"/>
                <w:lang w:val="en-US" w:eastAsia="en-US"/>
              </w:rPr>
              <w:t>4.9</w:t>
            </w:r>
          </w:p>
        </w:tc>
      </w:tr>
    </w:tbl>
    <w:p w:rsidR="00961B35" w:rsidRPr="00961B35" w:rsidRDefault="00961B35" w:rsidP="00961B35">
      <w:pPr>
        <w:spacing w:before="0" w:line="276" w:lineRule="auto"/>
        <w:ind w:firstLine="450"/>
        <w:contextualSpacing w:val="0"/>
        <w:jc w:val="left"/>
        <w:rPr>
          <w:rFonts w:cs="Sylfaen"/>
          <w:szCs w:val="22"/>
          <w:highlight w:val="yellow"/>
          <w:u w:val="single"/>
          <w:lang w:val="en-US" w:eastAsia="en-US"/>
        </w:rPr>
      </w:pPr>
    </w:p>
    <w:p w:rsidR="00961B35" w:rsidRPr="00961B35" w:rsidRDefault="00961B35" w:rsidP="00961B35">
      <w:pPr>
        <w:spacing w:before="0"/>
        <w:ind w:firstLine="720"/>
        <w:contextualSpacing w:val="0"/>
        <w:jc w:val="left"/>
        <w:rPr>
          <w:rFonts w:cs="Sylfaen"/>
          <w:szCs w:val="22"/>
          <w:u w:val="single"/>
          <w:lang w:val="en-US" w:eastAsia="en-US"/>
        </w:rPr>
      </w:pPr>
      <w:r w:rsidRPr="00961B35">
        <w:rPr>
          <w:rFonts w:cs="Sylfaen"/>
          <w:szCs w:val="22"/>
          <w:u w:val="single"/>
          <w:lang w:val="en-US" w:eastAsia="en-US"/>
        </w:rPr>
        <w:t>Աղյուսակ 1.3.2.  Ծախսային բաղադրիչների տեսակարար կշիռը ՀՆԱ-ի կազմում</w:t>
      </w:r>
    </w:p>
    <w:tbl>
      <w:tblPr>
        <w:tblStyle w:val="Style211"/>
        <w:tblW w:w="4733" w:type="pct"/>
        <w:tblInd w:w="558" w:type="dxa"/>
        <w:tblLook w:val="04A0" w:firstRow="1" w:lastRow="0" w:firstColumn="1" w:lastColumn="0" w:noHBand="0" w:noVBand="1"/>
      </w:tblPr>
      <w:tblGrid>
        <w:gridCol w:w="3624"/>
        <w:gridCol w:w="1270"/>
        <w:gridCol w:w="1058"/>
        <w:gridCol w:w="1058"/>
        <w:gridCol w:w="1058"/>
        <w:gridCol w:w="1053"/>
      </w:tblGrid>
      <w:tr w:rsidR="00961B35" w:rsidRPr="00961B35" w:rsidTr="00E52D4A">
        <w:trPr>
          <w:cnfStyle w:val="100000000000" w:firstRow="1" w:lastRow="0" w:firstColumn="0" w:lastColumn="0" w:oddVBand="0" w:evenVBand="0" w:oddHBand="0" w:evenHBand="0" w:firstRowFirstColumn="0" w:firstRowLastColumn="0" w:lastRowFirstColumn="0" w:lastRowLastColumn="0"/>
          <w:trHeight w:val="255"/>
        </w:trPr>
        <w:tc>
          <w:tcPr>
            <w:cnfStyle w:val="000000000100" w:firstRow="0" w:lastRow="0" w:firstColumn="0" w:lastColumn="0" w:oddVBand="0" w:evenVBand="0" w:oddHBand="0" w:evenHBand="0" w:firstRowFirstColumn="1" w:firstRowLastColumn="0" w:lastRowFirstColumn="0" w:lastRowLastColumn="0"/>
            <w:tcW w:w="1986" w:type="pct"/>
            <w:tcBorders>
              <w:top w:val="single" w:sz="12" w:space="0" w:color="000000"/>
              <w:left w:val="single" w:sz="12" w:space="0" w:color="000000"/>
              <w:bottom w:val="single" w:sz="6" w:space="0" w:color="000000"/>
              <w:right w:val="single" w:sz="6" w:space="0" w:color="000000"/>
            </w:tcBorders>
            <w:noWrap/>
          </w:tcPr>
          <w:p w:rsidR="00961B35" w:rsidRPr="00961B35" w:rsidRDefault="00961B35" w:rsidP="00961B35">
            <w:pPr>
              <w:spacing w:before="0" w:line="276" w:lineRule="auto"/>
              <w:ind w:firstLine="450"/>
              <w:contextualSpacing w:val="0"/>
              <w:jc w:val="left"/>
              <w:rPr>
                <w:rFonts w:cs="Sylfaen"/>
                <w:szCs w:val="22"/>
                <w:highlight w:val="yellow"/>
                <w:lang w:val="en-US" w:eastAsia="en-US"/>
              </w:rPr>
            </w:pPr>
          </w:p>
        </w:tc>
        <w:tc>
          <w:tcPr>
            <w:tcW w:w="696" w:type="pct"/>
            <w:tcBorders>
              <w:top w:val="single" w:sz="12" w:space="0" w:color="000000"/>
              <w:left w:val="single" w:sz="6" w:space="0" w:color="000000"/>
              <w:bottom w:val="single" w:sz="6" w:space="0" w:color="000000"/>
              <w:right w:val="single" w:sz="6" w:space="0" w:color="000000"/>
            </w:tcBorders>
            <w:noWrap/>
            <w:vAlign w:val="center"/>
            <w:hideMark/>
          </w:tcPr>
          <w:p w:rsidR="00961B35" w:rsidRPr="00961B35" w:rsidRDefault="00961B35" w:rsidP="00961B35">
            <w:pPr>
              <w:spacing w:before="0" w:line="276" w:lineRule="auto"/>
              <w:ind w:firstLine="0"/>
              <w:contextualSpacing w:val="0"/>
              <w:jc w:val="center"/>
              <w:cnfStyle w:val="100000000000" w:firstRow="1" w:lastRow="0" w:firstColumn="0" w:lastColumn="0" w:oddVBand="0" w:evenVBand="0" w:oddHBand="0" w:evenHBand="0" w:firstRowFirstColumn="0" w:firstRowLastColumn="0" w:lastRowFirstColumn="0" w:lastRowLastColumn="0"/>
              <w:rPr>
                <w:rFonts w:cs="Sylfaen"/>
                <w:szCs w:val="22"/>
                <w:lang w:val="it-IT" w:eastAsia="en-US"/>
              </w:rPr>
            </w:pPr>
            <w:r w:rsidRPr="00961B35">
              <w:rPr>
                <w:rFonts w:cs="Sylfaen"/>
                <w:szCs w:val="22"/>
                <w:lang w:val="it-IT" w:eastAsia="en-US"/>
              </w:rPr>
              <w:t>201</w:t>
            </w:r>
            <w:r w:rsidRPr="00961B35">
              <w:rPr>
                <w:rFonts w:cs="Sylfaen"/>
                <w:szCs w:val="22"/>
                <w:lang w:val="hy-AM" w:eastAsia="en-US"/>
              </w:rPr>
              <w:t>6</w:t>
            </w:r>
          </w:p>
        </w:tc>
        <w:tc>
          <w:tcPr>
            <w:tcW w:w="580" w:type="pct"/>
            <w:tcBorders>
              <w:top w:val="single" w:sz="12" w:space="0" w:color="000000"/>
              <w:left w:val="single" w:sz="6" w:space="0" w:color="000000"/>
              <w:bottom w:val="single" w:sz="6" w:space="0" w:color="000000"/>
              <w:right w:val="single" w:sz="6" w:space="0" w:color="000000"/>
            </w:tcBorders>
            <w:noWrap/>
            <w:vAlign w:val="center"/>
            <w:hideMark/>
          </w:tcPr>
          <w:p w:rsidR="00961B35" w:rsidRPr="00961B35" w:rsidRDefault="00961B35" w:rsidP="00961B35">
            <w:pPr>
              <w:spacing w:before="0" w:line="276" w:lineRule="auto"/>
              <w:ind w:firstLine="0"/>
              <w:contextualSpacing w:val="0"/>
              <w:jc w:val="center"/>
              <w:cnfStyle w:val="100000000000" w:firstRow="1" w:lastRow="0" w:firstColumn="0" w:lastColumn="0" w:oddVBand="0" w:evenVBand="0" w:oddHBand="0" w:evenHBand="0" w:firstRowFirstColumn="0" w:firstRowLastColumn="0" w:lastRowFirstColumn="0" w:lastRowLastColumn="0"/>
              <w:rPr>
                <w:rFonts w:cs="Sylfaen"/>
                <w:szCs w:val="22"/>
                <w:lang w:val="it-IT" w:eastAsia="en-US"/>
              </w:rPr>
            </w:pPr>
            <w:r w:rsidRPr="00961B35">
              <w:rPr>
                <w:rFonts w:cs="Sylfaen"/>
                <w:szCs w:val="22"/>
                <w:lang w:val="it-IT" w:eastAsia="en-US"/>
              </w:rPr>
              <w:t>201</w:t>
            </w:r>
            <w:r w:rsidRPr="00961B35">
              <w:rPr>
                <w:rFonts w:cs="Sylfaen"/>
                <w:szCs w:val="22"/>
                <w:lang w:val="hy-AM" w:eastAsia="en-US"/>
              </w:rPr>
              <w:t>7</w:t>
            </w:r>
          </w:p>
        </w:tc>
        <w:tc>
          <w:tcPr>
            <w:tcW w:w="580" w:type="pct"/>
            <w:tcBorders>
              <w:top w:val="single" w:sz="12" w:space="0" w:color="000000"/>
              <w:left w:val="single" w:sz="6" w:space="0" w:color="000000"/>
              <w:bottom w:val="single" w:sz="6" w:space="0" w:color="000000"/>
              <w:right w:val="single" w:sz="6" w:space="0" w:color="000000"/>
            </w:tcBorders>
            <w:vAlign w:val="center"/>
            <w:hideMark/>
          </w:tcPr>
          <w:p w:rsidR="00961B35" w:rsidRPr="00961B35" w:rsidRDefault="00961B35" w:rsidP="00961B35">
            <w:pPr>
              <w:spacing w:before="0" w:line="276" w:lineRule="auto"/>
              <w:ind w:firstLine="0"/>
              <w:contextualSpacing w:val="0"/>
              <w:jc w:val="center"/>
              <w:cnfStyle w:val="100000000000" w:firstRow="1" w:lastRow="0" w:firstColumn="0" w:lastColumn="0" w:oddVBand="0" w:evenVBand="0" w:oddHBand="0" w:evenHBand="0" w:firstRowFirstColumn="0" w:firstRowLastColumn="0" w:lastRowFirstColumn="0" w:lastRowLastColumn="0"/>
              <w:rPr>
                <w:rFonts w:cs="Sylfaen"/>
                <w:szCs w:val="22"/>
                <w:lang w:val="hy-AM" w:eastAsia="en-US"/>
              </w:rPr>
            </w:pPr>
            <w:r w:rsidRPr="00961B35">
              <w:rPr>
                <w:rFonts w:cs="Sylfaen"/>
                <w:szCs w:val="22"/>
                <w:lang w:val="it-IT" w:eastAsia="en-US"/>
              </w:rPr>
              <w:t>201</w:t>
            </w:r>
            <w:r w:rsidRPr="00961B35">
              <w:rPr>
                <w:rFonts w:cs="Sylfaen"/>
                <w:szCs w:val="22"/>
                <w:lang w:val="hy-AM" w:eastAsia="en-US"/>
              </w:rPr>
              <w:t>8</w:t>
            </w:r>
          </w:p>
        </w:tc>
        <w:tc>
          <w:tcPr>
            <w:tcW w:w="580" w:type="pct"/>
            <w:tcBorders>
              <w:top w:val="single" w:sz="12" w:space="0" w:color="000000"/>
              <w:left w:val="single" w:sz="6" w:space="0" w:color="000000"/>
              <w:bottom w:val="single" w:sz="6" w:space="0" w:color="000000"/>
              <w:right w:val="single" w:sz="6" w:space="0" w:color="000000"/>
            </w:tcBorders>
            <w:vAlign w:val="center"/>
            <w:hideMark/>
          </w:tcPr>
          <w:p w:rsidR="00961B35" w:rsidRPr="00961B35" w:rsidRDefault="00961B35" w:rsidP="00961B35">
            <w:pPr>
              <w:spacing w:before="0" w:line="276" w:lineRule="auto"/>
              <w:ind w:firstLine="0"/>
              <w:contextualSpacing w:val="0"/>
              <w:jc w:val="center"/>
              <w:cnfStyle w:val="100000000000" w:firstRow="1" w:lastRow="0" w:firstColumn="0" w:lastColumn="0" w:oddVBand="0" w:evenVBand="0" w:oddHBand="0" w:evenHBand="0" w:firstRowFirstColumn="0" w:firstRowLastColumn="0" w:lastRowFirstColumn="0" w:lastRowLastColumn="0"/>
              <w:rPr>
                <w:rFonts w:cs="Sylfaen"/>
                <w:szCs w:val="22"/>
                <w:lang w:val="it-IT" w:eastAsia="en-US"/>
              </w:rPr>
            </w:pPr>
            <w:r w:rsidRPr="00961B35">
              <w:rPr>
                <w:rFonts w:cs="Sylfaen"/>
                <w:szCs w:val="22"/>
                <w:lang w:val="it-IT" w:eastAsia="en-US"/>
              </w:rPr>
              <w:t>201</w:t>
            </w:r>
            <w:r w:rsidRPr="00961B35">
              <w:rPr>
                <w:rFonts w:cs="Sylfaen"/>
                <w:szCs w:val="22"/>
                <w:lang w:val="hy-AM" w:eastAsia="en-US"/>
              </w:rPr>
              <w:t>9</w:t>
            </w:r>
            <w:r w:rsidRPr="00961B35">
              <w:rPr>
                <w:rFonts w:cs="Sylfaen"/>
                <w:szCs w:val="22"/>
                <w:lang w:val="it-IT" w:eastAsia="en-US"/>
              </w:rPr>
              <w:t>*</w:t>
            </w:r>
          </w:p>
        </w:tc>
        <w:tc>
          <w:tcPr>
            <w:tcW w:w="577" w:type="pct"/>
            <w:tcBorders>
              <w:top w:val="single" w:sz="12" w:space="0" w:color="000000"/>
              <w:left w:val="single" w:sz="6" w:space="0" w:color="000000"/>
              <w:bottom w:val="single" w:sz="6" w:space="0" w:color="000000"/>
              <w:right w:val="single" w:sz="12" w:space="0" w:color="000000"/>
            </w:tcBorders>
            <w:vAlign w:val="center"/>
            <w:hideMark/>
          </w:tcPr>
          <w:p w:rsidR="00961B35" w:rsidRPr="00961B35" w:rsidRDefault="00961B35" w:rsidP="00961B35">
            <w:pPr>
              <w:spacing w:before="0" w:line="276" w:lineRule="auto"/>
              <w:ind w:firstLine="0"/>
              <w:contextualSpacing w:val="0"/>
              <w:jc w:val="center"/>
              <w:cnfStyle w:val="100000000000" w:firstRow="1" w:lastRow="0" w:firstColumn="0" w:lastColumn="0" w:oddVBand="0" w:evenVBand="0" w:oddHBand="0" w:evenHBand="0" w:firstRowFirstColumn="0" w:firstRowLastColumn="0" w:lastRowFirstColumn="0" w:lastRowLastColumn="0"/>
              <w:rPr>
                <w:rFonts w:cs="Sylfaen"/>
                <w:szCs w:val="22"/>
                <w:lang w:val="it-IT" w:eastAsia="en-US"/>
              </w:rPr>
            </w:pPr>
            <w:r w:rsidRPr="00961B35">
              <w:rPr>
                <w:rFonts w:cs="Sylfaen"/>
                <w:szCs w:val="22"/>
                <w:lang w:val="it-IT" w:eastAsia="en-US"/>
              </w:rPr>
              <w:t>20</w:t>
            </w:r>
            <w:r w:rsidRPr="00961B35">
              <w:rPr>
                <w:rFonts w:cs="Sylfaen"/>
                <w:szCs w:val="22"/>
                <w:lang w:val="hy-AM" w:eastAsia="en-US"/>
              </w:rPr>
              <w:t>20</w:t>
            </w:r>
            <w:r w:rsidRPr="00961B35">
              <w:rPr>
                <w:rFonts w:cs="Sylfaen"/>
                <w:szCs w:val="22"/>
                <w:lang w:val="it-IT" w:eastAsia="en-US"/>
              </w:rPr>
              <w:t>*</w:t>
            </w:r>
          </w:p>
        </w:tc>
      </w:tr>
      <w:tr w:rsidR="00961B35" w:rsidRPr="00961B35" w:rsidTr="00E52D4A">
        <w:trPr>
          <w:trHeight w:val="255"/>
        </w:trPr>
        <w:tc>
          <w:tcPr>
            <w:tcW w:w="1986" w:type="pct"/>
            <w:tcBorders>
              <w:top w:val="single" w:sz="6" w:space="0" w:color="000000"/>
              <w:left w:val="single" w:sz="12" w:space="0" w:color="000000"/>
              <w:bottom w:val="single" w:sz="6" w:space="0" w:color="000000"/>
              <w:right w:val="single" w:sz="6" w:space="0" w:color="000000"/>
            </w:tcBorders>
            <w:noWrap/>
          </w:tcPr>
          <w:p w:rsidR="00961B35" w:rsidRPr="00961B35" w:rsidRDefault="00961B35" w:rsidP="00961B35">
            <w:pPr>
              <w:spacing w:before="0" w:line="276" w:lineRule="auto"/>
              <w:ind w:firstLine="450"/>
              <w:contextualSpacing w:val="0"/>
              <w:jc w:val="left"/>
              <w:rPr>
                <w:rFonts w:cs="Sylfaen"/>
                <w:szCs w:val="22"/>
                <w:highlight w:val="yellow"/>
                <w:lang w:val="it-IT" w:eastAsia="en-US"/>
              </w:rPr>
            </w:pPr>
          </w:p>
        </w:tc>
        <w:tc>
          <w:tcPr>
            <w:tcW w:w="696" w:type="pct"/>
            <w:tcBorders>
              <w:top w:val="single" w:sz="6" w:space="0" w:color="000000"/>
              <w:left w:val="single" w:sz="6" w:space="0" w:color="000000"/>
              <w:bottom w:val="single" w:sz="6" w:space="0" w:color="000000"/>
              <w:right w:val="single" w:sz="6" w:space="0" w:color="000000"/>
            </w:tcBorders>
            <w:noWrap/>
            <w:vAlign w:val="center"/>
            <w:hideMark/>
          </w:tcPr>
          <w:p w:rsidR="00961B35" w:rsidRPr="00961B35" w:rsidRDefault="00961B35" w:rsidP="00961B35">
            <w:pPr>
              <w:spacing w:before="0" w:line="276" w:lineRule="auto"/>
              <w:ind w:firstLine="0"/>
              <w:contextualSpacing w:val="0"/>
              <w:jc w:val="center"/>
              <w:rPr>
                <w:rFonts w:cs="Sylfaen"/>
                <w:szCs w:val="22"/>
                <w:lang w:val="it-IT" w:eastAsia="en-US"/>
              </w:rPr>
            </w:pPr>
            <w:r w:rsidRPr="00961B35">
              <w:rPr>
                <w:rFonts w:cs="Sylfaen"/>
                <w:szCs w:val="22"/>
                <w:lang w:val="en-US" w:eastAsia="en-US"/>
              </w:rPr>
              <w:t>փաստ</w:t>
            </w:r>
            <w:r w:rsidRPr="00961B35">
              <w:rPr>
                <w:rFonts w:cs="Sylfaen"/>
                <w:szCs w:val="22"/>
                <w:lang w:val="it-IT" w:eastAsia="en-US"/>
              </w:rPr>
              <w:t>.</w:t>
            </w:r>
          </w:p>
        </w:tc>
        <w:tc>
          <w:tcPr>
            <w:tcW w:w="580" w:type="pct"/>
            <w:tcBorders>
              <w:top w:val="single" w:sz="6" w:space="0" w:color="000000"/>
              <w:left w:val="single" w:sz="6" w:space="0" w:color="000000"/>
              <w:bottom w:val="single" w:sz="6" w:space="0" w:color="000000"/>
              <w:right w:val="single" w:sz="6" w:space="0" w:color="000000"/>
            </w:tcBorders>
            <w:noWrap/>
            <w:vAlign w:val="center"/>
            <w:hideMark/>
          </w:tcPr>
          <w:p w:rsidR="00961B35" w:rsidRPr="00961B35" w:rsidRDefault="00961B35" w:rsidP="00961B35">
            <w:pPr>
              <w:spacing w:before="0" w:line="276" w:lineRule="auto"/>
              <w:ind w:firstLine="0"/>
              <w:contextualSpacing w:val="0"/>
              <w:jc w:val="center"/>
              <w:rPr>
                <w:rFonts w:cs="Sylfaen"/>
                <w:szCs w:val="22"/>
                <w:lang w:val="it-IT" w:eastAsia="en-US"/>
              </w:rPr>
            </w:pPr>
            <w:r w:rsidRPr="00961B35">
              <w:rPr>
                <w:rFonts w:cs="Sylfaen"/>
                <w:szCs w:val="22"/>
                <w:lang w:val="en-US" w:eastAsia="en-US"/>
              </w:rPr>
              <w:t>փաստ</w:t>
            </w:r>
            <w:r w:rsidRPr="00961B35">
              <w:rPr>
                <w:rFonts w:cs="Sylfaen"/>
                <w:szCs w:val="22"/>
                <w:lang w:val="it-IT" w:eastAsia="en-US"/>
              </w:rPr>
              <w:t>.</w:t>
            </w:r>
          </w:p>
        </w:tc>
        <w:tc>
          <w:tcPr>
            <w:tcW w:w="580" w:type="pct"/>
            <w:tcBorders>
              <w:top w:val="single" w:sz="6" w:space="0" w:color="000000"/>
              <w:left w:val="single" w:sz="6" w:space="0" w:color="000000"/>
              <w:bottom w:val="single" w:sz="6" w:space="0" w:color="000000"/>
              <w:right w:val="single" w:sz="6" w:space="0" w:color="000000"/>
            </w:tcBorders>
            <w:vAlign w:val="center"/>
            <w:hideMark/>
          </w:tcPr>
          <w:p w:rsidR="00961B35" w:rsidRPr="00961B35" w:rsidRDefault="00961B35" w:rsidP="00961B35">
            <w:pPr>
              <w:spacing w:before="0" w:line="276" w:lineRule="auto"/>
              <w:ind w:firstLine="0"/>
              <w:contextualSpacing w:val="0"/>
              <w:jc w:val="center"/>
              <w:rPr>
                <w:rFonts w:cs="Sylfaen"/>
                <w:szCs w:val="22"/>
                <w:lang w:val="it-IT" w:eastAsia="en-US"/>
              </w:rPr>
            </w:pPr>
            <w:r w:rsidRPr="00961B35">
              <w:rPr>
                <w:rFonts w:cs="Sylfaen"/>
                <w:szCs w:val="22"/>
                <w:lang w:val="en-US" w:eastAsia="en-US"/>
              </w:rPr>
              <w:t>փաստ.</w:t>
            </w:r>
          </w:p>
        </w:tc>
        <w:tc>
          <w:tcPr>
            <w:tcW w:w="580" w:type="pct"/>
            <w:tcBorders>
              <w:top w:val="single" w:sz="6" w:space="0" w:color="000000"/>
              <w:left w:val="single" w:sz="6" w:space="0" w:color="000000"/>
              <w:bottom w:val="single" w:sz="6" w:space="0" w:color="000000"/>
              <w:right w:val="single" w:sz="6" w:space="0" w:color="000000"/>
            </w:tcBorders>
            <w:vAlign w:val="center"/>
            <w:hideMark/>
          </w:tcPr>
          <w:p w:rsidR="00961B35" w:rsidRPr="00961B35" w:rsidRDefault="00961B35" w:rsidP="00961B35">
            <w:pPr>
              <w:spacing w:before="0" w:line="276" w:lineRule="auto"/>
              <w:ind w:firstLine="0"/>
              <w:contextualSpacing w:val="0"/>
              <w:jc w:val="center"/>
              <w:rPr>
                <w:rFonts w:cs="Sylfaen"/>
                <w:szCs w:val="22"/>
                <w:lang w:val="it-IT" w:eastAsia="en-US"/>
              </w:rPr>
            </w:pPr>
            <w:r w:rsidRPr="00961B35">
              <w:rPr>
                <w:rFonts w:cs="Sylfaen"/>
                <w:szCs w:val="22"/>
                <w:lang w:val="en-US" w:eastAsia="en-US"/>
              </w:rPr>
              <w:t>կանխ</w:t>
            </w:r>
            <w:r w:rsidRPr="00961B35">
              <w:rPr>
                <w:rFonts w:cs="Sylfaen"/>
                <w:szCs w:val="22"/>
                <w:lang w:val="it-IT" w:eastAsia="en-US"/>
              </w:rPr>
              <w:t>.</w:t>
            </w:r>
          </w:p>
        </w:tc>
        <w:tc>
          <w:tcPr>
            <w:tcW w:w="577" w:type="pct"/>
            <w:tcBorders>
              <w:top w:val="single" w:sz="6" w:space="0" w:color="000000"/>
              <w:left w:val="single" w:sz="6" w:space="0" w:color="000000"/>
              <w:bottom w:val="single" w:sz="6" w:space="0" w:color="000000"/>
              <w:right w:val="single" w:sz="12" w:space="0" w:color="000000"/>
            </w:tcBorders>
            <w:vAlign w:val="center"/>
            <w:hideMark/>
          </w:tcPr>
          <w:p w:rsidR="00961B35" w:rsidRPr="00961B35" w:rsidRDefault="00961B35" w:rsidP="00961B35">
            <w:pPr>
              <w:spacing w:before="0" w:line="276" w:lineRule="auto"/>
              <w:ind w:firstLine="0"/>
              <w:contextualSpacing w:val="0"/>
              <w:jc w:val="center"/>
              <w:rPr>
                <w:rFonts w:cs="Sylfaen"/>
                <w:szCs w:val="22"/>
                <w:lang w:val="it-IT" w:eastAsia="en-US"/>
              </w:rPr>
            </w:pPr>
            <w:r w:rsidRPr="00961B35">
              <w:rPr>
                <w:rFonts w:cs="Sylfaen"/>
                <w:szCs w:val="22"/>
                <w:lang w:val="en-US" w:eastAsia="en-US"/>
              </w:rPr>
              <w:t>կանխ</w:t>
            </w:r>
            <w:r w:rsidRPr="00961B35">
              <w:rPr>
                <w:rFonts w:cs="Sylfaen"/>
                <w:szCs w:val="22"/>
                <w:lang w:val="it-IT" w:eastAsia="en-US"/>
              </w:rPr>
              <w:t>.</w:t>
            </w:r>
          </w:p>
        </w:tc>
      </w:tr>
      <w:tr w:rsidR="00961B35" w:rsidRPr="00961B35" w:rsidTr="00E52D4A">
        <w:trPr>
          <w:trHeight w:val="255"/>
        </w:trPr>
        <w:tc>
          <w:tcPr>
            <w:tcW w:w="1986" w:type="pct"/>
            <w:tcBorders>
              <w:top w:val="single" w:sz="6" w:space="0" w:color="000000"/>
              <w:left w:val="single" w:sz="12" w:space="0" w:color="000000"/>
              <w:bottom w:val="single" w:sz="6" w:space="0" w:color="000000"/>
              <w:right w:val="single" w:sz="6" w:space="0" w:color="000000"/>
            </w:tcBorders>
            <w:noWrap/>
            <w:hideMark/>
          </w:tcPr>
          <w:p w:rsidR="00961B35" w:rsidRPr="00961B35" w:rsidRDefault="00961B35" w:rsidP="00961B35">
            <w:pPr>
              <w:spacing w:before="0" w:line="276" w:lineRule="auto"/>
              <w:ind w:firstLine="9"/>
              <w:contextualSpacing w:val="0"/>
              <w:jc w:val="left"/>
              <w:rPr>
                <w:rFonts w:cs="Sylfaen"/>
                <w:szCs w:val="22"/>
                <w:vertAlign w:val="superscript"/>
                <w:lang w:val="en-US" w:eastAsia="en-US"/>
              </w:rPr>
            </w:pPr>
            <w:r w:rsidRPr="00961B35">
              <w:rPr>
                <w:rFonts w:cs="Sylfaen"/>
                <w:szCs w:val="22"/>
                <w:lang w:val="en-US" w:eastAsia="en-US"/>
              </w:rPr>
              <w:t>Սպառում</w:t>
            </w:r>
          </w:p>
        </w:tc>
        <w:tc>
          <w:tcPr>
            <w:tcW w:w="696" w:type="pct"/>
            <w:tcBorders>
              <w:top w:val="single" w:sz="6" w:space="0" w:color="000000"/>
              <w:left w:val="single" w:sz="6" w:space="0" w:color="000000"/>
              <w:bottom w:val="single" w:sz="6" w:space="0" w:color="000000"/>
              <w:right w:val="single" w:sz="6" w:space="0" w:color="000000"/>
            </w:tcBorders>
            <w:noWrap/>
            <w:hideMark/>
          </w:tcPr>
          <w:p w:rsidR="00961B35" w:rsidRPr="00961B35" w:rsidRDefault="00961B35" w:rsidP="00961B35">
            <w:pPr>
              <w:spacing w:before="0" w:line="276" w:lineRule="auto"/>
              <w:ind w:firstLine="0"/>
              <w:contextualSpacing w:val="0"/>
              <w:jc w:val="center"/>
              <w:rPr>
                <w:szCs w:val="22"/>
                <w:lang w:val="en-US" w:eastAsia="en-US"/>
              </w:rPr>
            </w:pPr>
            <w:r w:rsidRPr="00961B35">
              <w:rPr>
                <w:szCs w:val="22"/>
                <w:lang w:val="en-US" w:eastAsia="en-US"/>
              </w:rPr>
              <w:t>90.8</w:t>
            </w:r>
          </w:p>
        </w:tc>
        <w:tc>
          <w:tcPr>
            <w:tcW w:w="580" w:type="pct"/>
            <w:tcBorders>
              <w:top w:val="single" w:sz="6" w:space="0" w:color="000000"/>
              <w:left w:val="single" w:sz="6" w:space="0" w:color="000000"/>
              <w:bottom w:val="single" w:sz="6" w:space="0" w:color="000000"/>
              <w:right w:val="single" w:sz="6" w:space="0" w:color="000000"/>
            </w:tcBorders>
            <w:noWrap/>
            <w:hideMark/>
          </w:tcPr>
          <w:p w:rsidR="00961B35" w:rsidRPr="00961B35" w:rsidRDefault="00961B35" w:rsidP="00961B35">
            <w:pPr>
              <w:spacing w:before="0" w:line="276" w:lineRule="auto"/>
              <w:ind w:firstLine="0"/>
              <w:contextualSpacing w:val="0"/>
              <w:jc w:val="center"/>
              <w:rPr>
                <w:szCs w:val="22"/>
                <w:lang w:val="en-US" w:eastAsia="en-US"/>
              </w:rPr>
            </w:pPr>
            <w:r w:rsidRPr="00961B35">
              <w:rPr>
                <w:szCs w:val="22"/>
                <w:lang w:val="en-US" w:eastAsia="en-US"/>
              </w:rPr>
              <w:t>9</w:t>
            </w:r>
            <w:r w:rsidRPr="00961B35">
              <w:rPr>
                <w:szCs w:val="22"/>
                <w:lang w:val="hy-AM" w:eastAsia="en-US"/>
              </w:rPr>
              <w:t>2</w:t>
            </w:r>
            <w:r w:rsidRPr="00961B35">
              <w:rPr>
                <w:szCs w:val="22"/>
                <w:lang w:val="en-US" w:eastAsia="en-US"/>
              </w:rPr>
              <w:t>.</w:t>
            </w:r>
            <w:r w:rsidRPr="00961B35">
              <w:rPr>
                <w:szCs w:val="22"/>
                <w:lang w:val="hy-AM" w:eastAsia="en-US"/>
              </w:rPr>
              <w:t>3</w:t>
            </w:r>
          </w:p>
        </w:tc>
        <w:tc>
          <w:tcPr>
            <w:tcW w:w="580" w:type="pct"/>
            <w:tcBorders>
              <w:top w:val="single" w:sz="6" w:space="0" w:color="000000"/>
              <w:left w:val="single" w:sz="6" w:space="0" w:color="000000"/>
              <w:bottom w:val="single" w:sz="6" w:space="0" w:color="000000"/>
              <w:right w:val="single" w:sz="6" w:space="0" w:color="000000"/>
            </w:tcBorders>
          </w:tcPr>
          <w:p w:rsidR="00961B35" w:rsidRPr="00961B35" w:rsidRDefault="00961B35" w:rsidP="00961B35">
            <w:pPr>
              <w:spacing w:before="0" w:line="276" w:lineRule="auto"/>
              <w:ind w:firstLine="0"/>
              <w:contextualSpacing w:val="0"/>
              <w:jc w:val="center"/>
              <w:rPr>
                <w:szCs w:val="22"/>
                <w:lang w:val="en-US" w:eastAsia="en-US"/>
              </w:rPr>
            </w:pPr>
            <w:r w:rsidRPr="00961B35">
              <w:rPr>
                <w:szCs w:val="22"/>
                <w:lang w:val="en-US" w:eastAsia="en-US"/>
              </w:rPr>
              <w:t>92.7</w:t>
            </w:r>
          </w:p>
        </w:tc>
        <w:tc>
          <w:tcPr>
            <w:tcW w:w="580" w:type="pct"/>
            <w:tcBorders>
              <w:top w:val="single" w:sz="6" w:space="0" w:color="000000"/>
              <w:left w:val="single" w:sz="6" w:space="0" w:color="000000"/>
              <w:bottom w:val="single" w:sz="6" w:space="0" w:color="000000"/>
              <w:right w:val="single" w:sz="6" w:space="0" w:color="000000"/>
            </w:tcBorders>
          </w:tcPr>
          <w:p w:rsidR="00961B35" w:rsidRPr="00961B35" w:rsidRDefault="00961B35" w:rsidP="00961B35">
            <w:pPr>
              <w:spacing w:before="0" w:line="276" w:lineRule="auto"/>
              <w:ind w:firstLine="0"/>
              <w:contextualSpacing w:val="0"/>
              <w:jc w:val="center"/>
              <w:rPr>
                <w:szCs w:val="22"/>
                <w:lang w:val="en-US" w:eastAsia="en-US"/>
              </w:rPr>
            </w:pPr>
            <w:r w:rsidRPr="00961B35">
              <w:rPr>
                <w:szCs w:val="22"/>
                <w:lang w:val="en-US" w:eastAsia="en-US"/>
              </w:rPr>
              <w:t>93.3</w:t>
            </w:r>
          </w:p>
        </w:tc>
        <w:tc>
          <w:tcPr>
            <w:tcW w:w="577" w:type="pct"/>
            <w:tcBorders>
              <w:top w:val="single" w:sz="6" w:space="0" w:color="000000"/>
              <w:left w:val="single" w:sz="6" w:space="0" w:color="000000"/>
              <w:bottom w:val="single" w:sz="6" w:space="0" w:color="000000"/>
              <w:right w:val="single" w:sz="12" w:space="0" w:color="000000"/>
            </w:tcBorders>
          </w:tcPr>
          <w:p w:rsidR="00961B35" w:rsidRPr="00961B35" w:rsidRDefault="00961B35" w:rsidP="00961B35">
            <w:pPr>
              <w:spacing w:before="0" w:line="276" w:lineRule="auto"/>
              <w:ind w:firstLine="0"/>
              <w:contextualSpacing w:val="0"/>
              <w:jc w:val="center"/>
              <w:rPr>
                <w:szCs w:val="22"/>
                <w:lang w:val="en-US" w:eastAsia="en-US"/>
              </w:rPr>
            </w:pPr>
            <w:r w:rsidRPr="00961B35">
              <w:rPr>
                <w:szCs w:val="22"/>
                <w:lang w:val="en-US" w:eastAsia="en-US"/>
              </w:rPr>
              <w:t>92.5</w:t>
            </w:r>
          </w:p>
        </w:tc>
      </w:tr>
      <w:tr w:rsidR="00961B35" w:rsidRPr="00961B35" w:rsidTr="00E52D4A">
        <w:trPr>
          <w:trHeight w:val="255"/>
        </w:trPr>
        <w:tc>
          <w:tcPr>
            <w:tcW w:w="1986" w:type="pct"/>
            <w:tcBorders>
              <w:top w:val="single" w:sz="6" w:space="0" w:color="000000"/>
              <w:left w:val="single" w:sz="12" w:space="0" w:color="000000"/>
              <w:bottom w:val="single" w:sz="6" w:space="0" w:color="000000"/>
              <w:right w:val="single" w:sz="6" w:space="0" w:color="000000"/>
            </w:tcBorders>
            <w:noWrap/>
            <w:hideMark/>
          </w:tcPr>
          <w:p w:rsidR="00961B35" w:rsidRPr="00961B35" w:rsidRDefault="00961B35" w:rsidP="00961B35">
            <w:pPr>
              <w:spacing w:before="0" w:line="276" w:lineRule="auto"/>
              <w:ind w:firstLine="9"/>
              <w:contextualSpacing w:val="0"/>
              <w:jc w:val="left"/>
              <w:rPr>
                <w:rFonts w:cs="Arial"/>
                <w:szCs w:val="22"/>
                <w:lang w:val="it-IT" w:eastAsia="en-US"/>
              </w:rPr>
            </w:pPr>
            <w:r w:rsidRPr="00961B35">
              <w:rPr>
                <w:rFonts w:cs="Sylfaen"/>
                <w:szCs w:val="22"/>
                <w:lang w:val="en-US" w:eastAsia="en-US"/>
              </w:rPr>
              <w:t>Ներդրումներ</w:t>
            </w:r>
          </w:p>
        </w:tc>
        <w:tc>
          <w:tcPr>
            <w:tcW w:w="696" w:type="pct"/>
            <w:tcBorders>
              <w:top w:val="single" w:sz="6" w:space="0" w:color="000000"/>
              <w:left w:val="single" w:sz="6" w:space="0" w:color="000000"/>
              <w:bottom w:val="single" w:sz="6" w:space="0" w:color="000000"/>
              <w:right w:val="single" w:sz="6" w:space="0" w:color="000000"/>
            </w:tcBorders>
            <w:noWrap/>
            <w:hideMark/>
          </w:tcPr>
          <w:p w:rsidR="00961B35" w:rsidRPr="00961B35" w:rsidRDefault="00961B35" w:rsidP="00961B35">
            <w:pPr>
              <w:spacing w:before="0" w:line="276" w:lineRule="auto"/>
              <w:ind w:firstLine="0"/>
              <w:contextualSpacing w:val="0"/>
              <w:jc w:val="center"/>
              <w:rPr>
                <w:szCs w:val="22"/>
                <w:lang w:val="en-US" w:eastAsia="en-US"/>
              </w:rPr>
            </w:pPr>
            <w:r w:rsidRPr="00961B35">
              <w:rPr>
                <w:szCs w:val="22"/>
                <w:lang w:val="en-US" w:eastAsia="en-US"/>
              </w:rPr>
              <w:t>18.0</w:t>
            </w:r>
          </w:p>
        </w:tc>
        <w:tc>
          <w:tcPr>
            <w:tcW w:w="580" w:type="pct"/>
            <w:tcBorders>
              <w:top w:val="single" w:sz="6" w:space="0" w:color="000000"/>
              <w:left w:val="single" w:sz="6" w:space="0" w:color="000000"/>
              <w:bottom w:val="single" w:sz="6" w:space="0" w:color="000000"/>
              <w:right w:val="single" w:sz="6" w:space="0" w:color="000000"/>
            </w:tcBorders>
            <w:noWrap/>
            <w:hideMark/>
          </w:tcPr>
          <w:p w:rsidR="00961B35" w:rsidRPr="00961B35" w:rsidRDefault="00961B35" w:rsidP="00961B35">
            <w:pPr>
              <w:spacing w:before="0" w:line="276" w:lineRule="auto"/>
              <w:ind w:firstLine="0"/>
              <w:contextualSpacing w:val="0"/>
              <w:jc w:val="center"/>
              <w:rPr>
                <w:szCs w:val="22"/>
                <w:lang w:val="en-US" w:eastAsia="en-US"/>
              </w:rPr>
            </w:pPr>
            <w:r w:rsidRPr="00961B35">
              <w:rPr>
                <w:szCs w:val="22"/>
                <w:lang w:val="en-US" w:eastAsia="en-US"/>
              </w:rPr>
              <w:t>19.3</w:t>
            </w:r>
          </w:p>
        </w:tc>
        <w:tc>
          <w:tcPr>
            <w:tcW w:w="580" w:type="pct"/>
            <w:tcBorders>
              <w:top w:val="single" w:sz="6" w:space="0" w:color="000000"/>
              <w:left w:val="single" w:sz="6" w:space="0" w:color="000000"/>
              <w:bottom w:val="single" w:sz="6" w:space="0" w:color="000000"/>
              <w:right w:val="single" w:sz="6" w:space="0" w:color="000000"/>
            </w:tcBorders>
          </w:tcPr>
          <w:p w:rsidR="00961B35" w:rsidRPr="00961B35" w:rsidRDefault="00961B35" w:rsidP="00961B35">
            <w:pPr>
              <w:spacing w:before="0" w:line="276" w:lineRule="auto"/>
              <w:ind w:firstLine="0"/>
              <w:contextualSpacing w:val="0"/>
              <w:jc w:val="center"/>
              <w:rPr>
                <w:szCs w:val="22"/>
                <w:lang w:val="en-US" w:eastAsia="en-US"/>
              </w:rPr>
            </w:pPr>
            <w:r w:rsidRPr="00961B35">
              <w:rPr>
                <w:szCs w:val="22"/>
                <w:lang w:val="en-US" w:eastAsia="en-US"/>
              </w:rPr>
              <w:t>22.4</w:t>
            </w:r>
          </w:p>
        </w:tc>
        <w:tc>
          <w:tcPr>
            <w:tcW w:w="580" w:type="pct"/>
            <w:tcBorders>
              <w:top w:val="single" w:sz="6" w:space="0" w:color="000000"/>
              <w:left w:val="single" w:sz="6" w:space="0" w:color="000000"/>
              <w:bottom w:val="single" w:sz="6" w:space="0" w:color="000000"/>
              <w:right w:val="single" w:sz="6" w:space="0" w:color="000000"/>
            </w:tcBorders>
          </w:tcPr>
          <w:p w:rsidR="00961B35" w:rsidRPr="00961B35" w:rsidRDefault="00961B35" w:rsidP="00961B35">
            <w:pPr>
              <w:spacing w:before="0" w:line="276" w:lineRule="auto"/>
              <w:ind w:firstLine="0"/>
              <w:contextualSpacing w:val="0"/>
              <w:jc w:val="center"/>
              <w:rPr>
                <w:szCs w:val="22"/>
                <w:lang w:val="en-US" w:eastAsia="en-US"/>
              </w:rPr>
            </w:pPr>
            <w:r w:rsidRPr="00961B35">
              <w:rPr>
                <w:szCs w:val="22"/>
                <w:lang w:val="en-US" w:eastAsia="en-US"/>
              </w:rPr>
              <w:t>22.3</w:t>
            </w:r>
          </w:p>
        </w:tc>
        <w:tc>
          <w:tcPr>
            <w:tcW w:w="577" w:type="pct"/>
            <w:tcBorders>
              <w:top w:val="single" w:sz="6" w:space="0" w:color="000000"/>
              <w:left w:val="single" w:sz="6" w:space="0" w:color="000000"/>
              <w:bottom w:val="single" w:sz="6" w:space="0" w:color="000000"/>
              <w:right w:val="single" w:sz="12" w:space="0" w:color="000000"/>
            </w:tcBorders>
          </w:tcPr>
          <w:p w:rsidR="00961B35" w:rsidRPr="00961B35" w:rsidRDefault="00961B35" w:rsidP="00961B35">
            <w:pPr>
              <w:spacing w:before="0" w:line="276" w:lineRule="auto"/>
              <w:ind w:firstLine="0"/>
              <w:contextualSpacing w:val="0"/>
              <w:jc w:val="center"/>
              <w:rPr>
                <w:szCs w:val="22"/>
                <w:lang w:val="en-US" w:eastAsia="en-US"/>
              </w:rPr>
            </w:pPr>
            <w:r w:rsidRPr="00961B35">
              <w:rPr>
                <w:szCs w:val="22"/>
                <w:lang w:val="en-US" w:eastAsia="en-US"/>
              </w:rPr>
              <w:t>22.6</w:t>
            </w:r>
          </w:p>
        </w:tc>
      </w:tr>
      <w:tr w:rsidR="00961B35" w:rsidRPr="00961B35" w:rsidTr="00E52D4A">
        <w:trPr>
          <w:trHeight w:val="255"/>
        </w:trPr>
        <w:tc>
          <w:tcPr>
            <w:tcW w:w="1986" w:type="pct"/>
            <w:tcBorders>
              <w:top w:val="single" w:sz="6" w:space="0" w:color="000000"/>
              <w:left w:val="single" w:sz="12" w:space="0" w:color="000000"/>
              <w:bottom w:val="single" w:sz="6" w:space="0" w:color="000000"/>
              <w:right w:val="single" w:sz="6" w:space="0" w:color="000000"/>
            </w:tcBorders>
            <w:noWrap/>
            <w:hideMark/>
          </w:tcPr>
          <w:p w:rsidR="00961B35" w:rsidRPr="00961B35" w:rsidRDefault="00961B35" w:rsidP="00961B35">
            <w:pPr>
              <w:spacing w:before="0" w:line="276" w:lineRule="auto"/>
              <w:ind w:firstLine="9"/>
              <w:contextualSpacing w:val="0"/>
              <w:jc w:val="left"/>
              <w:rPr>
                <w:rFonts w:cs="Arial"/>
                <w:szCs w:val="22"/>
                <w:lang w:val="en-US" w:eastAsia="en-US"/>
              </w:rPr>
            </w:pPr>
            <w:r w:rsidRPr="00961B35">
              <w:rPr>
                <w:rFonts w:cs="Sylfaen"/>
                <w:szCs w:val="22"/>
                <w:lang w:val="en-US" w:eastAsia="en-US"/>
              </w:rPr>
              <w:t>Զուտ</w:t>
            </w:r>
            <w:r w:rsidRPr="00961B35">
              <w:rPr>
                <w:rFonts w:cs="Arial"/>
                <w:szCs w:val="22"/>
                <w:lang w:val="en-US" w:eastAsia="en-US"/>
              </w:rPr>
              <w:t xml:space="preserve"> </w:t>
            </w:r>
            <w:r w:rsidRPr="00961B35">
              <w:rPr>
                <w:rFonts w:cs="Sylfaen"/>
                <w:szCs w:val="22"/>
                <w:lang w:val="en-US" w:eastAsia="en-US"/>
              </w:rPr>
              <w:t>արտահանում</w:t>
            </w:r>
            <w:r w:rsidRPr="00961B35">
              <w:rPr>
                <w:rFonts w:cs="Arial"/>
                <w:szCs w:val="22"/>
                <w:lang w:val="en-US" w:eastAsia="en-US"/>
              </w:rPr>
              <w:t xml:space="preserve">, </w:t>
            </w:r>
            <w:r w:rsidRPr="00961B35">
              <w:rPr>
                <w:rFonts w:cs="Sylfaen"/>
                <w:szCs w:val="22"/>
                <w:lang w:val="en-US" w:eastAsia="en-US"/>
              </w:rPr>
              <w:t>այդ</w:t>
            </w:r>
            <w:r w:rsidRPr="00961B35">
              <w:rPr>
                <w:rFonts w:cs="Arial"/>
                <w:szCs w:val="22"/>
                <w:lang w:val="en-US" w:eastAsia="en-US"/>
              </w:rPr>
              <w:t xml:space="preserve"> </w:t>
            </w:r>
            <w:r w:rsidRPr="00961B35">
              <w:rPr>
                <w:rFonts w:cs="Sylfaen"/>
                <w:szCs w:val="22"/>
                <w:lang w:val="en-US" w:eastAsia="en-US"/>
              </w:rPr>
              <w:t>թվում`</w:t>
            </w:r>
          </w:p>
        </w:tc>
        <w:tc>
          <w:tcPr>
            <w:tcW w:w="696" w:type="pct"/>
            <w:tcBorders>
              <w:top w:val="single" w:sz="6" w:space="0" w:color="000000"/>
              <w:left w:val="single" w:sz="6" w:space="0" w:color="000000"/>
              <w:bottom w:val="single" w:sz="6" w:space="0" w:color="000000"/>
              <w:right w:val="single" w:sz="6" w:space="0" w:color="000000"/>
            </w:tcBorders>
            <w:noWrap/>
            <w:hideMark/>
          </w:tcPr>
          <w:p w:rsidR="00961B35" w:rsidRPr="00961B35" w:rsidRDefault="00961B35" w:rsidP="00961B35">
            <w:pPr>
              <w:spacing w:before="0" w:line="276" w:lineRule="auto"/>
              <w:ind w:firstLine="0"/>
              <w:contextualSpacing w:val="0"/>
              <w:jc w:val="center"/>
              <w:rPr>
                <w:szCs w:val="22"/>
                <w:lang w:val="en-US" w:eastAsia="en-US"/>
              </w:rPr>
            </w:pPr>
            <w:r w:rsidRPr="00961B35">
              <w:rPr>
                <w:szCs w:val="22"/>
                <w:lang w:val="en-US" w:eastAsia="en-US"/>
              </w:rPr>
              <w:t>-9.7</w:t>
            </w:r>
          </w:p>
        </w:tc>
        <w:tc>
          <w:tcPr>
            <w:tcW w:w="580" w:type="pct"/>
            <w:tcBorders>
              <w:top w:val="single" w:sz="6" w:space="0" w:color="000000"/>
              <w:left w:val="single" w:sz="6" w:space="0" w:color="000000"/>
              <w:bottom w:val="single" w:sz="6" w:space="0" w:color="000000"/>
              <w:right w:val="single" w:sz="6" w:space="0" w:color="000000"/>
            </w:tcBorders>
            <w:noWrap/>
            <w:hideMark/>
          </w:tcPr>
          <w:p w:rsidR="00961B35" w:rsidRPr="00961B35" w:rsidRDefault="00961B35" w:rsidP="00961B35">
            <w:pPr>
              <w:spacing w:before="0" w:line="276" w:lineRule="auto"/>
              <w:ind w:firstLine="0"/>
              <w:contextualSpacing w:val="0"/>
              <w:jc w:val="center"/>
              <w:rPr>
                <w:szCs w:val="22"/>
                <w:lang w:val="en-US" w:eastAsia="en-US"/>
              </w:rPr>
            </w:pPr>
            <w:r w:rsidRPr="00961B35">
              <w:rPr>
                <w:szCs w:val="22"/>
                <w:lang w:val="en-US" w:eastAsia="en-US"/>
              </w:rPr>
              <w:t>-12.2</w:t>
            </w:r>
          </w:p>
        </w:tc>
        <w:tc>
          <w:tcPr>
            <w:tcW w:w="580" w:type="pct"/>
            <w:tcBorders>
              <w:top w:val="single" w:sz="6" w:space="0" w:color="000000"/>
              <w:left w:val="single" w:sz="6" w:space="0" w:color="000000"/>
              <w:bottom w:val="single" w:sz="6" w:space="0" w:color="000000"/>
              <w:right w:val="single" w:sz="6" w:space="0" w:color="000000"/>
            </w:tcBorders>
          </w:tcPr>
          <w:p w:rsidR="00961B35" w:rsidRPr="00961B35" w:rsidRDefault="00961B35" w:rsidP="00961B35">
            <w:pPr>
              <w:spacing w:before="0" w:line="276" w:lineRule="auto"/>
              <w:ind w:firstLine="0"/>
              <w:contextualSpacing w:val="0"/>
              <w:jc w:val="center"/>
              <w:rPr>
                <w:szCs w:val="22"/>
                <w:lang w:val="en-US" w:eastAsia="en-US"/>
              </w:rPr>
            </w:pPr>
            <w:r w:rsidRPr="00961B35">
              <w:rPr>
                <w:szCs w:val="22"/>
                <w:lang w:val="en-US" w:eastAsia="en-US"/>
              </w:rPr>
              <w:t>-15.4</w:t>
            </w:r>
          </w:p>
        </w:tc>
        <w:tc>
          <w:tcPr>
            <w:tcW w:w="580" w:type="pct"/>
            <w:tcBorders>
              <w:top w:val="single" w:sz="6" w:space="0" w:color="000000"/>
              <w:left w:val="single" w:sz="6" w:space="0" w:color="000000"/>
              <w:bottom w:val="single" w:sz="6" w:space="0" w:color="000000"/>
              <w:right w:val="single" w:sz="6" w:space="0" w:color="000000"/>
            </w:tcBorders>
          </w:tcPr>
          <w:p w:rsidR="00961B35" w:rsidRPr="00961B35" w:rsidRDefault="00961B35" w:rsidP="00961B35">
            <w:pPr>
              <w:spacing w:before="0" w:line="276" w:lineRule="auto"/>
              <w:ind w:firstLine="0"/>
              <w:contextualSpacing w:val="0"/>
              <w:jc w:val="center"/>
              <w:rPr>
                <w:szCs w:val="22"/>
                <w:lang w:val="en-US" w:eastAsia="en-US"/>
              </w:rPr>
            </w:pPr>
            <w:r w:rsidRPr="00961B35">
              <w:rPr>
                <w:szCs w:val="22"/>
                <w:lang w:val="en-US" w:eastAsia="en-US"/>
              </w:rPr>
              <w:t>-14.6</w:t>
            </w:r>
          </w:p>
        </w:tc>
        <w:tc>
          <w:tcPr>
            <w:tcW w:w="577" w:type="pct"/>
            <w:tcBorders>
              <w:top w:val="single" w:sz="6" w:space="0" w:color="000000"/>
              <w:left w:val="single" w:sz="6" w:space="0" w:color="000000"/>
              <w:bottom w:val="single" w:sz="6" w:space="0" w:color="000000"/>
              <w:right w:val="single" w:sz="12" w:space="0" w:color="000000"/>
            </w:tcBorders>
          </w:tcPr>
          <w:p w:rsidR="00961B35" w:rsidRPr="00961B35" w:rsidRDefault="00961B35" w:rsidP="00961B35">
            <w:pPr>
              <w:spacing w:before="0" w:line="276" w:lineRule="auto"/>
              <w:ind w:firstLine="0"/>
              <w:contextualSpacing w:val="0"/>
              <w:jc w:val="center"/>
              <w:rPr>
                <w:szCs w:val="22"/>
                <w:lang w:val="en-US" w:eastAsia="en-US"/>
              </w:rPr>
            </w:pPr>
            <w:r w:rsidRPr="00961B35">
              <w:rPr>
                <w:szCs w:val="22"/>
                <w:lang w:val="en-US" w:eastAsia="en-US"/>
              </w:rPr>
              <w:t>-13.3</w:t>
            </w:r>
          </w:p>
        </w:tc>
      </w:tr>
      <w:tr w:rsidR="00961B35" w:rsidRPr="00961B35" w:rsidTr="00E52D4A">
        <w:trPr>
          <w:trHeight w:val="255"/>
        </w:trPr>
        <w:tc>
          <w:tcPr>
            <w:tcW w:w="1986" w:type="pct"/>
            <w:tcBorders>
              <w:top w:val="single" w:sz="6" w:space="0" w:color="000000"/>
              <w:left w:val="single" w:sz="12" w:space="0" w:color="000000"/>
              <w:bottom w:val="single" w:sz="6" w:space="0" w:color="000000"/>
              <w:right w:val="single" w:sz="6" w:space="0" w:color="000000"/>
            </w:tcBorders>
            <w:noWrap/>
            <w:hideMark/>
          </w:tcPr>
          <w:p w:rsidR="00961B35" w:rsidRPr="00961B35" w:rsidRDefault="00961B35" w:rsidP="00961B35">
            <w:pPr>
              <w:spacing w:before="0" w:line="276" w:lineRule="auto"/>
              <w:ind w:firstLine="9"/>
              <w:contextualSpacing w:val="0"/>
              <w:jc w:val="left"/>
              <w:rPr>
                <w:rFonts w:cs="Sylfaen"/>
                <w:szCs w:val="22"/>
                <w:lang w:val="en-US" w:eastAsia="en-US"/>
              </w:rPr>
            </w:pPr>
            <w:r w:rsidRPr="00961B35">
              <w:rPr>
                <w:rFonts w:cs="Sylfaen"/>
                <w:szCs w:val="22"/>
                <w:lang w:val="en-US" w:eastAsia="en-US"/>
              </w:rPr>
              <w:t>Արտահանում</w:t>
            </w:r>
            <w:r w:rsidRPr="00961B35">
              <w:rPr>
                <w:szCs w:val="22"/>
                <w:vertAlign w:val="superscript"/>
                <w:lang w:val="en-US" w:eastAsia="en-US"/>
              </w:rPr>
              <w:footnoteReference w:id="15"/>
            </w:r>
          </w:p>
        </w:tc>
        <w:tc>
          <w:tcPr>
            <w:tcW w:w="696" w:type="pct"/>
            <w:tcBorders>
              <w:top w:val="single" w:sz="6" w:space="0" w:color="000000"/>
              <w:left w:val="single" w:sz="6" w:space="0" w:color="000000"/>
              <w:bottom w:val="single" w:sz="6" w:space="0" w:color="000000"/>
              <w:right w:val="single" w:sz="6" w:space="0" w:color="000000"/>
            </w:tcBorders>
            <w:noWrap/>
            <w:hideMark/>
          </w:tcPr>
          <w:p w:rsidR="00961B35" w:rsidRPr="00961B35" w:rsidRDefault="00961B35" w:rsidP="00961B35">
            <w:pPr>
              <w:spacing w:before="0" w:line="276" w:lineRule="auto"/>
              <w:ind w:firstLine="0"/>
              <w:contextualSpacing w:val="0"/>
              <w:jc w:val="center"/>
              <w:rPr>
                <w:szCs w:val="22"/>
                <w:lang w:val="en-US" w:eastAsia="en-US"/>
              </w:rPr>
            </w:pPr>
            <w:r w:rsidRPr="00961B35">
              <w:rPr>
                <w:szCs w:val="22"/>
                <w:lang w:val="en-US" w:eastAsia="en-US"/>
              </w:rPr>
              <w:t>33.1</w:t>
            </w:r>
          </w:p>
        </w:tc>
        <w:tc>
          <w:tcPr>
            <w:tcW w:w="580" w:type="pct"/>
            <w:tcBorders>
              <w:top w:val="single" w:sz="6" w:space="0" w:color="000000"/>
              <w:left w:val="single" w:sz="6" w:space="0" w:color="000000"/>
              <w:bottom w:val="single" w:sz="6" w:space="0" w:color="000000"/>
              <w:right w:val="single" w:sz="6" w:space="0" w:color="000000"/>
            </w:tcBorders>
            <w:noWrap/>
            <w:hideMark/>
          </w:tcPr>
          <w:p w:rsidR="00961B35" w:rsidRPr="00961B35" w:rsidRDefault="00961B35" w:rsidP="00961B35">
            <w:pPr>
              <w:spacing w:before="0" w:line="276" w:lineRule="auto"/>
              <w:ind w:firstLine="0"/>
              <w:contextualSpacing w:val="0"/>
              <w:jc w:val="center"/>
              <w:rPr>
                <w:szCs w:val="22"/>
                <w:lang w:val="en-US" w:eastAsia="en-US"/>
              </w:rPr>
            </w:pPr>
            <w:r w:rsidRPr="00961B35">
              <w:rPr>
                <w:szCs w:val="22"/>
                <w:lang w:val="en-US" w:eastAsia="en-US"/>
              </w:rPr>
              <w:t>37.3</w:t>
            </w:r>
          </w:p>
        </w:tc>
        <w:tc>
          <w:tcPr>
            <w:tcW w:w="580" w:type="pct"/>
            <w:tcBorders>
              <w:top w:val="single" w:sz="6" w:space="0" w:color="000000"/>
              <w:left w:val="single" w:sz="6" w:space="0" w:color="000000"/>
              <w:bottom w:val="single" w:sz="6" w:space="0" w:color="000000"/>
              <w:right w:val="single" w:sz="6" w:space="0" w:color="000000"/>
            </w:tcBorders>
          </w:tcPr>
          <w:p w:rsidR="00961B35" w:rsidRPr="00961B35" w:rsidRDefault="00961B35" w:rsidP="00961B35">
            <w:pPr>
              <w:spacing w:before="0" w:line="276" w:lineRule="auto"/>
              <w:ind w:firstLine="0"/>
              <w:contextualSpacing w:val="0"/>
              <w:jc w:val="center"/>
              <w:rPr>
                <w:szCs w:val="22"/>
                <w:lang w:val="en-US" w:eastAsia="en-US"/>
              </w:rPr>
            </w:pPr>
            <w:r w:rsidRPr="00961B35">
              <w:rPr>
                <w:szCs w:val="22"/>
                <w:lang w:val="en-US" w:eastAsia="en-US"/>
              </w:rPr>
              <w:t>37.5</w:t>
            </w:r>
          </w:p>
        </w:tc>
        <w:tc>
          <w:tcPr>
            <w:tcW w:w="580" w:type="pct"/>
            <w:tcBorders>
              <w:top w:val="single" w:sz="6" w:space="0" w:color="000000"/>
              <w:left w:val="single" w:sz="6" w:space="0" w:color="000000"/>
              <w:bottom w:val="single" w:sz="6" w:space="0" w:color="000000"/>
              <w:right w:val="single" w:sz="6" w:space="0" w:color="000000"/>
            </w:tcBorders>
          </w:tcPr>
          <w:p w:rsidR="00961B35" w:rsidRPr="00961B35" w:rsidRDefault="00961B35" w:rsidP="00961B35">
            <w:pPr>
              <w:spacing w:before="0" w:line="276" w:lineRule="auto"/>
              <w:ind w:firstLine="0"/>
              <w:contextualSpacing w:val="0"/>
              <w:jc w:val="center"/>
              <w:rPr>
                <w:szCs w:val="22"/>
                <w:lang w:val="en-US" w:eastAsia="en-US"/>
              </w:rPr>
            </w:pPr>
            <w:r w:rsidRPr="00961B35">
              <w:rPr>
                <w:szCs w:val="22"/>
                <w:lang w:val="en-US" w:eastAsia="en-US"/>
              </w:rPr>
              <w:t>37.5</w:t>
            </w:r>
          </w:p>
        </w:tc>
        <w:tc>
          <w:tcPr>
            <w:tcW w:w="577" w:type="pct"/>
            <w:tcBorders>
              <w:top w:val="single" w:sz="6" w:space="0" w:color="000000"/>
              <w:left w:val="single" w:sz="6" w:space="0" w:color="000000"/>
              <w:bottom w:val="single" w:sz="6" w:space="0" w:color="000000"/>
              <w:right w:val="single" w:sz="12" w:space="0" w:color="000000"/>
            </w:tcBorders>
          </w:tcPr>
          <w:p w:rsidR="00961B35" w:rsidRPr="00961B35" w:rsidRDefault="00961B35" w:rsidP="00961B35">
            <w:pPr>
              <w:spacing w:before="0" w:line="276" w:lineRule="auto"/>
              <w:ind w:firstLine="0"/>
              <w:contextualSpacing w:val="0"/>
              <w:jc w:val="center"/>
              <w:rPr>
                <w:szCs w:val="22"/>
                <w:lang w:val="en-US" w:eastAsia="en-US"/>
              </w:rPr>
            </w:pPr>
            <w:r w:rsidRPr="00961B35">
              <w:rPr>
                <w:szCs w:val="22"/>
                <w:lang w:val="en-US" w:eastAsia="en-US"/>
              </w:rPr>
              <w:t>39.2</w:t>
            </w:r>
          </w:p>
        </w:tc>
      </w:tr>
      <w:tr w:rsidR="00961B35" w:rsidRPr="00961B35" w:rsidTr="00E52D4A">
        <w:trPr>
          <w:trHeight w:val="255"/>
        </w:trPr>
        <w:tc>
          <w:tcPr>
            <w:tcW w:w="1986" w:type="pct"/>
            <w:tcBorders>
              <w:top w:val="single" w:sz="6" w:space="0" w:color="000000"/>
              <w:left w:val="single" w:sz="12" w:space="0" w:color="000000"/>
              <w:bottom w:val="single" w:sz="6" w:space="0" w:color="000000"/>
              <w:right w:val="single" w:sz="6" w:space="0" w:color="000000"/>
            </w:tcBorders>
            <w:noWrap/>
            <w:hideMark/>
          </w:tcPr>
          <w:p w:rsidR="00961B35" w:rsidRPr="00961B35" w:rsidRDefault="00961B35" w:rsidP="00961B35">
            <w:pPr>
              <w:spacing w:before="0" w:line="276" w:lineRule="auto"/>
              <w:ind w:firstLine="9"/>
              <w:contextualSpacing w:val="0"/>
              <w:jc w:val="left"/>
              <w:rPr>
                <w:rFonts w:cs="Sylfaen"/>
                <w:szCs w:val="22"/>
                <w:lang w:val="en-US" w:eastAsia="en-US"/>
              </w:rPr>
            </w:pPr>
            <w:r w:rsidRPr="00961B35">
              <w:rPr>
                <w:rFonts w:cs="Sylfaen"/>
                <w:szCs w:val="22"/>
                <w:lang w:val="en-US" w:eastAsia="en-US"/>
              </w:rPr>
              <w:t>Ներմուծում</w:t>
            </w:r>
          </w:p>
        </w:tc>
        <w:tc>
          <w:tcPr>
            <w:tcW w:w="696" w:type="pct"/>
            <w:tcBorders>
              <w:top w:val="single" w:sz="6" w:space="0" w:color="000000"/>
              <w:left w:val="single" w:sz="6" w:space="0" w:color="000000"/>
              <w:bottom w:val="single" w:sz="6" w:space="0" w:color="000000"/>
              <w:right w:val="single" w:sz="6" w:space="0" w:color="000000"/>
            </w:tcBorders>
            <w:noWrap/>
            <w:hideMark/>
          </w:tcPr>
          <w:p w:rsidR="00961B35" w:rsidRPr="00961B35" w:rsidRDefault="00961B35" w:rsidP="00961B35">
            <w:pPr>
              <w:spacing w:before="0" w:line="276" w:lineRule="auto"/>
              <w:ind w:firstLine="0"/>
              <w:contextualSpacing w:val="0"/>
              <w:jc w:val="center"/>
              <w:rPr>
                <w:szCs w:val="22"/>
                <w:lang w:val="en-US" w:eastAsia="en-US"/>
              </w:rPr>
            </w:pPr>
            <w:r w:rsidRPr="00961B35">
              <w:rPr>
                <w:szCs w:val="22"/>
                <w:lang w:val="en-US" w:eastAsia="en-US"/>
              </w:rPr>
              <w:t>42.8</w:t>
            </w:r>
          </w:p>
        </w:tc>
        <w:tc>
          <w:tcPr>
            <w:tcW w:w="580" w:type="pct"/>
            <w:tcBorders>
              <w:top w:val="single" w:sz="6" w:space="0" w:color="000000"/>
              <w:left w:val="single" w:sz="6" w:space="0" w:color="000000"/>
              <w:bottom w:val="single" w:sz="6" w:space="0" w:color="000000"/>
              <w:right w:val="single" w:sz="6" w:space="0" w:color="000000"/>
            </w:tcBorders>
            <w:noWrap/>
            <w:hideMark/>
          </w:tcPr>
          <w:p w:rsidR="00961B35" w:rsidRPr="00961B35" w:rsidRDefault="00961B35" w:rsidP="00961B35">
            <w:pPr>
              <w:spacing w:before="0" w:line="276" w:lineRule="auto"/>
              <w:ind w:firstLine="0"/>
              <w:contextualSpacing w:val="0"/>
              <w:jc w:val="center"/>
              <w:rPr>
                <w:szCs w:val="22"/>
                <w:lang w:val="en-US" w:eastAsia="en-US"/>
              </w:rPr>
            </w:pPr>
            <w:r w:rsidRPr="00961B35">
              <w:rPr>
                <w:szCs w:val="22"/>
                <w:lang w:val="en-US" w:eastAsia="en-US"/>
              </w:rPr>
              <w:t>49.5</w:t>
            </w:r>
          </w:p>
        </w:tc>
        <w:tc>
          <w:tcPr>
            <w:tcW w:w="580" w:type="pct"/>
            <w:tcBorders>
              <w:top w:val="single" w:sz="6" w:space="0" w:color="000000"/>
              <w:left w:val="single" w:sz="6" w:space="0" w:color="000000"/>
              <w:bottom w:val="single" w:sz="6" w:space="0" w:color="000000"/>
              <w:right w:val="single" w:sz="6" w:space="0" w:color="000000"/>
            </w:tcBorders>
          </w:tcPr>
          <w:p w:rsidR="00961B35" w:rsidRPr="00961B35" w:rsidRDefault="00961B35" w:rsidP="00961B35">
            <w:pPr>
              <w:spacing w:before="0" w:line="276" w:lineRule="auto"/>
              <w:ind w:firstLine="0"/>
              <w:contextualSpacing w:val="0"/>
              <w:jc w:val="center"/>
              <w:rPr>
                <w:szCs w:val="22"/>
                <w:lang w:val="en-US" w:eastAsia="en-US"/>
              </w:rPr>
            </w:pPr>
            <w:r w:rsidRPr="00961B35">
              <w:rPr>
                <w:szCs w:val="22"/>
                <w:lang w:val="en-US" w:eastAsia="en-US"/>
              </w:rPr>
              <w:t>52.9</w:t>
            </w:r>
          </w:p>
        </w:tc>
        <w:tc>
          <w:tcPr>
            <w:tcW w:w="580" w:type="pct"/>
            <w:tcBorders>
              <w:top w:val="single" w:sz="6" w:space="0" w:color="000000"/>
              <w:left w:val="single" w:sz="6" w:space="0" w:color="000000"/>
              <w:bottom w:val="single" w:sz="6" w:space="0" w:color="000000"/>
              <w:right w:val="single" w:sz="6" w:space="0" w:color="000000"/>
            </w:tcBorders>
          </w:tcPr>
          <w:p w:rsidR="00961B35" w:rsidRPr="00961B35" w:rsidRDefault="00961B35" w:rsidP="00961B35">
            <w:pPr>
              <w:spacing w:before="0" w:line="276" w:lineRule="auto"/>
              <w:ind w:firstLine="0"/>
              <w:contextualSpacing w:val="0"/>
              <w:jc w:val="center"/>
              <w:rPr>
                <w:szCs w:val="22"/>
                <w:lang w:val="en-US" w:eastAsia="en-US"/>
              </w:rPr>
            </w:pPr>
            <w:r w:rsidRPr="00961B35">
              <w:rPr>
                <w:szCs w:val="22"/>
                <w:lang w:val="en-US" w:eastAsia="en-US"/>
              </w:rPr>
              <w:t>52.1</w:t>
            </w:r>
          </w:p>
        </w:tc>
        <w:tc>
          <w:tcPr>
            <w:tcW w:w="577" w:type="pct"/>
            <w:tcBorders>
              <w:top w:val="single" w:sz="6" w:space="0" w:color="000000"/>
              <w:left w:val="single" w:sz="6" w:space="0" w:color="000000"/>
              <w:bottom w:val="single" w:sz="6" w:space="0" w:color="000000"/>
              <w:right w:val="single" w:sz="12" w:space="0" w:color="000000"/>
            </w:tcBorders>
          </w:tcPr>
          <w:p w:rsidR="00961B35" w:rsidRPr="00961B35" w:rsidRDefault="00961B35" w:rsidP="00961B35">
            <w:pPr>
              <w:spacing w:before="0" w:line="276" w:lineRule="auto"/>
              <w:ind w:firstLine="0"/>
              <w:contextualSpacing w:val="0"/>
              <w:jc w:val="center"/>
              <w:rPr>
                <w:szCs w:val="22"/>
                <w:lang w:val="en-US" w:eastAsia="en-US"/>
              </w:rPr>
            </w:pPr>
            <w:r w:rsidRPr="00961B35">
              <w:rPr>
                <w:szCs w:val="22"/>
                <w:lang w:val="en-US" w:eastAsia="en-US"/>
              </w:rPr>
              <w:t>52.5</w:t>
            </w:r>
          </w:p>
        </w:tc>
      </w:tr>
      <w:tr w:rsidR="00961B35" w:rsidRPr="00961B35" w:rsidTr="00E52D4A">
        <w:trPr>
          <w:trHeight w:val="255"/>
        </w:trPr>
        <w:tc>
          <w:tcPr>
            <w:tcW w:w="1986" w:type="pct"/>
            <w:tcBorders>
              <w:top w:val="single" w:sz="6" w:space="0" w:color="000000"/>
              <w:left w:val="single" w:sz="12" w:space="0" w:color="000000"/>
              <w:bottom w:val="single" w:sz="12" w:space="0" w:color="000000"/>
              <w:right w:val="single" w:sz="6" w:space="0" w:color="000000"/>
            </w:tcBorders>
            <w:noWrap/>
            <w:hideMark/>
          </w:tcPr>
          <w:p w:rsidR="00961B35" w:rsidRPr="00961B35" w:rsidRDefault="00961B35" w:rsidP="00961B35">
            <w:pPr>
              <w:spacing w:before="0" w:line="276" w:lineRule="auto"/>
              <w:ind w:firstLine="9"/>
              <w:contextualSpacing w:val="0"/>
              <w:jc w:val="left"/>
              <w:rPr>
                <w:rFonts w:cs="Sylfaen"/>
                <w:szCs w:val="22"/>
                <w:lang w:val="en-US" w:eastAsia="en-US"/>
              </w:rPr>
            </w:pPr>
            <w:r w:rsidRPr="00961B35">
              <w:rPr>
                <w:rFonts w:cs="Sylfaen"/>
                <w:szCs w:val="22"/>
                <w:lang w:val="en-US" w:eastAsia="en-US"/>
              </w:rPr>
              <w:t>Ընդամենը ՀՆԱ</w:t>
            </w:r>
          </w:p>
        </w:tc>
        <w:tc>
          <w:tcPr>
            <w:tcW w:w="696" w:type="pct"/>
            <w:tcBorders>
              <w:top w:val="single" w:sz="6" w:space="0" w:color="000000"/>
              <w:left w:val="single" w:sz="6" w:space="0" w:color="000000"/>
              <w:bottom w:val="single" w:sz="12" w:space="0" w:color="000000"/>
              <w:right w:val="single" w:sz="6" w:space="0" w:color="000000"/>
            </w:tcBorders>
            <w:noWrap/>
            <w:vAlign w:val="center"/>
            <w:hideMark/>
          </w:tcPr>
          <w:p w:rsidR="00961B35" w:rsidRPr="00961B35" w:rsidRDefault="00961B35" w:rsidP="00961B35">
            <w:pPr>
              <w:spacing w:before="0" w:line="276" w:lineRule="auto"/>
              <w:ind w:firstLine="0"/>
              <w:contextualSpacing w:val="0"/>
              <w:jc w:val="center"/>
              <w:rPr>
                <w:rFonts w:cs="Sylfaen"/>
                <w:szCs w:val="22"/>
                <w:lang w:val="en-US" w:eastAsia="en-US"/>
              </w:rPr>
            </w:pPr>
            <w:r w:rsidRPr="00961B35">
              <w:rPr>
                <w:rFonts w:cs="Sylfaen"/>
                <w:szCs w:val="22"/>
                <w:lang w:val="en-US" w:eastAsia="en-US"/>
              </w:rPr>
              <w:t>100</w:t>
            </w:r>
          </w:p>
        </w:tc>
        <w:tc>
          <w:tcPr>
            <w:tcW w:w="580" w:type="pct"/>
            <w:tcBorders>
              <w:top w:val="single" w:sz="6" w:space="0" w:color="000000"/>
              <w:left w:val="single" w:sz="6" w:space="0" w:color="000000"/>
              <w:bottom w:val="single" w:sz="12" w:space="0" w:color="000000"/>
              <w:right w:val="single" w:sz="6" w:space="0" w:color="000000"/>
            </w:tcBorders>
            <w:noWrap/>
            <w:vAlign w:val="center"/>
            <w:hideMark/>
          </w:tcPr>
          <w:p w:rsidR="00961B35" w:rsidRPr="00961B35" w:rsidRDefault="00961B35" w:rsidP="00961B35">
            <w:pPr>
              <w:spacing w:before="0" w:line="276" w:lineRule="auto"/>
              <w:ind w:firstLine="0"/>
              <w:contextualSpacing w:val="0"/>
              <w:jc w:val="center"/>
              <w:rPr>
                <w:rFonts w:cs="Sylfaen"/>
                <w:szCs w:val="22"/>
                <w:lang w:val="en-US" w:eastAsia="en-US"/>
              </w:rPr>
            </w:pPr>
            <w:r w:rsidRPr="00961B35">
              <w:rPr>
                <w:rFonts w:cs="Sylfaen"/>
                <w:szCs w:val="22"/>
                <w:lang w:val="en-US" w:eastAsia="en-US"/>
              </w:rPr>
              <w:t>100</w:t>
            </w:r>
          </w:p>
        </w:tc>
        <w:tc>
          <w:tcPr>
            <w:tcW w:w="580" w:type="pct"/>
            <w:tcBorders>
              <w:top w:val="single" w:sz="6" w:space="0" w:color="000000"/>
              <w:left w:val="single" w:sz="6" w:space="0" w:color="000000"/>
              <w:bottom w:val="single" w:sz="12" w:space="0" w:color="000000"/>
              <w:right w:val="single" w:sz="6" w:space="0" w:color="000000"/>
            </w:tcBorders>
            <w:vAlign w:val="center"/>
          </w:tcPr>
          <w:p w:rsidR="00961B35" w:rsidRPr="00961B35" w:rsidRDefault="00961B35" w:rsidP="00961B35">
            <w:pPr>
              <w:spacing w:before="0" w:line="276" w:lineRule="auto"/>
              <w:ind w:firstLine="0"/>
              <w:contextualSpacing w:val="0"/>
              <w:jc w:val="center"/>
              <w:rPr>
                <w:rFonts w:cs="Sylfaen"/>
                <w:szCs w:val="22"/>
                <w:lang w:val="en-US" w:eastAsia="en-US"/>
              </w:rPr>
            </w:pPr>
            <w:r w:rsidRPr="00961B35">
              <w:rPr>
                <w:rFonts w:cs="Sylfaen"/>
                <w:szCs w:val="22"/>
                <w:lang w:val="en-US" w:eastAsia="en-US"/>
              </w:rPr>
              <w:t>100</w:t>
            </w:r>
          </w:p>
        </w:tc>
        <w:tc>
          <w:tcPr>
            <w:tcW w:w="580" w:type="pct"/>
            <w:tcBorders>
              <w:top w:val="single" w:sz="6" w:space="0" w:color="000000"/>
              <w:left w:val="single" w:sz="6" w:space="0" w:color="000000"/>
              <w:bottom w:val="single" w:sz="12" w:space="0" w:color="000000"/>
              <w:right w:val="single" w:sz="6" w:space="0" w:color="000000"/>
            </w:tcBorders>
            <w:vAlign w:val="center"/>
          </w:tcPr>
          <w:p w:rsidR="00961B35" w:rsidRPr="00961B35" w:rsidRDefault="00961B35" w:rsidP="00961B35">
            <w:pPr>
              <w:spacing w:before="0" w:line="276" w:lineRule="auto"/>
              <w:ind w:firstLine="0"/>
              <w:contextualSpacing w:val="0"/>
              <w:jc w:val="center"/>
              <w:rPr>
                <w:rFonts w:cs="Sylfaen"/>
                <w:szCs w:val="22"/>
                <w:lang w:val="en-US" w:eastAsia="en-US"/>
              </w:rPr>
            </w:pPr>
            <w:r w:rsidRPr="00961B35">
              <w:rPr>
                <w:rFonts w:cs="Sylfaen"/>
                <w:szCs w:val="22"/>
                <w:lang w:val="en-US" w:eastAsia="en-US"/>
              </w:rPr>
              <w:t>100</w:t>
            </w:r>
          </w:p>
        </w:tc>
        <w:tc>
          <w:tcPr>
            <w:tcW w:w="577" w:type="pct"/>
            <w:tcBorders>
              <w:top w:val="single" w:sz="6" w:space="0" w:color="000000"/>
              <w:left w:val="single" w:sz="6" w:space="0" w:color="000000"/>
              <w:bottom w:val="single" w:sz="12" w:space="0" w:color="000000"/>
              <w:right w:val="single" w:sz="12" w:space="0" w:color="000000"/>
            </w:tcBorders>
            <w:vAlign w:val="center"/>
          </w:tcPr>
          <w:p w:rsidR="00961B35" w:rsidRPr="00961B35" w:rsidRDefault="00961B35" w:rsidP="00961B35">
            <w:pPr>
              <w:spacing w:before="0" w:line="276" w:lineRule="auto"/>
              <w:ind w:firstLine="0"/>
              <w:contextualSpacing w:val="0"/>
              <w:jc w:val="center"/>
              <w:rPr>
                <w:rFonts w:cs="Sylfaen"/>
                <w:szCs w:val="22"/>
                <w:lang w:val="en-US" w:eastAsia="en-US"/>
              </w:rPr>
            </w:pPr>
            <w:r w:rsidRPr="00961B35">
              <w:rPr>
                <w:rFonts w:cs="Sylfaen"/>
                <w:szCs w:val="22"/>
                <w:lang w:val="en-US" w:eastAsia="en-US"/>
              </w:rPr>
              <w:t>100</w:t>
            </w:r>
          </w:p>
        </w:tc>
      </w:tr>
    </w:tbl>
    <w:p w:rsidR="00961B35" w:rsidRPr="00961B35" w:rsidRDefault="00961B35" w:rsidP="00961B35">
      <w:pPr>
        <w:spacing w:before="0"/>
        <w:ind w:firstLine="450"/>
        <w:contextualSpacing w:val="0"/>
        <w:rPr>
          <w:rFonts w:cs="Sylfaen"/>
          <w:szCs w:val="22"/>
          <w:highlight w:val="yellow"/>
          <w:lang w:val="en-US" w:eastAsia="en-US"/>
        </w:rPr>
      </w:pPr>
    </w:p>
    <w:p w:rsidR="00961B35" w:rsidRPr="00961B35" w:rsidRDefault="00961B35" w:rsidP="00961B35">
      <w:pPr>
        <w:tabs>
          <w:tab w:val="right" w:pos="8640"/>
        </w:tabs>
        <w:spacing w:before="240"/>
        <w:ind w:firstLine="630"/>
        <w:contextualSpacing w:val="0"/>
        <w:rPr>
          <w:rFonts w:cs="Sylfaen"/>
          <w:szCs w:val="22"/>
          <w:lang w:val="en-US" w:eastAsia="en-US"/>
        </w:rPr>
      </w:pPr>
      <w:r w:rsidRPr="00961B35">
        <w:rPr>
          <w:rFonts w:cs="Sylfaen"/>
          <w:szCs w:val="22"/>
          <w:lang w:eastAsia="en-US"/>
        </w:rPr>
        <w:t>Ամփոփելով</w:t>
      </w:r>
      <w:r w:rsidRPr="00961B35">
        <w:rPr>
          <w:rFonts w:cs="Sylfaen"/>
          <w:szCs w:val="22"/>
          <w:lang w:val="en-US" w:eastAsia="en-US"/>
        </w:rPr>
        <w:t xml:space="preserve"> </w:t>
      </w:r>
      <w:r w:rsidRPr="00961B35">
        <w:rPr>
          <w:rFonts w:cs="Sylfaen"/>
          <w:szCs w:val="22"/>
          <w:lang w:eastAsia="en-US"/>
        </w:rPr>
        <w:t>նշենք</w:t>
      </w:r>
      <w:r w:rsidRPr="00961B35">
        <w:rPr>
          <w:rFonts w:cs="Sylfaen"/>
          <w:szCs w:val="22"/>
          <w:lang w:val="en-US" w:eastAsia="en-US"/>
        </w:rPr>
        <w:t xml:space="preserve">, </w:t>
      </w:r>
      <w:r w:rsidRPr="00961B35">
        <w:rPr>
          <w:rFonts w:cs="Sylfaen"/>
          <w:szCs w:val="22"/>
          <w:lang w:eastAsia="en-US"/>
        </w:rPr>
        <w:t>որ</w:t>
      </w:r>
      <w:r w:rsidRPr="00961B35">
        <w:rPr>
          <w:rFonts w:cs="Sylfaen"/>
          <w:szCs w:val="22"/>
          <w:lang w:val="en-US" w:eastAsia="en-US"/>
        </w:rPr>
        <w:t xml:space="preserve"> </w:t>
      </w:r>
      <w:r w:rsidRPr="00961B35">
        <w:rPr>
          <w:rFonts w:cs="Sylfaen"/>
          <w:szCs w:val="22"/>
          <w:lang w:val="hy-AM" w:eastAsia="en-US"/>
        </w:rPr>
        <w:t>2019-</w:t>
      </w:r>
      <w:r w:rsidRPr="00961B35">
        <w:rPr>
          <w:rFonts w:cs="Sylfaen"/>
          <w:szCs w:val="22"/>
          <w:lang w:val="en-US" w:eastAsia="en-US"/>
        </w:rPr>
        <w:t xml:space="preserve">2020 </w:t>
      </w:r>
      <w:r w:rsidRPr="00961B35">
        <w:rPr>
          <w:rFonts w:cs="Sylfaen"/>
          <w:szCs w:val="22"/>
          <w:lang w:eastAsia="en-US"/>
        </w:rPr>
        <w:t>թվական</w:t>
      </w:r>
      <w:r w:rsidRPr="00961B35">
        <w:rPr>
          <w:rFonts w:cs="Sylfaen"/>
          <w:szCs w:val="22"/>
          <w:lang w:val="hy-AM" w:eastAsia="en-US"/>
        </w:rPr>
        <w:t>ներ</w:t>
      </w:r>
      <w:r w:rsidRPr="00961B35">
        <w:rPr>
          <w:rFonts w:cs="Sylfaen"/>
          <w:szCs w:val="22"/>
          <w:lang w:eastAsia="en-US"/>
        </w:rPr>
        <w:t>ին</w:t>
      </w:r>
      <w:r w:rsidRPr="00961B35">
        <w:rPr>
          <w:rFonts w:cs="Sylfaen"/>
          <w:szCs w:val="22"/>
          <w:lang w:val="en-US" w:eastAsia="en-US"/>
        </w:rPr>
        <w:t xml:space="preserve"> </w:t>
      </w:r>
      <w:r w:rsidRPr="00961B35">
        <w:rPr>
          <w:rFonts w:cs="Sylfaen"/>
          <w:szCs w:val="22"/>
          <w:lang w:eastAsia="en-US"/>
        </w:rPr>
        <w:t>ամբողջական</w:t>
      </w:r>
      <w:r w:rsidRPr="00961B35">
        <w:rPr>
          <w:rFonts w:cs="Sylfaen"/>
          <w:szCs w:val="22"/>
          <w:lang w:val="en-US" w:eastAsia="en-US"/>
        </w:rPr>
        <w:t xml:space="preserve"> </w:t>
      </w:r>
      <w:r w:rsidRPr="00961B35">
        <w:rPr>
          <w:rFonts w:cs="Sylfaen"/>
          <w:szCs w:val="22"/>
          <w:lang w:eastAsia="en-US"/>
        </w:rPr>
        <w:t>պահանջարկի</w:t>
      </w:r>
      <w:r w:rsidRPr="00961B35">
        <w:rPr>
          <w:rFonts w:cs="Sylfaen"/>
          <w:szCs w:val="22"/>
          <w:lang w:val="en-US" w:eastAsia="en-US"/>
        </w:rPr>
        <w:t xml:space="preserve"> </w:t>
      </w:r>
      <w:r w:rsidRPr="00961B35">
        <w:rPr>
          <w:rFonts w:cs="Sylfaen"/>
          <w:szCs w:val="22"/>
          <w:lang w:eastAsia="en-US"/>
        </w:rPr>
        <w:t>աճ</w:t>
      </w:r>
      <w:r w:rsidRPr="00961B35">
        <w:rPr>
          <w:rFonts w:cs="Sylfaen"/>
          <w:szCs w:val="22"/>
          <w:lang w:val="en-US" w:eastAsia="en-US"/>
        </w:rPr>
        <w:t xml:space="preserve">ը </w:t>
      </w:r>
      <w:r w:rsidRPr="00961B35">
        <w:rPr>
          <w:rFonts w:cs="Sylfaen"/>
          <w:szCs w:val="22"/>
          <w:lang w:eastAsia="en-US"/>
        </w:rPr>
        <w:t>պայմանավորված</w:t>
      </w:r>
      <w:r w:rsidRPr="00961B35">
        <w:rPr>
          <w:rFonts w:cs="Sylfaen"/>
          <w:szCs w:val="22"/>
          <w:lang w:val="en-US" w:eastAsia="en-US"/>
        </w:rPr>
        <w:t xml:space="preserve"> </w:t>
      </w:r>
      <w:r w:rsidRPr="00961B35">
        <w:rPr>
          <w:rFonts w:cs="Sylfaen"/>
          <w:szCs w:val="22"/>
          <w:lang w:eastAsia="en-US"/>
        </w:rPr>
        <w:t>կլինի</w:t>
      </w:r>
      <w:r w:rsidRPr="00961B35">
        <w:rPr>
          <w:rFonts w:cs="Sylfaen"/>
          <w:szCs w:val="22"/>
          <w:lang w:val="en-US" w:eastAsia="en-US"/>
        </w:rPr>
        <w:t xml:space="preserve"> </w:t>
      </w:r>
      <w:r w:rsidRPr="00961B35">
        <w:rPr>
          <w:rFonts w:cs="Sylfaen"/>
          <w:szCs w:val="22"/>
          <w:lang w:eastAsia="en-US"/>
        </w:rPr>
        <w:t>հիմնականում</w:t>
      </w:r>
      <w:r w:rsidRPr="00961B35">
        <w:rPr>
          <w:rFonts w:cs="Sylfaen"/>
          <w:szCs w:val="22"/>
          <w:lang w:val="en-US" w:eastAsia="en-US"/>
        </w:rPr>
        <w:t xml:space="preserve"> </w:t>
      </w:r>
      <w:r w:rsidRPr="00961B35">
        <w:rPr>
          <w:rFonts w:cs="Sylfaen"/>
          <w:szCs w:val="22"/>
          <w:lang w:eastAsia="en-US"/>
        </w:rPr>
        <w:t>ներքին</w:t>
      </w:r>
      <w:r w:rsidRPr="00961B35">
        <w:rPr>
          <w:rFonts w:cs="Sylfaen"/>
          <w:szCs w:val="22"/>
          <w:lang w:val="en-US" w:eastAsia="en-US"/>
        </w:rPr>
        <w:t xml:space="preserve"> </w:t>
      </w:r>
      <w:r w:rsidRPr="00961B35">
        <w:rPr>
          <w:rFonts w:cs="Sylfaen"/>
          <w:szCs w:val="22"/>
          <w:lang w:eastAsia="en-US"/>
        </w:rPr>
        <w:t>սպառողական</w:t>
      </w:r>
      <w:r w:rsidRPr="00961B35">
        <w:rPr>
          <w:rFonts w:cs="Sylfaen"/>
          <w:szCs w:val="22"/>
          <w:lang w:val="en-US" w:eastAsia="en-US"/>
        </w:rPr>
        <w:t xml:space="preserve"> </w:t>
      </w:r>
      <w:r w:rsidRPr="00961B35">
        <w:rPr>
          <w:rFonts w:cs="Sylfaen"/>
          <w:szCs w:val="22"/>
          <w:lang w:eastAsia="en-US"/>
        </w:rPr>
        <w:t>և</w:t>
      </w:r>
      <w:r w:rsidRPr="00961B35">
        <w:rPr>
          <w:rFonts w:cs="Sylfaen"/>
          <w:szCs w:val="22"/>
          <w:lang w:val="en-US" w:eastAsia="en-US"/>
        </w:rPr>
        <w:t xml:space="preserve"> </w:t>
      </w:r>
      <w:r w:rsidRPr="00961B35">
        <w:rPr>
          <w:rFonts w:cs="Sylfaen"/>
          <w:szCs w:val="22"/>
          <w:lang w:eastAsia="en-US"/>
        </w:rPr>
        <w:t>ներդրումային</w:t>
      </w:r>
      <w:r w:rsidRPr="00961B35">
        <w:rPr>
          <w:rFonts w:cs="Sylfaen"/>
          <w:szCs w:val="22"/>
          <w:lang w:val="en-US" w:eastAsia="en-US"/>
        </w:rPr>
        <w:t xml:space="preserve"> </w:t>
      </w:r>
      <w:r w:rsidRPr="00961B35">
        <w:rPr>
          <w:rFonts w:cs="Sylfaen"/>
          <w:szCs w:val="22"/>
          <w:lang w:eastAsia="en-US"/>
        </w:rPr>
        <w:t>պահանջարկի</w:t>
      </w:r>
      <w:r w:rsidRPr="00961B35">
        <w:rPr>
          <w:rFonts w:cs="Sylfaen"/>
          <w:szCs w:val="22"/>
          <w:lang w:val="en-US" w:eastAsia="en-US"/>
        </w:rPr>
        <w:t xml:space="preserve"> </w:t>
      </w:r>
      <w:r w:rsidRPr="00961B35">
        <w:rPr>
          <w:rFonts w:cs="Sylfaen"/>
          <w:szCs w:val="22"/>
          <w:lang w:eastAsia="en-US"/>
        </w:rPr>
        <w:t>աճերով</w:t>
      </w:r>
      <w:r w:rsidRPr="00961B35">
        <w:rPr>
          <w:rFonts w:cs="Sylfaen"/>
          <w:szCs w:val="22"/>
          <w:lang w:val="en-US" w:eastAsia="en-US"/>
        </w:rPr>
        <w:t xml:space="preserve">: 2020 </w:t>
      </w:r>
      <w:r w:rsidRPr="00961B35">
        <w:rPr>
          <w:rFonts w:cs="Sylfaen"/>
          <w:szCs w:val="22"/>
          <w:lang w:eastAsia="en-US"/>
        </w:rPr>
        <w:t>թվականին</w:t>
      </w:r>
      <w:r w:rsidRPr="00961B35">
        <w:rPr>
          <w:rFonts w:cs="Sylfaen"/>
          <w:szCs w:val="22"/>
          <w:lang w:val="en-US" w:eastAsia="en-US"/>
        </w:rPr>
        <w:t xml:space="preserve"> </w:t>
      </w:r>
      <w:r w:rsidRPr="00961B35">
        <w:rPr>
          <w:rFonts w:cs="Sylfaen"/>
          <w:szCs w:val="22"/>
          <w:lang w:eastAsia="en-US"/>
        </w:rPr>
        <w:t>զուտ</w:t>
      </w:r>
      <w:r w:rsidRPr="00961B35">
        <w:rPr>
          <w:rFonts w:cs="Sylfaen"/>
          <w:szCs w:val="22"/>
          <w:lang w:val="en-US" w:eastAsia="en-US"/>
        </w:rPr>
        <w:t xml:space="preserve"> </w:t>
      </w:r>
      <w:r w:rsidRPr="00961B35">
        <w:rPr>
          <w:rFonts w:cs="Sylfaen"/>
          <w:szCs w:val="22"/>
          <w:lang w:eastAsia="en-US"/>
        </w:rPr>
        <w:t>արտահանումը</w:t>
      </w:r>
      <w:r w:rsidRPr="00961B35">
        <w:rPr>
          <w:rFonts w:cs="Sylfaen"/>
          <w:szCs w:val="22"/>
          <w:lang w:val="en-US" w:eastAsia="en-US"/>
        </w:rPr>
        <w:t xml:space="preserve"> </w:t>
      </w:r>
      <w:r w:rsidRPr="00961B35">
        <w:rPr>
          <w:rFonts w:cs="Sylfaen"/>
          <w:szCs w:val="22"/>
          <w:lang w:eastAsia="en-US"/>
        </w:rPr>
        <w:t>նույնպես</w:t>
      </w:r>
      <w:r w:rsidRPr="00961B35">
        <w:rPr>
          <w:rFonts w:cs="Sylfaen"/>
          <w:szCs w:val="22"/>
          <w:lang w:val="en-US" w:eastAsia="en-US"/>
        </w:rPr>
        <w:t xml:space="preserve"> </w:t>
      </w:r>
      <w:r w:rsidRPr="00961B35">
        <w:rPr>
          <w:rFonts w:cs="Sylfaen"/>
          <w:szCs w:val="22"/>
          <w:lang w:eastAsia="en-US"/>
        </w:rPr>
        <w:t>կբարելավվի՝</w:t>
      </w:r>
      <w:r w:rsidRPr="00961B35">
        <w:rPr>
          <w:rFonts w:cs="Sylfaen"/>
          <w:szCs w:val="22"/>
          <w:lang w:val="en-US" w:eastAsia="en-US"/>
        </w:rPr>
        <w:t xml:space="preserve"> </w:t>
      </w:r>
      <w:r w:rsidRPr="00961B35">
        <w:rPr>
          <w:rFonts w:cs="Sylfaen"/>
          <w:szCs w:val="22"/>
          <w:lang w:eastAsia="en-US"/>
        </w:rPr>
        <w:t>դրական</w:t>
      </w:r>
      <w:r w:rsidRPr="00961B35">
        <w:rPr>
          <w:rFonts w:cs="Sylfaen"/>
          <w:szCs w:val="22"/>
          <w:lang w:val="en-US" w:eastAsia="en-US"/>
        </w:rPr>
        <w:t xml:space="preserve"> </w:t>
      </w:r>
      <w:r w:rsidRPr="00961B35">
        <w:rPr>
          <w:rFonts w:cs="Sylfaen"/>
          <w:szCs w:val="22"/>
          <w:lang w:eastAsia="en-US"/>
        </w:rPr>
        <w:t>նպաստելով</w:t>
      </w:r>
      <w:r w:rsidRPr="00961B35">
        <w:rPr>
          <w:rFonts w:cs="Sylfaen"/>
          <w:szCs w:val="22"/>
          <w:lang w:val="en-US" w:eastAsia="en-US"/>
        </w:rPr>
        <w:t xml:space="preserve"> </w:t>
      </w:r>
      <w:r w:rsidRPr="00961B35">
        <w:rPr>
          <w:rFonts w:cs="Sylfaen"/>
          <w:szCs w:val="22"/>
          <w:lang w:eastAsia="en-US"/>
        </w:rPr>
        <w:t>տնտեսական</w:t>
      </w:r>
      <w:r w:rsidRPr="00961B35">
        <w:rPr>
          <w:rFonts w:cs="Sylfaen"/>
          <w:szCs w:val="22"/>
          <w:lang w:val="en-US" w:eastAsia="en-US"/>
        </w:rPr>
        <w:t xml:space="preserve"> </w:t>
      </w:r>
      <w:r w:rsidRPr="00961B35">
        <w:rPr>
          <w:rFonts w:cs="Sylfaen"/>
          <w:szCs w:val="22"/>
          <w:lang w:eastAsia="en-US"/>
        </w:rPr>
        <w:t>աճին</w:t>
      </w:r>
      <w:r w:rsidRPr="00961B35">
        <w:rPr>
          <w:rFonts w:cs="Sylfaen"/>
          <w:szCs w:val="22"/>
          <w:lang w:val="en-US" w:eastAsia="en-US"/>
        </w:rPr>
        <w:t>:</w:t>
      </w:r>
    </w:p>
    <w:p w:rsidR="00961B35" w:rsidRPr="00961B35" w:rsidRDefault="00961B35" w:rsidP="00961B35">
      <w:pPr>
        <w:tabs>
          <w:tab w:val="right" w:pos="8640"/>
        </w:tabs>
        <w:spacing w:before="240"/>
        <w:ind w:firstLine="630"/>
        <w:contextualSpacing w:val="0"/>
        <w:rPr>
          <w:rFonts w:cs="Sylfaen"/>
          <w:b w:val="0"/>
          <w:szCs w:val="22"/>
          <w:lang w:val="en-US" w:eastAsia="en-US"/>
        </w:rPr>
      </w:pPr>
    </w:p>
    <w:p w:rsidR="00961B35" w:rsidRPr="00961B35" w:rsidRDefault="00961B35" w:rsidP="00961B35">
      <w:pPr>
        <w:keepNext/>
        <w:spacing w:before="240" w:after="60" w:line="240" w:lineRule="auto"/>
        <w:ind w:firstLine="450"/>
        <w:contextualSpacing w:val="0"/>
        <w:jc w:val="center"/>
        <w:outlineLvl w:val="2"/>
        <w:rPr>
          <w:rFonts w:cs="Arial"/>
          <w:szCs w:val="26"/>
          <w:lang w:val="hy-AM" w:eastAsia="en-US"/>
        </w:rPr>
      </w:pPr>
      <w:bookmarkStart w:id="17" w:name="_Toc525892378"/>
      <w:bookmarkStart w:id="18" w:name="_Toc525893569"/>
      <w:bookmarkStart w:id="19" w:name="_Toc525893661"/>
      <w:bookmarkStart w:id="20" w:name="_Toc26174918"/>
      <w:r w:rsidRPr="00961B35">
        <w:rPr>
          <w:rFonts w:cs="Arial"/>
          <w:szCs w:val="26"/>
          <w:lang w:val="hy-AM" w:eastAsia="en-US"/>
        </w:rPr>
        <w:t>1.4. Գնային փոփոխականներ</w:t>
      </w:r>
      <w:bookmarkEnd w:id="17"/>
      <w:bookmarkEnd w:id="18"/>
      <w:bookmarkEnd w:id="19"/>
      <w:bookmarkEnd w:id="20"/>
    </w:p>
    <w:p w:rsidR="00961B35" w:rsidRPr="00961B35" w:rsidRDefault="00961B35" w:rsidP="00961B35">
      <w:pPr>
        <w:tabs>
          <w:tab w:val="right" w:pos="8640"/>
        </w:tabs>
        <w:spacing w:before="240"/>
        <w:ind w:firstLine="450"/>
        <w:contextualSpacing w:val="0"/>
        <w:rPr>
          <w:rFonts w:cs="Sylfaen"/>
          <w:b w:val="0"/>
          <w:szCs w:val="22"/>
          <w:lang w:val="es-ES" w:eastAsia="en-US"/>
        </w:rPr>
      </w:pPr>
      <w:r w:rsidRPr="00961B35">
        <w:rPr>
          <w:rFonts w:cs="Sylfaen"/>
          <w:b w:val="0"/>
          <w:szCs w:val="22"/>
          <w:lang w:val="it-IT" w:eastAsia="en-US"/>
        </w:rPr>
        <w:t>Գ</w:t>
      </w:r>
      <w:r w:rsidRPr="00961B35">
        <w:rPr>
          <w:rFonts w:cs="Sylfaen"/>
          <w:b w:val="0"/>
          <w:szCs w:val="22"/>
          <w:lang w:eastAsia="en-US"/>
        </w:rPr>
        <w:t>ների</w:t>
      </w:r>
      <w:r w:rsidRPr="00961B35">
        <w:rPr>
          <w:rFonts w:cs="Sylfaen"/>
          <w:b w:val="0"/>
          <w:szCs w:val="22"/>
          <w:lang w:val="es-ES" w:eastAsia="en-US"/>
        </w:rPr>
        <w:t xml:space="preserve"> </w:t>
      </w:r>
      <w:r w:rsidRPr="00961B35">
        <w:rPr>
          <w:rFonts w:cs="Sylfaen"/>
          <w:b w:val="0"/>
          <w:szCs w:val="22"/>
          <w:lang w:eastAsia="en-US"/>
        </w:rPr>
        <w:t>մակարդակը</w:t>
      </w:r>
      <w:r w:rsidRPr="00961B35">
        <w:rPr>
          <w:rFonts w:cs="Sylfaen"/>
          <w:b w:val="0"/>
          <w:szCs w:val="22"/>
          <w:lang w:val="es-ES" w:eastAsia="en-US"/>
        </w:rPr>
        <w:t xml:space="preserve"> </w:t>
      </w:r>
      <w:r w:rsidRPr="00961B35">
        <w:rPr>
          <w:rFonts w:cs="Sylfaen"/>
          <w:b w:val="0"/>
          <w:szCs w:val="22"/>
          <w:lang w:val="en-US" w:eastAsia="en-US"/>
        </w:rPr>
        <w:t>տ</w:t>
      </w:r>
      <w:r w:rsidRPr="00961B35">
        <w:rPr>
          <w:rFonts w:cs="Sylfaen"/>
          <w:b w:val="0"/>
          <w:szCs w:val="22"/>
          <w:lang w:eastAsia="en-US"/>
        </w:rPr>
        <w:t>նտեսությ</w:t>
      </w:r>
      <w:r w:rsidRPr="00961B35">
        <w:rPr>
          <w:rFonts w:cs="Sylfaen"/>
          <w:b w:val="0"/>
          <w:szCs w:val="22"/>
          <w:lang w:val="en-US" w:eastAsia="en-US"/>
        </w:rPr>
        <w:t>ան</w:t>
      </w:r>
      <w:r w:rsidRPr="00961B35">
        <w:rPr>
          <w:rFonts w:cs="Sylfaen"/>
          <w:b w:val="0"/>
          <w:szCs w:val="22"/>
          <w:lang w:val="es-ES" w:eastAsia="en-US"/>
        </w:rPr>
        <w:t xml:space="preserve"> </w:t>
      </w:r>
      <w:r w:rsidRPr="00961B35">
        <w:rPr>
          <w:rFonts w:cs="Sylfaen"/>
          <w:b w:val="0"/>
          <w:szCs w:val="22"/>
          <w:lang w:val="en-US" w:eastAsia="en-US"/>
        </w:rPr>
        <w:t>մեջ</w:t>
      </w:r>
      <w:r w:rsidRPr="00961B35">
        <w:rPr>
          <w:rFonts w:cs="Sylfaen"/>
          <w:b w:val="0"/>
          <w:szCs w:val="22"/>
          <w:lang w:val="es-ES" w:eastAsia="en-US"/>
        </w:rPr>
        <w:t xml:space="preserve"> </w:t>
      </w:r>
      <w:r w:rsidRPr="00961B35">
        <w:rPr>
          <w:rFonts w:cs="Sylfaen"/>
          <w:b w:val="0"/>
          <w:szCs w:val="22"/>
          <w:lang w:eastAsia="en-US"/>
        </w:rPr>
        <w:t>բնութա</w:t>
      </w:r>
      <w:r w:rsidRPr="00961B35">
        <w:rPr>
          <w:rFonts w:cs="Sylfaen"/>
          <w:b w:val="0"/>
          <w:szCs w:val="22"/>
          <w:lang w:val="it-IT" w:eastAsia="en-US"/>
        </w:rPr>
        <w:t>գ</w:t>
      </w:r>
      <w:r w:rsidRPr="00961B35">
        <w:rPr>
          <w:rFonts w:cs="Sylfaen"/>
          <w:b w:val="0"/>
          <w:szCs w:val="22"/>
          <w:lang w:eastAsia="en-US"/>
        </w:rPr>
        <w:t>րվում</w:t>
      </w:r>
      <w:r w:rsidRPr="00961B35">
        <w:rPr>
          <w:rFonts w:cs="Sylfaen"/>
          <w:b w:val="0"/>
          <w:szCs w:val="22"/>
          <w:lang w:val="es-ES" w:eastAsia="en-US"/>
        </w:rPr>
        <w:t xml:space="preserve"> </w:t>
      </w:r>
      <w:r w:rsidRPr="00961B35">
        <w:rPr>
          <w:rFonts w:cs="Sylfaen"/>
          <w:b w:val="0"/>
          <w:szCs w:val="22"/>
          <w:lang w:eastAsia="en-US"/>
        </w:rPr>
        <w:t>է</w:t>
      </w:r>
      <w:r w:rsidRPr="00961B35">
        <w:rPr>
          <w:rFonts w:cs="Sylfaen"/>
          <w:b w:val="0"/>
          <w:szCs w:val="22"/>
          <w:lang w:val="es-ES" w:eastAsia="en-US"/>
        </w:rPr>
        <w:t xml:space="preserve"> </w:t>
      </w:r>
      <w:r w:rsidRPr="00961B35">
        <w:rPr>
          <w:rFonts w:cs="Sylfaen"/>
          <w:b w:val="0"/>
          <w:szCs w:val="22"/>
          <w:lang w:eastAsia="en-US"/>
        </w:rPr>
        <w:t>սպառողական</w:t>
      </w:r>
      <w:r w:rsidRPr="00961B35">
        <w:rPr>
          <w:rFonts w:cs="Sylfaen"/>
          <w:b w:val="0"/>
          <w:szCs w:val="22"/>
          <w:lang w:val="es-ES" w:eastAsia="en-US"/>
        </w:rPr>
        <w:t xml:space="preserve"> </w:t>
      </w:r>
      <w:r w:rsidRPr="00961B35">
        <w:rPr>
          <w:rFonts w:cs="Sylfaen"/>
          <w:b w:val="0"/>
          <w:szCs w:val="22"/>
          <w:lang w:val="it-IT" w:eastAsia="en-US"/>
        </w:rPr>
        <w:t>գ</w:t>
      </w:r>
      <w:r w:rsidRPr="00961B35">
        <w:rPr>
          <w:rFonts w:cs="Sylfaen"/>
          <w:b w:val="0"/>
          <w:szCs w:val="22"/>
          <w:lang w:eastAsia="en-US"/>
        </w:rPr>
        <w:t>ների</w:t>
      </w:r>
      <w:r w:rsidRPr="00961B35">
        <w:rPr>
          <w:rFonts w:cs="Sylfaen"/>
          <w:b w:val="0"/>
          <w:szCs w:val="22"/>
          <w:lang w:val="es-ES" w:eastAsia="en-US"/>
        </w:rPr>
        <w:t xml:space="preserve"> </w:t>
      </w:r>
      <w:r w:rsidRPr="00961B35">
        <w:rPr>
          <w:rFonts w:cs="Sylfaen"/>
          <w:b w:val="0"/>
          <w:szCs w:val="22"/>
          <w:lang w:eastAsia="en-US"/>
        </w:rPr>
        <w:t>ինդեքսով</w:t>
      </w:r>
      <w:r w:rsidRPr="00961B35">
        <w:rPr>
          <w:rFonts w:cs="Sylfaen"/>
          <w:b w:val="0"/>
          <w:szCs w:val="22"/>
          <w:lang w:val="es-ES" w:eastAsia="en-US"/>
        </w:rPr>
        <w:t xml:space="preserve"> (</w:t>
      </w:r>
      <w:r w:rsidRPr="00961B35">
        <w:rPr>
          <w:rFonts w:cs="Sylfaen"/>
          <w:b w:val="0"/>
          <w:szCs w:val="22"/>
          <w:lang w:eastAsia="en-US"/>
        </w:rPr>
        <w:t>ՍԳԻ</w:t>
      </w:r>
      <w:r w:rsidRPr="00961B35">
        <w:rPr>
          <w:rFonts w:cs="Sylfaen"/>
          <w:b w:val="0"/>
          <w:szCs w:val="22"/>
          <w:lang w:val="es-ES" w:eastAsia="en-US"/>
        </w:rPr>
        <w:t xml:space="preserve">) </w:t>
      </w:r>
      <w:r w:rsidRPr="00961B35">
        <w:rPr>
          <w:rFonts w:cs="Sylfaen"/>
          <w:b w:val="0"/>
          <w:szCs w:val="22"/>
          <w:lang w:eastAsia="en-US"/>
        </w:rPr>
        <w:t>կամ</w:t>
      </w:r>
      <w:r w:rsidRPr="00961B35">
        <w:rPr>
          <w:rFonts w:cs="Sylfaen"/>
          <w:b w:val="0"/>
          <w:szCs w:val="22"/>
          <w:lang w:val="es-ES" w:eastAsia="en-US"/>
        </w:rPr>
        <w:t xml:space="preserve"> </w:t>
      </w:r>
      <w:r w:rsidRPr="00961B35">
        <w:rPr>
          <w:rFonts w:cs="Sylfaen"/>
          <w:b w:val="0"/>
          <w:szCs w:val="22"/>
          <w:lang w:eastAsia="en-US"/>
        </w:rPr>
        <w:t>ՀՆԱ</w:t>
      </w:r>
      <w:r w:rsidRPr="00961B35">
        <w:rPr>
          <w:rFonts w:cs="Sylfaen"/>
          <w:b w:val="0"/>
          <w:szCs w:val="22"/>
          <w:lang w:val="es-ES" w:eastAsia="en-US"/>
        </w:rPr>
        <w:t xml:space="preserve"> </w:t>
      </w:r>
      <w:r w:rsidRPr="00961B35">
        <w:rPr>
          <w:rFonts w:cs="Sylfaen"/>
          <w:b w:val="0"/>
          <w:szCs w:val="22"/>
          <w:lang w:eastAsia="en-US"/>
        </w:rPr>
        <w:t>դեֆլյատորով</w:t>
      </w:r>
      <w:r w:rsidRPr="00961B35">
        <w:rPr>
          <w:rFonts w:cs="Sylfaen"/>
          <w:b w:val="0"/>
          <w:szCs w:val="22"/>
          <w:lang w:val="es-ES" w:eastAsia="en-US"/>
        </w:rPr>
        <w:t xml:space="preserve">, </w:t>
      </w:r>
      <w:r w:rsidRPr="00961B35">
        <w:rPr>
          <w:rFonts w:cs="Sylfaen"/>
          <w:b w:val="0"/>
          <w:szCs w:val="22"/>
          <w:lang w:val="en-US" w:eastAsia="en-US"/>
        </w:rPr>
        <w:t>ի</w:t>
      </w:r>
      <w:r w:rsidRPr="00961B35">
        <w:rPr>
          <w:rFonts w:cs="Sylfaen"/>
          <w:b w:val="0"/>
          <w:szCs w:val="22"/>
          <w:lang w:eastAsia="en-US"/>
        </w:rPr>
        <w:t>սկ</w:t>
      </w:r>
      <w:r w:rsidRPr="00961B35">
        <w:rPr>
          <w:rFonts w:cs="Sylfaen"/>
          <w:b w:val="0"/>
          <w:szCs w:val="22"/>
          <w:lang w:val="es-ES" w:eastAsia="en-US"/>
        </w:rPr>
        <w:t xml:space="preserve"> </w:t>
      </w:r>
      <w:r w:rsidRPr="00961B35">
        <w:rPr>
          <w:rFonts w:cs="Sylfaen"/>
          <w:b w:val="0"/>
          <w:szCs w:val="22"/>
          <w:lang w:eastAsia="en-US"/>
        </w:rPr>
        <w:t>դրանց</w:t>
      </w:r>
      <w:r w:rsidRPr="00961B35">
        <w:rPr>
          <w:rFonts w:cs="Sylfaen"/>
          <w:b w:val="0"/>
          <w:szCs w:val="22"/>
          <w:lang w:val="es-ES" w:eastAsia="en-US"/>
        </w:rPr>
        <w:t xml:space="preserve"> </w:t>
      </w:r>
      <w:r w:rsidRPr="00961B35">
        <w:rPr>
          <w:rFonts w:cs="Sylfaen"/>
          <w:b w:val="0"/>
          <w:szCs w:val="22"/>
          <w:lang w:eastAsia="en-US"/>
        </w:rPr>
        <w:t>փոփոխությունները</w:t>
      </w:r>
      <w:r w:rsidRPr="00961B35">
        <w:rPr>
          <w:rFonts w:cs="Sylfaen"/>
          <w:b w:val="0"/>
          <w:szCs w:val="22"/>
          <w:lang w:val="es-ES" w:eastAsia="en-US"/>
        </w:rPr>
        <w:t xml:space="preserve"> </w:t>
      </w:r>
      <w:r w:rsidRPr="00961B35">
        <w:rPr>
          <w:rFonts w:cs="Sylfaen"/>
          <w:b w:val="0"/>
          <w:szCs w:val="22"/>
          <w:lang w:eastAsia="en-US"/>
        </w:rPr>
        <w:t>ցույց</w:t>
      </w:r>
      <w:r w:rsidRPr="00961B35">
        <w:rPr>
          <w:rFonts w:cs="Sylfaen"/>
          <w:b w:val="0"/>
          <w:szCs w:val="22"/>
          <w:lang w:val="es-ES" w:eastAsia="en-US"/>
        </w:rPr>
        <w:t xml:space="preserve"> </w:t>
      </w:r>
      <w:r w:rsidRPr="00961B35">
        <w:rPr>
          <w:rFonts w:cs="Sylfaen"/>
          <w:b w:val="0"/>
          <w:szCs w:val="22"/>
          <w:lang w:eastAsia="en-US"/>
        </w:rPr>
        <w:t>են</w:t>
      </w:r>
      <w:r w:rsidRPr="00961B35">
        <w:rPr>
          <w:rFonts w:cs="Sylfaen"/>
          <w:b w:val="0"/>
          <w:szCs w:val="22"/>
          <w:lang w:val="es-ES" w:eastAsia="en-US"/>
        </w:rPr>
        <w:t xml:space="preserve"> </w:t>
      </w:r>
      <w:r w:rsidRPr="00961B35">
        <w:rPr>
          <w:rFonts w:cs="Sylfaen"/>
          <w:b w:val="0"/>
          <w:szCs w:val="22"/>
          <w:lang w:eastAsia="en-US"/>
        </w:rPr>
        <w:t>տալիս</w:t>
      </w:r>
      <w:r w:rsidRPr="00961B35">
        <w:rPr>
          <w:rFonts w:cs="Sylfaen"/>
          <w:b w:val="0"/>
          <w:szCs w:val="22"/>
          <w:lang w:val="es-ES" w:eastAsia="en-US"/>
        </w:rPr>
        <w:t xml:space="preserve"> </w:t>
      </w:r>
      <w:r w:rsidRPr="00961B35">
        <w:rPr>
          <w:rFonts w:cs="Sylfaen"/>
          <w:b w:val="0"/>
          <w:szCs w:val="22"/>
          <w:lang w:eastAsia="en-US"/>
        </w:rPr>
        <w:t>տնտեսությունում</w:t>
      </w:r>
      <w:r w:rsidRPr="00961B35">
        <w:rPr>
          <w:rFonts w:cs="Sylfaen"/>
          <w:b w:val="0"/>
          <w:szCs w:val="22"/>
          <w:lang w:val="es-ES" w:eastAsia="en-US"/>
        </w:rPr>
        <w:t xml:space="preserve"> </w:t>
      </w:r>
      <w:r w:rsidRPr="00961B35">
        <w:rPr>
          <w:rFonts w:cs="Sylfaen"/>
          <w:b w:val="0"/>
          <w:szCs w:val="22"/>
          <w:lang w:eastAsia="en-US"/>
        </w:rPr>
        <w:t>նկատվող</w:t>
      </w:r>
      <w:r w:rsidRPr="00961B35">
        <w:rPr>
          <w:rFonts w:cs="Sylfaen"/>
          <w:b w:val="0"/>
          <w:szCs w:val="22"/>
          <w:lang w:val="es-ES" w:eastAsia="en-US"/>
        </w:rPr>
        <w:t xml:space="preserve"> </w:t>
      </w:r>
      <w:r w:rsidRPr="00961B35">
        <w:rPr>
          <w:rFonts w:cs="Sylfaen"/>
          <w:b w:val="0"/>
          <w:szCs w:val="22"/>
          <w:lang w:val="it-IT" w:eastAsia="en-US"/>
        </w:rPr>
        <w:t>գ</w:t>
      </w:r>
      <w:r w:rsidRPr="00961B35">
        <w:rPr>
          <w:rFonts w:cs="Sylfaen"/>
          <w:b w:val="0"/>
          <w:szCs w:val="22"/>
          <w:lang w:eastAsia="en-US"/>
        </w:rPr>
        <w:t>նաճի</w:t>
      </w:r>
      <w:r w:rsidRPr="00961B35">
        <w:rPr>
          <w:rFonts w:cs="Sylfaen"/>
          <w:b w:val="0"/>
          <w:szCs w:val="22"/>
          <w:lang w:val="es-ES" w:eastAsia="en-US"/>
        </w:rPr>
        <w:t xml:space="preserve"> </w:t>
      </w:r>
      <w:r w:rsidRPr="00961B35">
        <w:rPr>
          <w:rFonts w:cs="Sylfaen"/>
          <w:b w:val="0"/>
          <w:szCs w:val="22"/>
          <w:lang w:eastAsia="en-US"/>
        </w:rPr>
        <w:t>կամ</w:t>
      </w:r>
      <w:r w:rsidRPr="00961B35">
        <w:rPr>
          <w:rFonts w:cs="Sylfaen"/>
          <w:b w:val="0"/>
          <w:szCs w:val="22"/>
          <w:lang w:val="es-ES" w:eastAsia="en-US"/>
        </w:rPr>
        <w:t xml:space="preserve"> </w:t>
      </w:r>
      <w:r w:rsidRPr="00961B35">
        <w:rPr>
          <w:rFonts w:cs="Sylfaen"/>
          <w:b w:val="0"/>
          <w:szCs w:val="22"/>
          <w:lang w:val="it-IT" w:eastAsia="en-US"/>
        </w:rPr>
        <w:t>գ</w:t>
      </w:r>
      <w:r w:rsidRPr="00961B35">
        <w:rPr>
          <w:rFonts w:cs="Sylfaen"/>
          <w:b w:val="0"/>
          <w:szCs w:val="22"/>
          <w:lang w:eastAsia="en-US"/>
        </w:rPr>
        <w:t>նանկման</w:t>
      </w:r>
      <w:r w:rsidRPr="00961B35">
        <w:rPr>
          <w:rFonts w:cs="Sylfaen"/>
          <w:b w:val="0"/>
          <w:szCs w:val="22"/>
          <w:lang w:val="es-ES" w:eastAsia="en-US"/>
        </w:rPr>
        <w:t xml:space="preserve"> </w:t>
      </w:r>
      <w:r w:rsidRPr="00961B35">
        <w:rPr>
          <w:rFonts w:cs="Sylfaen"/>
          <w:b w:val="0"/>
          <w:szCs w:val="22"/>
          <w:lang w:eastAsia="en-US"/>
        </w:rPr>
        <w:t>միտումները</w:t>
      </w:r>
      <w:r w:rsidRPr="00961B35">
        <w:rPr>
          <w:rFonts w:cs="Sylfaen"/>
          <w:b w:val="0"/>
          <w:szCs w:val="22"/>
          <w:lang w:val="es-ES" w:eastAsia="en-US"/>
        </w:rPr>
        <w:t xml:space="preserve">: </w:t>
      </w:r>
      <w:r w:rsidRPr="00961B35">
        <w:rPr>
          <w:rFonts w:cs="Sylfaen"/>
          <w:b w:val="0"/>
          <w:szCs w:val="22"/>
          <w:lang w:eastAsia="en-US"/>
        </w:rPr>
        <w:t>ՍԳԻ</w:t>
      </w:r>
      <w:r w:rsidRPr="00961B35">
        <w:rPr>
          <w:rFonts w:cs="Sylfaen"/>
          <w:b w:val="0"/>
          <w:szCs w:val="22"/>
          <w:lang w:val="es-ES" w:eastAsia="en-US"/>
        </w:rPr>
        <w:t>-</w:t>
      </w:r>
      <w:r w:rsidRPr="00961B35">
        <w:rPr>
          <w:rFonts w:cs="Sylfaen"/>
          <w:b w:val="0"/>
          <w:szCs w:val="22"/>
          <w:lang w:eastAsia="en-US"/>
        </w:rPr>
        <w:t>ն</w:t>
      </w:r>
      <w:r w:rsidRPr="00961B35">
        <w:rPr>
          <w:rFonts w:cs="Sylfaen"/>
          <w:b w:val="0"/>
          <w:szCs w:val="22"/>
          <w:lang w:val="es-ES" w:eastAsia="en-US"/>
        </w:rPr>
        <w:t xml:space="preserve"> </w:t>
      </w:r>
      <w:r w:rsidRPr="00961B35">
        <w:rPr>
          <w:rFonts w:cs="Sylfaen"/>
          <w:b w:val="0"/>
          <w:szCs w:val="22"/>
          <w:lang w:eastAsia="en-US"/>
        </w:rPr>
        <w:t>ցույց</w:t>
      </w:r>
      <w:r w:rsidRPr="00961B35">
        <w:rPr>
          <w:rFonts w:cs="Sylfaen"/>
          <w:b w:val="0"/>
          <w:szCs w:val="22"/>
          <w:lang w:val="es-ES" w:eastAsia="en-US"/>
        </w:rPr>
        <w:t xml:space="preserve"> </w:t>
      </w:r>
      <w:r w:rsidRPr="00961B35">
        <w:rPr>
          <w:rFonts w:cs="Sylfaen"/>
          <w:b w:val="0"/>
          <w:szCs w:val="22"/>
          <w:lang w:eastAsia="en-US"/>
        </w:rPr>
        <w:t>է</w:t>
      </w:r>
      <w:r w:rsidRPr="00961B35">
        <w:rPr>
          <w:rFonts w:cs="Sylfaen"/>
          <w:b w:val="0"/>
          <w:szCs w:val="22"/>
          <w:lang w:val="es-ES" w:eastAsia="en-US"/>
        </w:rPr>
        <w:t xml:space="preserve"> </w:t>
      </w:r>
      <w:r w:rsidRPr="00961B35">
        <w:rPr>
          <w:rFonts w:cs="Sylfaen"/>
          <w:b w:val="0"/>
          <w:szCs w:val="22"/>
          <w:lang w:eastAsia="en-US"/>
        </w:rPr>
        <w:t>տալիս</w:t>
      </w:r>
      <w:r w:rsidRPr="00961B35">
        <w:rPr>
          <w:rFonts w:cs="Sylfaen"/>
          <w:b w:val="0"/>
          <w:szCs w:val="22"/>
          <w:lang w:val="es-ES" w:eastAsia="en-US"/>
        </w:rPr>
        <w:t xml:space="preserve"> </w:t>
      </w:r>
      <w:r w:rsidRPr="00961B35">
        <w:rPr>
          <w:rFonts w:cs="Sylfaen"/>
          <w:b w:val="0"/>
          <w:szCs w:val="22"/>
          <w:lang w:val="en-US" w:eastAsia="en-US"/>
        </w:rPr>
        <w:t>ՀՀ</w:t>
      </w:r>
      <w:r w:rsidRPr="00961B35">
        <w:rPr>
          <w:rFonts w:cs="Sylfaen"/>
          <w:b w:val="0"/>
          <w:szCs w:val="22"/>
          <w:lang w:val="es-ES" w:eastAsia="en-US"/>
        </w:rPr>
        <w:t xml:space="preserve"> </w:t>
      </w:r>
      <w:r w:rsidRPr="00961B35">
        <w:rPr>
          <w:rFonts w:cs="Sylfaen"/>
          <w:b w:val="0"/>
          <w:szCs w:val="22"/>
          <w:lang w:val="en-US" w:eastAsia="en-US"/>
        </w:rPr>
        <w:t>սպառողական</w:t>
      </w:r>
      <w:r w:rsidRPr="00961B35">
        <w:rPr>
          <w:rFonts w:cs="Sylfaen"/>
          <w:b w:val="0"/>
          <w:szCs w:val="22"/>
          <w:lang w:val="es-ES" w:eastAsia="en-US"/>
        </w:rPr>
        <w:t xml:space="preserve"> </w:t>
      </w:r>
      <w:r w:rsidRPr="00961B35">
        <w:rPr>
          <w:rFonts w:cs="Sylfaen"/>
          <w:b w:val="0"/>
          <w:szCs w:val="22"/>
          <w:lang w:val="en-US" w:eastAsia="en-US"/>
        </w:rPr>
        <w:t>շուկայում</w:t>
      </w:r>
      <w:r w:rsidRPr="00961B35">
        <w:rPr>
          <w:rFonts w:cs="Sylfaen"/>
          <w:b w:val="0"/>
          <w:szCs w:val="22"/>
          <w:lang w:val="es-ES" w:eastAsia="en-US"/>
        </w:rPr>
        <w:t xml:space="preserve"> </w:t>
      </w:r>
      <w:r w:rsidRPr="00961B35">
        <w:rPr>
          <w:rFonts w:cs="Sylfaen"/>
          <w:b w:val="0"/>
          <w:szCs w:val="22"/>
          <w:lang w:val="en-US" w:eastAsia="en-US"/>
        </w:rPr>
        <w:t>որոշակի</w:t>
      </w:r>
      <w:r w:rsidRPr="00961B35">
        <w:rPr>
          <w:rFonts w:cs="Sylfaen"/>
          <w:b w:val="0"/>
          <w:szCs w:val="22"/>
          <w:lang w:val="es-ES" w:eastAsia="en-US"/>
        </w:rPr>
        <w:t xml:space="preserve"> </w:t>
      </w:r>
      <w:r w:rsidRPr="00961B35">
        <w:rPr>
          <w:rFonts w:cs="Sylfaen"/>
          <w:b w:val="0"/>
          <w:szCs w:val="22"/>
          <w:lang w:val="en-US" w:eastAsia="en-US"/>
        </w:rPr>
        <w:t>քանակությամբ</w:t>
      </w:r>
      <w:r w:rsidRPr="00961B35">
        <w:rPr>
          <w:rFonts w:cs="Sylfaen"/>
          <w:b w:val="0"/>
          <w:szCs w:val="22"/>
          <w:lang w:val="es-ES" w:eastAsia="en-US"/>
        </w:rPr>
        <w:t xml:space="preserve"> </w:t>
      </w:r>
      <w:r w:rsidRPr="00961B35">
        <w:rPr>
          <w:rFonts w:cs="Sylfaen"/>
          <w:b w:val="0"/>
          <w:szCs w:val="22"/>
          <w:lang w:val="en-US" w:eastAsia="en-US"/>
        </w:rPr>
        <w:t>ապրանքների</w:t>
      </w:r>
      <w:r w:rsidRPr="00961B35">
        <w:rPr>
          <w:rFonts w:cs="Sylfaen"/>
          <w:b w:val="0"/>
          <w:szCs w:val="22"/>
          <w:lang w:val="es-ES" w:eastAsia="en-US"/>
        </w:rPr>
        <w:t xml:space="preserve"> (</w:t>
      </w:r>
      <w:r w:rsidRPr="00961B35">
        <w:rPr>
          <w:rFonts w:cs="Sylfaen"/>
          <w:b w:val="0"/>
          <w:szCs w:val="22"/>
          <w:lang w:val="en-US" w:eastAsia="en-US"/>
        </w:rPr>
        <w:t>ներառյալ</w:t>
      </w:r>
      <w:r w:rsidRPr="00961B35">
        <w:rPr>
          <w:rFonts w:cs="Sylfaen"/>
          <w:b w:val="0"/>
          <w:szCs w:val="22"/>
          <w:lang w:val="es-ES" w:eastAsia="en-US"/>
        </w:rPr>
        <w:t xml:space="preserve">` </w:t>
      </w:r>
      <w:r w:rsidRPr="00961B35">
        <w:rPr>
          <w:rFonts w:cs="Sylfaen"/>
          <w:b w:val="0"/>
          <w:szCs w:val="22"/>
          <w:lang w:val="en-US" w:eastAsia="en-US"/>
        </w:rPr>
        <w:t>ներմուծված</w:t>
      </w:r>
      <w:r w:rsidRPr="00961B35">
        <w:rPr>
          <w:rFonts w:cs="Sylfaen"/>
          <w:b w:val="0"/>
          <w:szCs w:val="22"/>
          <w:lang w:val="es-ES" w:eastAsia="en-US"/>
        </w:rPr>
        <w:t xml:space="preserve">) </w:t>
      </w:r>
      <w:r w:rsidRPr="00961B35">
        <w:rPr>
          <w:rFonts w:cs="Sylfaen"/>
          <w:b w:val="0"/>
          <w:szCs w:val="22"/>
          <w:lang w:val="en-US" w:eastAsia="en-US"/>
        </w:rPr>
        <w:t>և</w:t>
      </w:r>
      <w:r w:rsidRPr="00961B35">
        <w:rPr>
          <w:rFonts w:cs="Sylfaen"/>
          <w:b w:val="0"/>
          <w:szCs w:val="22"/>
          <w:lang w:val="es-ES" w:eastAsia="en-US"/>
        </w:rPr>
        <w:t xml:space="preserve"> </w:t>
      </w:r>
      <w:r w:rsidRPr="00961B35">
        <w:rPr>
          <w:rFonts w:cs="Sylfaen"/>
          <w:b w:val="0"/>
          <w:szCs w:val="22"/>
          <w:lang w:val="en-US" w:eastAsia="en-US"/>
        </w:rPr>
        <w:t>ծառայությունների</w:t>
      </w:r>
      <w:r w:rsidRPr="00961B35">
        <w:rPr>
          <w:rFonts w:cs="Sylfaen"/>
          <w:b w:val="0"/>
          <w:szCs w:val="22"/>
          <w:lang w:val="es-ES" w:eastAsia="en-US"/>
        </w:rPr>
        <w:t xml:space="preserve"> </w:t>
      </w:r>
      <w:r w:rsidRPr="00961B35">
        <w:rPr>
          <w:rFonts w:cs="Sylfaen"/>
          <w:b w:val="0"/>
          <w:szCs w:val="22"/>
          <w:lang w:val="it-IT" w:eastAsia="en-US"/>
        </w:rPr>
        <w:t>գ</w:t>
      </w:r>
      <w:r w:rsidRPr="00961B35">
        <w:rPr>
          <w:rFonts w:cs="Sylfaen"/>
          <w:b w:val="0"/>
          <w:szCs w:val="22"/>
          <w:lang w:eastAsia="en-US"/>
        </w:rPr>
        <w:t>ների</w:t>
      </w:r>
      <w:r w:rsidRPr="00961B35">
        <w:rPr>
          <w:rFonts w:cs="Sylfaen"/>
          <w:b w:val="0"/>
          <w:szCs w:val="22"/>
          <w:lang w:val="es-ES" w:eastAsia="en-US"/>
        </w:rPr>
        <w:t xml:space="preserve"> </w:t>
      </w:r>
      <w:r w:rsidRPr="00961B35">
        <w:rPr>
          <w:rFonts w:cs="Sylfaen"/>
          <w:b w:val="0"/>
          <w:szCs w:val="22"/>
          <w:lang w:eastAsia="en-US"/>
        </w:rPr>
        <w:t>վարքա</w:t>
      </w:r>
      <w:r w:rsidRPr="00961B35">
        <w:rPr>
          <w:rFonts w:cs="Sylfaen"/>
          <w:b w:val="0"/>
          <w:szCs w:val="22"/>
          <w:lang w:val="it-IT" w:eastAsia="en-US"/>
        </w:rPr>
        <w:t>գ</w:t>
      </w:r>
      <w:r w:rsidRPr="00961B35">
        <w:rPr>
          <w:rFonts w:cs="Sylfaen"/>
          <w:b w:val="0"/>
          <w:szCs w:val="22"/>
          <w:lang w:eastAsia="en-US"/>
        </w:rPr>
        <w:t>իծը</w:t>
      </w:r>
      <w:r w:rsidRPr="00961B35">
        <w:rPr>
          <w:rFonts w:cs="Sylfaen"/>
          <w:b w:val="0"/>
          <w:szCs w:val="22"/>
          <w:lang w:val="es-ES" w:eastAsia="en-US"/>
        </w:rPr>
        <w:t xml:space="preserve">, </w:t>
      </w:r>
      <w:r w:rsidRPr="00961B35">
        <w:rPr>
          <w:rFonts w:cs="Sylfaen"/>
          <w:b w:val="0"/>
          <w:szCs w:val="22"/>
          <w:lang w:eastAsia="en-US"/>
        </w:rPr>
        <w:t>իսկ</w:t>
      </w:r>
      <w:r w:rsidRPr="00961B35">
        <w:rPr>
          <w:rFonts w:cs="Sylfaen"/>
          <w:b w:val="0"/>
          <w:szCs w:val="22"/>
          <w:lang w:val="es-ES" w:eastAsia="en-US"/>
        </w:rPr>
        <w:t xml:space="preserve"> </w:t>
      </w:r>
      <w:r w:rsidRPr="00961B35">
        <w:rPr>
          <w:rFonts w:cs="Sylfaen"/>
          <w:b w:val="0"/>
          <w:szCs w:val="22"/>
          <w:lang w:eastAsia="en-US"/>
        </w:rPr>
        <w:t>ՀՆԱ</w:t>
      </w:r>
      <w:r w:rsidRPr="00961B35">
        <w:rPr>
          <w:rFonts w:cs="Sylfaen"/>
          <w:b w:val="0"/>
          <w:szCs w:val="22"/>
          <w:lang w:val="es-ES" w:eastAsia="en-US"/>
        </w:rPr>
        <w:t xml:space="preserve"> </w:t>
      </w:r>
      <w:r w:rsidRPr="00961B35">
        <w:rPr>
          <w:rFonts w:cs="Sylfaen"/>
          <w:b w:val="0"/>
          <w:szCs w:val="22"/>
          <w:lang w:eastAsia="en-US"/>
        </w:rPr>
        <w:t>դեֆլյատորը</w:t>
      </w:r>
      <w:r w:rsidRPr="00961B35">
        <w:rPr>
          <w:rFonts w:cs="Sylfaen"/>
          <w:b w:val="0"/>
          <w:szCs w:val="22"/>
          <w:lang w:val="es-ES" w:eastAsia="en-US"/>
        </w:rPr>
        <w:t xml:space="preserve">` </w:t>
      </w:r>
      <w:r w:rsidRPr="00961B35">
        <w:rPr>
          <w:rFonts w:cs="Sylfaen"/>
          <w:b w:val="0"/>
          <w:szCs w:val="22"/>
          <w:lang w:eastAsia="en-US"/>
        </w:rPr>
        <w:t>միայն</w:t>
      </w:r>
      <w:r w:rsidRPr="00961B35">
        <w:rPr>
          <w:rFonts w:cs="Sylfaen"/>
          <w:b w:val="0"/>
          <w:szCs w:val="22"/>
          <w:lang w:val="es-ES" w:eastAsia="en-US"/>
        </w:rPr>
        <w:t xml:space="preserve"> </w:t>
      </w:r>
      <w:r w:rsidRPr="00961B35">
        <w:rPr>
          <w:rFonts w:cs="Sylfaen"/>
          <w:b w:val="0"/>
          <w:szCs w:val="22"/>
          <w:lang w:eastAsia="en-US"/>
        </w:rPr>
        <w:t>մեր</w:t>
      </w:r>
      <w:r w:rsidRPr="00961B35">
        <w:rPr>
          <w:rFonts w:cs="Sylfaen"/>
          <w:b w:val="0"/>
          <w:szCs w:val="22"/>
          <w:lang w:val="es-ES" w:eastAsia="en-US"/>
        </w:rPr>
        <w:t xml:space="preserve"> </w:t>
      </w:r>
      <w:r w:rsidRPr="00961B35">
        <w:rPr>
          <w:rFonts w:cs="Sylfaen"/>
          <w:b w:val="0"/>
          <w:szCs w:val="22"/>
          <w:lang w:eastAsia="en-US"/>
        </w:rPr>
        <w:t>տնտեսությունում</w:t>
      </w:r>
      <w:r w:rsidRPr="00961B35">
        <w:rPr>
          <w:rFonts w:cs="Sylfaen"/>
          <w:b w:val="0"/>
          <w:szCs w:val="22"/>
          <w:lang w:val="es-ES" w:eastAsia="en-US"/>
        </w:rPr>
        <w:t xml:space="preserve"> </w:t>
      </w:r>
      <w:r w:rsidRPr="00961B35">
        <w:rPr>
          <w:rFonts w:cs="Sylfaen"/>
          <w:b w:val="0"/>
          <w:szCs w:val="22"/>
          <w:lang w:eastAsia="en-US"/>
        </w:rPr>
        <w:t>ստեղծված</w:t>
      </w:r>
      <w:r w:rsidRPr="00961B35">
        <w:rPr>
          <w:rFonts w:cs="Sylfaen"/>
          <w:b w:val="0"/>
          <w:szCs w:val="22"/>
          <w:lang w:val="es-ES" w:eastAsia="en-US"/>
        </w:rPr>
        <w:t xml:space="preserve"> </w:t>
      </w:r>
      <w:r w:rsidRPr="00961B35">
        <w:rPr>
          <w:rFonts w:cs="Sylfaen"/>
          <w:b w:val="0"/>
          <w:szCs w:val="22"/>
          <w:lang w:eastAsia="en-US"/>
        </w:rPr>
        <w:t>ապրանքների</w:t>
      </w:r>
      <w:r w:rsidRPr="00961B35">
        <w:rPr>
          <w:rFonts w:cs="Sylfaen"/>
          <w:b w:val="0"/>
          <w:szCs w:val="22"/>
          <w:lang w:val="es-ES" w:eastAsia="en-US"/>
        </w:rPr>
        <w:t xml:space="preserve"> </w:t>
      </w:r>
      <w:r w:rsidRPr="00961B35">
        <w:rPr>
          <w:rFonts w:cs="Sylfaen"/>
          <w:b w:val="0"/>
          <w:szCs w:val="22"/>
          <w:lang w:eastAsia="en-US"/>
        </w:rPr>
        <w:t>և</w:t>
      </w:r>
      <w:r w:rsidRPr="00961B35">
        <w:rPr>
          <w:rFonts w:cs="Sylfaen"/>
          <w:b w:val="0"/>
          <w:szCs w:val="22"/>
          <w:lang w:val="es-ES" w:eastAsia="en-US"/>
        </w:rPr>
        <w:t xml:space="preserve"> </w:t>
      </w:r>
      <w:r w:rsidRPr="00961B35">
        <w:rPr>
          <w:rFonts w:cs="Sylfaen"/>
          <w:b w:val="0"/>
          <w:szCs w:val="22"/>
          <w:lang w:eastAsia="en-US"/>
        </w:rPr>
        <w:t>ծառայությունների</w:t>
      </w:r>
      <w:r w:rsidRPr="00961B35">
        <w:rPr>
          <w:rFonts w:cs="Sylfaen"/>
          <w:b w:val="0"/>
          <w:szCs w:val="22"/>
          <w:lang w:val="es-ES" w:eastAsia="en-US"/>
        </w:rPr>
        <w:t xml:space="preserve"> </w:t>
      </w:r>
      <w:r w:rsidRPr="00961B35">
        <w:rPr>
          <w:rFonts w:cs="Sylfaen"/>
          <w:b w:val="0"/>
          <w:szCs w:val="22"/>
          <w:lang w:val="en-US" w:eastAsia="en-US"/>
        </w:rPr>
        <w:t>գների</w:t>
      </w:r>
      <w:r w:rsidRPr="00961B35">
        <w:rPr>
          <w:rFonts w:cs="Sylfaen"/>
          <w:b w:val="0"/>
          <w:szCs w:val="22"/>
          <w:lang w:val="es-ES" w:eastAsia="en-US"/>
        </w:rPr>
        <w:t xml:space="preserve"> </w:t>
      </w:r>
      <w:r w:rsidRPr="00961B35">
        <w:rPr>
          <w:rFonts w:cs="Sylfaen"/>
          <w:b w:val="0"/>
          <w:szCs w:val="22"/>
          <w:lang w:eastAsia="en-US"/>
        </w:rPr>
        <w:t>վարքա</w:t>
      </w:r>
      <w:r w:rsidRPr="00961B35">
        <w:rPr>
          <w:rFonts w:cs="Sylfaen"/>
          <w:b w:val="0"/>
          <w:szCs w:val="22"/>
          <w:lang w:val="it-IT" w:eastAsia="en-US"/>
        </w:rPr>
        <w:t>գ</w:t>
      </w:r>
      <w:r w:rsidRPr="00961B35">
        <w:rPr>
          <w:rFonts w:cs="Sylfaen"/>
          <w:b w:val="0"/>
          <w:szCs w:val="22"/>
          <w:lang w:eastAsia="en-US"/>
        </w:rPr>
        <w:t>իծը</w:t>
      </w:r>
      <w:r w:rsidRPr="00961B35">
        <w:rPr>
          <w:rFonts w:cs="Sylfaen"/>
          <w:b w:val="0"/>
          <w:szCs w:val="22"/>
          <w:lang w:val="es-ES" w:eastAsia="en-US"/>
        </w:rPr>
        <w:t>:</w:t>
      </w:r>
    </w:p>
    <w:p w:rsidR="00961B35" w:rsidRPr="00961B35" w:rsidRDefault="00961B35" w:rsidP="00961B35">
      <w:pPr>
        <w:tabs>
          <w:tab w:val="right" w:pos="8640"/>
        </w:tabs>
        <w:spacing w:before="0"/>
        <w:ind w:firstLine="0"/>
        <w:contextualSpacing w:val="0"/>
        <w:jc w:val="center"/>
        <w:rPr>
          <w:rFonts w:cs="Sylfaen"/>
          <w:szCs w:val="22"/>
          <w:lang w:val="it-IT" w:eastAsia="en-US"/>
        </w:rPr>
      </w:pPr>
      <w:r w:rsidRPr="00961B35">
        <w:rPr>
          <w:rFonts w:cs="Sylfaen"/>
          <w:szCs w:val="22"/>
          <w:lang w:val="it-IT" w:eastAsia="en-US"/>
        </w:rPr>
        <w:t xml:space="preserve">    </w:t>
      </w:r>
    </w:p>
    <w:p w:rsidR="00961B35" w:rsidRPr="00961B35" w:rsidRDefault="00961B35" w:rsidP="00961B35">
      <w:pPr>
        <w:tabs>
          <w:tab w:val="right" w:pos="8640"/>
        </w:tabs>
        <w:spacing w:before="0"/>
        <w:ind w:firstLine="0"/>
        <w:contextualSpacing w:val="0"/>
        <w:jc w:val="center"/>
        <w:rPr>
          <w:rFonts w:cs="Sylfaen"/>
          <w:szCs w:val="22"/>
          <w:lang w:val="it-IT" w:eastAsia="en-US"/>
        </w:rPr>
      </w:pPr>
      <w:r w:rsidRPr="00961B35">
        <w:rPr>
          <w:rFonts w:cs="Sylfaen"/>
          <w:szCs w:val="22"/>
          <w:lang w:val="it-IT" w:eastAsia="en-US"/>
        </w:rPr>
        <w:t>Վերջին  տարիների միտումները, ընթացիկ իրավիճակը և կանխատեսումները</w:t>
      </w:r>
    </w:p>
    <w:p w:rsidR="00961B35" w:rsidRPr="00961B35" w:rsidRDefault="00961B35" w:rsidP="00961B35">
      <w:pPr>
        <w:tabs>
          <w:tab w:val="right" w:pos="8640"/>
        </w:tabs>
        <w:spacing w:before="0"/>
        <w:ind w:firstLine="450"/>
        <w:contextualSpacing w:val="0"/>
        <w:rPr>
          <w:rFonts w:cs="Sylfaen"/>
          <w:b w:val="0"/>
          <w:szCs w:val="22"/>
          <w:lang w:val="it-IT" w:eastAsia="en-US"/>
        </w:rPr>
      </w:pPr>
      <w:r w:rsidRPr="00961B35">
        <w:rPr>
          <w:rFonts w:cs="Sylfaen"/>
          <w:szCs w:val="22"/>
          <w:lang w:val="es-ES" w:eastAsia="en-US"/>
        </w:rPr>
        <w:t xml:space="preserve">       </w:t>
      </w:r>
      <w:r w:rsidRPr="00961B35">
        <w:rPr>
          <w:rFonts w:cs="Sylfaen"/>
          <w:szCs w:val="22"/>
          <w:lang w:val="hy-AM" w:eastAsia="en-US"/>
        </w:rPr>
        <w:t xml:space="preserve">2018 թվականին 12-ամսյա գնաճը կազմել է 1.8% (միջին գնաճը՝ 2.5%), ինչը պայմանավորվել է նախորդ տարվա համեմատ ներքին պահանջարկի որոշակի թուլացմամբ և արտաքին հատվածից փոխանցվող որոշ ապրանքների ցածր գնաճով։ </w:t>
      </w:r>
      <w:r w:rsidRPr="00961B35">
        <w:rPr>
          <w:rFonts w:cs="Sylfaen"/>
          <w:b w:val="0"/>
          <w:szCs w:val="22"/>
          <w:lang w:val="hy-AM" w:eastAsia="en-US"/>
        </w:rPr>
        <w:t>Տնտեսական զարգացումներից ելնելով՝ 2018 թ</w:t>
      </w:r>
      <w:r w:rsidRPr="00961B35">
        <w:rPr>
          <w:rFonts w:ascii="Cambria Math" w:hAnsi="Cambria Math" w:cs="Sylfaen"/>
          <w:b w:val="0"/>
          <w:szCs w:val="22"/>
          <w:lang w:val="hy-AM" w:eastAsia="en-US"/>
        </w:rPr>
        <w:t xml:space="preserve">․ </w:t>
      </w:r>
      <w:r w:rsidRPr="00961B35">
        <w:rPr>
          <w:rFonts w:cs="Sylfaen"/>
          <w:b w:val="0"/>
          <w:szCs w:val="22"/>
          <w:lang w:val="hy-AM" w:eastAsia="en-US"/>
        </w:rPr>
        <w:t>ընթացքում</w:t>
      </w:r>
      <w:r w:rsidRPr="00961B35">
        <w:rPr>
          <w:rFonts w:ascii="Cambria Math" w:hAnsi="Cambria Math" w:cs="Sylfaen"/>
          <w:b w:val="0"/>
          <w:szCs w:val="22"/>
          <w:lang w:val="hy-AM" w:eastAsia="en-US"/>
        </w:rPr>
        <w:t xml:space="preserve"> </w:t>
      </w:r>
      <w:r w:rsidRPr="00961B35">
        <w:rPr>
          <w:rFonts w:cs="Sylfaen"/>
          <w:b w:val="0"/>
          <w:szCs w:val="22"/>
          <w:lang w:val="hy-AM" w:eastAsia="en-US"/>
        </w:rPr>
        <w:t>ՀՀ ԿԲ-ը չի փոփոխել վերաֆինանսավորման տոկոսադրույքը (6%) և պահպանել է դրամավարկային քաղաքականության խթանող ուղղությունը, սակայն 2019թ-ի հունվարին գնաճի ցուցանիշի կայունացմանը և համախառն պահանջարկի ընդլայնմանը նպաստելու նպատակով իջեցրել է վերաֆինանսավորման տոկոսադրույքը 0</w:t>
      </w:r>
      <w:r w:rsidRPr="00961B35">
        <w:rPr>
          <w:rFonts w:ascii="Cambria Math" w:hAnsi="Cambria Math" w:cs="Sylfaen"/>
          <w:b w:val="0"/>
          <w:szCs w:val="22"/>
          <w:lang w:val="hy-AM" w:eastAsia="en-US"/>
        </w:rPr>
        <w:t>․</w:t>
      </w:r>
      <w:r w:rsidRPr="00961B35">
        <w:rPr>
          <w:rFonts w:cs="Sylfaen"/>
          <w:b w:val="0"/>
          <w:szCs w:val="22"/>
          <w:lang w:val="hy-AM" w:eastAsia="en-US"/>
        </w:rPr>
        <w:t>25 տոկոսային կետով և սահմանել 5</w:t>
      </w:r>
      <w:r w:rsidRPr="00961B35">
        <w:rPr>
          <w:rFonts w:ascii="Cambria Math" w:hAnsi="Cambria Math" w:cs="Sylfaen"/>
          <w:b w:val="0"/>
          <w:szCs w:val="22"/>
          <w:lang w:val="hy-AM" w:eastAsia="en-US"/>
        </w:rPr>
        <w:t>․</w:t>
      </w:r>
      <w:r w:rsidRPr="00961B35">
        <w:rPr>
          <w:rFonts w:cs="Sylfaen"/>
          <w:b w:val="0"/>
          <w:szCs w:val="22"/>
          <w:lang w:val="hy-AM" w:eastAsia="en-US"/>
        </w:rPr>
        <w:t>75%։</w:t>
      </w:r>
    </w:p>
    <w:p w:rsidR="00961B35" w:rsidRPr="00961B35" w:rsidRDefault="00961B35" w:rsidP="00961B35">
      <w:pPr>
        <w:tabs>
          <w:tab w:val="right" w:pos="8640"/>
        </w:tabs>
        <w:spacing w:before="0"/>
        <w:ind w:firstLine="450"/>
        <w:contextualSpacing w:val="0"/>
        <w:rPr>
          <w:rFonts w:cs="Sylfaen"/>
          <w:b w:val="0"/>
          <w:szCs w:val="22"/>
          <w:lang w:val="hy-AM" w:eastAsia="en-US"/>
        </w:rPr>
      </w:pPr>
      <w:r w:rsidRPr="00961B35">
        <w:rPr>
          <w:rFonts w:cs="Sylfaen"/>
          <w:szCs w:val="22"/>
          <w:lang w:val="it-IT" w:eastAsia="en-US"/>
        </w:rPr>
        <w:t xml:space="preserve">2019 </w:t>
      </w:r>
      <w:r w:rsidRPr="00961B35">
        <w:rPr>
          <w:rFonts w:cs="Sylfaen"/>
          <w:szCs w:val="22"/>
          <w:lang w:val="en-US" w:eastAsia="en-US"/>
        </w:rPr>
        <w:t>թվականի</w:t>
      </w:r>
      <w:r w:rsidRPr="00961B35">
        <w:rPr>
          <w:rFonts w:cs="Sylfaen"/>
          <w:szCs w:val="22"/>
          <w:lang w:val="it-IT" w:eastAsia="en-US"/>
        </w:rPr>
        <w:t xml:space="preserve"> </w:t>
      </w:r>
      <w:r w:rsidRPr="00961B35">
        <w:rPr>
          <w:rFonts w:cs="Sylfaen"/>
          <w:szCs w:val="22"/>
          <w:lang w:val="en-US" w:eastAsia="en-US"/>
        </w:rPr>
        <w:t>հուլիսին</w:t>
      </w:r>
      <w:r w:rsidRPr="00961B35">
        <w:rPr>
          <w:rFonts w:cs="Sylfaen"/>
          <w:szCs w:val="22"/>
          <w:lang w:val="it-IT" w:eastAsia="en-US"/>
        </w:rPr>
        <w:t xml:space="preserve"> 12-</w:t>
      </w:r>
      <w:r w:rsidRPr="00961B35">
        <w:rPr>
          <w:rFonts w:cs="Sylfaen"/>
          <w:szCs w:val="22"/>
          <w:lang w:val="en-US" w:eastAsia="en-US"/>
        </w:rPr>
        <w:t>ամսյա</w:t>
      </w:r>
      <w:r w:rsidRPr="00961B35">
        <w:rPr>
          <w:rFonts w:cs="Sylfaen"/>
          <w:szCs w:val="22"/>
          <w:lang w:val="it-IT" w:eastAsia="en-US"/>
        </w:rPr>
        <w:t xml:space="preserve"> </w:t>
      </w:r>
      <w:r w:rsidRPr="00961B35">
        <w:rPr>
          <w:rFonts w:cs="Sylfaen"/>
          <w:szCs w:val="22"/>
          <w:lang w:val="en-US" w:eastAsia="en-US"/>
        </w:rPr>
        <w:t>գնաճը</w:t>
      </w:r>
      <w:r w:rsidRPr="00961B35">
        <w:rPr>
          <w:rFonts w:cs="Sylfaen"/>
          <w:szCs w:val="22"/>
          <w:lang w:val="it-IT" w:eastAsia="en-US"/>
        </w:rPr>
        <w:t xml:space="preserve"> </w:t>
      </w:r>
      <w:r w:rsidRPr="00961B35">
        <w:rPr>
          <w:rFonts w:cs="Sylfaen"/>
          <w:szCs w:val="22"/>
          <w:lang w:val="en-US" w:eastAsia="en-US"/>
        </w:rPr>
        <w:t>շարունակել</w:t>
      </w:r>
      <w:r w:rsidRPr="00961B35">
        <w:rPr>
          <w:rFonts w:cs="Sylfaen"/>
          <w:szCs w:val="22"/>
          <w:lang w:val="it-IT" w:eastAsia="en-US"/>
        </w:rPr>
        <w:t xml:space="preserve"> </w:t>
      </w:r>
      <w:r w:rsidRPr="00961B35">
        <w:rPr>
          <w:rFonts w:cs="Sylfaen"/>
          <w:szCs w:val="22"/>
          <w:lang w:val="en-US" w:eastAsia="en-US"/>
        </w:rPr>
        <w:t>է</w:t>
      </w:r>
      <w:r w:rsidRPr="00961B35">
        <w:rPr>
          <w:rFonts w:cs="Sylfaen"/>
          <w:szCs w:val="22"/>
          <w:lang w:val="it-IT" w:eastAsia="en-US"/>
        </w:rPr>
        <w:t xml:space="preserve"> </w:t>
      </w:r>
      <w:r w:rsidRPr="00961B35">
        <w:rPr>
          <w:rFonts w:cs="Sylfaen"/>
          <w:szCs w:val="22"/>
          <w:lang w:val="en-US" w:eastAsia="en-US"/>
        </w:rPr>
        <w:t>պահպանվել</w:t>
      </w:r>
      <w:r w:rsidRPr="00961B35">
        <w:rPr>
          <w:rFonts w:cs="Sylfaen"/>
          <w:szCs w:val="22"/>
          <w:lang w:val="it-IT" w:eastAsia="en-US"/>
        </w:rPr>
        <w:t xml:space="preserve"> </w:t>
      </w:r>
      <w:r w:rsidRPr="00961B35">
        <w:rPr>
          <w:rFonts w:cs="Sylfaen"/>
          <w:szCs w:val="22"/>
          <w:lang w:val="en-US" w:eastAsia="en-US"/>
        </w:rPr>
        <w:t>տարվա</w:t>
      </w:r>
      <w:r w:rsidRPr="00961B35">
        <w:rPr>
          <w:rFonts w:cs="Sylfaen"/>
          <w:szCs w:val="22"/>
          <w:lang w:val="it-IT" w:eastAsia="en-US"/>
        </w:rPr>
        <w:t xml:space="preserve"> </w:t>
      </w:r>
      <w:r w:rsidRPr="00961B35">
        <w:rPr>
          <w:rFonts w:cs="Sylfaen"/>
          <w:szCs w:val="22"/>
          <w:lang w:val="en-US" w:eastAsia="en-US"/>
        </w:rPr>
        <w:t>սկզբից</w:t>
      </w:r>
      <w:r w:rsidRPr="00961B35">
        <w:rPr>
          <w:rFonts w:cs="Sylfaen"/>
          <w:szCs w:val="22"/>
          <w:lang w:val="it-IT" w:eastAsia="en-US"/>
        </w:rPr>
        <w:t xml:space="preserve"> </w:t>
      </w:r>
      <w:r w:rsidRPr="00961B35">
        <w:rPr>
          <w:rFonts w:cs="Sylfaen"/>
          <w:szCs w:val="22"/>
          <w:lang w:val="en-US" w:eastAsia="en-US"/>
        </w:rPr>
        <w:t>արձանագրված</w:t>
      </w:r>
      <w:r w:rsidRPr="00961B35">
        <w:rPr>
          <w:rFonts w:cs="Sylfaen"/>
          <w:szCs w:val="22"/>
          <w:lang w:val="it-IT" w:eastAsia="en-US"/>
        </w:rPr>
        <w:t xml:space="preserve"> </w:t>
      </w:r>
      <w:r w:rsidRPr="00961B35">
        <w:rPr>
          <w:rFonts w:cs="Sylfaen"/>
          <w:szCs w:val="22"/>
          <w:lang w:val="en-US" w:eastAsia="en-US"/>
        </w:rPr>
        <w:t>ցածր</w:t>
      </w:r>
      <w:r w:rsidRPr="00961B35">
        <w:rPr>
          <w:rFonts w:cs="Sylfaen"/>
          <w:szCs w:val="22"/>
          <w:lang w:val="it-IT" w:eastAsia="en-US"/>
        </w:rPr>
        <w:t xml:space="preserve"> </w:t>
      </w:r>
      <w:r w:rsidRPr="00961B35">
        <w:rPr>
          <w:rFonts w:cs="Sylfaen"/>
          <w:szCs w:val="22"/>
          <w:lang w:val="en-US" w:eastAsia="en-US"/>
        </w:rPr>
        <w:t>մակարդակում</w:t>
      </w:r>
      <w:r w:rsidRPr="00961B35">
        <w:rPr>
          <w:rFonts w:cs="Sylfaen"/>
          <w:szCs w:val="22"/>
          <w:lang w:val="it-IT" w:eastAsia="en-US"/>
        </w:rPr>
        <w:t xml:space="preserve"> </w:t>
      </w:r>
      <w:r w:rsidRPr="00961B35">
        <w:rPr>
          <w:rFonts w:cs="Sylfaen"/>
          <w:szCs w:val="22"/>
          <w:lang w:val="en-US" w:eastAsia="en-US"/>
        </w:rPr>
        <w:t>և</w:t>
      </w:r>
      <w:r w:rsidRPr="00961B35">
        <w:rPr>
          <w:rFonts w:cs="Sylfaen"/>
          <w:szCs w:val="22"/>
          <w:lang w:val="it-IT" w:eastAsia="en-US"/>
        </w:rPr>
        <w:t xml:space="preserve"> </w:t>
      </w:r>
      <w:r w:rsidRPr="00961B35">
        <w:rPr>
          <w:rFonts w:cs="Sylfaen"/>
          <w:szCs w:val="22"/>
          <w:lang w:val="en-US" w:eastAsia="en-US"/>
        </w:rPr>
        <w:t>կազմել</w:t>
      </w:r>
      <w:r w:rsidRPr="00961B35">
        <w:rPr>
          <w:rFonts w:cs="Sylfaen"/>
          <w:szCs w:val="22"/>
          <w:lang w:val="it-IT" w:eastAsia="en-US"/>
        </w:rPr>
        <w:t xml:space="preserve"> </w:t>
      </w:r>
      <w:r w:rsidRPr="00961B35">
        <w:rPr>
          <w:rFonts w:cs="Sylfaen"/>
          <w:szCs w:val="22"/>
          <w:lang w:val="en-US" w:eastAsia="en-US"/>
        </w:rPr>
        <w:t>է</w:t>
      </w:r>
      <w:r w:rsidRPr="00961B35">
        <w:rPr>
          <w:rFonts w:cs="Sylfaen"/>
          <w:szCs w:val="22"/>
          <w:lang w:val="it-IT" w:eastAsia="en-US"/>
        </w:rPr>
        <w:t xml:space="preserve"> 1</w:t>
      </w:r>
      <w:r w:rsidRPr="00961B35">
        <w:rPr>
          <w:rFonts w:ascii="Cambria Math" w:hAnsi="Cambria Math" w:cs="Sylfaen"/>
          <w:szCs w:val="22"/>
          <w:lang w:val="hy-AM" w:eastAsia="en-US"/>
        </w:rPr>
        <w:t>․</w:t>
      </w:r>
      <w:r w:rsidRPr="00961B35">
        <w:rPr>
          <w:rFonts w:cs="Sylfaen"/>
          <w:szCs w:val="22"/>
          <w:lang w:val="it-IT" w:eastAsia="en-US"/>
        </w:rPr>
        <w:t>7% (</w:t>
      </w:r>
      <w:r w:rsidRPr="00961B35">
        <w:rPr>
          <w:rFonts w:cs="Sylfaen"/>
          <w:szCs w:val="22"/>
          <w:lang w:val="en-US" w:eastAsia="en-US"/>
        </w:rPr>
        <w:t>միջին</w:t>
      </w:r>
      <w:r w:rsidRPr="00961B35">
        <w:rPr>
          <w:rFonts w:cs="Sylfaen"/>
          <w:szCs w:val="22"/>
          <w:lang w:val="it-IT" w:eastAsia="en-US"/>
        </w:rPr>
        <w:t xml:space="preserve"> </w:t>
      </w:r>
      <w:r w:rsidRPr="00961B35">
        <w:rPr>
          <w:rFonts w:cs="Sylfaen"/>
          <w:szCs w:val="22"/>
          <w:lang w:val="en-US" w:eastAsia="en-US"/>
        </w:rPr>
        <w:t>գնաճը՝</w:t>
      </w:r>
      <w:r w:rsidRPr="00961B35">
        <w:rPr>
          <w:rFonts w:cs="Sylfaen"/>
          <w:szCs w:val="22"/>
          <w:lang w:val="it-IT" w:eastAsia="en-US"/>
        </w:rPr>
        <w:t xml:space="preserve"> 1.9%)</w:t>
      </w:r>
      <w:r w:rsidRPr="00961B35">
        <w:rPr>
          <w:rFonts w:cs="Sylfaen"/>
          <w:szCs w:val="22"/>
          <w:lang w:val="en-US" w:eastAsia="en-US"/>
        </w:rPr>
        <w:t>։</w:t>
      </w:r>
      <w:r w:rsidRPr="00961B35">
        <w:rPr>
          <w:rFonts w:cs="Sylfaen"/>
          <w:b w:val="0"/>
          <w:szCs w:val="22"/>
          <w:lang w:val="it-IT" w:eastAsia="en-US"/>
        </w:rPr>
        <w:t xml:space="preserve"> ՀՀ Կենտրոնական բանկը 2019թ-ի սեպտեմբերին ավելաց</w:t>
      </w:r>
      <w:r w:rsidRPr="00961B35">
        <w:rPr>
          <w:rFonts w:cs="Sylfaen"/>
          <w:b w:val="0"/>
          <w:szCs w:val="22"/>
          <w:lang w:val="hy-AM" w:eastAsia="en-US"/>
        </w:rPr>
        <w:t>րել է</w:t>
      </w:r>
      <w:r w:rsidRPr="00961B35">
        <w:rPr>
          <w:rFonts w:cs="Sylfaen"/>
          <w:b w:val="0"/>
          <w:szCs w:val="22"/>
          <w:lang w:val="it-IT" w:eastAsia="en-US"/>
        </w:rPr>
        <w:t xml:space="preserve"> դրամավարկային պայմանների խթանման չափը՝ նվազեցնելով վերաֆինանսավորման տոկոսադրույքը 0.25 տոկոսային կետով և սահմանելով 5.5%:</w:t>
      </w:r>
    </w:p>
    <w:p w:rsidR="00961B35" w:rsidRPr="00961B35" w:rsidRDefault="00961B35" w:rsidP="00961B35">
      <w:pPr>
        <w:tabs>
          <w:tab w:val="right" w:pos="8640"/>
        </w:tabs>
        <w:spacing w:before="0"/>
        <w:ind w:firstLine="450"/>
        <w:contextualSpacing w:val="0"/>
        <w:rPr>
          <w:b w:val="0"/>
          <w:szCs w:val="22"/>
          <w:lang w:val="it-IT" w:eastAsia="en-US"/>
        </w:rPr>
      </w:pPr>
      <w:r w:rsidRPr="00961B35">
        <w:rPr>
          <w:rFonts w:cs="Sylfaen"/>
          <w:szCs w:val="22"/>
          <w:lang w:val="hy-AM" w:eastAsia="en-US"/>
        </w:rPr>
        <w:lastRenderedPageBreak/>
        <w:t>Կանխատեսում</w:t>
      </w:r>
      <w:r w:rsidRPr="00961B35">
        <w:rPr>
          <w:rFonts w:cs="Sylfaen"/>
          <w:szCs w:val="22"/>
          <w:lang w:val="it-IT" w:eastAsia="en-US"/>
        </w:rPr>
        <w:t>.</w:t>
      </w:r>
      <w:r w:rsidRPr="00961B35">
        <w:rPr>
          <w:rFonts w:cs="Sylfaen"/>
          <w:b w:val="0"/>
          <w:szCs w:val="22"/>
          <w:lang w:val="it-IT" w:eastAsia="en-US"/>
        </w:rPr>
        <w:t xml:space="preserve"> </w:t>
      </w:r>
      <w:r w:rsidRPr="00961B35">
        <w:rPr>
          <w:rFonts w:cs="Sylfaen"/>
          <w:b w:val="0"/>
          <w:sz w:val="24"/>
          <w:lang w:val="hy-AM" w:eastAsia="en-US"/>
        </w:rPr>
        <w:t>2019 թվականի տարեվերջի համար կանխատեսվում է, որ գնաճը կգտնվի թույլատրելի միջակայքի ստորին հատվածի մոտ</w:t>
      </w:r>
      <w:r w:rsidRPr="00961B35">
        <w:rPr>
          <w:rFonts w:cs="Sylfaen"/>
          <w:b w:val="0"/>
          <w:sz w:val="24"/>
          <w:lang w:val="it-IT" w:eastAsia="en-US"/>
        </w:rPr>
        <w:t>,</w:t>
      </w:r>
      <w:r w:rsidRPr="00961B35">
        <w:rPr>
          <w:rFonts w:cs="Sylfaen"/>
          <w:b w:val="0"/>
          <w:sz w:val="24"/>
          <w:lang w:val="hy-AM" w:eastAsia="en-US"/>
        </w:rPr>
        <w:t xml:space="preserve"> իսկ միջնաժամկետ հատվածում կկայունանա նպատակային թիրախի 4% (+/-1.5) տոկոս միջակայքում</w:t>
      </w:r>
      <w:r w:rsidRPr="00961B35">
        <w:rPr>
          <w:b w:val="0"/>
          <w:szCs w:val="22"/>
          <w:lang w:val="it-IT" w:eastAsia="en-US"/>
        </w:rPr>
        <w:t xml:space="preserve">:  </w:t>
      </w:r>
    </w:p>
    <w:p w:rsidR="00961B35" w:rsidRPr="00961B35" w:rsidRDefault="00961B35" w:rsidP="00961B35">
      <w:pPr>
        <w:spacing w:before="0" w:line="276" w:lineRule="auto"/>
        <w:ind w:firstLine="450"/>
        <w:contextualSpacing w:val="0"/>
        <w:rPr>
          <w:rFonts w:cs="Sylfaen"/>
          <w:szCs w:val="22"/>
          <w:u w:val="single"/>
          <w:lang w:val="es-ES" w:eastAsia="en-US"/>
        </w:rPr>
      </w:pPr>
      <w:r w:rsidRPr="00961B35">
        <w:rPr>
          <w:rFonts w:cs="Sylfaen"/>
          <w:szCs w:val="22"/>
          <w:u w:val="single"/>
          <w:lang w:val="en-US" w:eastAsia="en-US"/>
        </w:rPr>
        <w:t>Գծապատկեր</w:t>
      </w:r>
      <w:r w:rsidRPr="00961B35">
        <w:rPr>
          <w:rFonts w:cs="Sylfaen"/>
          <w:szCs w:val="22"/>
          <w:u w:val="single"/>
          <w:lang w:val="es-ES" w:eastAsia="en-US"/>
        </w:rPr>
        <w:t xml:space="preserve"> 1.4.1 201</w:t>
      </w:r>
      <w:r w:rsidRPr="00961B35">
        <w:rPr>
          <w:rFonts w:cs="Sylfaen"/>
          <w:szCs w:val="22"/>
          <w:u w:val="single"/>
          <w:lang w:val="hy-AM" w:eastAsia="en-US"/>
        </w:rPr>
        <w:t>8</w:t>
      </w:r>
      <w:r w:rsidRPr="00961B35">
        <w:rPr>
          <w:rFonts w:cs="Sylfaen"/>
          <w:szCs w:val="22"/>
          <w:u w:val="single"/>
          <w:lang w:val="es-ES" w:eastAsia="en-US"/>
        </w:rPr>
        <w:t>-201</w:t>
      </w:r>
      <w:r w:rsidRPr="00961B35">
        <w:rPr>
          <w:rFonts w:cs="Sylfaen"/>
          <w:szCs w:val="22"/>
          <w:u w:val="single"/>
          <w:lang w:val="hy-AM" w:eastAsia="en-US"/>
        </w:rPr>
        <w:t>9</w:t>
      </w:r>
      <w:r w:rsidRPr="00961B35">
        <w:rPr>
          <w:rFonts w:cs="Sylfaen"/>
          <w:szCs w:val="22"/>
          <w:u w:val="single"/>
          <w:lang w:val="es-ES" w:eastAsia="en-US"/>
        </w:rPr>
        <w:t xml:space="preserve"> </w:t>
      </w:r>
      <w:r w:rsidRPr="00961B35">
        <w:rPr>
          <w:rFonts w:cs="Sylfaen"/>
          <w:szCs w:val="22"/>
          <w:u w:val="single"/>
          <w:lang w:val="en-US" w:eastAsia="en-US"/>
        </w:rPr>
        <w:t>թվականներին</w:t>
      </w:r>
      <w:r w:rsidRPr="00961B35">
        <w:rPr>
          <w:rFonts w:cs="Sylfaen"/>
          <w:szCs w:val="22"/>
          <w:u w:val="single"/>
          <w:lang w:val="es-ES" w:eastAsia="en-US"/>
        </w:rPr>
        <w:t xml:space="preserve"> 12-</w:t>
      </w:r>
      <w:r w:rsidRPr="00961B35">
        <w:rPr>
          <w:rFonts w:cs="Sylfaen"/>
          <w:szCs w:val="22"/>
          <w:u w:val="single"/>
          <w:lang w:val="en-US" w:eastAsia="en-US"/>
        </w:rPr>
        <w:t>ամսյա</w:t>
      </w:r>
      <w:r w:rsidRPr="00961B35">
        <w:rPr>
          <w:rFonts w:cs="Sylfaen"/>
          <w:szCs w:val="22"/>
          <w:u w:val="single"/>
          <w:lang w:val="es-ES" w:eastAsia="en-US"/>
        </w:rPr>
        <w:t xml:space="preserve"> </w:t>
      </w:r>
      <w:r w:rsidRPr="00961B35">
        <w:rPr>
          <w:rFonts w:cs="Sylfaen"/>
          <w:szCs w:val="22"/>
          <w:u w:val="single"/>
          <w:lang w:val="en-US" w:eastAsia="en-US"/>
        </w:rPr>
        <w:t>գնաճի</w:t>
      </w:r>
      <w:r w:rsidRPr="00961B35">
        <w:rPr>
          <w:rFonts w:cs="Sylfaen"/>
          <w:szCs w:val="22"/>
          <w:u w:val="single"/>
          <w:lang w:val="es-ES" w:eastAsia="en-US"/>
        </w:rPr>
        <w:t xml:space="preserve"> </w:t>
      </w:r>
      <w:r w:rsidRPr="00961B35">
        <w:rPr>
          <w:rFonts w:cs="Sylfaen"/>
          <w:szCs w:val="22"/>
          <w:u w:val="single"/>
          <w:lang w:val="en-US" w:eastAsia="en-US"/>
        </w:rPr>
        <w:t>նպաստումները</w:t>
      </w:r>
      <w:r w:rsidRPr="00961B35">
        <w:rPr>
          <w:rFonts w:cs="Sylfaen"/>
          <w:szCs w:val="22"/>
          <w:u w:val="single"/>
          <w:lang w:val="es-ES" w:eastAsia="en-US"/>
        </w:rPr>
        <w:t xml:space="preserve"> 4 </w:t>
      </w:r>
      <w:r w:rsidRPr="00961B35">
        <w:rPr>
          <w:rFonts w:cs="Sylfaen"/>
          <w:szCs w:val="22"/>
          <w:u w:val="single"/>
          <w:lang w:val="en-US" w:eastAsia="en-US"/>
        </w:rPr>
        <w:t>խոշոր</w:t>
      </w:r>
      <w:r w:rsidRPr="00961B35">
        <w:rPr>
          <w:rFonts w:cs="Sylfaen"/>
          <w:szCs w:val="22"/>
          <w:u w:val="single"/>
          <w:lang w:val="es-ES" w:eastAsia="en-US"/>
        </w:rPr>
        <w:t xml:space="preserve"> </w:t>
      </w:r>
      <w:r w:rsidRPr="00961B35">
        <w:rPr>
          <w:rFonts w:cs="Sylfaen"/>
          <w:szCs w:val="22"/>
          <w:u w:val="single"/>
          <w:lang w:val="en-US" w:eastAsia="en-US"/>
        </w:rPr>
        <w:t>ապրանքախմբերով</w:t>
      </w:r>
      <w:r w:rsidRPr="00961B35">
        <w:rPr>
          <w:rFonts w:cs="Sylfaen"/>
          <w:szCs w:val="22"/>
          <w:u w:val="single"/>
          <w:lang w:val="es-ES" w:eastAsia="en-US"/>
        </w:rPr>
        <w:t xml:space="preserve">, </w:t>
      </w:r>
      <w:r w:rsidRPr="00961B35">
        <w:rPr>
          <w:rFonts w:cs="Sylfaen"/>
          <w:szCs w:val="22"/>
          <w:u w:val="single"/>
          <w:lang w:val="en-US" w:eastAsia="en-US"/>
        </w:rPr>
        <w:t>տոկոսային</w:t>
      </w:r>
      <w:r w:rsidRPr="00961B35">
        <w:rPr>
          <w:rFonts w:cs="Sylfaen"/>
          <w:szCs w:val="22"/>
          <w:u w:val="single"/>
          <w:lang w:val="es-ES" w:eastAsia="en-US"/>
        </w:rPr>
        <w:t xml:space="preserve"> </w:t>
      </w:r>
      <w:r w:rsidRPr="00961B35">
        <w:rPr>
          <w:rFonts w:cs="Sylfaen"/>
          <w:szCs w:val="22"/>
          <w:u w:val="single"/>
          <w:lang w:val="en-US" w:eastAsia="en-US"/>
        </w:rPr>
        <w:t>կետ</w:t>
      </w:r>
    </w:p>
    <w:p w:rsidR="00961B35" w:rsidRPr="00961B35" w:rsidRDefault="00961B35" w:rsidP="00961B35">
      <w:pPr>
        <w:spacing w:before="0" w:line="240" w:lineRule="auto"/>
        <w:ind w:firstLine="450"/>
        <w:contextualSpacing w:val="0"/>
        <w:jc w:val="left"/>
        <w:rPr>
          <w:b w:val="0"/>
          <w:szCs w:val="22"/>
          <w:lang w:val="it-IT" w:eastAsia="en-US"/>
        </w:rPr>
      </w:pPr>
    </w:p>
    <w:p w:rsidR="00961B35" w:rsidRPr="00961B35" w:rsidRDefault="00961B35" w:rsidP="00961B35">
      <w:pPr>
        <w:spacing w:before="0" w:line="240" w:lineRule="auto"/>
        <w:ind w:firstLine="450"/>
        <w:contextualSpacing w:val="0"/>
        <w:jc w:val="left"/>
        <w:rPr>
          <w:b w:val="0"/>
          <w:szCs w:val="22"/>
          <w:lang w:val="en-US" w:eastAsia="en-US"/>
        </w:rPr>
      </w:pPr>
      <w:r w:rsidRPr="00961B35">
        <w:rPr>
          <w:b w:val="0"/>
          <w:noProof/>
          <w:szCs w:val="22"/>
          <w:lang w:val="en-US" w:eastAsia="en-US"/>
        </w:rPr>
        <w:drawing>
          <wp:inline distT="0" distB="0" distL="0" distR="0" wp14:anchorId="2A19C7AE" wp14:editId="3A0E2864">
            <wp:extent cx="2865120" cy="3261360"/>
            <wp:effectExtent l="57150" t="0" r="30480" b="91440"/>
            <wp:docPr id="33"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961B35">
        <w:rPr>
          <w:b w:val="0"/>
          <w:noProof/>
          <w:szCs w:val="22"/>
          <w:lang w:val="en-US" w:eastAsia="en-US"/>
        </w:rPr>
        <w:drawing>
          <wp:inline distT="0" distB="0" distL="0" distR="0" wp14:anchorId="4C30576C" wp14:editId="7596B4EE">
            <wp:extent cx="2791968" cy="3261360"/>
            <wp:effectExtent l="57150" t="0" r="46990" b="91440"/>
            <wp:docPr id="34"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61B35" w:rsidRPr="00961B35" w:rsidRDefault="00961B35" w:rsidP="00961B35">
      <w:pPr>
        <w:spacing w:before="0" w:line="240" w:lineRule="auto"/>
        <w:ind w:firstLine="450"/>
        <w:contextualSpacing w:val="0"/>
        <w:jc w:val="left"/>
        <w:rPr>
          <w:b w:val="0"/>
          <w:szCs w:val="22"/>
          <w:lang w:val="en-US" w:eastAsia="en-US"/>
        </w:rPr>
      </w:pPr>
    </w:p>
    <w:p w:rsidR="00961B35" w:rsidRPr="00961B35" w:rsidRDefault="00961B35" w:rsidP="00961B35">
      <w:pPr>
        <w:ind w:firstLine="450"/>
        <w:contextualSpacing w:val="0"/>
        <w:rPr>
          <w:rFonts w:cs="Sylfaen"/>
          <w:szCs w:val="22"/>
          <w:highlight w:val="yellow"/>
          <w:u w:val="single"/>
          <w:lang w:val="en-US" w:eastAsia="en-US"/>
        </w:rPr>
      </w:pPr>
    </w:p>
    <w:p w:rsidR="00961B35" w:rsidRPr="00961B35" w:rsidRDefault="00961B35" w:rsidP="00961B35">
      <w:pPr>
        <w:spacing w:before="0"/>
        <w:ind w:firstLine="450"/>
        <w:contextualSpacing w:val="0"/>
        <w:rPr>
          <w:rFonts w:cs="Sylfaen"/>
          <w:b w:val="0"/>
          <w:szCs w:val="22"/>
          <w:lang w:val="hy-AM" w:eastAsia="en-US"/>
        </w:rPr>
      </w:pPr>
      <w:r w:rsidRPr="00961B35">
        <w:rPr>
          <w:rFonts w:cs="Sylfaen"/>
          <w:i/>
          <w:szCs w:val="22"/>
          <w:lang w:val="hy-AM" w:eastAsia="en-US"/>
        </w:rPr>
        <w:t xml:space="preserve"> ՀՆԱ դեֆլյատոր:</w:t>
      </w:r>
      <w:r w:rsidRPr="00961B35">
        <w:rPr>
          <w:rFonts w:cs="Sylfaen"/>
          <w:b w:val="0"/>
          <w:i/>
          <w:szCs w:val="22"/>
          <w:lang w:val="hy-AM" w:eastAsia="en-US"/>
        </w:rPr>
        <w:t xml:space="preserve"> </w:t>
      </w:r>
      <w:r w:rsidRPr="00961B35">
        <w:rPr>
          <w:rFonts w:cs="Sylfaen"/>
          <w:szCs w:val="22"/>
          <w:lang w:val="hy-AM" w:eastAsia="en-US"/>
        </w:rPr>
        <w:t>2018 թվականին ՀՆԱ ինդեքս դեֆլյատորի աճը կազմել է 2.5%</w:t>
      </w:r>
      <w:r w:rsidRPr="00961B35">
        <w:rPr>
          <w:rFonts w:cs="Sylfaen"/>
          <w:b w:val="0"/>
          <w:szCs w:val="22"/>
          <w:lang w:val="hy-AM" w:eastAsia="en-US"/>
        </w:rPr>
        <w:t>: ՀՆԱ դեֆլյատորի աճին հիմնականում նպաստել են գյուղատնտեսության և ծառայությունների դեֆլյատորների աճը:</w:t>
      </w:r>
    </w:p>
    <w:p w:rsidR="00961B35" w:rsidRPr="00961B35" w:rsidRDefault="00961B35" w:rsidP="00961B35">
      <w:pPr>
        <w:spacing w:before="0"/>
        <w:ind w:firstLine="450"/>
        <w:contextualSpacing w:val="0"/>
        <w:rPr>
          <w:rFonts w:cs="Sylfaen"/>
          <w:b w:val="0"/>
          <w:szCs w:val="22"/>
          <w:lang w:val="hy-AM" w:eastAsia="en-US"/>
        </w:rPr>
      </w:pPr>
      <w:r w:rsidRPr="00961B35">
        <w:rPr>
          <w:rFonts w:cs="Sylfaen"/>
          <w:szCs w:val="22"/>
          <w:lang w:val="hy-AM" w:eastAsia="en-US"/>
        </w:rPr>
        <w:t>2019 թվականի</w:t>
      </w:r>
      <w:r w:rsidRPr="00961B35">
        <w:rPr>
          <w:rFonts w:cs="Arial"/>
          <w:szCs w:val="22"/>
          <w:lang w:val="hy-AM" w:eastAsia="en-US"/>
        </w:rPr>
        <w:t xml:space="preserve"> </w:t>
      </w:r>
      <w:r w:rsidRPr="00961B35">
        <w:rPr>
          <w:rFonts w:cs="Sylfaen"/>
          <w:szCs w:val="22"/>
          <w:lang w:val="hy-AM" w:eastAsia="en-US"/>
        </w:rPr>
        <w:t>վեց</w:t>
      </w:r>
      <w:r w:rsidRPr="00961B35">
        <w:rPr>
          <w:rFonts w:cs="Arial"/>
          <w:szCs w:val="22"/>
          <w:lang w:val="hy-AM" w:eastAsia="en-US"/>
        </w:rPr>
        <w:t xml:space="preserve"> </w:t>
      </w:r>
      <w:r w:rsidRPr="00961B35">
        <w:rPr>
          <w:rFonts w:cs="Sylfaen"/>
          <w:szCs w:val="22"/>
          <w:lang w:val="hy-AM" w:eastAsia="en-US"/>
        </w:rPr>
        <w:t>ամիսների</w:t>
      </w:r>
      <w:r w:rsidRPr="00961B35">
        <w:rPr>
          <w:rFonts w:cs="Arial"/>
          <w:szCs w:val="22"/>
          <w:lang w:val="hy-AM" w:eastAsia="en-US"/>
        </w:rPr>
        <w:t xml:space="preserve"> </w:t>
      </w:r>
      <w:r w:rsidRPr="00961B35">
        <w:rPr>
          <w:rFonts w:cs="Sylfaen"/>
          <w:szCs w:val="22"/>
          <w:lang w:val="hy-AM" w:eastAsia="en-US"/>
        </w:rPr>
        <w:t>տվյալներով ՀՆԱ</w:t>
      </w:r>
      <w:r w:rsidRPr="00961B35">
        <w:rPr>
          <w:rFonts w:cs="Arial"/>
          <w:szCs w:val="22"/>
          <w:lang w:val="hy-AM" w:eastAsia="en-US"/>
        </w:rPr>
        <w:t xml:space="preserve"> </w:t>
      </w:r>
      <w:r w:rsidRPr="00961B35">
        <w:rPr>
          <w:rFonts w:cs="Sylfaen"/>
          <w:szCs w:val="22"/>
          <w:lang w:val="hy-AM" w:eastAsia="en-US"/>
        </w:rPr>
        <w:t>դեֆլյատորն</w:t>
      </w:r>
      <w:r w:rsidRPr="00961B35">
        <w:rPr>
          <w:rFonts w:cs="Arial"/>
          <w:szCs w:val="22"/>
          <w:lang w:val="hy-AM" w:eastAsia="en-US"/>
        </w:rPr>
        <w:t xml:space="preserve"> </w:t>
      </w:r>
      <w:r w:rsidRPr="00961B35">
        <w:rPr>
          <w:rFonts w:cs="Sylfaen"/>
          <w:szCs w:val="22"/>
          <w:lang w:val="hy-AM" w:eastAsia="en-US"/>
        </w:rPr>
        <w:t>աճել է 3.0%-ով</w:t>
      </w:r>
      <w:r w:rsidRPr="00961B35">
        <w:rPr>
          <w:rFonts w:cs="Arial"/>
          <w:szCs w:val="22"/>
          <w:lang w:val="hy-AM" w:eastAsia="en-US"/>
        </w:rPr>
        <w:t xml:space="preserve">, </w:t>
      </w:r>
      <w:r w:rsidRPr="00961B35">
        <w:rPr>
          <w:rFonts w:cs="Sylfaen"/>
          <w:szCs w:val="22"/>
          <w:lang w:val="hy-AM" w:eastAsia="en-US"/>
        </w:rPr>
        <w:t>որին</w:t>
      </w:r>
      <w:r w:rsidRPr="00961B35">
        <w:rPr>
          <w:rFonts w:cs="Arial"/>
          <w:szCs w:val="22"/>
          <w:lang w:val="hy-AM" w:eastAsia="en-US"/>
        </w:rPr>
        <w:t xml:space="preserve"> </w:t>
      </w:r>
      <w:r w:rsidRPr="00961B35">
        <w:rPr>
          <w:rFonts w:cs="Sylfaen"/>
          <w:szCs w:val="22"/>
          <w:lang w:val="hy-AM" w:eastAsia="en-US"/>
        </w:rPr>
        <w:t>հիմնականում</w:t>
      </w:r>
      <w:r w:rsidRPr="00961B35">
        <w:rPr>
          <w:rFonts w:cs="Arial"/>
          <w:szCs w:val="22"/>
          <w:lang w:val="hy-AM" w:eastAsia="en-US"/>
        </w:rPr>
        <w:t xml:space="preserve"> </w:t>
      </w:r>
      <w:r w:rsidRPr="00961B35">
        <w:rPr>
          <w:rFonts w:cs="Sylfaen"/>
          <w:szCs w:val="22"/>
          <w:lang w:val="hy-AM" w:eastAsia="en-US"/>
        </w:rPr>
        <w:t>նպաստել են հարկերի և ծառայությունների</w:t>
      </w:r>
      <w:r w:rsidRPr="00961B35">
        <w:rPr>
          <w:rFonts w:cs="Arial"/>
          <w:szCs w:val="22"/>
          <w:lang w:val="hy-AM" w:eastAsia="en-US"/>
        </w:rPr>
        <w:t xml:space="preserve"> դեֆլյատորների </w:t>
      </w:r>
      <w:r w:rsidRPr="00961B35">
        <w:rPr>
          <w:rFonts w:cs="Sylfaen"/>
          <w:szCs w:val="22"/>
          <w:lang w:val="hy-AM" w:eastAsia="en-US"/>
        </w:rPr>
        <w:t>աճը</w:t>
      </w:r>
      <w:r w:rsidRPr="00961B35">
        <w:rPr>
          <w:rFonts w:cs="Arial"/>
          <w:szCs w:val="22"/>
          <w:lang w:val="hy-AM" w:eastAsia="en-US"/>
        </w:rPr>
        <w:t>:</w:t>
      </w:r>
      <w:r w:rsidRPr="00961B35">
        <w:rPr>
          <w:rFonts w:cs="Arial"/>
          <w:b w:val="0"/>
          <w:szCs w:val="22"/>
          <w:lang w:val="hy-AM" w:eastAsia="en-US"/>
        </w:rPr>
        <w:t xml:space="preserve"> </w:t>
      </w:r>
      <w:r w:rsidRPr="00961B35">
        <w:rPr>
          <w:rFonts w:cs="Sylfaen"/>
          <w:b w:val="0"/>
          <w:szCs w:val="22"/>
          <w:lang w:val="hy-AM" w:eastAsia="en-US"/>
        </w:rPr>
        <w:t>ՀՆԱ</w:t>
      </w:r>
      <w:r w:rsidRPr="00961B35">
        <w:rPr>
          <w:rFonts w:cs="Arial"/>
          <w:b w:val="0"/>
          <w:szCs w:val="22"/>
          <w:lang w:val="hy-AM" w:eastAsia="en-US"/>
        </w:rPr>
        <w:t xml:space="preserve"> </w:t>
      </w:r>
      <w:r w:rsidRPr="00961B35">
        <w:rPr>
          <w:rFonts w:cs="Sylfaen"/>
          <w:b w:val="0"/>
          <w:szCs w:val="22"/>
          <w:lang w:val="hy-AM" w:eastAsia="en-US"/>
        </w:rPr>
        <w:t xml:space="preserve">դեֆլատորին աճին </w:t>
      </w:r>
      <w:r w:rsidRPr="00961B35">
        <w:rPr>
          <w:rFonts w:cs="Arial"/>
          <w:b w:val="0"/>
          <w:szCs w:val="22"/>
          <w:lang w:val="hy-AM" w:eastAsia="en-US"/>
        </w:rPr>
        <w:t xml:space="preserve">նպաստել են նաև գյուղատնտեսության և արդյունաբերության </w:t>
      </w:r>
      <w:r w:rsidRPr="00961B35">
        <w:rPr>
          <w:rFonts w:cs="Sylfaen"/>
          <w:b w:val="0"/>
          <w:szCs w:val="22"/>
          <w:lang w:val="hy-AM" w:eastAsia="en-US"/>
        </w:rPr>
        <w:t>դեֆլյատորների աճերը</w:t>
      </w:r>
      <w:r w:rsidRPr="00961B35">
        <w:rPr>
          <w:rFonts w:cs="Arial"/>
          <w:b w:val="0"/>
          <w:szCs w:val="22"/>
          <w:lang w:val="hy-AM" w:eastAsia="en-US"/>
        </w:rPr>
        <w:t>:</w:t>
      </w:r>
      <w:r w:rsidRPr="00961B35">
        <w:rPr>
          <w:rFonts w:cs="Sylfaen"/>
          <w:b w:val="0"/>
          <w:szCs w:val="22"/>
          <w:lang w:val="hy-AM" w:eastAsia="en-US"/>
        </w:rPr>
        <w:t xml:space="preserve"> </w:t>
      </w:r>
    </w:p>
    <w:p w:rsidR="00961B35" w:rsidRPr="00961B35" w:rsidRDefault="00961B35" w:rsidP="00961B35">
      <w:pPr>
        <w:spacing w:before="0"/>
        <w:ind w:firstLine="450"/>
        <w:contextualSpacing w:val="0"/>
        <w:rPr>
          <w:rFonts w:cs="Sylfaen"/>
          <w:b w:val="0"/>
          <w:szCs w:val="22"/>
          <w:lang w:val="hy-AM" w:eastAsia="en-US"/>
        </w:rPr>
      </w:pPr>
      <w:r w:rsidRPr="00961B35">
        <w:rPr>
          <w:rFonts w:cs="Sylfaen"/>
          <w:szCs w:val="22"/>
          <w:lang w:val="hy-AM" w:eastAsia="en-US"/>
        </w:rPr>
        <w:t>Կանխատեսում.</w:t>
      </w:r>
      <w:r w:rsidRPr="00961B35">
        <w:rPr>
          <w:rFonts w:cs="Sylfaen"/>
          <w:b w:val="0"/>
          <w:szCs w:val="22"/>
          <w:lang w:val="hy-AM" w:eastAsia="en-US"/>
        </w:rPr>
        <w:t xml:space="preserve"> Մինչև տարեվերջ կանխատեսվում է ՀՆԱ դեֆլյատորի 2.9% աճ, իսկ 2020 թվականին այն կկազ</w:t>
      </w:r>
      <w:r w:rsidRPr="00961B35">
        <w:rPr>
          <w:rFonts w:cs="Sylfaen"/>
          <w:b w:val="0"/>
          <w:szCs w:val="22"/>
          <w:lang w:val="hy-AM" w:eastAsia="en-US"/>
        </w:rPr>
        <w:softHyphen/>
        <w:t>մի շուրջ 3.0%:</w:t>
      </w:r>
    </w:p>
    <w:p w:rsidR="00961B35" w:rsidRPr="00961B35" w:rsidRDefault="00961B35" w:rsidP="00961B35">
      <w:pPr>
        <w:keepNext/>
        <w:spacing w:before="240" w:after="60" w:line="240" w:lineRule="auto"/>
        <w:ind w:firstLine="450"/>
        <w:contextualSpacing w:val="0"/>
        <w:jc w:val="center"/>
        <w:outlineLvl w:val="2"/>
        <w:rPr>
          <w:rFonts w:cs="Arial"/>
          <w:szCs w:val="26"/>
          <w:lang w:val="hy-AM" w:eastAsia="en-US"/>
        </w:rPr>
      </w:pPr>
      <w:bookmarkStart w:id="21" w:name="_Toc525892379"/>
      <w:bookmarkStart w:id="22" w:name="_Toc525893570"/>
      <w:bookmarkStart w:id="23" w:name="_Toc525893662"/>
      <w:bookmarkStart w:id="24" w:name="_Toc26174919"/>
      <w:r w:rsidRPr="00961B35">
        <w:rPr>
          <w:rFonts w:cs="Arial"/>
          <w:szCs w:val="26"/>
          <w:lang w:val="hy-AM" w:eastAsia="en-US"/>
        </w:rPr>
        <w:t>1.5.  Ֆինանսական շուկա</w:t>
      </w:r>
      <w:bookmarkEnd w:id="21"/>
      <w:bookmarkEnd w:id="22"/>
      <w:bookmarkEnd w:id="23"/>
      <w:bookmarkEnd w:id="24"/>
    </w:p>
    <w:p w:rsidR="00961B35" w:rsidRPr="00961B35" w:rsidRDefault="00961B35" w:rsidP="00961B35">
      <w:pPr>
        <w:spacing w:before="0"/>
        <w:ind w:firstLine="450"/>
        <w:contextualSpacing w:val="0"/>
        <w:rPr>
          <w:rFonts w:cs="Sylfaen"/>
          <w:b w:val="0"/>
          <w:szCs w:val="22"/>
          <w:lang w:val="hy-AM" w:eastAsia="en-US"/>
        </w:rPr>
      </w:pPr>
      <w:r w:rsidRPr="00961B35">
        <w:rPr>
          <w:rFonts w:cs="Sylfaen"/>
          <w:b w:val="0"/>
          <w:szCs w:val="22"/>
          <w:lang w:val="hy-AM" w:eastAsia="en-US"/>
        </w:rPr>
        <w:t>Այս բաժնում կներկայացվեն ֆինանսական շուկաները բնութագրող</w:t>
      </w:r>
      <w:r w:rsidRPr="00961B35">
        <w:rPr>
          <w:rFonts w:cs="Sylfaen"/>
          <w:b w:val="0"/>
          <w:szCs w:val="22"/>
          <w:lang w:val="it-IT" w:eastAsia="en-US"/>
        </w:rPr>
        <w:t xml:space="preserve"> </w:t>
      </w:r>
      <w:r w:rsidRPr="00961B35">
        <w:rPr>
          <w:rFonts w:cs="Sylfaen"/>
          <w:b w:val="0"/>
          <w:szCs w:val="22"/>
          <w:lang w:val="hy-AM" w:eastAsia="en-US"/>
        </w:rPr>
        <w:t>երկու հիմնական`</w:t>
      </w:r>
      <w:r w:rsidRPr="00961B35">
        <w:rPr>
          <w:rFonts w:cs="Sylfaen"/>
          <w:b w:val="0"/>
          <w:szCs w:val="22"/>
          <w:highlight w:val="yellow"/>
          <w:lang w:val="hy-AM" w:eastAsia="en-US"/>
        </w:rPr>
        <w:t xml:space="preserve"> </w:t>
      </w:r>
      <w:r w:rsidRPr="00961B35">
        <w:rPr>
          <w:rFonts w:cs="Sylfaen"/>
          <w:b w:val="0"/>
          <w:szCs w:val="22"/>
          <w:lang w:val="hy-AM" w:eastAsia="en-US"/>
        </w:rPr>
        <w:t>ֆինանսական միջ</w:t>
      </w:r>
      <w:r w:rsidRPr="00961B35">
        <w:rPr>
          <w:rFonts w:cs="Sylfaen"/>
          <w:b w:val="0"/>
          <w:szCs w:val="22"/>
          <w:lang w:val="hy-AM" w:eastAsia="en-US"/>
        </w:rPr>
        <w:softHyphen/>
        <w:t>նոր</w:t>
      </w:r>
      <w:r w:rsidRPr="00961B35">
        <w:rPr>
          <w:rFonts w:cs="Sylfaen"/>
          <w:b w:val="0"/>
          <w:szCs w:val="22"/>
          <w:lang w:val="hy-AM" w:eastAsia="en-US"/>
        </w:rPr>
        <w:softHyphen/>
        <w:t>դության և ֆինանսական շուկայում ձևավորված տոկո</w:t>
      </w:r>
      <w:r w:rsidRPr="00961B35">
        <w:rPr>
          <w:rFonts w:cs="Sylfaen"/>
          <w:b w:val="0"/>
          <w:szCs w:val="22"/>
          <w:lang w:val="hy-AM" w:eastAsia="en-US"/>
        </w:rPr>
        <w:softHyphen/>
        <w:t xml:space="preserve">սադրույքների ցուցանիշները: </w:t>
      </w:r>
    </w:p>
    <w:p w:rsidR="00961B35" w:rsidRPr="00961B35" w:rsidRDefault="00961B35" w:rsidP="00961B35">
      <w:pPr>
        <w:spacing w:before="0"/>
        <w:ind w:firstLine="450"/>
        <w:contextualSpacing w:val="0"/>
        <w:rPr>
          <w:rFonts w:cs="Sylfaen"/>
          <w:b w:val="0"/>
          <w:szCs w:val="22"/>
          <w:lang w:val="hy-AM" w:eastAsia="en-US"/>
        </w:rPr>
      </w:pPr>
      <w:r w:rsidRPr="00961B35">
        <w:rPr>
          <w:rFonts w:cs="Sylfaen"/>
          <w:b w:val="0"/>
          <w:szCs w:val="22"/>
          <w:lang w:val="hy-AM" w:eastAsia="en-US"/>
        </w:rPr>
        <w:lastRenderedPageBreak/>
        <w:t>Ֆինանսական միջնորդության մակարդակը բնութագրում է ֆինանսական ինստի</w:t>
      </w:r>
      <w:r w:rsidRPr="00961B35">
        <w:rPr>
          <w:rFonts w:cs="Sylfaen"/>
          <w:b w:val="0"/>
          <w:szCs w:val="22"/>
          <w:lang w:val="hy-AM" w:eastAsia="en-US"/>
        </w:rPr>
        <w:softHyphen/>
        <w:t>տուտ</w:t>
      </w:r>
      <w:r w:rsidRPr="00961B35">
        <w:rPr>
          <w:rFonts w:cs="Sylfaen"/>
          <w:b w:val="0"/>
          <w:szCs w:val="22"/>
          <w:lang w:val="hy-AM" w:eastAsia="en-US"/>
        </w:rPr>
        <w:softHyphen/>
        <w:t>ների (բանկեր, վարկային կազմակերպություններ, ներդրումային ընկերություններ և այլն) ակտիվներն ու պարտավորությունները` ձևավորված սուբյեկտների խնայողությունները միավորելու և ներդրումների վերածելու նպատակով:</w:t>
      </w:r>
    </w:p>
    <w:p w:rsidR="00961B35" w:rsidRPr="00961B35" w:rsidRDefault="00961B35" w:rsidP="00961B35">
      <w:pPr>
        <w:spacing w:before="0"/>
        <w:ind w:firstLine="450"/>
        <w:contextualSpacing w:val="0"/>
        <w:rPr>
          <w:rFonts w:cs="Sylfaen"/>
          <w:b w:val="0"/>
          <w:szCs w:val="22"/>
          <w:lang w:val="hy-AM" w:eastAsia="en-US"/>
        </w:rPr>
      </w:pPr>
      <w:r w:rsidRPr="00961B35">
        <w:rPr>
          <w:rFonts w:cs="Sylfaen"/>
          <w:b w:val="0"/>
          <w:szCs w:val="22"/>
          <w:lang w:val="hy-AM" w:eastAsia="en-US"/>
        </w:rPr>
        <w:t>Ֆինանսական շուկայում ձևավորված տոկոսադրույքներն ազատ մրցակցության պայմաններում ցույց են տալիս</w:t>
      </w:r>
      <w:r w:rsidRPr="00961B35">
        <w:rPr>
          <w:rFonts w:cs="Times Armenian"/>
          <w:b w:val="0"/>
          <w:szCs w:val="22"/>
          <w:lang w:val="hy-AM" w:eastAsia="en-US"/>
        </w:rPr>
        <w:t xml:space="preserve"> </w:t>
      </w:r>
      <w:r w:rsidRPr="00961B35">
        <w:rPr>
          <w:rFonts w:cs="Sylfaen"/>
          <w:b w:val="0"/>
          <w:szCs w:val="22"/>
          <w:lang w:val="hy-AM" w:eastAsia="en-US"/>
        </w:rPr>
        <w:t>փողի գինը</w:t>
      </w:r>
      <w:r w:rsidRPr="00961B35">
        <w:rPr>
          <w:rFonts w:cs="Times Armenian"/>
          <w:b w:val="0"/>
          <w:szCs w:val="22"/>
          <w:lang w:val="hy-AM" w:eastAsia="en-US"/>
        </w:rPr>
        <w:t xml:space="preserve">` </w:t>
      </w:r>
      <w:r w:rsidRPr="00961B35">
        <w:rPr>
          <w:rFonts w:cs="Sylfaen"/>
          <w:b w:val="0"/>
          <w:szCs w:val="22"/>
          <w:lang w:val="hy-AM" w:eastAsia="en-US"/>
        </w:rPr>
        <w:t>հաշվի առած ֆինանսական շուկայի մասնակիցների կող</w:t>
      </w:r>
      <w:r w:rsidRPr="00961B35">
        <w:rPr>
          <w:rFonts w:cs="Sylfaen"/>
          <w:b w:val="0"/>
          <w:szCs w:val="22"/>
          <w:lang w:val="hy-AM" w:eastAsia="en-US"/>
        </w:rPr>
        <w:softHyphen/>
        <w:t>մից գնահատվող տարբեր ռիսկերի աստիճանը</w:t>
      </w:r>
      <w:r w:rsidRPr="00961B35">
        <w:rPr>
          <w:rFonts w:cs="Times Armenian"/>
          <w:b w:val="0"/>
          <w:szCs w:val="22"/>
          <w:lang w:val="hy-AM" w:eastAsia="en-US"/>
        </w:rPr>
        <w:t xml:space="preserve">: </w:t>
      </w:r>
      <w:r w:rsidRPr="00961B35">
        <w:rPr>
          <w:rFonts w:cs="Sylfaen"/>
          <w:b w:val="0"/>
          <w:szCs w:val="22"/>
          <w:lang w:val="hy-AM" w:eastAsia="en-US"/>
        </w:rPr>
        <w:t>Գնաճի տրված մակարդակի պայմաններում, եթե տոկոսադրույքները բարձր են</w:t>
      </w:r>
      <w:r w:rsidRPr="00961B35">
        <w:rPr>
          <w:rFonts w:cs="Times Armenian"/>
          <w:b w:val="0"/>
          <w:szCs w:val="22"/>
          <w:lang w:val="hy-AM" w:eastAsia="en-US"/>
        </w:rPr>
        <w:t xml:space="preserve">, </w:t>
      </w:r>
      <w:r w:rsidRPr="00961B35">
        <w:rPr>
          <w:rFonts w:cs="Sylfaen"/>
          <w:b w:val="0"/>
          <w:szCs w:val="22"/>
          <w:lang w:val="hy-AM" w:eastAsia="en-US"/>
        </w:rPr>
        <w:t>ապա ռիսկայնության աստիճանը բարձր է</w:t>
      </w:r>
      <w:r w:rsidRPr="00961B35">
        <w:rPr>
          <w:rFonts w:cs="Times Armenian"/>
          <w:b w:val="0"/>
          <w:szCs w:val="22"/>
          <w:lang w:val="hy-AM" w:eastAsia="en-US"/>
        </w:rPr>
        <w:t xml:space="preserve"> </w:t>
      </w:r>
      <w:r w:rsidRPr="00961B35">
        <w:rPr>
          <w:rFonts w:cs="Sylfaen"/>
          <w:b w:val="0"/>
          <w:szCs w:val="22"/>
          <w:lang w:val="hy-AM" w:eastAsia="en-US"/>
        </w:rPr>
        <w:t>կամ հակառակը</w:t>
      </w:r>
      <w:r w:rsidRPr="00961B35">
        <w:rPr>
          <w:rFonts w:cs="Times Armenian"/>
          <w:b w:val="0"/>
          <w:szCs w:val="22"/>
          <w:lang w:val="hy-AM" w:eastAsia="en-US"/>
        </w:rPr>
        <w:t xml:space="preserve">: </w:t>
      </w:r>
    </w:p>
    <w:p w:rsidR="00961B35" w:rsidRPr="00961B35" w:rsidRDefault="00961B35" w:rsidP="00961B35">
      <w:pPr>
        <w:spacing w:before="0"/>
        <w:ind w:firstLine="450"/>
        <w:contextualSpacing w:val="0"/>
        <w:rPr>
          <w:rFonts w:cs="Sylfaen"/>
          <w:b w:val="0"/>
          <w:szCs w:val="22"/>
          <w:lang w:val="hy-AM" w:eastAsia="en-US"/>
        </w:rPr>
      </w:pPr>
      <w:r w:rsidRPr="00961B35">
        <w:rPr>
          <w:rFonts w:cs="Sylfaen"/>
          <w:b w:val="0"/>
          <w:szCs w:val="22"/>
          <w:lang w:val="hy-AM" w:eastAsia="en-US"/>
        </w:rPr>
        <w:t>Այսինքն</w:t>
      </w:r>
      <w:r w:rsidRPr="00961B35">
        <w:rPr>
          <w:rFonts w:cs="Times Armenian"/>
          <w:b w:val="0"/>
          <w:szCs w:val="22"/>
          <w:lang w:val="hy-AM" w:eastAsia="en-US"/>
        </w:rPr>
        <w:t xml:space="preserve">`  </w:t>
      </w:r>
      <w:r w:rsidRPr="00961B35">
        <w:rPr>
          <w:rFonts w:cs="Sylfaen"/>
          <w:b w:val="0"/>
          <w:szCs w:val="22"/>
          <w:lang w:val="hy-AM" w:eastAsia="en-US"/>
        </w:rPr>
        <w:t>ֆինանսական շուկայի միջոցով կարգավորվում է փողի նկատմամբ առաջարկը և պա</w:t>
      </w:r>
      <w:r w:rsidRPr="00961B35">
        <w:rPr>
          <w:rFonts w:cs="Sylfaen"/>
          <w:b w:val="0"/>
          <w:szCs w:val="22"/>
          <w:lang w:val="hy-AM" w:eastAsia="en-US"/>
        </w:rPr>
        <w:softHyphen/>
        <w:t>հան</w:t>
      </w:r>
      <w:r w:rsidRPr="00961B35">
        <w:rPr>
          <w:rFonts w:cs="Sylfaen"/>
          <w:b w:val="0"/>
          <w:szCs w:val="22"/>
          <w:lang w:val="hy-AM" w:eastAsia="en-US"/>
        </w:rPr>
        <w:softHyphen/>
        <w:t>ջարկը (փողի զանգված, փողի բազա) և դրա գինը</w:t>
      </w:r>
      <w:r w:rsidRPr="00961B35">
        <w:rPr>
          <w:rFonts w:cs="Times Armenian"/>
          <w:b w:val="0"/>
          <w:szCs w:val="22"/>
          <w:lang w:val="hy-AM" w:eastAsia="en-US"/>
        </w:rPr>
        <w:t xml:space="preserve"> (</w:t>
      </w:r>
      <w:r w:rsidRPr="00961B35">
        <w:rPr>
          <w:rFonts w:cs="Sylfaen"/>
          <w:b w:val="0"/>
          <w:szCs w:val="22"/>
          <w:lang w:val="hy-AM" w:eastAsia="en-US"/>
        </w:rPr>
        <w:t>բանկային տոկոսադրույք</w:t>
      </w:r>
      <w:r w:rsidRPr="00961B35">
        <w:rPr>
          <w:rFonts w:cs="Times Armenian"/>
          <w:b w:val="0"/>
          <w:szCs w:val="22"/>
          <w:lang w:val="hy-AM" w:eastAsia="en-US"/>
        </w:rPr>
        <w:t xml:space="preserve">) </w:t>
      </w:r>
      <w:r w:rsidRPr="00961B35">
        <w:rPr>
          <w:rFonts w:cs="Sylfaen"/>
          <w:b w:val="0"/>
          <w:szCs w:val="22"/>
          <w:lang w:val="hy-AM" w:eastAsia="en-US"/>
        </w:rPr>
        <w:t>տնտեսական գործու</w:t>
      </w:r>
      <w:r w:rsidRPr="00961B35">
        <w:rPr>
          <w:rFonts w:cs="Sylfaen"/>
          <w:b w:val="0"/>
          <w:szCs w:val="22"/>
          <w:lang w:val="hy-AM" w:eastAsia="en-US"/>
        </w:rPr>
        <w:softHyphen/>
        <w:t>նեություն ծավալողների համար</w:t>
      </w:r>
      <w:r w:rsidRPr="00961B35">
        <w:rPr>
          <w:rFonts w:cs="Times Armenian"/>
          <w:b w:val="0"/>
          <w:szCs w:val="22"/>
          <w:lang w:val="hy-AM" w:eastAsia="en-US"/>
        </w:rPr>
        <w:t xml:space="preserve">: </w:t>
      </w:r>
    </w:p>
    <w:p w:rsidR="00961B35" w:rsidRPr="00961B35" w:rsidRDefault="00961B35" w:rsidP="00961B35">
      <w:pPr>
        <w:tabs>
          <w:tab w:val="right" w:pos="8640"/>
        </w:tabs>
        <w:spacing w:before="0"/>
        <w:ind w:firstLine="0"/>
        <w:contextualSpacing w:val="0"/>
        <w:jc w:val="center"/>
        <w:rPr>
          <w:rFonts w:cs="Sylfaen"/>
          <w:szCs w:val="22"/>
          <w:lang w:val="it-IT" w:eastAsia="en-US"/>
        </w:rPr>
      </w:pPr>
    </w:p>
    <w:p w:rsidR="00961B35" w:rsidRPr="00961B35" w:rsidRDefault="00961B35" w:rsidP="00961B35">
      <w:pPr>
        <w:tabs>
          <w:tab w:val="right" w:pos="8640"/>
        </w:tabs>
        <w:spacing w:before="0"/>
        <w:ind w:firstLine="0"/>
        <w:contextualSpacing w:val="0"/>
        <w:jc w:val="center"/>
        <w:rPr>
          <w:rFonts w:cs="Sylfaen"/>
          <w:szCs w:val="22"/>
          <w:lang w:val="it-IT" w:eastAsia="en-US"/>
        </w:rPr>
      </w:pPr>
      <w:r w:rsidRPr="00961B35">
        <w:rPr>
          <w:rFonts w:cs="Sylfaen"/>
          <w:szCs w:val="22"/>
          <w:lang w:val="it-IT" w:eastAsia="en-US"/>
        </w:rPr>
        <w:t>Վերջին տարիների միտումները, ընթացիկ իրավիճակը և կանխատեսումները</w:t>
      </w:r>
    </w:p>
    <w:p w:rsidR="00961B35" w:rsidRPr="00961B35" w:rsidRDefault="00961B35" w:rsidP="00961B35">
      <w:pPr>
        <w:tabs>
          <w:tab w:val="left" w:pos="0"/>
          <w:tab w:val="left" w:pos="900"/>
        </w:tabs>
        <w:spacing w:before="0"/>
        <w:ind w:firstLine="450"/>
        <w:contextualSpacing w:val="0"/>
        <w:rPr>
          <w:rFonts w:cs="Sylfaen"/>
          <w:i/>
          <w:szCs w:val="22"/>
          <w:lang w:val="it-IT" w:eastAsia="en-US"/>
        </w:rPr>
      </w:pPr>
    </w:p>
    <w:p w:rsidR="00961B35" w:rsidRPr="00961B35" w:rsidRDefault="00961B35" w:rsidP="00961B35">
      <w:pPr>
        <w:tabs>
          <w:tab w:val="left" w:pos="0"/>
          <w:tab w:val="left" w:pos="900"/>
        </w:tabs>
        <w:spacing w:before="0"/>
        <w:ind w:firstLine="450"/>
        <w:contextualSpacing w:val="0"/>
        <w:rPr>
          <w:rFonts w:cs="Sylfaen"/>
          <w:i/>
          <w:szCs w:val="22"/>
          <w:lang w:val="hy-AM" w:eastAsia="en-US"/>
        </w:rPr>
      </w:pPr>
      <w:r w:rsidRPr="00961B35">
        <w:rPr>
          <w:rFonts w:cs="Sylfaen"/>
          <w:i/>
          <w:szCs w:val="22"/>
          <w:lang w:val="hy-AM" w:eastAsia="en-US"/>
        </w:rPr>
        <w:t xml:space="preserve">Դրամավարկային հատված և ֆինանսական շուկա </w:t>
      </w:r>
    </w:p>
    <w:p w:rsidR="00961B35" w:rsidRPr="00961B35" w:rsidRDefault="00961B35" w:rsidP="00961B35">
      <w:pPr>
        <w:tabs>
          <w:tab w:val="left" w:pos="0"/>
          <w:tab w:val="left" w:pos="900"/>
        </w:tabs>
        <w:spacing w:before="0"/>
        <w:ind w:firstLine="450"/>
        <w:contextualSpacing w:val="0"/>
        <w:rPr>
          <w:b w:val="0"/>
          <w:szCs w:val="22"/>
          <w:lang w:val="hy-AM" w:eastAsia="en-US"/>
        </w:rPr>
      </w:pPr>
      <w:r w:rsidRPr="00961B35">
        <w:rPr>
          <w:szCs w:val="22"/>
          <w:lang w:val="hy-AM" w:eastAsia="en-US"/>
        </w:rPr>
        <w:t>2018 թվականին փողի բազան աճել է՝ պայմանավորված ՀՀ ԿԲ զուտ ներքին ակտիվների աճով</w:t>
      </w:r>
      <w:r w:rsidRPr="00961B35">
        <w:rPr>
          <w:b w:val="0"/>
          <w:szCs w:val="22"/>
          <w:lang w:val="hy-AM" w:eastAsia="en-US"/>
        </w:rPr>
        <w:t>: 2018 թվականի տարեվերջին փողի բազան կազմել է շուրջ 1216 մլրդ դրամ` տարեսկզբի համեմատ աճելով 17.8%-ով: Ընդ որում, զուտ միջազգային պահուստները նվազել են 0.1%-ով, իսկ զուտ ներքին ակտիվները աճել 69.4%:</w:t>
      </w:r>
    </w:p>
    <w:p w:rsidR="00961B35" w:rsidRPr="00961B35" w:rsidRDefault="00961B35" w:rsidP="00961B35">
      <w:pPr>
        <w:tabs>
          <w:tab w:val="left" w:pos="0"/>
          <w:tab w:val="left" w:pos="900"/>
        </w:tabs>
        <w:spacing w:before="0"/>
        <w:ind w:firstLine="450"/>
        <w:contextualSpacing w:val="0"/>
        <w:rPr>
          <w:b w:val="0"/>
          <w:szCs w:val="22"/>
          <w:lang w:val="hy-AM" w:eastAsia="en-US"/>
        </w:rPr>
      </w:pPr>
      <w:r w:rsidRPr="00961B35">
        <w:rPr>
          <w:szCs w:val="22"/>
          <w:lang w:val="hy-AM" w:eastAsia="en-US"/>
        </w:rPr>
        <w:t>Փողի բազայի աճին հիմնականում նպաստել է ՀՀ ԿԲ-ում արտարժույթով թղթակցային հաշիվների աճը</w:t>
      </w:r>
      <w:r w:rsidRPr="00961B35">
        <w:rPr>
          <w:b w:val="0"/>
          <w:szCs w:val="22"/>
          <w:lang w:val="hy-AM" w:eastAsia="en-US"/>
        </w:rPr>
        <w:t>: Այսպես, փողի բազայում ԿԲ-ից դուրս կանխիկն աճել է 9.8%-ով (նպաստումը փողի բազայի աճին կազմել է 4.9 տոկոսային կետ), իսկ թղթակցային հաշիվները դրամով և արտարժույթով աճել են, համապատասխանաբար՝ 12.9 և 38.3%-ով (նպաստումը փողի բազայի փոփոխությանը կազմել է համապատասխանաբար 3.9 և 6.6 տոկոսային կետ):</w:t>
      </w:r>
    </w:p>
    <w:p w:rsidR="00961B35" w:rsidRPr="00961B35" w:rsidRDefault="00961B35" w:rsidP="00961B35">
      <w:pPr>
        <w:tabs>
          <w:tab w:val="left" w:pos="0"/>
          <w:tab w:val="left" w:pos="900"/>
        </w:tabs>
        <w:spacing w:before="0"/>
        <w:ind w:firstLine="450"/>
        <w:contextualSpacing w:val="0"/>
        <w:rPr>
          <w:b w:val="0"/>
          <w:szCs w:val="22"/>
          <w:lang w:val="hy-AM" w:eastAsia="en-US"/>
        </w:rPr>
      </w:pPr>
      <w:r w:rsidRPr="00961B35">
        <w:rPr>
          <w:b w:val="0"/>
          <w:szCs w:val="22"/>
          <w:lang w:val="hy-AM" w:eastAsia="en-US"/>
        </w:rPr>
        <w:t xml:space="preserve">2019 թվականի հուլիսին փողի բազայի 12 ամսյա աճը կազմել է 8.1%, ընդ որում` արտարժույթով թղթակցային հաշիվներն աճել են 62.2%-ով, ԿԲ-ից դուրս կանխիկ դրամը 3.2%-ով, իսկ դրամով թղթակցային հաշիվները նվազել են 8.1%-ով (նպաստումերն աճին համապատասխանաբար 7.2, 1.7,  -2.8 տոկոսային կետ):  </w:t>
      </w:r>
    </w:p>
    <w:p w:rsidR="00961B35" w:rsidRPr="00961B35" w:rsidRDefault="00961B35" w:rsidP="00961B35">
      <w:pPr>
        <w:tabs>
          <w:tab w:val="left" w:pos="0"/>
          <w:tab w:val="left" w:pos="900"/>
        </w:tabs>
        <w:spacing w:before="0"/>
        <w:ind w:firstLine="450"/>
        <w:contextualSpacing w:val="0"/>
        <w:rPr>
          <w:b w:val="0"/>
          <w:szCs w:val="22"/>
          <w:lang w:val="hy-AM" w:eastAsia="en-US"/>
        </w:rPr>
      </w:pPr>
      <w:r w:rsidRPr="00961B35">
        <w:rPr>
          <w:szCs w:val="22"/>
          <w:lang w:val="hy-AM" w:eastAsia="en-US"/>
        </w:rPr>
        <w:t>2018 թվականին նախորդ տարվա համեմատ փողի զանգվածի աճի տեմպը դանդաղել է</w:t>
      </w:r>
      <w:r w:rsidRPr="00961B35">
        <w:rPr>
          <w:b w:val="0"/>
          <w:szCs w:val="22"/>
          <w:lang w:val="hy-AM" w:eastAsia="en-US"/>
        </w:rPr>
        <w:t xml:space="preserve">: 2018 թվականի տարեվերջին փողի զանգվածը կազմել է շուրջ 2775 մլրդ դրամ` տարեսկզբի նկատմամբ աճելով 7.4%-ով, նախորդ տարվա 18.5%-ի համեմատ:  Ընդ որում, զուտ արտաքին </w:t>
      </w:r>
      <w:r w:rsidRPr="00961B35">
        <w:rPr>
          <w:b w:val="0"/>
          <w:szCs w:val="22"/>
          <w:lang w:val="hy-AM" w:eastAsia="en-US"/>
        </w:rPr>
        <w:lastRenderedPageBreak/>
        <w:t>ակտիվները նվազել են շուրջ 140.4 մլրդ դրամով (դրական մեծությունից դառնալով բացասական), իսկ զուտ ներքին ակտիվները աճել 13.2%:</w:t>
      </w:r>
    </w:p>
    <w:p w:rsidR="00961B35" w:rsidRPr="00961B35" w:rsidRDefault="00961B35" w:rsidP="00961B35">
      <w:pPr>
        <w:tabs>
          <w:tab w:val="left" w:pos="0"/>
          <w:tab w:val="left" w:pos="900"/>
        </w:tabs>
        <w:spacing w:before="0"/>
        <w:ind w:firstLine="450"/>
        <w:contextualSpacing w:val="0"/>
        <w:rPr>
          <w:b w:val="0"/>
          <w:szCs w:val="22"/>
          <w:lang w:val="hy-AM" w:eastAsia="en-US"/>
        </w:rPr>
      </w:pPr>
      <w:r w:rsidRPr="00961B35">
        <w:rPr>
          <w:szCs w:val="22"/>
          <w:lang w:val="hy-AM" w:eastAsia="en-US"/>
        </w:rPr>
        <w:t>Փողի զանգվածի աճը պայմանավորվել է հիմնականում դրամային ավանդների աճով:</w:t>
      </w:r>
      <w:r w:rsidRPr="00961B35">
        <w:rPr>
          <w:b w:val="0"/>
          <w:szCs w:val="22"/>
          <w:lang w:val="hy-AM" w:eastAsia="en-US"/>
        </w:rPr>
        <w:t xml:space="preserve"> Փողի զանգվածի աճին բանկային համակարգից դուրս կանխիկը նպաստել է 1.2 տոկոսային կետով, իսկ դրամային և արտարժույթով ավանդները, համապատասխանաբար՝  5.9 և 0.4 տոկոսային կետով:</w:t>
      </w:r>
    </w:p>
    <w:p w:rsidR="00961B35" w:rsidRPr="00961B35" w:rsidRDefault="00961B35" w:rsidP="00961B35">
      <w:pPr>
        <w:tabs>
          <w:tab w:val="left" w:pos="0"/>
          <w:tab w:val="left" w:pos="900"/>
        </w:tabs>
        <w:spacing w:before="0"/>
        <w:ind w:firstLine="450"/>
        <w:contextualSpacing w:val="0"/>
        <w:rPr>
          <w:b w:val="0"/>
          <w:szCs w:val="22"/>
          <w:lang w:val="hy-AM" w:eastAsia="en-US"/>
        </w:rPr>
      </w:pPr>
      <w:r w:rsidRPr="00961B35">
        <w:rPr>
          <w:b w:val="0"/>
          <w:szCs w:val="22"/>
          <w:lang w:val="hy-AM" w:eastAsia="en-US"/>
        </w:rPr>
        <w:t xml:space="preserve">2019 թվականի հուլիսին փողի զանգվածի 12 ամսյա աճի տեմպը կազմել է 7.6 տոկոս, և վերջինիս ամենամեծ նպաստումը կրկին ունեցել են դրամով ավանդները՝ 7.3 տոկոսային կետ, իսկ արտարժույթով ավանդների և շրջանառությունում կանխիկի նպաստումը կազմել է 0.2-ական տոկոսային կետ:   </w:t>
      </w:r>
    </w:p>
    <w:p w:rsidR="00961B35" w:rsidRPr="00961B35" w:rsidRDefault="00961B35" w:rsidP="00961B35">
      <w:pPr>
        <w:tabs>
          <w:tab w:val="left" w:pos="0"/>
          <w:tab w:val="left" w:pos="900"/>
        </w:tabs>
        <w:spacing w:before="0"/>
        <w:ind w:firstLine="450"/>
        <w:contextualSpacing w:val="0"/>
        <w:rPr>
          <w:rFonts w:cs="Sylfaen"/>
          <w:szCs w:val="22"/>
          <w:u w:val="single"/>
          <w:lang w:val="hy-AM" w:eastAsia="en-US"/>
        </w:rPr>
      </w:pPr>
      <w:r w:rsidRPr="00961B35">
        <w:rPr>
          <w:b w:val="0"/>
          <w:szCs w:val="22"/>
          <w:lang w:val="hy-AM" w:eastAsia="en-US"/>
        </w:rPr>
        <w:t xml:space="preserve"> </w:t>
      </w:r>
      <w:r w:rsidRPr="00961B35">
        <w:rPr>
          <w:rFonts w:cs="Sylfaen"/>
          <w:szCs w:val="22"/>
          <w:u w:val="single"/>
          <w:lang w:val="hy-AM" w:eastAsia="en-US"/>
        </w:rPr>
        <w:t>Գծապատկեր 1.5.1</w:t>
      </w:r>
      <w:r w:rsidRPr="00961B35">
        <w:rPr>
          <w:rFonts w:ascii="Cambria Math" w:hAnsi="Cambria Math" w:cs="Sylfaen"/>
          <w:szCs w:val="22"/>
          <w:u w:val="single"/>
          <w:lang w:val="hy-AM" w:eastAsia="en-US"/>
        </w:rPr>
        <w:t>.</w:t>
      </w:r>
      <w:r w:rsidRPr="00961B35">
        <w:rPr>
          <w:rFonts w:cs="Sylfaen"/>
          <w:szCs w:val="22"/>
          <w:u w:val="single"/>
          <w:lang w:val="hy-AM" w:eastAsia="en-US"/>
        </w:rPr>
        <w:t xml:space="preserve"> 2018 թվականին փողի բազայի և փողի զանգվածի աճին նպաստումները, տոկոսային կետ</w:t>
      </w:r>
    </w:p>
    <w:p w:rsidR="00961B35" w:rsidRPr="00961B35" w:rsidRDefault="00961B35" w:rsidP="00961B35">
      <w:pPr>
        <w:spacing w:before="0" w:line="240" w:lineRule="auto"/>
        <w:ind w:firstLine="450"/>
        <w:contextualSpacing w:val="0"/>
        <w:jc w:val="left"/>
        <w:rPr>
          <w:rFonts w:cs="Sylfaen"/>
          <w:b w:val="0"/>
          <w:szCs w:val="22"/>
          <w:lang w:val="hy-AM" w:eastAsia="en-US"/>
        </w:rPr>
      </w:pPr>
      <w:r w:rsidRPr="00961B35">
        <w:rPr>
          <w:b w:val="0"/>
          <w:noProof/>
          <w:szCs w:val="22"/>
          <w:lang w:val="en-US" w:eastAsia="en-US"/>
        </w:rPr>
        <w:drawing>
          <wp:inline distT="0" distB="0" distL="0" distR="0" wp14:anchorId="6B1B7DAC" wp14:editId="18B11C48">
            <wp:extent cx="2880000" cy="3096000"/>
            <wp:effectExtent l="57150" t="0" r="53975" b="104775"/>
            <wp:docPr id="35"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61B35">
        <w:rPr>
          <w:b w:val="0"/>
          <w:noProof/>
          <w:szCs w:val="22"/>
          <w:lang w:val="en-US" w:eastAsia="en-US"/>
        </w:rPr>
        <w:drawing>
          <wp:inline distT="0" distB="0" distL="0" distR="0" wp14:anchorId="5D96C61A" wp14:editId="7C3ACC60">
            <wp:extent cx="2706624" cy="3102864"/>
            <wp:effectExtent l="57150" t="0" r="36830" b="97790"/>
            <wp:docPr id="36"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61B35" w:rsidRPr="00961B35" w:rsidRDefault="00961B35" w:rsidP="00961B35">
      <w:pPr>
        <w:tabs>
          <w:tab w:val="left" w:pos="0"/>
          <w:tab w:val="left" w:pos="900"/>
        </w:tabs>
        <w:spacing w:before="0"/>
        <w:ind w:firstLine="450"/>
        <w:contextualSpacing w:val="0"/>
        <w:rPr>
          <w:szCs w:val="22"/>
          <w:lang w:val="hy-AM" w:eastAsia="en-US"/>
        </w:rPr>
      </w:pPr>
      <w:r w:rsidRPr="00961B35">
        <w:rPr>
          <w:szCs w:val="22"/>
          <w:lang w:val="hy-AM" w:eastAsia="en-US"/>
        </w:rPr>
        <w:t xml:space="preserve">Ինչպես 2018 թվականին, այնպես էլ 2019թ-ի հունվար-հուլիս ամիսներին առևտրային բանկերի կողմից ռեզիդենտներից ներգրաված ավանդների  և ռեզիդենտներին տրամադրված վարկերի ծավալների աճի տեմպը շարունակել է մնալ բարձր: </w:t>
      </w:r>
      <w:r w:rsidRPr="00961B35">
        <w:rPr>
          <w:b w:val="0"/>
          <w:szCs w:val="22"/>
          <w:lang w:val="hy-AM" w:eastAsia="en-US"/>
        </w:rPr>
        <w:t>Առևտրային բանկերի կողմից ռեզիդենտներից ներգրավված ավանդները 2018 թվականի դեկտեմբերին նախորդ տարվա դեկտեմբերի նկատմամբ աճել են 6.7%-ով, որին 6.2 տոկոսային կետով նպաստել է դրամային ավանդների աճը, 0.5 տոկոսային կետով` արտարժութային ավանդներինը: 2019 թվականի հուլիսին ավանդների ծավալի 12 ամսյա աճի տեմպը կազմել է 7.9%, որին դրամային ավանդների նպաստումը կազմել է 8.2 տոկոսային կետ, իսկ արտարժույթով ավանդներինը՝ -0.3 տոկոսային կետ:</w:t>
      </w:r>
    </w:p>
    <w:p w:rsidR="00961B35" w:rsidRPr="00961B35" w:rsidRDefault="00961B35" w:rsidP="00961B35">
      <w:pPr>
        <w:tabs>
          <w:tab w:val="left" w:pos="0"/>
          <w:tab w:val="left" w:pos="900"/>
        </w:tabs>
        <w:spacing w:before="0"/>
        <w:ind w:firstLine="450"/>
        <w:contextualSpacing w:val="0"/>
        <w:rPr>
          <w:b w:val="0"/>
          <w:szCs w:val="22"/>
          <w:lang w:val="hy-AM" w:eastAsia="en-US"/>
        </w:rPr>
      </w:pPr>
      <w:r w:rsidRPr="00961B35">
        <w:rPr>
          <w:b w:val="0"/>
          <w:szCs w:val="22"/>
          <w:lang w:val="hy-AM" w:eastAsia="en-US"/>
        </w:rPr>
        <w:lastRenderedPageBreak/>
        <w:t xml:space="preserve">Առևտրային բանկերի կողմից ռեզիդենտներին տրամադրված վարկերի ծավալները 2018 թվականի դեկտեմբերին նախորդ տարվա դեկտեմբերի նկատմամբ աճել են 16.6%-ով`  2017 թվականի 17.1% դիմաց։ Վարկերի աճին 14.9 տոկոսային կետով նպաստել են դրամային վարկերի և 1.6 տոկոսային կետով՝ արտարժութային վարկերի աճերը: Ըստ ոլորտների, ռեզիդենտներին տրամադրված վարկերի աճին դրական են նպաստել բոլոր ուղղությունները (բացի այլ վարկերից), սակայն հիմնականում աճը պայմանավորված է եղել սպառողական և արդյունաբերության ոլորտին ուղղված վարկերի աճերով՝ համապատասխանաբար 37.1%  և 21.4% (նպաստումները՝ 8%-ային կետ և 3.8%-ային կետ): </w:t>
      </w:r>
    </w:p>
    <w:p w:rsidR="00961B35" w:rsidRPr="00961B35" w:rsidRDefault="00961B35" w:rsidP="00961B35">
      <w:pPr>
        <w:tabs>
          <w:tab w:val="left" w:pos="0"/>
          <w:tab w:val="left" w:pos="900"/>
        </w:tabs>
        <w:spacing w:before="0"/>
        <w:ind w:firstLine="450"/>
        <w:contextualSpacing w:val="0"/>
        <w:rPr>
          <w:b w:val="0"/>
          <w:szCs w:val="22"/>
          <w:lang w:val="hy-AM" w:eastAsia="en-US"/>
        </w:rPr>
      </w:pPr>
      <w:r w:rsidRPr="00961B35">
        <w:rPr>
          <w:b w:val="0"/>
          <w:szCs w:val="22"/>
          <w:lang w:val="hy-AM" w:eastAsia="en-US"/>
        </w:rPr>
        <w:t>2019 թվականի հուլիսին վարկերի ծավալի 12 ամսյա աճը կազմել է 13.8%, որին դրամային վարկերի նպաստումը կազմել է 13.5 տոկոսային կետ, իսկ արտարժութային վարկերի նպաստումը՝ 0.3 տոկոսային կետ: Ռեզիդենտներին տրամադրված վարկերի աճը հիմնականում պայմանավորված է եղել սպառողական և հիպոթեքային վարկերի աճերով՝ համապատասխանաբար 30.4% և 37.1% (նպաստումները՝ 7.2%-ային կետ և 3.1%-ային կետ):</w:t>
      </w:r>
    </w:p>
    <w:p w:rsidR="00961B35" w:rsidRPr="00961B35" w:rsidRDefault="00961B35" w:rsidP="00961B35">
      <w:pPr>
        <w:tabs>
          <w:tab w:val="left" w:pos="0"/>
          <w:tab w:val="left" w:pos="900"/>
        </w:tabs>
        <w:spacing w:before="0"/>
        <w:ind w:firstLine="450"/>
        <w:contextualSpacing w:val="0"/>
        <w:rPr>
          <w:b w:val="0"/>
          <w:szCs w:val="22"/>
          <w:lang w:val="hy-AM" w:eastAsia="en-US"/>
        </w:rPr>
      </w:pPr>
      <w:r w:rsidRPr="00961B35">
        <w:rPr>
          <w:szCs w:val="22"/>
          <w:lang w:val="hy-AM" w:eastAsia="en-US"/>
        </w:rPr>
        <w:t>2018 թվականին ընթացքում դոլարայնացման մակարդակը նվազման միտում է ունեցել, ինչը շարունակվել է նաև 2019թ-ի հունվար-հուլիս ամիսներին:</w:t>
      </w:r>
      <w:r w:rsidRPr="00961B35">
        <w:rPr>
          <w:b w:val="0"/>
          <w:szCs w:val="22"/>
          <w:lang w:val="hy-AM" w:eastAsia="en-US"/>
        </w:rPr>
        <w:t xml:space="preserve"> Ռեզիդենտների արտարժութային ավանդներ/ընդամենը ավանդներ հարաբերակցությունը տարեվերջին 2017 թվականի նկատմամբ նվազել է 3.0 </w:t>
      </w:r>
      <w:r w:rsidRPr="00961B35">
        <w:rPr>
          <w:rFonts w:cs="GHEA Grapalat"/>
          <w:b w:val="0"/>
          <w:szCs w:val="22"/>
          <w:lang w:val="hy-AM" w:eastAsia="en-US"/>
        </w:rPr>
        <w:t>տոկոսային</w:t>
      </w:r>
      <w:r w:rsidRPr="00961B35">
        <w:rPr>
          <w:b w:val="0"/>
          <w:szCs w:val="22"/>
          <w:lang w:val="hy-AM" w:eastAsia="en-US"/>
        </w:rPr>
        <w:t xml:space="preserve"> </w:t>
      </w:r>
      <w:r w:rsidRPr="00961B35">
        <w:rPr>
          <w:rFonts w:cs="GHEA Grapalat"/>
          <w:b w:val="0"/>
          <w:szCs w:val="22"/>
          <w:lang w:val="hy-AM" w:eastAsia="en-US"/>
        </w:rPr>
        <w:t>կետով՝</w:t>
      </w:r>
      <w:r w:rsidRPr="00961B35">
        <w:rPr>
          <w:b w:val="0"/>
          <w:szCs w:val="22"/>
          <w:lang w:val="hy-AM" w:eastAsia="en-US"/>
        </w:rPr>
        <w:t xml:space="preserve"> </w:t>
      </w:r>
      <w:r w:rsidRPr="00961B35">
        <w:rPr>
          <w:rFonts w:cs="GHEA Grapalat"/>
          <w:b w:val="0"/>
          <w:szCs w:val="22"/>
          <w:lang w:val="hy-AM" w:eastAsia="en-US"/>
        </w:rPr>
        <w:t>կազմելով</w:t>
      </w:r>
      <w:r w:rsidRPr="00961B35">
        <w:rPr>
          <w:b w:val="0"/>
          <w:szCs w:val="22"/>
          <w:lang w:val="hy-AM" w:eastAsia="en-US"/>
        </w:rPr>
        <w:t xml:space="preserve"> 52.7%: 2019 թվականի հուլիսին այդ հարաբերակցությունը կազմել է 49.4%՝ 2018 թվականի դեկտեմբերի նկատմամբ նվազելով 3.3 տոկոսային կետով:</w:t>
      </w:r>
    </w:p>
    <w:p w:rsidR="00961B35" w:rsidRPr="00961B35" w:rsidRDefault="00961B35" w:rsidP="00961B35">
      <w:pPr>
        <w:tabs>
          <w:tab w:val="left" w:pos="0"/>
          <w:tab w:val="left" w:pos="900"/>
        </w:tabs>
        <w:spacing w:before="0"/>
        <w:ind w:firstLine="450"/>
        <w:contextualSpacing w:val="0"/>
        <w:rPr>
          <w:b w:val="0"/>
          <w:szCs w:val="22"/>
          <w:lang w:val="hy-AM" w:eastAsia="en-US"/>
        </w:rPr>
      </w:pPr>
      <w:r w:rsidRPr="00961B35">
        <w:rPr>
          <w:szCs w:val="22"/>
          <w:lang w:val="hy-AM" w:eastAsia="en-US"/>
        </w:rPr>
        <w:t>2018թ-ի ընթացքում վարկերի և ավանդների տոկոսադրույքները նվազել են, իսկ 2019թ-ի հունվար-հուլիս ամիսներին պահպանվել նախորդ համադրելի ժամանակահատվածում արձանագրվածից ցածր մակարդակում</w:t>
      </w:r>
      <w:r w:rsidRPr="00961B35">
        <w:rPr>
          <w:b w:val="0"/>
          <w:szCs w:val="22"/>
          <w:lang w:val="hy-AM" w:eastAsia="en-US"/>
        </w:rPr>
        <w:t xml:space="preserve">: 2018 թվականին դրամային ավանդների (մինչև մեկ տարի ժամկետով) միջին տարեկան տոկոսադրույքը կազմել է 8.7%՝ նախորդ տարվա համեմատ նվազելով 0.3 տոկոսային կետով: ՀՀ դրամով վարկերի (մինչև մեկ տարի ժամկետով) միջին տարեկան տոկոսադրույքը կազմել է 12.8%՝ նվազելով 1.6 տոկոսային կետով: ԱՄՆ դոլարով ավանդների (մինչև մեկ տարի ժամկետով) միջին տարեկան տոկոսադրույքը 2018 թվականին կազմել է 2.8%՝ նախորդ տարվա համեմատ նվազելով 1.1 տոկոսային կետով: ԱՄՆ դոլարով վարկերի (մինչև մեկ տարի ժամկետով) միջին տարեկան տոկոսադրույքը կազմել է 8%՝ մնալով նախորդ տարվա մակարդակում: 2019 թվականի հունվար-հուլիսին դրամային և դոլարային ավանդների տոկոսադրույքները նախորդ տարվա նույն ժամանակահատվածի նկատմամբ չեն փոփոխվել՝ կազմելով համապատասխանաբար 8.7% և 2.9%: Նույն ժամանակահատվածում </w:t>
      </w:r>
      <w:r w:rsidRPr="00961B35">
        <w:rPr>
          <w:b w:val="0"/>
          <w:szCs w:val="22"/>
          <w:lang w:val="hy-AM" w:eastAsia="en-US"/>
        </w:rPr>
        <w:lastRenderedPageBreak/>
        <w:t>դրամով վարկերի տոկոսադրույքները նվազել են 0.7, իսկ դոլարով վարկերինը աճել 0.4 տոկոսային կետով և կազմել համապատասխանաբար 12.4% և 8.4%:</w:t>
      </w:r>
    </w:p>
    <w:p w:rsidR="00961B35" w:rsidRPr="00961B35" w:rsidRDefault="00961B35" w:rsidP="00961B35">
      <w:pPr>
        <w:spacing w:before="0" w:line="276" w:lineRule="auto"/>
        <w:ind w:firstLine="450"/>
        <w:contextualSpacing w:val="0"/>
        <w:rPr>
          <w:rFonts w:cs="Sylfaen"/>
          <w:szCs w:val="22"/>
          <w:u w:val="single"/>
          <w:lang w:val="hy-AM" w:eastAsia="en-US"/>
        </w:rPr>
      </w:pPr>
      <w:r w:rsidRPr="00961B35">
        <w:rPr>
          <w:rFonts w:cs="Sylfaen"/>
          <w:szCs w:val="22"/>
          <w:u w:val="single"/>
          <w:lang w:val="hy-AM" w:eastAsia="en-US"/>
        </w:rPr>
        <w:t>Գծապատկեր 1.5.2</w:t>
      </w:r>
      <w:r w:rsidRPr="00961B35">
        <w:rPr>
          <w:rFonts w:ascii="Cambria Math" w:hAnsi="Cambria Math" w:cs="Sylfaen"/>
          <w:szCs w:val="22"/>
          <w:u w:val="single"/>
          <w:lang w:val="hy-AM" w:eastAsia="en-US"/>
        </w:rPr>
        <w:t>.</w:t>
      </w:r>
      <w:r w:rsidRPr="00961B35">
        <w:rPr>
          <w:rFonts w:cs="Sylfaen"/>
          <w:szCs w:val="22"/>
          <w:u w:val="single"/>
          <w:lang w:val="hy-AM" w:eastAsia="en-US"/>
        </w:rPr>
        <w:t xml:space="preserve"> Վարկերի և ավանդների ծավալների աճը (նախորդ տարվա նույն ժամանակահատվածի նկատմամբ, %) և տոկոսադրույքները</w:t>
      </w:r>
      <w:r w:rsidRPr="00961B35">
        <w:rPr>
          <w:rFonts w:cs="Sylfaen"/>
          <w:szCs w:val="22"/>
          <w:u w:val="single"/>
          <w:vertAlign w:val="superscript"/>
          <w:lang w:val="en-US" w:eastAsia="en-US"/>
        </w:rPr>
        <w:footnoteReference w:id="16"/>
      </w:r>
      <w:r w:rsidRPr="00961B35">
        <w:rPr>
          <w:rFonts w:cs="Sylfaen"/>
          <w:szCs w:val="22"/>
          <w:u w:val="single"/>
          <w:lang w:val="hy-AM" w:eastAsia="en-US"/>
        </w:rPr>
        <w:t xml:space="preserve">, </w:t>
      </w:r>
    </w:p>
    <w:p w:rsidR="00961B35" w:rsidRPr="00961B35" w:rsidRDefault="00961B35" w:rsidP="00961B35">
      <w:pPr>
        <w:spacing w:before="0" w:line="240" w:lineRule="auto"/>
        <w:ind w:firstLine="450"/>
        <w:contextualSpacing w:val="0"/>
        <w:jc w:val="left"/>
        <w:rPr>
          <w:rFonts w:cs="Sylfaen"/>
          <w:b w:val="0"/>
          <w:szCs w:val="22"/>
          <w:lang w:val="en-US" w:eastAsia="en-US"/>
        </w:rPr>
      </w:pPr>
      <w:r w:rsidRPr="00961B35">
        <w:rPr>
          <w:rFonts w:cs="Sylfaen"/>
          <w:b w:val="0"/>
          <w:noProof/>
          <w:szCs w:val="22"/>
          <w:lang w:val="en-US" w:eastAsia="en-US"/>
        </w:rPr>
        <w:drawing>
          <wp:inline distT="0" distB="0" distL="0" distR="0" wp14:anchorId="424C7FF9" wp14:editId="0BD63C4A">
            <wp:extent cx="2791968" cy="3084576"/>
            <wp:effectExtent l="57150" t="0" r="46990" b="97155"/>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61B35">
        <w:rPr>
          <w:rFonts w:cs="Sylfaen"/>
          <w:b w:val="0"/>
          <w:noProof/>
          <w:szCs w:val="22"/>
          <w:lang w:val="en-US" w:eastAsia="en-US"/>
        </w:rPr>
        <w:drawing>
          <wp:inline distT="0" distB="0" distL="0" distR="0" wp14:anchorId="34D3ABA4" wp14:editId="376C745E">
            <wp:extent cx="2791968" cy="3108960"/>
            <wp:effectExtent l="57150" t="0" r="46990" b="9144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61B35" w:rsidRPr="00961B35" w:rsidRDefault="00961B35" w:rsidP="00961B35">
      <w:pPr>
        <w:tabs>
          <w:tab w:val="left" w:pos="0"/>
          <w:tab w:val="left" w:pos="900"/>
        </w:tabs>
        <w:spacing w:before="0"/>
        <w:ind w:firstLine="450"/>
        <w:contextualSpacing w:val="0"/>
        <w:rPr>
          <w:b w:val="0"/>
          <w:szCs w:val="22"/>
          <w:lang w:val="en-US" w:eastAsia="en-US"/>
        </w:rPr>
      </w:pPr>
      <w:r w:rsidRPr="00961B35">
        <w:rPr>
          <w:szCs w:val="22"/>
          <w:lang w:val="en-US" w:eastAsia="en-US"/>
        </w:rPr>
        <w:t>Դոլարայնացման նվազման միտումների զուգահեռ դրամով վարկերի և ավանդների տոկոսադրույքների սպրեդը</w:t>
      </w:r>
      <w:r w:rsidRPr="00961B35">
        <w:rPr>
          <w:szCs w:val="22"/>
          <w:vertAlign w:val="superscript"/>
          <w:lang w:val="en-US" w:eastAsia="en-US"/>
        </w:rPr>
        <w:footnoteReference w:id="17"/>
      </w:r>
      <w:r w:rsidRPr="00961B35">
        <w:rPr>
          <w:szCs w:val="22"/>
          <w:lang w:val="en-US" w:eastAsia="en-US"/>
        </w:rPr>
        <w:t xml:space="preserve"> նվազման միտում է ունեցել, իսկ դոլարային սպրեդը՝ աճի: </w:t>
      </w:r>
      <w:r w:rsidRPr="00961B35">
        <w:rPr>
          <w:b w:val="0"/>
          <w:szCs w:val="22"/>
          <w:lang w:val="hy-AM" w:eastAsia="en-US"/>
        </w:rPr>
        <w:t xml:space="preserve">Դրամային և </w:t>
      </w:r>
      <w:r w:rsidRPr="00961B35">
        <w:rPr>
          <w:b w:val="0"/>
          <w:szCs w:val="22"/>
          <w:lang w:val="en-US" w:eastAsia="en-US"/>
        </w:rPr>
        <w:t>դոլարային</w:t>
      </w:r>
      <w:r w:rsidRPr="00961B35">
        <w:rPr>
          <w:b w:val="0"/>
          <w:szCs w:val="22"/>
          <w:lang w:val="hy-AM" w:eastAsia="en-US"/>
        </w:rPr>
        <w:t xml:space="preserve"> վարկերի և ավանդների </w:t>
      </w:r>
      <w:r w:rsidRPr="00961B35">
        <w:rPr>
          <w:b w:val="0"/>
          <w:szCs w:val="22"/>
          <w:lang w:val="en-US" w:eastAsia="en-US"/>
        </w:rPr>
        <w:t>միջին կշռված սպրեդը 2018 թվականին 2017 թվականի համեմատ աճել է 0.2 տոկոսային կետով</w:t>
      </w:r>
      <w:r w:rsidRPr="00961B35">
        <w:rPr>
          <w:b w:val="0"/>
          <w:szCs w:val="22"/>
          <w:lang w:val="hy-AM" w:eastAsia="en-US"/>
        </w:rPr>
        <w:t>՝</w:t>
      </w:r>
      <w:r w:rsidRPr="00961B35">
        <w:rPr>
          <w:b w:val="0"/>
          <w:szCs w:val="22"/>
          <w:lang w:val="en-US" w:eastAsia="en-US"/>
        </w:rPr>
        <w:t xml:space="preserve"> կազմելով 4.7 տոկոսային կետ: 2019 թվականի հունվար-հուլիսին միջին կշռված սպրեդը նախորդ համադրելի ժամանակաշրջանի նկատմամբ աճել է 0.2 տոկոսային կետով և կազմել 5.0 տոկոսային կետ:</w:t>
      </w:r>
    </w:p>
    <w:p w:rsidR="00961B35" w:rsidRPr="00961B35" w:rsidRDefault="00961B35" w:rsidP="00961B35">
      <w:pPr>
        <w:tabs>
          <w:tab w:val="left" w:pos="0"/>
          <w:tab w:val="left" w:pos="900"/>
        </w:tabs>
        <w:spacing w:before="0"/>
        <w:ind w:firstLine="450"/>
        <w:contextualSpacing w:val="0"/>
        <w:rPr>
          <w:szCs w:val="22"/>
          <w:lang w:val="en-US" w:eastAsia="en-US"/>
        </w:rPr>
      </w:pPr>
      <w:r w:rsidRPr="00961B35">
        <w:rPr>
          <w:szCs w:val="22"/>
          <w:lang w:val="en-US" w:eastAsia="en-US"/>
        </w:rPr>
        <w:t>Ամփոփելով նշենք, որ տնտեսությունում շարունակվել են ֆինանսական միջնորդության խորացման գործընթացները՝ ուղեկցվելով ֆինանսական շուկայում տոկոսադրույքների և դոլարայնացման մակարդակի նվազմա</w:t>
      </w:r>
      <w:r w:rsidRPr="00961B35">
        <w:rPr>
          <w:szCs w:val="22"/>
          <w:lang w:val="hy-AM" w:eastAsia="en-US"/>
        </w:rPr>
        <w:t>մբ և նպաստելով տնտեսական ակտիվությանը</w:t>
      </w:r>
      <w:r w:rsidRPr="00961B35">
        <w:rPr>
          <w:szCs w:val="22"/>
          <w:lang w:val="en-US" w:eastAsia="en-US"/>
        </w:rPr>
        <w:t>:</w:t>
      </w:r>
    </w:p>
    <w:p w:rsidR="00961B35" w:rsidRPr="00961B35" w:rsidRDefault="00961B35" w:rsidP="00961B35">
      <w:pPr>
        <w:tabs>
          <w:tab w:val="right" w:pos="8640"/>
        </w:tabs>
        <w:spacing w:before="0"/>
        <w:ind w:firstLine="0"/>
        <w:contextualSpacing w:val="0"/>
        <w:jc w:val="center"/>
        <w:rPr>
          <w:rFonts w:cs="Sylfaen"/>
          <w:szCs w:val="22"/>
          <w:lang w:val="en-US" w:eastAsia="en-US"/>
        </w:rPr>
      </w:pPr>
    </w:p>
    <w:p w:rsidR="00961B35" w:rsidRPr="00961B35" w:rsidRDefault="00961B35" w:rsidP="00961B35">
      <w:pPr>
        <w:keepNext/>
        <w:spacing w:before="240" w:after="60" w:line="240" w:lineRule="auto"/>
        <w:ind w:firstLine="450"/>
        <w:contextualSpacing w:val="0"/>
        <w:jc w:val="center"/>
        <w:outlineLvl w:val="2"/>
        <w:rPr>
          <w:rFonts w:cs="Arial"/>
          <w:szCs w:val="26"/>
          <w:lang w:val="hy-AM" w:eastAsia="en-US"/>
        </w:rPr>
      </w:pPr>
      <w:bookmarkStart w:id="25" w:name="_Toc26174920"/>
      <w:r w:rsidRPr="00961B35">
        <w:rPr>
          <w:rFonts w:cs="Arial"/>
          <w:szCs w:val="26"/>
          <w:lang w:val="hy-AM" w:eastAsia="en-US"/>
        </w:rPr>
        <w:t>1.6. Վճարային հաշվեկշիռ</w:t>
      </w:r>
      <w:bookmarkEnd w:id="25"/>
    </w:p>
    <w:p w:rsidR="00961B35" w:rsidRPr="00961B35" w:rsidRDefault="00961B35" w:rsidP="00961B35">
      <w:pPr>
        <w:keepNext/>
        <w:spacing w:before="240" w:after="60" w:line="240" w:lineRule="auto"/>
        <w:ind w:firstLine="450"/>
        <w:contextualSpacing w:val="0"/>
        <w:jc w:val="center"/>
        <w:outlineLvl w:val="2"/>
        <w:rPr>
          <w:rFonts w:cs="Arial"/>
          <w:szCs w:val="26"/>
          <w:lang w:val="hy-AM" w:eastAsia="en-US"/>
        </w:rPr>
      </w:pPr>
    </w:p>
    <w:p w:rsidR="00961B35" w:rsidRPr="00961B35" w:rsidRDefault="00961B35" w:rsidP="00961B35">
      <w:pPr>
        <w:tabs>
          <w:tab w:val="right" w:pos="8640"/>
        </w:tabs>
        <w:spacing w:before="0"/>
        <w:ind w:firstLine="450"/>
        <w:contextualSpacing w:val="0"/>
        <w:rPr>
          <w:rFonts w:cs="Sylfaen"/>
          <w:b w:val="0"/>
          <w:szCs w:val="22"/>
          <w:lang w:val="hy-AM" w:eastAsia="en-US"/>
        </w:rPr>
      </w:pPr>
      <w:r w:rsidRPr="00961B35">
        <w:rPr>
          <w:rFonts w:cs="Sylfaen"/>
          <w:szCs w:val="22"/>
          <w:lang w:val="hy-AM" w:eastAsia="en-US"/>
        </w:rPr>
        <w:t>Հայաստանի</w:t>
      </w:r>
      <w:r w:rsidRPr="00961B35">
        <w:rPr>
          <w:rFonts w:cs="Times Armenian"/>
          <w:szCs w:val="22"/>
          <w:lang w:val="hy-AM" w:eastAsia="en-US"/>
        </w:rPr>
        <w:t xml:space="preserve"> </w:t>
      </w:r>
      <w:r w:rsidRPr="00961B35">
        <w:rPr>
          <w:rFonts w:cs="Sylfaen"/>
          <w:szCs w:val="22"/>
          <w:lang w:val="hy-AM" w:eastAsia="en-US"/>
        </w:rPr>
        <w:t>արտաքին</w:t>
      </w:r>
      <w:r w:rsidRPr="00961B35">
        <w:rPr>
          <w:rFonts w:cs="Times Armenian"/>
          <w:szCs w:val="22"/>
          <w:lang w:val="hy-AM" w:eastAsia="en-US"/>
        </w:rPr>
        <w:t xml:space="preserve"> </w:t>
      </w:r>
      <w:r w:rsidRPr="00961B35">
        <w:rPr>
          <w:rFonts w:cs="Sylfaen"/>
          <w:szCs w:val="22"/>
          <w:lang w:val="hy-AM" w:eastAsia="en-US"/>
        </w:rPr>
        <w:t>տնտեսական</w:t>
      </w:r>
      <w:r w:rsidRPr="00961B35">
        <w:rPr>
          <w:rFonts w:cs="Times Armenian"/>
          <w:szCs w:val="22"/>
          <w:lang w:val="hy-AM" w:eastAsia="en-US"/>
        </w:rPr>
        <w:t xml:space="preserve"> </w:t>
      </w:r>
      <w:r w:rsidRPr="00961B35">
        <w:rPr>
          <w:rFonts w:cs="Sylfaen"/>
          <w:szCs w:val="22"/>
          <w:lang w:val="hy-AM" w:eastAsia="en-US"/>
        </w:rPr>
        <w:t>գործունեության</w:t>
      </w:r>
      <w:r w:rsidRPr="00961B35">
        <w:rPr>
          <w:rFonts w:cs="Times Armenian"/>
          <w:szCs w:val="22"/>
          <w:lang w:val="hy-AM" w:eastAsia="en-US"/>
        </w:rPr>
        <w:t xml:space="preserve"> </w:t>
      </w:r>
      <w:r w:rsidRPr="00961B35">
        <w:rPr>
          <w:rFonts w:cs="Sylfaen"/>
          <w:szCs w:val="22"/>
          <w:lang w:val="hy-AM" w:eastAsia="en-US"/>
        </w:rPr>
        <w:t>արդյունքում</w:t>
      </w:r>
      <w:r w:rsidRPr="00961B35">
        <w:rPr>
          <w:rFonts w:cs="Times Armenian"/>
          <w:szCs w:val="22"/>
          <w:lang w:val="hy-AM" w:eastAsia="en-US"/>
        </w:rPr>
        <w:t xml:space="preserve"> </w:t>
      </w:r>
      <w:r w:rsidRPr="00961B35">
        <w:rPr>
          <w:rFonts w:cs="Sylfaen"/>
          <w:szCs w:val="22"/>
          <w:lang w:val="hy-AM" w:eastAsia="en-US"/>
        </w:rPr>
        <w:t>տեղի</w:t>
      </w:r>
      <w:r w:rsidRPr="00961B35">
        <w:rPr>
          <w:rFonts w:cs="Times Armenian"/>
          <w:szCs w:val="22"/>
          <w:lang w:val="hy-AM" w:eastAsia="en-US"/>
        </w:rPr>
        <w:t xml:space="preserve"> </w:t>
      </w:r>
      <w:r w:rsidRPr="00961B35">
        <w:rPr>
          <w:rFonts w:cs="Sylfaen"/>
          <w:szCs w:val="22"/>
          <w:lang w:val="hy-AM" w:eastAsia="en-US"/>
        </w:rPr>
        <w:t>են</w:t>
      </w:r>
      <w:r w:rsidRPr="00961B35">
        <w:rPr>
          <w:rFonts w:cs="Times Armenian"/>
          <w:szCs w:val="22"/>
          <w:lang w:val="hy-AM" w:eastAsia="en-US"/>
        </w:rPr>
        <w:t xml:space="preserve"> </w:t>
      </w:r>
      <w:r w:rsidRPr="00961B35">
        <w:rPr>
          <w:rFonts w:cs="Sylfaen"/>
          <w:szCs w:val="22"/>
          <w:lang w:val="hy-AM" w:eastAsia="en-US"/>
        </w:rPr>
        <w:t>ունենում</w:t>
      </w:r>
      <w:r w:rsidRPr="00961B35">
        <w:rPr>
          <w:rFonts w:cs="Times Armenian"/>
          <w:szCs w:val="22"/>
          <w:lang w:val="hy-AM" w:eastAsia="en-US"/>
        </w:rPr>
        <w:t xml:space="preserve"> </w:t>
      </w:r>
      <w:r w:rsidRPr="00961B35">
        <w:rPr>
          <w:rFonts w:cs="Sylfaen"/>
          <w:szCs w:val="22"/>
          <w:lang w:val="hy-AM" w:eastAsia="en-US"/>
        </w:rPr>
        <w:t>տնտե</w:t>
      </w:r>
      <w:r w:rsidRPr="00961B35">
        <w:rPr>
          <w:rFonts w:cs="Sylfaen"/>
          <w:szCs w:val="22"/>
          <w:lang w:val="hy-AM" w:eastAsia="en-US"/>
        </w:rPr>
        <w:softHyphen/>
        <w:t>սական</w:t>
      </w:r>
      <w:r w:rsidRPr="00961B35">
        <w:rPr>
          <w:rFonts w:cs="Times Armenian"/>
          <w:szCs w:val="22"/>
          <w:lang w:val="hy-AM" w:eastAsia="en-US"/>
        </w:rPr>
        <w:t xml:space="preserve"> </w:t>
      </w:r>
      <w:r w:rsidRPr="00961B35">
        <w:rPr>
          <w:rFonts w:cs="Sylfaen"/>
          <w:szCs w:val="22"/>
          <w:lang w:val="hy-AM" w:eastAsia="en-US"/>
        </w:rPr>
        <w:t>հոսքեր</w:t>
      </w:r>
      <w:r w:rsidRPr="00961B35">
        <w:rPr>
          <w:rFonts w:cs="Times Armenian"/>
          <w:szCs w:val="22"/>
          <w:lang w:val="hy-AM" w:eastAsia="en-US"/>
        </w:rPr>
        <w:t xml:space="preserve"> </w:t>
      </w:r>
      <w:r w:rsidRPr="00961B35">
        <w:rPr>
          <w:rFonts w:cs="Sylfaen"/>
          <w:szCs w:val="22"/>
          <w:lang w:val="hy-AM" w:eastAsia="en-US"/>
        </w:rPr>
        <w:t>դեպի</w:t>
      </w:r>
      <w:r w:rsidRPr="00961B35">
        <w:rPr>
          <w:rFonts w:cs="Times Armenian"/>
          <w:szCs w:val="22"/>
          <w:lang w:val="hy-AM" w:eastAsia="en-US"/>
        </w:rPr>
        <w:t xml:space="preserve"> </w:t>
      </w:r>
      <w:r w:rsidRPr="00961B35">
        <w:rPr>
          <w:rFonts w:cs="Sylfaen"/>
          <w:szCs w:val="22"/>
          <w:lang w:val="hy-AM" w:eastAsia="en-US"/>
        </w:rPr>
        <w:t>հանրապետություն</w:t>
      </w:r>
      <w:r w:rsidRPr="00961B35">
        <w:rPr>
          <w:rFonts w:cs="Times Armenian"/>
          <w:szCs w:val="22"/>
          <w:lang w:val="hy-AM" w:eastAsia="en-US"/>
        </w:rPr>
        <w:t xml:space="preserve"> </w:t>
      </w:r>
      <w:r w:rsidRPr="00961B35">
        <w:rPr>
          <w:rFonts w:cs="Sylfaen"/>
          <w:szCs w:val="22"/>
          <w:lang w:val="hy-AM" w:eastAsia="en-US"/>
        </w:rPr>
        <w:t>և</w:t>
      </w:r>
      <w:r w:rsidRPr="00961B35">
        <w:rPr>
          <w:rFonts w:cs="Times Armenian"/>
          <w:szCs w:val="22"/>
          <w:lang w:val="hy-AM" w:eastAsia="en-US"/>
        </w:rPr>
        <w:t xml:space="preserve"> </w:t>
      </w:r>
      <w:r w:rsidRPr="00961B35">
        <w:rPr>
          <w:rFonts w:cs="Sylfaen"/>
          <w:szCs w:val="22"/>
          <w:lang w:val="hy-AM" w:eastAsia="en-US"/>
        </w:rPr>
        <w:t>հակառակ</w:t>
      </w:r>
      <w:r w:rsidRPr="00961B35">
        <w:rPr>
          <w:rFonts w:cs="Times Armenian"/>
          <w:szCs w:val="22"/>
          <w:lang w:val="hy-AM" w:eastAsia="en-US"/>
        </w:rPr>
        <w:t xml:space="preserve"> </w:t>
      </w:r>
      <w:r w:rsidRPr="00961B35">
        <w:rPr>
          <w:rFonts w:cs="Sylfaen"/>
          <w:szCs w:val="22"/>
          <w:lang w:val="hy-AM" w:eastAsia="en-US"/>
        </w:rPr>
        <w:t>ուղղությամբ</w:t>
      </w:r>
      <w:r w:rsidRPr="00961B35">
        <w:rPr>
          <w:rFonts w:cs="Times Armenian"/>
          <w:szCs w:val="22"/>
          <w:lang w:val="hy-AM" w:eastAsia="en-US"/>
        </w:rPr>
        <w:t xml:space="preserve">: </w:t>
      </w:r>
      <w:r w:rsidRPr="00961B35">
        <w:rPr>
          <w:rFonts w:cs="Sylfaen"/>
          <w:szCs w:val="22"/>
          <w:lang w:val="hy-AM" w:eastAsia="en-US"/>
        </w:rPr>
        <w:t>Այդ</w:t>
      </w:r>
      <w:r w:rsidRPr="00961B35">
        <w:rPr>
          <w:rFonts w:cs="Times Armenian"/>
          <w:szCs w:val="22"/>
          <w:lang w:val="hy-AM" w:eastAsia="en-US"/>
        </w:rPr>
        <w:t xml:space="preserve"> </w:t>
      </w:r>
      <w:r w:rsidRPr="00961B35">
        <w:rPr>
          <w:rFonts w:cs="Sylfaen"/>
          <w:szCs w:val="22"/>
          <w:lang w:val="hy-AM" w:eastAsia="en-US"/>
        </w:rPr>
        <w:t>հոսքերը</w:t>
      </w:r>
      <w:r w:rsidRPr="00961B35">
        <w:rPr>
          <w:rFonts w:cs="Times Armenian"/>
          <w:szCs w:val="22"/>
          <w:lang w:val="hy-AM" w:eastAsia="en-US"/>
        </w:rPr>
        <w:t xml:space="preserve"> </w:t>
      </w:r>
      <w:r w:rsidRPr="00961B35">
        <w:rPr>
          <w:rFonts w:cs="Sylfaen"/>
          <w:szCs w:val="22"/>
          <w:lang w:val="hy-AM" w:eastAsia="en-US"/>
        </w:rPr>
        <w:lastRenderedPageBreak/>
        <w:t>արտացոլ</w:t>
      </w:r>
      <w:r w:rsidRPr="00961B35">
        <w:rPr>
          <w:rFonts w:cs="Sylfaen"/>
          <w:szCs w:val="22"/>
          <w:lang w:val="hy-AM" w:eastAsia="en-US"/>
        </w:rPr>
        <w:softHyphen/>
        <w:t>վում</w:t>
      </w:r>
      <w:r w:rsidRPr="00961B35">
        <w:rPr>
          <w:rFonts w:cs="Times Armenian"/>
          <w:szCs w:val="22"/>
          <w:lang w:val="hy-AM" w:eastAsia="en-US"/>
        </w:rPr>
        <w:t xml:space="preserve"> </w:t>
      </w:r>
      <w:r w:rsidRPr="00961B35">
        <w:rPr>
          <w:rFonts w:cs="Sylfaen"/>
          <w:szCs w:val="22"/>
          <w:lang w:val="hy-AM" w:eastAsia="en-US"/>
        </w:rPr>
        <w:t>են</w:t>
      </w:r>
      <w:r w:rsidRPr="00961B35">
        <w:rPr>
          <w:rFonts w:cs="Times Armenian"/>
          <w:szCs w:val="22"/>
          <w:lang w:val="hy-AM" w:eastAsia="en-US"/>
        </w:rPr>
        <w:t xml:space="preserve"> </w:t>
      </w:r>
      <w:r w:rsidRPr="00961B35">
        <w:rPr>
          <w:rFonts w:cs="Sylfaen"/>
          <w:szCs w:val="22"/>
          <w:lang w:val="hy-AM" w:eastAsia="en-US"/>
        </w:rPr>
        <w:t>երկրի</w:t>
      </w:r>
      <w:r w:rsidRPr="00961B35">
        <w:rPr>
          <w:rFonts w:cs="Times Armenian"/>
          <w:szCs w:val="22"/>
          <w:lang w:val="hy-AM" w:eastAsia="en-US"/>
        </w:rPr>
        <w:t xml:space="preserve"> </w:t>
      </w:r>
      <w:r w:rsidRPr="00961B35">
        <w:rPr>
          <w:rFonts w:cs="Sylfaen"/>
          <w:szCs w:val="22"/>
          <w:lang w:val="hy-AM" w:eastAsia="en-US"/>
        </w:rPr>
        <w:t>վճարային</w:t>
      </w:r>
      <w:r w:rsidRPr="00961B35">
        <w:rPr>
          <w:rFonts w:cs="Times Armenian"/>
          <w:szCs w:val="22"/>
          <w:lang w:val="hy-AM" w:eastAsia="en-US"/>
        </w:rPr>
        <w:t xml:space="preserve"> </w:t>
      </w:r>
      <w:r w:rsidRPr="00961B35">
        <w:rPr>
          <w:rFonts w:cs="Sylfaen"/>
          <w:szCs w:val="22"/>
          <w:lang w:val="hy-AM" w:eastAsia="en-US"/>
        </w:rPr>
        <w:t>հաշվեկշռում</w:t>
      </w:r>
      <w:r w:rsidRPr="00961B35">
        <w:rPr>
          <w:rFonts w:cs="Times Armenian"/>
          <w:szCs w:val="22"/>
          <w:lang w:val="hy-AM" w:eastAsia="en-US"/>
        </w:rPr>
        <w:t>:</w:t>
      </w:r>
      <w:r w:rsidRPr="00961B35">
        <w:rPr>
          <w:rFonts w:cs="Times Armenian"/>
          <w:b w:val="0"/>
          <w:szCs w:val="22"/>
          <w:lang w:val="hy-AM" w:eastAsia="en-US"/>
        </w:rPr>
        <w:t xml:space="preserve"> </w:t>
      </w:r>
      <w:r w:rsidRPr="00961B35">
        <w:rPr>
          <w:rFonts w:cs="Sylfaen"/>
          <w:b w:val="0"/>
          <w:szCs w:val="22"/>
          <w:lang w:val="hy-AM" w:eastAsia="en-US"/>
        </w:rPr>
        <w:t>Վճարային</w:t>
      </w:r>
      <w:r w:rsidRPr="00961B35">
        <w:rPr>
          <w:rFonts w:cs="Times Armenian"/>
          <w:b w:val="0"/>
          <w:szCs w:val="22"/>
          <w:lang w:val="hy-AM" w:eastAsia="en-US"/>
        </w:rPr>
        <w:t xml:space="preserve"> </w:t>
      </w:r>
      <w:r w:rsidRPr="00961B35">
        <w:rPr>
          <w:rFonts w:cs="Sylfaen"/>
          <w:b w:val="0"/>
          <w:szCs w:val="22"/>
          <w:lang w:val="hy-AM" w:eastAsia="en-US"/>
        </w:rPr>
        <w:t>հաշվեկշիռը</w:t>
      </w:r>
      <w:r w:rsidRPr="00961B35">
        <w:rPr>
          <w:rFonts w:cs="Times Armenian"/>
          <w:b w:val="0"/>
          <w:szCs w:val="22"/>
          <w:lang w:val="hy-AM" w:eastAsia="en-US"/>
        </w:rPr>
        <w:t xml:space="preserve"> </w:t>
      </w:r>
      <w:r w:rsidRPr="00961B35">
        <w:rPr>
          <w:rFonts w:cs="Sylfaen"/>
          <w:b w:val="0"/>
          <w:szCs w:val="22"/>
          <w:lang w:val="hy-AM" w:eastAsia="en-US"/>
        </w:rPr>
        <w:t>բաղկացած</w:t>
      </w:r>
      <w:r w:rsidRPr="00961B35">
        <w:rPr>
          <w:rFonts w:cs="Times Armenian"/>
          <w:b w:val="0"/>
          <w:szCs w:val="22"/>
          <w:lang w:val="hy-AM" w:eastAsia="en-US"/>
        </w:rPr>
        <w:t xml:space="preserve"> </w:t>
      </w:r>
      <w:r w:rsidRPr="00961B35">
        <w:rPr>
          <w:rFonts w:cs="Sylfaen"/>
          <w:b w:val="0"/>
          <w:szCs w:val="22"/>
          <w:lang w:val="hy-AM" w:eastAsia="en-US"/>
        </w:rPr>
        <w:t>է</w:t>
      </w:r>
      <w:r w:rsidRPr="00961B35">
        <w:rPr>
          <w:rFonts w:cs="Times Armenian"/>
          <w:b w:val="0"/>
          <w:szCs w:val="22"/>
          <w:lang w:val="hy-AM" w:eastAsia="en-US"/>
        </w:rPr>
        <w:t xml:space="preserve"> </w:t>
      </w:r>
      <w:r w:rsidRPr="00961B35">
        <w:rPr>
          <w:rFonts w:cs="Sylfaen"/>
          <w:b w:val="0"/>
          <w:szCs w:val="22"/>
          <w:lang w:val="hy-AM" w:eastAsia="en-US"/>
        </w:rPr>
        <w:t>երկու</w:t>
      </w:r>
      <w:r w:rsidRPr="00961B35">
        <w:rPr>
          <w:rFonts w:cs="Times Armenian"/>
          <w:b w:val="0"/>
          <w:szCs w:val="22"/>
          <w:lang w:val="hy-AM" w:eastAsia="en-US"/>
        </w:rPr>
        <w:t xml:space="preserve"> </w:t>
      </w:r>
      <w:r w:rsidRPr="00961B35">
        <w:rPr>
          <w:rFonts w:cs="Sylfaen"/>
          <w:b w:val="0"/>
          <w:szCs w:val="22"/>
          <w:lang w:val="hy-AM" w:eastAsia="en-US"/>
        </w:rPr>
        <w:t>հիմնական</w:t>
      </w:r>
      <w:r w:rsidRPr="00961B35">
        <w:rPr>
          <w:rFonts w:cs="Times Armenian"/>
          <w:b w:val="0"/>
          <w:szCs w:val="22"/>
          <w:lang w:val="hy-AM" w:eastAsia="en-US"/>
        </w:rPr>
        <w:t xml:space="preserve"> </w:t>
      </w:r>
      <w:r w:rsidRPr="00961B35">
        <w:rPr>
          <w:rFonts w:cs="Sylfaen"/>
          <w:b w:val="0"/>
          <w:szCs w:val="22"/>
          <w:lang w:val="hy-AM" w:eastAsia="en-US"/>
        </w:rPr>
        <w:t>բաժիններից.</w:t>
      </w:r>
    </w:p>
    <w:p w:rsidR="00961B35" w:rsidRPr="00961B35" w:rsidRDefault="00961B35" w:rsidP="00961B35">
      <w:pPr>
        <w:numPr>
          <w:ilvl w:val="0"/>
          <w:numId w:val="29"/>
        </w:numPr>
        <w:tabs>
          <w:tab w:val="right" w:pos="8640"/>
        </w:tabs>
        <w:spacing w:before="0" w:line="240" w:lineRule="auto"/>
        <w:ind w:left="0" w:firstLine="450"/>
        <w:contextualSpacing w:val="0"/>
        <w:jc w:val="left"/>
        <w:rPr>
          <w:rFonts w:cs="Sylfaen"/>
          <w:b w:val="0"/>
          <w:szCs w:val="22"/>
          <w:lang w:val="hy-AM" w:eastAsia="en-US"/>
        </w:rPr>
      </w:pPr>
      <w:r w:rsidRPr="00961B35">
        <w:rPr>
          <w:rFonts w:cs="Sylfaen"/>
          <w:b w:val="0"/>
          <w:szCs w:val="22"/>
          <w:lang w:val="hy-AM" w:eastAsia="en-US"/>
        </w:rPr>
        <w:t>ընթացիկ հաշիվ (ցույց է տալիս ոչ ռեզիդենտների հետ իրականացվող իրական գործարք</w:t>
      </w:r>
      <w:r w:rsidRPr="00961B35">
        <w:rPr>
          <w:rFonts w:cs="Sylfaen"/>
          <w:b w:val="0"/>
          <w:szCs w:val="22"/>
          <w:lang w:val="hy-AM" w:eastAsia="en-US"/>
        </w:rPr>
        <w:softHyphen/>
        <w:t>ները` ներմուծում, արտահանում, տրանսֆերտներ և գործոնային եկամուտներ),</w:t>
      </w:r>
    </w:p>
    <w:p w:rsidR="00961B35" w:rsidRPr="00961B35" w:rsidRDefault="00961B35" w:rsidP="00961B35">
      <w:pPr>
        <w:numPr>
          <w:ilvl w:val="0"/>
          <w:numId w:val="29"/>
        </w:numPr>
        <w:tabs>
          <w:tab w:val="right" w:pos="8640"/>
        </w:tabs>
        <w:spacing w:before="0" w:line="240" w:lineRule="auto"/>
        <w:ind w:left="0" w:firstLine="450"/>
        <w:contextualSpacing w:val="0"/>
        <w:jc w:val="left"/>
        <w:rPr>
          <w:rFonts w:cs="Sylfaen"/>
          <w:b w:val="0"/>
          <w:szCs w:val="22"/>
          <w:lang w:val="hy-AM" w:eastAsia="en-US"/>
        </w:rPr>
      </w:pPr>
      <w:r w:rsidRPr="00961B35">
        <w:rPr>
          <w:rFonts w:cs="Sylfaen"/>
          <w:b w:val="0"/>
          <w:szCs w:val="22"/>
          <w:lang w:val="hy-AM" w:eastAsia="en-US"/>
        </w:rPr>
        <w:t>կապիտալի և ֆինանսական հաշիվ (ցույց է տալիս ոչ ռեզիդենտների հետ ֆինանսական բնույթի գործարքները (կապիտալի ներհոսքն ու արտահոսքը)):</w:t>
      </w:r>
    </w:p>
    <w:p w:rsidR="00961B35" w:rsidRPr="00961B35" w:rsidRDefault="00961B35" w:rsidP="00961B35">
      <w:pPr>
        <w:tabs>
          <w:tab w:val="right" w:pos="8640"/>
        </w:tabs>
        <w:spacing w:before="0"/>
        <w:ind w:firstLine="450"/>
        <w:contextualSpacing w:val="0"/>
        <w:rPr>
          <w:rFonts w:cs="Sylfaen"/>
          <w:b w:val="0"/>
          <w:szCs w:val="22"/>
          <w:lang w:val="hy-AM" w:eastAsia="en-US"/>
        </w:rPr>
      </w:pPr>
      <w:r w:rsidRPr="00961B35">
        <w:rPr>
          <w:rFonts w:cs="Sylfaen"/>
          <w:b w:val="0"/>
          <w:szCs w:val="22"/>
          <w:lang w:val="hy-AM" w:eastAsia="en-US"/>
        </w:rPr>
        <w:t>Ընթացիկ</w:t>
      </w:r>
      <w:r w:rsidRPr="00961B35">
        <w:rPr>
          <w:rFonts w:cs="Times Armenian"/>
          <w:b w:val="0"/>
          <w:szCs w:val="22"/>
          <w:lang w:val="hy-AM" w:eastAsia="en-US"/>
        </w:rPr>
        <w:t xml:space="preserve"> </w:t>
      </w:r>
      <w:r w:rsidRPr="00961B35">
        <w:rPr>
          <w:rFonts w:cs="Sylfaen"/>
          <w:b w:val="0"/>
          <w:szCs w:val="22"/>
          <w:lang w:val="hy-AM" w:eastAsia="en-US"/>
        </w:rPr>
        <w:t>հաշվի հաշվեկշիռը</w:t>
      </w:r>
      <w:r w:rsidRPr="00961B35">
        <w:rPr>
          <w:rFonts w:cs="Times Armenian"/>
          <w:b w:val="0"/>
          <w:szCs w:val="22"/>
          <w:lang w:val="hy-AM" w:eastAsia="en-US"/>
        </w:rPr>
        <w:t xml:space="preserve"> </w:t>
      </w:r>
      <w:r w:rsidRPr="00961B35">
        <w:rPr>
          <w:rFonts w:cs="Sylfaen"/>
          <w:b w:val="0"/>
          <w:szCs w:val="22"/>
          <w:lang w:val="hy-AM" w:eastAsia="en-US"/>
        </w:rPr>
        <w:t>ՀՆԱ</w:t>
      </w:r>
      <w:r w:rsidRPr="00961B35">
        <w:rPr>
          <w:rFonts w:cs="Times Armenian"/>
          <w:b w:val="0"/>
          <w:szCs w:val="22"/>
          <w:lang w:val="hy-AM" w:eastAsia="en-US"/>
        </w:rPr>
        <w:t>-</w:t>
      </w:r>
      <w:r w:rsidRPr="00961B35">
        <w:rPr>
          <w:rFonts w:cs="Sylfaen"/>
          <w:b w:val="0"/>
          <w:szCs w:val="22"/>
          <w:lang w:val="hy-AM" w:eastAsia="en-US"/>
        </w:rPr>
        <w:t>ի</w:t>
      </w:r>
      <w:r w:rsidRPr="00961B35">
        <w:rPr>
          <w:rFonts w:cs="Times Armenian"/>
          <w:b w:val="0"/>
          <w:szCs w:val="22"/>
          <w:lang w:val="hy-AM" w:eastAsia="en-US"/>
        </w:rPr>
        <w:t xml:space="preserve"> </w:t>
      </w:r>
      <w:r w:rsidRPr="00961B35">
        <w:rPr>
          <w:rFonts w:cs="Sylfaen"/>
          <w:b w:val="0"/>
          <w:szCs w:val="22"/>
          <w:lang w:val="hy-AM" w:eastAsia="en-US"/>
        </w:rPr>
        <w:t>նկատմամբ կարևոր</w:t>
      </w:r>
      <w:r w:rsidRPr="00961B35">
        <w:rPr>
          <w:rFonts w:cs="Times Armenian"/>
          <w:b w:val="0"/>
          <w:szCs w:val="22"/>
          <w:lang w:val="hy-AM" w:eastAsia="en-US"/>
        </w:rPr>
        <w:t xml:space="preserve"> </w:t>
      </w:r>
      <w:r w:rsidRPr="00961B35">
        <w:rPr>
          <w:rFonts w:cs="Sylfaen"/>
          <w:b w:val="0"/>
          <w:szCs w:val="22"/>
          <w:lang w:val="hy-AM" w:eastAsia="en-US"/>
        </w:rPr>
        <w:t>ցուցանիշ</w:t>
      </w:r>
      <w:r w:rsidRPr="00961B35">
        <w:rPr>
          <w:rFonts w:cs="Times Armenian"/>
          <w:b w:val="0"/>
          <w:szCs w:val="22"/>
          <w:lang w:val="hy-AM" w:eastAsia="en-US"/>
        </w:rPr>
        <w:t xml:space="preserve"> </w:t>
      </w:r>
      <w:r w:rsidRPr="00961B35">
        <w:rPr>
          <w:rFonts w:cs="Sylfaen"/>
          <w:b w:val="0"/>
          <w:szCs w:val="22"/>
          <w:lang w:val="hy-AM" w:eastAsia="en-US"/>
        </w:rPr>
        <w:t>է` տնտեսության</w:t>
      </w:r>
      <w:r w:rsidRPr="00961B35">
        <w:rPr>
          <w:rFonts w:cs="Times Armenian"/>
          <w:b w:val="0"/>
          <w:szCs w:val="22"/>
          <w:lang w:val="hy-AM" w:eastAsia="en-US"/>
        </w:rPr>
        <w:t xml:space="preserve"> </w:t>
      </w:r>
      <w:r w:rsidRPr="00961B35">
        <w:rPr>
          <w:rFonts w:cs="Sylfaen"/>
          <w:b w:val="0"/>
          <w:szCs w:val="22"/>
          <w:lang w:val="hy-AM" w:eastAsia="en-US"/>
        </w:rPr>
        <w:t>արտաքին</w:t>
      </w:r>
      <w:r w:rsidRPr="00961B35">
        <w:rPr>
          <w:rFonts w:cs="Times Armenian"/>
          <w:b w:val="0"/>
          <w:szCs w:val="22"/>
          <w:lang w:val="hy-AM" w:eastAsia="en-US"/>
        </w:rPr>
        <w:t xml:space="preserve"> </w:t>
      </w:r>
      <w:r w:rsidRPr="00961B35">
        <w:rPr>
          <w:rFonts w:cs="Sylfaen"/>
          <w:b w:val="0"/>
          <w:szCs w:val="22"/>
          <w:lang w:val="hy-AM" w:eastAsia="en-US"/>
        </w:rPr>
        <w:t>կայունության և արտաքին աշխարհի հետ հարաբերությունների վերլուծության</w:t>
      </w:r>
      <w:r w:rsidRPr="00961B35">
        <w:rPr>
          <w:rFonts w:cs="Times Armenian"/>
          <w:b w:val="0"/>
          <w:szCs w:val="22"/>
          <w:lang w:val="hy-AM" w:eastAsia="en-US"/>
        </w:rPr>
        <w:t xml:space="preserve"> </w:t>
      </w:r>
      <w:r w:rsidRPr="00961B35">
        <w:rPr>
          <w:rFonts w:cs="Sylfaen"/>
          <w:b w:val="0"/>
          <w:szCs w:val="22"/>
          <w:lang w:val="hy-AM" w:eastAsia="en-US"/>
        </w:rPr>
        <w:t>տեսանկյունից</w:t>
      </w:r>
      <w:r w:rsidRPr="00961B35">
        <w:rPr>
          <w:rFonts w:cs="Times Armenian"/>
          <w:b w:val="0"/>
          <w:szCs w:val="22"/>
          <w:lang w:val="hy-AM" w:eastAsia="en-US"/>
        </w:rPr>
        <w:t xml:space="preserve">: </w:t>
      </w:r>
      <w:r w:rsidRPr="00961B35">
        <w:rPr>
          <w:rFonts w:cs="Sylfaen"/>
          <w:b w:val="0"/>
          <w:szCs w:val="22"/>
          <w:lang w:val="hy-AM" w:eastAsia="en-US"/>
        </w:rPr>
        <w:t>Արտաքին</w:t>
      </w:r>
      <w:r w:rsidRPr="00961B35">
        <w:rPr>
          <w:rFonts w:cs="Times Armenian"/>
          <w:b w:val="0"/>
          <w:szCs w:val="22"/>
          <w:lang w:val="hy-AM" w:eastAsia="en-US"/>
        </w:rPr>
        <w:t xml:space="preserve"> </w:t>
      </w:r>
      <w:r w:rsidRPr="00961B35">
        <w:rPr>
          <w:rFonts w:cs="Sylfaen"/>
          <w:b w:val="0"/>
          <w:szCs w:val="22"/>
          <w:lang w:val="hy-AM" w:eastAsia="en-US"/>
        </w:rPr>
        <w:t>աշխարհի</w:t>
      </w:r>
      <w:r w:rsidRPr="00961B35">
        <w:rPr>
          <w:rFonts w:cs="Times Armenian"/>
          <w:b w:val="0"/>
          <w:szCs w:val="22"/>
          <w:lang w:val="hy-AM" w:eastAsia="en-US"/>
        </w:rPr>
        <w:t xml:space="preserve"> </w:t>
      </w:r>
      <w:r w:rsidRPr="00961B35">
        <w:rPr>
          <w:rFonts w:cs="Sylfaen"/>
          <w:b w:val="0"/>
          <w:szCs w:val="22"/>
          <w:lang w:val="hy-AM" w:eastAsia="en-US"/>
        </w:rPr>
        <w:t>հետ</w:t>
      </w:r>
      <w:r w:rsidRPr="00961B35">
        <w:rPr>
          <w:rFonts w:cs="Times Armenian"/>
          <w:b w:val="0"/>
          <w:szCs w:val="22"/>
          <w:lang w:val="hy-AM" w:eastAsia="en-US"/>
        </w:rPr>
        <w:t xml:space="preserve"> </w:t>
      </w:r>
      <w:r w:rsidRPr="00961B35">
        <w:rPr>
          <w:rFonts w:cs="Sylfaen"/>
          <w:b w:val="0"/>
          <w:szCs w:val="22"/>
          <w:lang w:val="hy-AM" w:eastAsia="en-US"/>
        </w:rPr>
        <w:t>հարաբե</w:t>
      </w:r>
      <w:r w:rsidRPr="00961B35">
        <w:rPr>
          <w:rFonts w:cs="Sylfaen"/>
          <w:b w:val="0"/>
          <w:szCs w:val="22"/>
          <w:lang w:val="hy-AM" w:eastAsia="en-US"/>
        </w:rPr>
        <w:softHyphen/>
        <w:t>րություն</w:t>
      </w:r>
      <w:r w:rsidRPr="00961B35">
        <w:rPr>
          <w:rFonts w:cs="Sylfaen"/>
          <w:b w:val="0"/>
          <w:szCs w:val="22"/>
          <w:lang w:val="hy-AM" w:eastAsia="en-US"/>
        </w:rPr>
        <w:softHyphen/>
        <w:t>ներում</w:t>
      </w:r>
      <w:r w:rsidRPr="00961B35">
        <w:rPr>
          <w:rFonts w:cs="Times Armenian"/>
          <w:b w:val="0"/>
          <w:szCs w:val="22"/>
          <w:lang w:val="hy-AM" w:eastAsia="en-US"/>
        </w:rPr>
        <w:t xml:space="preserve"> </w:t>
      </w:r>
      <w:r w:rsidRPr="00961B35">
        <w:rPr>
          <w:rFonts w:cs="Sylfaen"/>
          <w:b w:val="0"/>
          <w:szCs w:val="22"/>
          <w:lang w:val="hy-AM" w:eastAsia="en-US"/>
        </w:rPr>
        <w:t>Հայաստանը</w:t>
      </w:r>
      <w:r w:rsidRPr="00961B35">
        <w:rPr>
          <w:rFonts w:cs="Times Armenian"/>
          <w:b w:val="0"/>
          <w:szCs w:val="22"/>
          <w:lang w:val="hy-AM" w:eastAsia="en-US"/>
        </w:rPr>
        <w:t xml:space="preserve"> </w:t>
      </w:r>
      <w:r w:rsidRPr="00961B35">
        <w:rPr>
          <w:rFonts w:cs="Sylfaen"/>
          <w:b w:val="0"/>
          <w:szCs w:val="22"/>
          <w:lang w:val="hy-AM" w:eastAsia="en-US"/>
        </w:rPr>
        <w:t>համարվում</w:t>
      </w:r>
      <w:r w:rsidRPr="00961B35">
        <w:rPr>
          <w:rFonts w:cs="Times Armenian"/>
          <w:b w:val="0"/>
          <w:szCs w:val="22"/>
          <w:lang w:val="hy-AM" w:eastAsia="en-US"/>
        </w:rPr>
        <w:t xml:space="preserve"> </w:t>
      </w:r>
      <w:r w:rsidRPr="00961B35">
        <w:rPr>
          <w:rFonts w:cs="Sylfaen"/>
          <w:b w:val="0"/>
          <w:szCs w:val="22"/>
          <w:lang w:val="hy-AM" w:eastAsia="en-US"/>
        </w:rPr>
        <w:t>է</w:t>
      </w:r>
      <w:r w:rsidRPr="00961B35">
        <w:rPr>
          <w:rFonts w:cs="Times Armenian"/>
          <w:b w:val="0"/>
          <w:szCs w:val="22"/>
          <w:lang w:val="hy-AM" w:eastAsia="en-US"/>
        </w:rPr>
        <w:t xml:space="preserve"> </w:t>
      </w:r>
      <w:r w:rsidRPr="00961B35">
        <w:rPr>
          <w:rFonts w:cs="Sylfaen"/>
          <w:b w:val="0"/>
          <w:szCs w:val="22"/>
          <w:lang w:val="hy-AM" w:eastAsia="en-US"/>
        </w:rPr>
        <w:t>փոքր</w:t>
      </w:r>
      <w:r w:rsidRPr="00961B35">
        <w:rPr>
          <w:rFonts w:cs="Times Armenian"/>
          <w:b w:val="0"/>
          <w:szCs w:val="22"/>
          <w:lang w:val="hy-AM" w:eastAsia="en-US"/>
        </w:rPr>
        <w:t xml:space="preserve"> </w:t>
      </w:r>
      <w:r w:rsidRPr="00961B35">
        <w:rPr>
          <w:rFonts w:cs="Sylfaen"/>
          <w:b w:val="0"/>
          <w:szCs w:val="22"/>
          <w:lang w:val="hy-AM" w:eastAsia="en-US"/>
        </w:rPr>
        <w:t>և</w:t>
      </w:r>
      <w:r w:rsidRPr="00961B35">
        <w:rPr>
          <w:rFonts w:cs="Times Armenian"/>
          <w:b w:val="0"/>
          <w:szCs w:val="22"/>
          <w:lang w:val="hy-AM" w:eastAsia="en-US"/>
        </w:rPr>
        <w:t xml:space="preserve"> </w:t>
      </w:r>
      <w:r w:rsidRPr="00961B35">
        <w:rPr>
          <w:rFonts w:cs="Sylfaen"/>
          <w:b w:val="0"/>
          <w:szCs w:val="22"/>
          <w:lang w:val="hy-AM" w:eastAsia="en-US"/>
        </w:rPr>
        <w:t>բաց</w:t>
      </w:r>
      <w:r w:rsidRPr="00961B35">
        <w:rPr>
          <w:rFonts w:cs="Times Armenian"/>
          <w:b w:val="0"/>
          <w:szCs w:val="22"/>
          <w:lang w:val="hy-AM" w:eastAsia="en-US"/>
        </w:rPr>
        <w:t xml:space="preserve"> </w:t>
      </w:r>
      <w:r w:rsidRPr="00961B35">
        <w:rPr>
          <w:rFonts w:cs="Sylfaen"/>
          <w:b w:val="0"/>
          <w:szCs w:val="22"/>
          <w:lang w:val="hy-AM" w:eastAsia="en-US"/>
        </w:rPr>
        <w:t>տնտեսություն</w:t>
      </w:r>
      <w:r w:rsidRPr="00961B35">
        <w:rPr>
          <w:rFonts w:cs="Times Armenian"/>
          <w:b w:val="0"/>
          <w:szCs w:val="22"/>
          <w:lang w:val="hy-AM" w:eastAsia="en-US"/>
        </w:rPr>
        <w:t xml:space="preserve"> </w:t>
      </w:r>
      <w:r w:rsidRPr="00961B35">
        <w:rPr>
          <w:rFonts w:cs="Sylfaen"/>
          <w:b w:val="0"/>
          <w:szCs w:val="22"/>
          <w:lang w:val="hy-AM" w:eastAsia="en-US"/>
        </w:rPr>
        <w:t>ունեցող</w:t>
      </w:r>
      <w:r w:rsidRPr="00961B35">
        <w:rPr>
          <w:rFonts w:cs="Times Armenian"/>
          <w:b w:val="0"/>
          <w:szCs w:val="22"/>
          <w:lang w:val="hy-AM" w:eastAsia="en-US"/>
        </w:rPr>
        <w:t xml:space="preserve"> </w:t>
      </w:r>
      <w:r w:rsidRPr="00961B35">
        <w:rPr>
          <w:rFonts w:cs="Sylfaen"/>
          <w:b w:val="0"/>
          <w:szCs w:val="22"/>
          <w:lang w:val="hy-AM" w:eastAsia="en-US"/>
        </w:rPr>
        <w:t>երկիր</w:t>
      </w:r>
      <w:r w:rsidRPr="00961B35">
        <w:rPr>
          <w:rFonts w:cs="Times Armenian"/>
          <w:b w:val="0"/>
          <w:szCs w:val="22"/>
          <w:lang w:val="hy-AM" w:eastAsia="en-US"/>
        </w:rPr>
        <w:t xml:space="preserve">, </w:t>
      </w:r>
      <w:r w:rsidRPr="00961B35">
        <w:rPr>
          <w:rFonts w:cs="Sylfaen"/>
          <w:b w:val="0"/>
          <w:szCs w:val="22"/>
          <w:lang w:val="hy-AM" w:eastAsia="en-US"/>
        </w:rPr>
        <w:t>ինչը</w:t>
      </w:r>
      <w:r w:rsidRPr="00961B35">
        <w:rPr>
          <w:rFonts w:cs="Times Armenian"/>
          <w:b w:val="0"/>
          <w:szCs w:val="22"/>
          <w:lang w:val="hy-AM" w:eastAsia="en-US"/>
        </w:rPr>
        <w:t xml:space="preserve"> </w:t>
      </w:r>
      <w:r w:rsidRPr="00961B35">
        <w:rPr>
          <w:rFonts w:cs="Sylfaen"/>
          <w:b w:val="0"/>
          <w:szCs w:val="22"/>
          <w:lang w:val="hy-AM" w:eastAsia="en-US"/>
        </w:rPr>
        <w:t>նշանակում</w:t>
      </w:r>
      <w:r w:rsidRPr="00961B35">
        <w:rPr>
          <w:rFonts w:cs="Times Armenian"/>
          <w:b w:val="0"/>
          <w:szCs w:val="22"/>
          <w:lang w:val="hy-AM" w:eastAsia="en-US"/>
        </w:rPr>
        <w:t xml:space="preserve"> </w:t>
      </w:r>
      <w:r w:rsidRPr="00961B35">
        <w:rPr>
          <w:rFonts w:cs="Sylfaen"/>
          <w:b w:val="0"/>
          <w:szCs w:val="22"/>
          <w:lang w:val="hy-AM" w:eastAsia="en-US"/>
        </w:rPr>
        <w:t>է</w:t>
      </w:r>
      <w:r w:rsidRPr="00961B35">
        <w:rPr>
          <w:rFonts w:cs="Times Armenian"/>
          <w:b w:val="0"/>
          <w:szCs w:val="22"/>
          <w:lang w:val="hy-AM" w:eastAsia="en-US"/>
        </w:rPr>
        <w:t xml:space="preserve">, </w:t>
      </w:r>
      <w:r w:rsidRPr="00961B35">
        <w:rPr>
          <w:rFonts w:cs="Sylfaen"/>
          <w:b w:val="0"/>
          <w:szCs w:val="22"/>
          <w:lang w:val="hy-AM" w:eastAsia="en-US"/>
        </w:rPr>
        <w:t>որ</w:t>
      </w:r>
      <w:r w:rsidRPr="00961B35">
        <w:rPr>
          <w:rFonts w:cs="Times Armenian"/>
          <w:b w:val="0"/>
          <w:szCs w:val="22"/>
          <w:lang w:val="hy-AM" w:eastAsia="en-US"/>
        </w:rPr>
        <w:t xml:space="preserve"> </w:t>
      </w:r>
      <w:r w:rsidRPr="00961B35">
        <w:rPr>
          <w:rFonts w:cs="Sylfaen"/>
          <w:b w:val="0"/>
          <w:szCs w:val="22"/>
          <w:lang w:val="hy-AM" w:eastAsia="en-US"/>
        </w:rPr>
        <w:t>տնտեսական</w:t>
      </w:r>
      <w:r w:rsidRPr="00961B35">
        <w:rPr>
          <w:rFonts w:cs="Times Armenian"/>
          <w:b w:val="0"/>
          <w:szCs w:val="22"/>
          <w:lang w:val="hy-AM" w:eastAsia="en-US"/>
        </w:rPr>
        <w:t xml:space="preserve"> </w:t>
      </w:r>
      <w:r w:rsidRPr="00961B35">
        <w:rPr>
          <w:rFonts w:cs="Sylfaen"/>
          <w:b w:val="0"/>
          <w:szCs w:val="22"/>
          <w:lang w:val="hy-AM" w:eastAsia="en-US"/>
        </w:rPr>
        <w:t>հոսքերի</w:t>
      </w:r>
      <w:r w:rsidRPr="00961B35">
        <w:rPr>
          <w:rFonts w:cs="Times Armenian"/>
          <w:b w:val="0"/>
          <w:szCs w:val="22"/>
          <w:lang w:val="hy-AM" w:eastAsia="en-US"/>
        </w:rPr>
        <w:t xml:space="preserve"> </w:t>
      </w:r>
      <w:r w:rsidRPr="00961B35">
        <w:rPr>
          <w:rFonts w:cs="Sylfaen"/>
          <w:b w:val="0"/>
          <w:szCs w:val="22"/>
          <w:lang w:val="hy-AM" w:eastAsia="en-US"/>
        </w:rPr>
        <w:t>շարժը</w:t>
      </w:r>
      <w:r w:rsidRPr="00961B35">
        <w:rPr>
          <w:rFonts w:cs="Times Armenian"/>
          <w:b w:val="0"/>
          <w:szCs w:val="22"/>
          <w:lang w:val="hy-AM" w:eastAsia="en-US"/>
        </w:rPr>
        <w:t xml:space="preserve"> </w:t>
      </w:r>
      <w:r w:rsidRPr="00961B35">
        <w:rPr>
          <w:rFonts w:cs="Sylfaen"/>
          <w:b w:val="0"/>
          <w:szCs w:val="22"/>
          <w:lang w:val="hy-AM" w:eastAsia="en-US"/>
        </w:rPr>
        <w:t>դեպի</w:t>
      </w:r>
      <w:r w:rsidRPr="00961B35">
        <w:rPr>
          <w:rFonts w:cs="Times Armenian"/>
          <w:b w:val="0"/>
          <w:szCs w:val="22"/>
          <w:lang w:val="hy-AM" w:eastAsia="en-US"/>
        </w:rPr>
        <w:t xml:space="preserve"> </w:t>
      </w:r>
      <w:r w:rsidRPr="00961B35">
        <w:rPr>
          <w:rFonts w:cs="Sylfaen"/>
          <w:b w:val="0"/>
          <w:szCs w:val="22"/>
          <w:lang w:val="hy-AM" w:eastAsia="en-US"/>
        </w:rPr>
        <w:t>երկիր</w:t>
      </w:r>
      <w:r w:rsidRPr="00961B35">
        <w:rPr>
          <w:rFonts w:cs="Times Armenian"/>
          <w:b w:val="0"/>
          <w:szCs w:val="22"/>
          <w:lang w:val="hy-AM" w:eastAsia="en-US"/>
        </w:rPr>
        <w:t xml:space="preserve"> </w:t>
      </w:r>
      <w:r w:rsidRPr="00961B35">
        <w:rPr>
          <w:rFonts w:cs="Sylfaen"/>
          <w:b w:val="0"/>
          <w:szCs w:val="22"/>
          <w:lang w:val="hy-AM" w:eastAsia="en-US"/>
        </w:rPr>
        <w:t>և</w:t>
      </w:r>
      <w:r w:rsidRPr="00961B35">
        <w:rPr>
          <w:rFonts w:cs="Times Armenian"/>
          <w:b w:val="0"/>
          <w:szCs w:val="22"/>
          <w:lang w:val="hy-AM" w:eastAsia="en-US"/>
        </w:rPr>
        <w:t xml:space="preserve"> </w:t>
      </w:r>
      <w:r w:rsidRPr="00961B35">
        <w:rPr>
          <w:rFonts w:cs="Sylfaen"/>
          <w:b w:val="0"/>
          <w:szCs w:val="22"/>
          <w:lang w:val="hy-AM" w:eastAsia="en-US"/>
        </w:rPr>
        <w:t>երկրից</w:t>
      </w:r>
      <w:r w:rsidRPr="00961B35">
        <w:rPr>
          <w:rFonts w:cs="Times Armenian"/>
          <w:b w:val="0"/>
          <w:szCs w:val="22"/>
          <w:lang w:val="hy-AM" w:eastAsia="en-US"/>
        </w:rPr>
        <w:t xml:space="preserve"> </w:t>
      </w:r>
      <w:r w:rsidRPr="00961B35">
        <w:rPr>
          <w:rFonts w:cs="Sylfaen"/>
          <w:b w:val="0"/>
          <w:szCs w:val="22"/>
          <w:lang w:val="hy-AM" w:eastAsia="en-US"/>
        </w:rPr>
        <w:t>դուրս</w:t>
      </w:r>
      <w:r w:rsidRPr="00961B35">
        <w:rPr>
          <w:rFonts w:cs="Times Armenian"/>
          <w:b w:val="0"/>
          <w:szCs w:val="22"/>
          <w:lang w:val="hy-AM" w:eastAsia="en-US"/>
        </w:rPr>
        <w:t xml:space="preserve"> </w:t>
      </w:r>
      <w:r w:rsidRPr="00961B35">
        <w:rPr>
          <w:rFonts w:cs="Sylfaen"/>
          <w:b w:val="0"/>
          <w:szCs w:val="22"/>
          <w:lang w:val="hy-AM" w:eastAsia="en-US"/>
        </w:rPr>
        <w:t>հնա</w:t>
      </w:r>
      <w:r w:rsidRPr="00961B35">
        <w:rPr>
          <w:rFonts w:cs="Sylfaen"/>
          <w:b w:val="0"/>
          <w:szCs w:val="22"/>
          <w:lang w:val="hy-AM" w:eastAsia="en-US"/>
        </w:rPr>
        <w:softHyphen/>
        <w:t>րավորինս</w:t>
      </w:r>
      <w:r w:rsidRPr="00961B35">
        <w:rPr>
          <w:rFonts w:cs="Times Armenian"/>
          <w:b w:val="0"/>
          <w:szCs w:val="22"/>
          <w:lang w:val="hy-AM" w:eastAsia="en-US"/>
        </w:rPr>
        <w:t xml:space="preserve"> </w:t>
      </w:r>
      <w:r w:rsidRPr="00961B35">
        <w:rPr>
          <w:rFonts w:cs="Sylfaen"/>
          <w:b w:val="0"/>
          <w:szCs w:val="22"/>
          <w:lang w:val="hy-AM" w:eastAsia="en-US"/>
        </w:rPr>
        <w:t>ազատականացված</w:t>
      </w:r>
      <w:r w:rsidRPr="00961B35">
        <w:rPr>
          <w:rFonts w:cs="Times Armenian"/>
          <w:b w:val="0"/>
          <w:szCs w:val="22"/>
          <w:lang w:val="hy-AM" w:eastAsia="en-US"/>
        </w:rPr>
        <w:t xml:space="preserve"> </w:t>
      </w:r>
      <w:r w:rsidRPr="00961B35">
        <w:rPr>
          <w:rFonts w:cs="Sylfaen"/>
          <w:b w:val="0"/>
          <w:szCs w:val="22"/>
          <w:lang w:val="hy-AM" w:eastAsia="en-US"/>
        </w:rPr>
        <w:t>է: Դրա հետ մեկտեղ փոքր բաց տնտեսություններին հատ</w:t>
      </w:r>
      <w:r w:rsidRPr="00961B35">
        <w:rPr>
          <w:rFonts w:cs="Sylfaen"/>
          <w:b w:val="0"/>
          <w:szCs w:val="22"/>
          <w:lang w:val="hy-AM" w:eastAsia="en-US"/>
        </w:rPr>
        <w:softHyphen/>
        <w:t>կան</w:t>
      </w:r>
      <w:r w:rsidRPr="00961B35">
        <w:rPr>
          <w:rFonts w:cs="Sylfaen"/>
          <w:b w:val="0"/>
          <w:szCs w:val="22"/>
          <w:lang w:val="hy-AM" w:eastAsia="en-US"/>
        </w:rPr>
        <w:softHyphen/>
        <w:t>շական է բարձր զգայունությունը համաշխարհային տնտեսության զարգացումներից (միջազ</w:t>
      </w:r>
      <w:r w:rsidRPr="00961B35">
        <w:rPr>
          <w:rFonts w:cs="Sylfaen"/>
          <w:b w:val="0"/>
          <w:szCs w:val="22"/>
          <w:lang w:val="hy-AM" w:eastAsia="en-US"/>
        </w:rPr>
        <w:softHyphen/>
        <w:t>գային բորսաներում գնանշվող ապրանքների գներ, գործընկեր երկրների տնտեսական զար</w:t>
      </w:r>
      <w:r w:rsidRPr="00961B35">
        <w:rPr>
          <w:rFonts w:cs="Sylfaen"/>
          <w:b w:val="0"/>
          <w:szCs w:val="22"/>
          <w:lang w:val="hy-AM" w:eastAsia="en-US"/>
        </w:rPr>
        <w:softHyphen/>
        <w:t>գացում, համաշխարհային տնտեսության զարգացման միտում և այլն)</w:t>
      </w:r>
      <w:r w:rsidRPr="00961B35">
        <w:rPr>
          <w:rFonts w:cs="Times Armenian"/>
          <w:b w:val="0"/>
          <w:szCs w:val="22"/>
          <w:lang w:val="hy-AM" w:eastAsia="en-US"/>
        </w:rPr>
        <w:t xml:space="preserve">: </w:t>
      </w:r>
      <w:r w:rsidRPr="00961B35">
        <w:rPr>
          <w:rFonts w:cs="Sylfaen"/>
          <w:b w:val="0"/>
          <w:szCs w:val="22"/>
          <w:lang w:val="hy-AM" w:eastAsia="en-US"/>
        </w:rPr>
        <w:t>Ուստի այս բաժնում կներկայացվի ընթացիկ հաշվի և դրա վրա ազդող հիմնական գործոնների փոփոխու</w:t>
      </w:r>
      <w:r w:rsidRPr="00961B35">
        <w:rPr>
          <w:rFonts w:cs="Sylfaen"/>
          <w:b w:val="0"/>
          <w:szCs w:val="22"/>
          <w:lang w:val="hy-AM" w:eastAsia="en-US"/>
        </w:rPr>
        <w:softHyphen/>
        <w:t>թյան դինամիկան վերջին տարիներին և ապագայում ակնկալվող զարգա</w:t>
      </w:r>
      <w:r w:rsidRPr="00961B35">
        <w:rPr>
          <w:rFonts w:cs="Sylfaen"/>
          <w:b w:val="0"/>
          <w:szCs w:val="22"/>
          <w:lang w:val="hy-AM" w:eastAsia="en-US"/>
        </w:rPr>
        <w:softHyphen/>
        <w:t>ցում</w:t>
      </w:r>
      <w:r w:rsidRPr="00961B35">
        <w:rPr>
          <w:rFonts w:cs="Sylfaen"/>
          <w:b w:val="0"/>
          <w:szCs w:val="22"/>
          <w:lang w:val="hy-AM" w:eastAsia="en-US"/>
        </w:rPr>
        <w:softHyphen/>
        <w:t>ները, իսկ բյուջեի ծրագրի տեսանկյունից արտաքին աշխարհից եկող հնարավոր ռիսկերը կներկայացվեն հաջորդ բաժիններում:</w:t>
      </w:r>
    </w:p>
    <w:p w:rsidR="00961B35" w:rsidRPr="00961B35" w:rsidRDefault="00961B35" w:rsidP="00961B35">
      <w:pPr>
        <w:tabs>
          <w:tab w:val="right" w:pos="8640"/>
        </w:tabs>
        <w:spacing w:before="0"/>
        <w:ind w:firstLine="450"/>
        <w:contextualSpacing w:val="0"/>
        <w:rPr>
          <w:rFonts w:cs="Sylfaen"/>
          <w:i/>
          <w:szCs w:val="22"/>
          <w:lang w:val="hy-AM" w:eastAsia="en-US"/>
        </w:rPr>
      </w:pPr>
    </w:p>
    <w:p w:rsidR="00961B35" w:rsidRPr="00961B35" w:rsidRDefault="00961B35" w:rsidP="00961B35">
      <w:pPr>
        <w:tabs>
          <w:tab w:val="right" w:pos="8640"/>
        </w:tabs>
        <w:spacing w:before="0"/>
        <w:ind w:firstLine="450"/>
        <w:contextualSpacing w:val="0"/>
        <w:rPr>
          <w:rFonts w:cs="Sylfaen"/>
          <w:szCs w:val="22"/>
          <w:lang w:val="it-IT" w:eastAsia="en-US"/>
        </w:rPr>
      </w:pPr>
      <w:r w:rsidRPr="00961B35">
        <w:rPr>
          <w:rFonts w:cs="Sylfaen"/>
          <w:szCs w:val="22"/>
          <w:lang w:val="it-IT" w:eastAsia="en-US"/>
        </w:rPr>
        <w:t xml:space="preserve">Վերջին տարիների միտումները, ընթացիկ իրավիճակը և կանխատեսումները </w:t>
      </w:r>
    </w:p>
    <w:p w:rsidR="00961B35" w:rsidRPr="00961B35" w:rsidRDefault="00961B35" w:rsidP="00961B35">
      <w:pPr>
        <w:tabs>
          <w:tab w:val="right" w:pos="8640"/>
        </w:tabs>
        <w:spacing w:before="0"/>
        <w:ind w:firstLine="450"/>
        <w:contextualSpacing w:val="0"/>
        <w:rPr>
          <w:rFonts w:cs="Sylfaen"/>
          <w:szCs w:val="22"/>
          <w:u w:val="single"/>
          <w:lang w:val="hy-AM" w:eastAsia="en-US"/>
        </w:rPr>
      </w:pPr>
    </w:p>
    <w:p w:rsidR="00961B35" w:rsidRPr="00961B35" w:rsidRDefault="00961B35" w:rsidP="00961B35">
      <w:pPr>
        <w:tabs>
          <w:tab w:val="right" w:pos="8640"/>
        </w:tabs>
        <w:spacing w:before="0"/>
        <w:ind w:firstLine="450"/>
        <w:contextualSpacing w:val="0"/>
        <w:rPr>
          <w:rFonts w:cs="Times Armenian"/>
          <w:i/>
          <w:szCs w:val="22"/>
          <w:lang w:val="hy-AM" w:eastAsia="en-US"/>
        </w:rPr>
      </w:pPr>
      <w:r w:rsidRPr="00961B35">
        <w:rPr>
          <w:rFonts w:cs="Sylfaen"/>
          <w:szCs w:val="22"/>
          <w:lang w:val="hy-AM" w:eastAsia="en-US"/>
        </w:rPr>
        <w:t>1.6.1. Ընթացիկ հաշիվ</w:t>
      </w:r>
      <w:r w:rsidRPr="00961B35">
        <w:rPr>
          <w:rFonts w:cs="Sylfaen"/>
          <w:sz w:val="20"/>
          <w:szCs w:val="20"/>
          <w:vertAlign w:val="superscript"/>
          <w:lang w:val="hy-AM" w:eastAsia="en-US"/>
        </w:rPr>
        <w:footnoteReference w:id="18"/>
      </w:r>
    </w:p>
    <w:p w:rsidR="00961B35" w:rsidRPr="00961B35" w:rsidRDefault="00961B35" w:rsidP="00961B35">
      <w:pPr>
        <w:overflowPunct w:val="0"/>
        <w:autoSpaceDE w:val="0"/>
        <w:autoSpaceDN w:val="0"/>
        <w:adjustRightInd w:val="0"/>
        <w:spacing w:before="0"/>
        <w:ind w:firstLine="360"/>
        <w:contextualSpacing w:val="0"/>
        <w:textAlignment w:val="baseline"/>
        <w:rPr>
          <w:rFonts w:cs="Sylfaen"/>
          <w:szCs w:val="22"/>
          <w:lang w:val="hy-AM" w:eastAsia="en-US"/>
        </w:rPr>
      </w:pPr>
      <w:r w:rsidRPr="00961B35">
        <w:rPr>
          <w:rFonts w:cs="Sylfaen"/>
          <w:szCs w:val="22"/>
          <w:lang w:val="hy-AM" w:eastAsia="en-US"/>
        </w:rPr>
        <w:t>2018 թվականին ընթացիկ հաշվի պակասուրդը նախորդ տարվա համեմատ կտրուկ խորացել է` ՀՆԱ-ի նկատմամբ կազմելով 9.4% և շեղվելով իր երկարաժամկետ հավասարակշիռ մակարդակից</w:t>
      </w:r>
      <w:r w:rsidRPr="00961B35">
        <w:rPr>
          <w:rFonts w:ascii="Arial Armenian" w:hAnsi="Arial Armenian" w:cs="Sylfaen"/>
          <w:szCs w:val="22"/>
          <w:vertAlign w:val="superscript"/>
          <w:lang w:val="hy-AM" w:eastAsia="en-US"/>
        </w:rPr>
        <w:footnoteReference w:id="19"/>
      </w:r>
      <w:r w:rsidRPr="00961B35">
        <w:rPr>
          <w:rFonts w:cs="Sylfaen"/>
          <w:szCs w:val="22"/>
          <w:lang w:val="hy-AM" w:eastAsia="en-US"/>
        </w:rPr>
        <w:t xml:space="preserve">: </w:t>
      </w:r>
      <w:r w:rsidRPr="00961B35">
        <w:rPr>
          <w:rFonts w:cs="Sylfaen"/>
          <w:b w:val="0"/>
          <w:szCs w:val="22"/>
          <w:lang w:val="hy-AM" w:eastAsia="en-US"/>
        </w:rPr>
        <w:t>Հիմնականում ներքին պահանջարկի աճով պայմանավորված, առևտրային հաշվեկշռի պակասուրդը տարվա ընթացքում խորացել է, ինչը դոլարային արտահայտությամբ արտահանման երկնիշ աճի (10.3%) համեմատ ապ</w:t>
      </w:r>
      <w:r w:rsidRPr="00961B35">
        <w:rPr>
          <w:rFonts w:cs="Sylfaen"/>
          <w:b w:val="0"/>
          <w:szCs w:val="22"/>
          <w:lang w:val="hy-AM" w:eastAsia="en-US"/>
        </w:rPr>
        <w:softHyphen/>
        <w:t>րանքների ներմուծման առաջանցիկ աճի (17.5%) հետևանք էր: Ծառայությունների հաշվեկշիռի պակասուրդը նույնպես խարացել է ծառայությունների արտահանման աճի (7.5%) համեմատ</w:t>
      </w:r>
      <w:r w:rsidRPr="00961B35" w:rsidDel="00643680">
        <w:rPr>
          <w:rFonts w:cs="Sylfaen"/>
          <w:b w:val="0"/>
          <w:szCs w:val="22"/>
          <w:lang w:val="hy-AM" w:eastAsia="en-US"/>
        </w:rPr>
        <w:t xml:space="preserve"> </w:t>
      </w:r>
      <w:r w:rsidRPr="00961B35">
        <w:rPr>
          <w:rFonts w:cs="Sylfaen"/>
          <w:b w:val="0"/>
          <w:szCs w:val="22"/>
          <w:lang w:val="hy-AM" w:eastAsia="en-US"/>
        </w:rPr>
        <w:t xml:space="preserve">ներմուծման առաջանցիկ աճի (13.6%) արդյունքում։ Տարվա արդյունքներով Հայաստան </w:t>
      </w:r>
      <w:r w:rsidRPr="00961B35">
        <w:rPr>
          <w:rFonts w:cs="Sylfaen"/>
          <w:b w:val="0"/>
          <w:szCs w:val="22"/>
          <w:lang w:val="hy-AM" w:eastAsia="en-US"/>
        </w:rPr>
        <w:lastRenderedPageBreak/>
        <w:t>ներհոսող տրանֆերտների և գործոնային զուտ եկամուտների նվազումը էլ ավելի է խորացրել</w:t>
      </w:r>
      <w:r w:rsidRPr="00961B35">
        <w:rPr>
          <w:rFonts w:ascii="Arial Armenian" w:hAnsi="Arial Armenian"/>
          <w:b w:val="0"/>
          <w:sz w:val="24"/>
          <w:szCs w:val="20"/>
          <w:lang w:val="hy-AM" w:eastAsia="en-US"/>
        </w:rPr>
        <w:t xml:space="preserve"> </w:t>
      </w:r>
      <w:r w:rsidRPr="00961B35">
        <w:rPr>
          <w:rFonts w:cs="Sylfaen"/>
          <w:b w:val="0"/>
          <w:szCs w:val="22"/>
          <w:lang w:val="hy-AM" w:eastAsia="en-US"/>
        </w:rPr>
        <w:t>ապրանքների և ծառայությունների հաշվեկշռի բացասական ազդեցությունը ընթացիկ հաշվի պակասուրդի ձևավորմանը:</w:t>
      </w:r>
    </w:p>
    <w:p w:rsidR="00961B35" w:rsidRPr="00961B35" w:rsidRDefault="00961B35" w:rsidP="00961B35">
      <w:pPr>
        <w:overflowPunct w:val="0"/>
        <w:autoSpaceDE w:val="0"/>
        <w:autoSpaceDN w:val="0"/>
        <w:adjustRightInd w:val="0"/>
        <w:spacing w:before="240"/>
        <w:ind w:firstLine="360"/>
        <w:contextualSpacing w:val="0"/>
        <w:textAlignment w:val="baseline"/>
        <w:rPr>
          <w:rFonts w:cs="Sylfaen"/>
          <w:b w:val="0"/>
          <w:szCs w:val="22"/>
          <w:lang w:val="hy-AM" w:eastAsia="en-US"/>
        </w:rPr>
      </w:pPr>
      <w:r w:rsidRPr="00961B35">
        <w:rPr>
          <w:rFonts w:cs="Sylfaen"/>
          <w:szCs w:val="22"/>
          <w:lang w:val="hy-AM" w:eastAsia="en-US"/>
        </w:rPr>
        <w:t>2019 թվականի ընթացիկ՝ հունվար-հուլիսի տվյալներով առևտրային հաշվեկշռի բացասական ճեղքը շարունակում է վատթարանալ</w:t>
      </w:r>
      <w:r w:rsidRPr="00961B35">
        <w:rPr>
          <w:rFonts w:cs="Sylfaen"/>
          <w:b w:val="0"/>
          <w:szCs w:val="22"/>
          <w:lang w:val="hy-AM" w:eastAsia="en-US"/>
        </w:rPr>
        <w:t>, իսկ դրամական փոխանցումների ներհոսքի նվազման միտումը պահպանվում է՝ խորացնելով ընթացիկ հաշվի վրա ներմուծման</w:t>
      </w:r>
      <w:r w:rsidRPr="00961B35" w:rsidDel="00E451FC">
        <w:rPr>
          <w:rFonts w:cs="Sylfaen"/>
          <w:b w:val="0"/>
          <w:szCs w:val="22"/>
          <w:lang w:val="hy-AM" w:eastAsia="en-US"/>
        </w:rPr>
        <w:t xml:space="preserve"> </w:t>
      </w:r>
      <w:r w:rsidRPr="00961B35">
        <w:rPr>
          <w:rFonts w:cs="Sylfaen"/>
          <w:b w:val="0"/>
          <w:szCs w:val="22"/>
          <w:lang w:val="hy-AM" w:eastAsia="en-US"/>
        </w:rPr>
        <w:t>աճի արդյունքում առևտրային հաշվեկշռի բացասական ազդեցությունը:</w:t>
      </w:r>
    </w:p>
    <w:p w:rsidR="00961B35" w:rsidRPr="00961B35" w:rsidRDefault="00961B35" w:rsidP="00961B35">
      <w:pPr>
        <w:overflowPunct w:val="0"/>
        <w:autoSpaceDE w:val="0"/>
        <w:autoSpaceDN w:val="0"/>
        <w:adjustRightInd w:val="0"/>
        <w:spacing w:before="240"/>
        <w:ind w:firstLine="357"/>
        <w:contextualSpacing w:val="0"/>
        <w:textAlignment w:val="baseline"/>
        <w:rPr>
          <w:rFonts w:cs="Sylfaen"/>
          <w:b w:val="0"/>
          <w:szCs w:val="22"/>
          <w:lang w:val="hy-AM" w:eastAsia="en-US"/>
        </w:rPr>
      </w:pPr>
      <w:r w:rsidRPr="00961B35">
        <w:rPr>
          <w:rFonts w:cs="Sylfaen"/>
          <w:szCs w:val="22"/>
          <w:lang w:val="hy-AM" w:eastAsia="en-US"/>
        </w:rPr>
        <w:t>Կանխատեսում.</w:t>
      </w:r>
      <w:r w:rsidRPr="00961B35">
        <w:rPr>
          <w:rFonts w:cs="Sylfaen"/>
          <w:b w:val="0"/>
          <w:szCs w:val="22"/>
          <w:lang w:val="hy-AM" w:eastAsia="en-US"/>
        </w:rPr>
        <w:t xml:space="preserve"> </w:t>
      </w:r>
      <w:r w:rsidRPr="00961B35">
        <w:rPr>
          <w:rFonts w:cs="Sylfaen"/>
          <w:szCs w:val="22"/>
          <w:lang w:val="hy-AM" w:eastAsia="en-US"/>
        </w:rPr>
        <w:t xml:space="preserve">2019 թվականին սպասվում է, որ արտահանման բարձր աճի պայմաններում ընթացիկ հաշվի պակասուրդը կբարելավվի և կկազմի ՀՆԱ-ի մոտ 7.0%։ </w:t>
      </w:r>
      <w:r w:rsidRPr="00961B35">
        <w:rPr>
          <w:rFonts w:cs="Sylfaen"/>
          <w:b w:val="0"/>
          <w:szCs w:val="22"/>
          <w:lang w:val="hy-AM" w:eastAsia="en-US"/>
        </w:rPr>
        <w:t>2020 թվականին ապրանքների և ծառայությունների</w:t>
      </w:r>
      <w:r w:rsidRPr="00961B35" w:rsidDel="00E11CCC">
        <w:rPr>
          <w:rFonts w:cs="Sylfaen"/>
          <w:b w:val="0"/>
          <w:szCs w:val="22"/>
          <w:lang w:val="hy-AM" w:eastAsia="en-US"/>
        </w:rPr>
        <w:t xml:space="preserve"> </w:t>
      </w:r>
      <w:r w:rsidRPr="00961B35">
        <w:rPr>
          <w:rFonts w:cs="Sylfaen"/>
          <w:b w:val="0"/>
          <w:szCs w:val="22"/>
          <w:lang w:val="hy-AM" w:eastAsia="en-US"/>
        </w:rPr>
        <w:t>արտահանման առաջանցիկ աճը ներմուծման համեմատ</w:t>
      </w:r>
      <w:r w:rsidRPr="00961B35" w:rsidDel="00E11CCC">
        <w:rPr>
          <w:rFonts w:cs="Sylfaen"/>
          <w:b w:val="0"/>
          <w:szCs w:val="22"/>
          <w:lang w:val="hy-AM" w:eastAsia="en-US"/>
        </w:rPr>
        <w:t xml:space="preserve"> </w:t>
      </w:r>
      <w:r w:rsidRPr="00961B35">
        <w:rPr>
          <w:rFonts w:cs="Sylfaen"/>
          <w:b w:val="0"/>
          <w:szCs w:val="22"/>
          <w:lang w:val="hy-AM" w:eastAsia="en-US"/>
        </w:rPr>
        <w:t>դրական կազդի երկրի ընթացիկ հաշվի ձևավորմանը։</w:t>
      </w:r>
      <w:r w:rsidRPr="00961B35" w:rsidDel="00E11CCC">
        <w:rPr>
          <w:rFonts w:cs="Sylfaen"/>
          <w:b w:val="0"/>
          <w:szCs w:val="22"/>
          <w:lang w:val="hy-AM" w:eastAsia="en-US"/>
        </w:rPr>
        <w:t xml:space="preserve"> </w:t>
      </w:r>
      <w:r w:rsidRPr="00961B35">
        <w:rPr>
          <w:rFonts w:cs="Sylfaen"/>
          <w:b w:val="0"/>
          <w:szCs w:val="22"/>
          <w:lang w:val="hy-AM" w:eastAsia="en-US"/>
        </w:rPr>
        <w:t xml:space="preserve"> </w:t>
      </w:r>
      <w:r w:rsidRPr="00961B35">
        <w:rPr>
          <w:rFonts w:cs="Sylfaen"/>
          <w:szCs w:val="22"/>
          <w:lang w:val="hy-AM" w:eastAsia="en-US"/>
        </w:rPr>
        <w:t>2020 թվականին ընթացիկ հաշիվը որոշ չափով կբարելավվի՝ մոտենալով իր երկարաժամկետ հավասարակշիռ մակարդակին և կկազմի շուրջ 6%:</w:t>
      </w:r>
      <w:r w:rsidRPr="00961B35">
        <w:rPr>
          <w:rFonts w:cs="Sylfaen"/>
          <w:b w:val="0"/>
          <w:szCs w:val="22"/>
          <w:lang w:val="hy-AM" w:eastAsia="en-US"/>
        </w:rPr>
        <w:t xml:space="preserve"> Դրամական փոխանցումների աճի տեմպը 2020 թվականին կարագանա, իսկ ծավալները դեռևս զիջելու են հետճգնաժամային տարիների դրամական փոխանցումների միջին մակարդակը:</w:t>
      </w:r>
    </w:p>
    <w:p w:rsidR="00961B35" w:rsidRPr="00961B35" w:rsidRDefault="00961B35" w:rsidP="00961B35">
      <w:pPr>
        <w:spacing w:before="0"/>
        <w:ind w:firstLine="450"/>
        <w:contextualSpacing w:val="0"/>
        <w:rPr>
          <w:rFonts w:cs="Sylfaen"/>
          <w:b w:val="0"/>
          <w:szCs w:val="22"/>
          <w:lang w:val="hy-AM" w:eastAsia="en-US"/>
        </w:rPr>
      </w:pPr>
    </w:p>
    <w:p w:rsidR="00961B35" w:rsidRPr="00961B35" w:rsidRDefault="00961B35" w:rsidP="00961B35">
      <w:pPr>
        <w:spacing w:before="0" w:line="276" w:lineRule="auto"/>
        <w:ind w:firstLine="450"/>
        <w:contextualSpacing w:val="0"/>
        <w:rPr>
          <w:rFonts w:cs="Sylfaen"/>
          <w:szCs w:val="22"/>
          <w:u w:val="single"/>
          <w:lang w:val="en-US" w:eastAsia="en-US"/>
        </w:rPr>
      </w:pPr>
      <w:r w:rsidRPr="00961B35">
        <w:rPr>
          <w:rFonts w:cs="Sylfaen"/>
          <w:szCs w:val="22"/>
          <w:u w:val="single"/>
          <w:lang w:val="en-US" w:eastAsia="en-US"/>
        </w:rPr>
        <w:t>Գծապատկեր 1.6.1.  Ընթացիկ հաշվի պակասուրդ/ՀՆԱ</w:t>
      </w:r>
    </w:p>
    <w:p w:rsidR="00961B35" w:rsidRPr="00961B35" w:rsidRDefault="00961B35" w:rsidP="00961B35">
      <w:pPr>
        <w:spacing w:before="0"/>
        <w:ind w:firstLine="450"/>
        <w:contextualSpacing w:val="0"/>
        <w:rPr>
          <w:rFonts w:cs="Sylfaen"/>
          <w:b w:val="0"/>
          <w:szCs w:val="22"/>
          <w:lang w:val="en-US" w:eastAsia="en-US"/>
        </w:rPr>
      </w:pPr>
    </w:p>
    <w:p w:rsidR="00961B35" w:rsidRPr="00961B35" w:rsidRDefault="00961B35" w:rsidP="00961B35">
      <w:pPr>
        <w:spacing w:before="0"/>
        <w:ind w:firstLine="450"/>
        <w:contextualSpacing w:val="0"/>
        <w:rPr>
          <w:rFonts w:cs="Sylfaen"/>
          <w:szCs w:val="22"/>
          <w:u w:val="single"/>
          <w:lang w:val="hy-AM" w:eastAsia="en-US"/>
        </w:rPr>
      </w:pPr>
      <w:r w:rsidRPr="00961B35">
        <w:rPr>
          <w:rFonts w:cs="Sylfaen"/>
          <w:b w:val="0"/>
          <w:szCs w:val="22"/>
          <w:lang w:val="hy-AM" w:eastAsia="en-US"/>
        </w:rPr>
        <w:t xml:space="preserve"> </w:t>
      </w:r>
      <w:r w:rsidRPr="00961B35">
        <w:rPr>
          <w:rFonts w:cs="Sylfaen"/>
          <w:noProof/>
          <w:szCs w:val="22"/>
          <w:lang w:val="en-US" w:eastAsia="en-US"/>
        </w:rPr>
        <w:drawing>
          <wp:inline distT="0" distB="0" distL="0" distR="0" wp14:anchorId="5551C135" wp14:editId="3C6DE47F">
            <wp:extent cx="5824498" cy="2297526"/>
            <wp:effectExtent l="0" t="0" r="24130" b="26670"/>
            <wp:docPr id="42"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61B35" w:rsidRPr="00961B35" w:rsidRDefault="00961B35" w:rsidP="00961B35">
      <w:pPr>
        <w:spacing w:before="0"/>
        <w:ind w:firstLine="450"/>
        <w:contextualSpacing w:val="0"/>
        <w:rPr>
          <w:rFonts w:cs="Sylfaen"/>
          <w:szCs w:val="22"/>
          <w:lang w:val="hy-AM" w:eastAsia="en-US"/>
        </w:rPr>
      </w:pPr>
    </w:p>
    <w:p w:rsidR="00961B35" w:rsidRPr="00961B35" w:rsidRDefault="00961B35" w:rsidP="00961B35">
      <w:pPr>
        <w:spacing w:before="0"/>
        <w:ind w:firstLine="450"/>
        <w:contextualSpacing w:val="0"/>
        <w:rPr>
          <w:rFonts w:cs="Sylfaen"/>
          <w:b w:val="0"/>
          <w:szCs w:val="22"/>
          <w:lang w:val="hy-AM" w:eastAsia="en-US"/>
        </w:rPr>
      </w:pPr>
      <w:r w:rsidRPr="00961B35">
        <w:rPr>
          <w:rFonts w:cs="Sylfaen"/>
          <w:szCs w:val="22"/>
          <w:lang w:val="hy-AM" w:eastAsia="en-US"/>
        </w:rPr>
        <w:t>1.6.2. Արտաքին</w:t>
      </w:r>
      <w:r w:rsidRPr="00961B35">
        <w:rPr>
          <w:rFonts w:cs="Arial LatArm"/>
          <w:szCs w:val="22"/>
          <w:lang w:val="hy-AM" w:eastAsia="en-US"/>
        </w:rPr>
        <w:t xml:space="preserve"> </w:t>
      </w:r>
      <w:r w:rsidRPr="00961B35">
        <w:rPr>
          <w:rFonts w:cs="Sylfaen"/>
          <w:szCs w:val="22"/>
          <w:lang w:val="hy-AM" w:eastAsia="en-US"/>
        </w:rPr>
        <w:t>առևտուր</w:t>
      </w:r>
      <w:r w:rsidRPr="00961B35">
        <w:rPr>
          <w:b w:val="0"/>
          <w:szCs w:val="22"/>
          <w:vertAlign w:val="superscript"/>
          <w:lang w:val="en-US" w:eastAsia="en-US"/>
        </w:rPr>
        <w:footnoteReference w:id="20"/>
      </w:r>
    </w:p>
    <w:p w:rsidR="00961B35" w:rsidRPr="00961B35" w:rsidRDefault="00961B35" w:rsidP="00961B35">
      <w:pPr>
        <w:autoSpaceDE w:val="0"/>
        <w:autoSpaceDN w:val="0"/>
        <w:adjustRightInd w:val="0"/>
        <w:spacing w:before="0" w:line="336" w:lineRule="auto"/>
        <w:ind w:firstLine="450"/>
        <w:contextualSpacing w:val="0"/>
        <w:rPr>
          <w:rFonts w:cs="Sylfaen"/>
          <w:b w:val="0"/>
          <w:szCs w:val="22"/>
          <w:lang w:val="hy-AM" w:eastAsia="en-US"/>
        </w:rPr>
      </w:pPr>
      <w:r w:rsidRPr="00961B35">
        <w:rPr>
          <w:rFonts w:cs="Sylfaen"/>
          <w:szCs w:val="22"/>
          <w:lang w:val="hy-AM" w:eastAsia="en-US"/>
        </w:rPr>
        <w:lastRenderedPageBreak/>
        <w:t>2018 թվականին և՛ արտահանումը, և՛ ներմուծումը շարունակել են աճել բարձր տեմպերով, որի պայմաններում արտաքին ապրանքաշրջանառության ընդլայնումը շարունակվել է, իսկ առևտրային հաշվեկշիռը ցուցաբերել է վատթարացման միտում:</w:t>
      </w:r>
      <w:r w:rsidRPr="00961B35">
        <w:rPr>
          <w:rFonts w:cs="Sylfaen"/>
          <w:b w:val="0"/>
          <w:szCs w:val="22"/>
          <w:lang w:val="hy-AM" w:eastAsia="en-US"/>
        </w:rPr>
        <w:t xml:space="preserve"> Արտաքին ապրանքաշրջանառությունը (7,388 մլն</w:t>
      </w:r>
      <w:r w:rsidRPr="00961B35">
        <w:rPr>
          <w:rFonts w:ascii="Times New Roman" w:hAnsi="Times New Roman" w:cs="Sylfaen"/>
          <w:b w:val="0"/>
          <w:sz w:val="24"/>
          <w:szCs w:val="22"/>
          <w:lang w:val="hy-AM" w:eastAsia="en-US"/>
        </w:rPr>
        <w:t xml:space="preserve"> </w:t>
      </w:r>
      <w:r w:rsidRPr="00961B35">
        <w:rPr>
          <w:rFonts w:cs="Sylfaen"/>
          <w:b w:val="0"/>
          <w:szCs w:val="22"/>
          <w:lang w:val="hy-AM" w:eastAsia="en-US"/>
        </w:rPr>
        <w:t>ԱՄՆ դոլար) նախորդ տարվա համեմատ աճել է 16.6%-ով: Նույն ժամանակահատվածում դոլարային արտահայտությամբ արտահանումն աճել է 7.8%-ով (2,412.4 մլն ԱՄՆ դոլար), իսկ ներմուծումը` 21.4%-ով (4,975.5 մլն ԱՄՆ դոլար):</w:t>
      </w:r>
    </w:p>
    <w:p w:rsidR="00961B35" w:rsidRPr="00961B35" w:rsidRDefault="00961B35" w:rsidP="00961B35">
      <w:pPr>
        <w:spacing w:before="0"/>
        <w:ind w:firstLine="450"/>
        <w:contextualSpacing w:val="0"/>
        <w:rPr>
          <w:rFonts w:cs="Sylfaen"/>
          <w:b w:val="0"/>
          <w:szCs w:val="22"/>
          <w:lang w:val="hy-AM" w:eastAsia="en-US"/>
        </w:rPr>
      </w:pPr>
      <w:r w:rsidRPr="00961B35">
        <w:rPr>
          <w:rFonts w:cs="Sylfaen"/>
          <w:szCs w:val="22"/>
          <w:lang w:val="hy-AM" w:eastAsia="en-US"/>
        </w:rPr>
        <w:t>Արտաքին ապրանքաշրջանառությունը 2019 թվականի առաջին յոթ ամիսների արդյունքներով նախորդ տարվա համեմատ աճել է 2.3%-ով (4,195.5 մլն ԱՄՆ դոլար):</w:t>
      </w:r>
      <w:r w:rsidRPr="00961B35">
        <w:rPr>
          <w:rFonts w:cs="Sylfaen"/>
          <w:b w:val="0"/>
          <w:szCs w:val="22"/>
          <w:lang w:val="hy-AM" w:eastAsia="en-US"/>
        </w:rPr>
        <w:t xml:space="preserve"> Ընթացիկ տարվա հունվար-հուլիս ամիսներին տեղի է ունեցել դոլարային արտահայտությամբ արտահանման ծավալների 3% աճ և ներմուծման ծավալների 1.9% աճ: Ապրանքների գծով արտաքին առևտրի բացասական մնացորդը (1360.5 մլն ԱՄՆ դոլար) աճել է նախորդ տարվա համեմատ՝ պայմանավորված ներմուծման աճով:</w:t>
      </w:r>
    </w:p>
    <w:p w:rsidR="00961B35" w:rsidRPr="00961B35" w:rsidRDefault="00961B35" w:rsidP="00961B35">
      <w:pPr>
        <w:spacing w:before="0"/>
        <w:ind w:firstLine="450"/>
        <w:contextualSpacing w:val="0"/>
        <w:rPr>
          <w:rFonts w:cs="Sylfaen"/>
          <w:szCs w:val="22"/>
          <w:u w:val="single"/>
          <w:lang w:val="hy-AM" w:eastAsia="en-US"/>
        </w:rPr>
      </w:pPr>
    </w:p>
    <w:p w:rsidR="00961B35" w:rsidRPr="00961B35" w:rsidRDefault="00961B35" w:rsidP="00961B35">
      <w:pPr>
        <w:spacing w:before="0"/>
        <w:ind w:firstLine="450"/>
        <w:contextualSpacing w:val="0"/>
        <w:rPr>
          <w:rFonts w:cs="Arial LatArm"/>
          <w:b w:val="0"/>
          <w:szCs w:val="22"/>
          <w:lang w:val="hy-AM" w:eastAsia="en-US"/>
        </w:rPr>
      </w:pPr>
      <w:r w:rsidRPr="00961B35">
        <w:rPr>
          <w:rFonts w:cs="Sylfaen"/>
          <w:szCs w:val="22"/>
          <w:lang w:val="hy-AM" w:eastAsia="en-US"/>
        </w:rPr>
        <w:t>1.6.2.1. Ներմուծում</w:t>
      </w:r>
    </w:p>
    <w:p w:rsidR="00961B35" w:rsidRPr="00961B35" w:rsidRDefault="00961B35" w:rsidP="00961B35">
      <w:pPr>
        <w:spacing w:before="0"/>
        <w:ind w:firstLine="450"/>
        <w:contextualSpacing w:val="0"/>
        <w:rPr>
          <w:rFonts w:cs="Sylfaen"/>
          <w:b w:val="0"/>
          <w:szCs w:val="22"/>
          <w:lang w:val="hy-AM" w:eastAsia="en-US"/>
        </w:rPr>
      </w:pPr>
      <w:r w:rsidRPr="00961B35">
        <w:rPr>
          <w:rFonts w:cs="Sylfaen"/>
          <w:szCs w:val="22"/>
          <w:lang w:val="hy-AM" w:eastAsia="en-US"/>
        </w:rPr>
        <w:t>2018 թվականին հիմնականում ներքին պահանջարկի և տնտեսական ակտիվության աճերի ազդեցությամբ, ինչպես նաև նյութական շրջանառու միջոցների պաշարների կուտակմամբ պայմանավորված արձանագրվել է ներմուծման ծավալների բարձր աճ:</w:t>
      </w:r>
      <w:r w:rsidRPr="00961B35">
        <w:rPr>
          <w:rFonts w:cs="Sylfaen"/>
          <w:b w:val="0"/>
          <w:szCs w:val="22"/>
          <w:lang w:val="hy-AM" w:eastAsia="en-US"/>
        </w:rPr>
        <w:t xml:space="preserve"> Դոլարային արտահայտությամբ ներմուծման աճին (21.4%) ամենամեծ նպաստումն է ունեցել ներդրումային բնույթ ունեցող՝ «Մեքենաներ, սարքավորումներ և մեխանիզմներ» ապրանքախումբը (7.5 տոկոսային կետ), որի կշիռը ավելացումը ներմուծման մեջ շարունակվում է՝ հասնելով 18.8%-ի։ Ներմուծման կառուցվածքում նշանակալի կշիռ (14.5%) ունեցող «Հանքահում</w:t>
      </w:r>
      <w:r w:rsidRPr="00961B35">
        <w:rPr>
          <w:rFonts w:cs="Sylfaen"/>
          <w:b w:val="0"/>
          <w:szCs w:val="22"/>
          <w:lang w:val="hy-AM" w:eastAsia="en-US"/>
        </w:rPr>
        <w:softHyphen/>
        <w:t>քային արտադրանք» ապրանքախումբը ներմուծման աճին նպաստել է 1.9 տոկո</w:t>
      </w:r>
      <w:r w:rsidRPr="00961B35">
        <w:rPr>
          <w:rFonts w:cs="Sylfaen"/>
          <w:b w:val="0"/>
          <w:szCs w:val="22"/>
          <w:lang w:val="hy-AM" w:eastAsia="en-US"/>
        </w:rPr>
        <w:softHyphen/>
        <w:t>սային կետով, ինչը հիմնականում պայմանավորված էր հումքային ապրանքների գների աճով: Ներմուծման աճին դրական նպաստում են ունեցել նաև «Վերգետնյա, օդային և ջրային տրանսպորտի միջոցներ» (2.8 տոկոսային կետ),  «Ոչ թանկարժեք մետաղներ և դրանցից իրեր» (1.2 տոկոսային կետ), «Պատրաստի սննդի արտադրանք» (1.1 տոկոսային կետ),  «Մանածագործական իրեր» (1.3 տոկոսային կետ) ապրանքախմբերը, ինչպես նաև «Թանկարժեք և կիսաթանկարժեք քարեր, թանկարժեք մետաղներ և դրանցից իրեր» ապրանքախումբը (1.3 տոկոսային կետ), որը միջանկյալ սպառման բնույթ ունի՝ ներմուծվում է վերամշակման և հետագայում արտա</w:t>
      </w:r>
      <w:r w:rsidRPr="00961B35">
        <w:rPr>
          <w:rFonts w:cs="Sylfaen"/>
          <w:b w:val="0"/>
          <w:szCs w:val="22"/>
          <w:lang w:val="hy-AM" w:eastAsia="en-US"/>
        </w:rPr>
        <w:softHyphen/>
        <w:t xml:space="preserve">հանման նպատակով: </w:t>
      </w:r>
    </w:p>
    <w:p w:rsidR="00961B35" w:rsidRPr="00961B35" w:rsidRDefault="00961B35" w:rsidP="00961B35">
      <w:pPr>
        <w:spacing w:before="0"/>
        <w:ind w:firstLine="450"/>
        <w:contextualSpacing w:val="0"/>
        <w:rPr>
          <w:rFonts w:cs="Sylfaen"/>
          <w:b w:val="0"/>
          <w:szCs w:val="22"/>
          <w:lang w:val="hy-AM" w:eastAsia="en-US"/>
        </w:rPr>
      </w:pPr>
    </w:p>
    <w:p w:rsidR="00961B35" w:rsidRPr="00961B35" w:rsidRDefault="00961B35" w:rsidP="00961B35">
      <w:pPr>
        <w:spacing w:before="0"/>
        <w:ind w:firstLine="450"/>
        <w:contextualSpacing w:val="0"/>
        <w:rPr>
          <w:rFonts w:cs="Sylfaen"/>
          <w:b w:val="0"/>
          <w:szCs w:val="22"/>
          <w:lang w:val="hy-AM" w:eastAsia="en-US"/>
        </w:rPr>
      </w:pPr>
      <w:r w:rsidRPr="00961B35">
        <w:rPr>
          <w:rFonts w:cs="Sylfaen"/>
          <w:szCs w:val="22"/>
          <w:lang w:val="hy-AM" w:eastAsia="en-US"/>
        </w:rPr>
        <w:t>2019 թվականի հունվար-հուլիս ամիսներին դոլարային արտահայտությամբ ներմուծման ծա</w:t>
      </w:r>
      <w:r w:rsidRPr="00961B35">
        <w:rPr>
          <w:rFonts w:cs="Sylfaen"/>
          <w:szCs w:val="22"/>
          <w:lang w:val="hy-AM" w:eastAsia="en-US"/>
        </w:rPr>
        <w:softHyphen/>
        <w:t>վալների աճը կազմել է 1.9%</w:t>
      </w:r>
      <w:r w:rsidRPr="00961B35">
        <w:rPr>
          <w:rFonts w:cs="Sylfaen"/>
          <w:b w:val="0"/>
          <w:szCs w:val="22"/>
          <w:lang w:val="hy-AM" w:eastAsia="en-US"/>
        </w:rPr>
        <w:t xml:space="preserve">, ընդ որում՝ ամենամեծ աճն արձանագրել է </w:t>
      </w:r>
      <w:r w:rsidRPr="00961B35">
        <w:rPr>
          <w:rFonts w:cs="Sylfaen"/>
          <w:b w:val="0"/>
          <w:szCs w:val="22"/>
          <w:lang w:val="hy-AM" w:eastAsia="en-US"/>
        </w:rPr>
        <w:lastRenderedPageBreak/>
        <w:t xml:space="preserve">«Վերգետնյա, օդային և ջրային տրանսպորտի միջոցներ» ապրանքախումը (38.3%), որը ներմուծման աճին նպաստել է 2.9 տոկոսային կետով: </w:t>
      </w:r>
    </w:p>
    <w:p w:rsidR="00961B35" w:rsidRPr="00961B35" w:rsidRDefault="00961B35" w:rsidP="00961B35">
      <w:pPr>
        <w:spacing w:before="0"/>
        <w:ind w:firstLine="450"/>
        <w:contextualSpacing w:val="0"/>
        <w:rPr>
          <w:rFonts w:cs="Sylfaen"/>
          <w:b w:val="0"/>
          <w:szCs w:val="22"/>
          <w:lang w:val="hy-AM" w:eastAsia="en-US"/>
        </w:rPr>
      </w:pPr>
      <w:r w:rsidRPr="00961B35">
        <w:rPr>
          <w:rFonts w:cs="Sylfaen"/>
          <w:b w:val="0"/>
          <w:szCs w:val="22"/>
          <w:lang w:val="hy-AM" w:eastAsia="en-US"/>
        </w:rPr>
        <w:t>Ըստ ապրանքների լայն տնտեսական դասակարգման</w:t>
      </w:r>
      <w:r w:rsidRPr="00961B35">
        <w:rPr>
          <w:b w:val="0"/>
          <w:szCs w:val="22"/>
          <w:vertAlign w:val="superscript"/>
          <w:lang w:val="en-US" w:eastAsia="en-US"/>
        </w:rPr>
        <w:footnoteReference w:id="21"/>
      </w:r>
      <w:r w:rsidRPr="00961B35">
        <w:rPr>
          <w:rFonts w:cs="Sylfaen"/>
          <w:b w:val="0"/>
          <w:szCs w:val="22"/>
          <w:lang w:val="hy-AM" w:eastAsia="en-US"/>
        </w:rPr>
        <w:t xml:space="preserve"> ընթացիկ տարվա յոթ ամիսների ներմուծման աճին դրական նպաստում են ունեցել «Վերջնական սպառման ապրանքները» (0.4 տոկոսային կետով), «Միջանկյալ սպառման ապրանքները» (0.3 տոկոսային կետով) և «Մարդատար ավտոմեքենաները» (2.0 տոկոսային կետով), իսկ «Կապիտալ ապրանքները» հակազդել են ներմուծման աճին (0.7 տոկոսային կետով):</w:t>
      </w:r>
    </w:p>
    <w:p w:rsidR="00961B35" w:rsidRPr="00961B35" w:rsidRDefault="00961B35" w:rsidP="00961B35">
      <w:pPr>
        <w:tabs>
          <w:tab w:val="num" w:pos="720"/>
        </w:tabs>
        <w:spacing w:before="0"/>
        <w:ind w:firstLine="450"/>
        <w:contextualSpacing w:val="0"/>
        <w:rPr>
          <w:rFonts w:cs="Sylfaen"/>
          <w:b w:val="0"/>
          <w:szCs w:val="22"/>
          <w:lang w:val="hy-AM" w:eastAsia="en-US"/>
        </w:rPr>
      </w:pPr>
      <w:r w:rsidRPr="00961B35">
        <w:rPr>
          <w:rFonts w:cs="Sylfaen"/>
          <w:szCs w:val="22"/>
          <w:lang w:val="hy-AM" w:eastAsia="en-US"/>
        </w:rPr>
        <w:t>Կանխատեսում.</w:t>
      </w:r>
      <w:r w:rsidRPr="00961B35">
        <w:rPr>
          <w:rFonts w:ascii="Times New Roman" w:hAnsi="Times New Roman"/>
          <w:b w:val="0"/>
          <w:i/>
          <w:sz w:val="24"/>
          <w:lang w:val="hy-AM" w:eastAsia="en-US"/>
        </w:rPr>
        <w:t xml:space="preserve"> </w:t>
      </w:r>
      <w:r w:rsidRPr="00961B35">
        <w:rPr>
          <w:rFonts w:cs="Sylfaen"/>
          <w:b w:val="0"/>
          <w:szCs w:val="22"/>
          <w:lang w:val="hy-AM" w:eastAsia="en-US"/>
        </w:rPr>
        <w:t xml:space="preserve">Հաշվի առնելով ընթացիկ զարգացումները ակնկալվում է, որ մինչև տարեվերջ դոլարային արտահայտությամբ ապրանքների ներմուծման աճը կարագանա և 2019 թվականի արդյունքներով կկազմի շուրջ 5%: </w:t>
      </w:r>
      <w:r w:rsidRPr="00961B35">
        <w:rPr>
          <w:rFonts w:cs="Sylfaen"/>
          <w:szCs w:val="22"/>
          <w:lang w:val="hy-AM" w:eastAsia="en-US"/>
        </w:rPr>
        <w:t>2020 թվականին ներմուծման աճը կկազմի շուրջ 6%՝ զիջելով արտահանման աճին:</w:t>
      </w:r>
      <w:r w:rsidRPr="00961B35">
        <w:rPr>
          <w:rFonts w:cs="Sylfaen"/>
          <w:b w:val="0"/>
          <w:szCs w:val="22"/>
          <w:lang w:val="hy-AM" w:eastAsia="en-US"/>
        </w:rPr>
        <w:t xml:space="preserve"> </w:t>
      </w:r>
    </w:p>
    <w:p w:rsidR="00961B35" w:rsidRPr="00961B35" w:rsidRDefault="00961B35" w:rsidP="00961B35">
      <w:pPr>
        <w:tabs>
          <w:tab w:val="num" w:pos="720"/>
        </w:tabs>
        <w:spacing w:before="0"/>
        <w:ind w:firstLine="450"/>
        <w:contextualSpacing w:val="0"/>
        <w:rPr>
          <w:rFonts w:cs="Sylfaen"/>
          <w:b w:val="0"/>
          <w:szCs w:val="22"/>
          <w:lang w:val="hy-AM" w:eastAsia="en-US"/>
        </w:rPr>
      </w:pPr>
    </w:p>
    <w:p w:rsidR="00961B35" w:rsidRPr="00961B35" w:rsidRDefault="00961B35" w:rsidP="00961B35">
      <w:pPr>
        <w:spacing w:before="0"/>
        <w:ind w:firstLine="450"/>
        <w:contextualSpacing w:val="0"/>
        <w:rPr>
          <w:rFonts w:cs="Arial LatArm"/>
          <w:b w:val="0"/>
          <w:szCs w:val="22"/>
          <w:lang w:val="hy-AM" w:eastAsia="en-US"/>
        </w:rPr>
      </w:pPr>
      <w:r w:rsidRPr="00961B35">
        <w:rPr>
          <w:rFonts w:cs="Sylfaen"/>
          <w:szCs w:val="22"/>
          <w:lang w:val="hy-AM" w:eastAsia="en-US"/>
        </w:rPr>
        <w:t>1.6.2.2. Արտահանում</w:t>
      </w:r>
    </w:p>
    <w:p w:rsidR="00961B35" w:rsidRPr="00961B35" w:rsidRDefault="00961B35" w:rsidP="00961B35">
      <w:pPr>
        <w:overflowPunct w:val="0"/>
        <w:autoSpaceDE w:val="0"/>
        <w:autoSpaceDN w:val="0"/>
        <w:adjustRightInd w:val="0"/>
        <w:spacing w:before="0"/>
        <w:ind w:firstLine="357"/>
        <w:contextualSpacing w:val="0"/>
        <w:textAlignment w:val="baseline"/>
        <w:rPr>
          <w:rFonts w:cs="Sylfaen"/>
          <w:b w:val="0"/>
          <w:szCs w:val="22"/>
          <w:lang w:val="hy-AM" w:eastAsia="en-US"/>
        </w:rPr>
      </w:pPr>
      <w:r w:rsidRPr="00961B35">
        <w:rPr>
          <w:rFonts w:cs="Sylfaen"/>
          <w:szCs w:val="22"/>
          <w:lang w:val="hy-AM" w:eastAsia="en-US"/>
        </w:rPr>
        <w:t xml:space="preserve">2018 թվականի արտահանման 7.8% աճը հիմնականում պայմանավորվել է արտաքին պահանջարկի աճով (հիմնական գործընկեր երկրների տնտեսական զարգացման դրական միտումներով): </w:t>
      </w:r>
      <w:r w:rsidRPr="00961B35">
        <w:rPr>
          <w:rFonts w:cs="Sylfaen"/>
          <w:b w:val="0"/>
          <w:szCs w:val="22"/>
          <w:lang w:val="hy-AM" w:eastAsia="en-US"/>
        </w:rPr>
        <w:t>ՀՀ արտահանման ծավալները զգալի աճել են դեպի ԵԱՏՄ անդամ պետություններ՝ մեծ մասամբ կրելով հիմնական գործընկեր երկրի՝ ՌԴ-ի տնտեսական զարգացումների ազդեցությունը:</w:t>
      </w:r>
    </w:p>
    <w:p w:rsidR="00961B35" w:rsidRPr="00961B35" w:rsidRDefault="00961B35" w:rsidP="00961B35">
      <w:pPr>
        <w:overflowPunct w:val="0"/>
        <w:autoSpaceDE w:val="0"/>
        <w:autoSpaceDN w:val="0"/>
        <w:adjustRightInd w:val="0"/>
        <w:spacing w:before="0"/>
        <w:ind w:firstLine="357"/>
        <w:contextualSpacing w:val="0"/>
        <w:textAlignment w:val="baseline"/>
        <w:rPr>
          <w:rFonts w:cs="Sylfaen"/>
          <w:b w:val="0"/>
          <w:szCs w:val="22"/>
          <w:lang w:val="hy-AM" w:eastAsia="en-US"/>
        </w:rPr>
      </w:pPr>
      <w:r w:rsidRPr="00961B35">
        <w:rPr>
          <w:rFonts w:cs="Sylfaen"/>
          <w:b w:val="0"/>
          <w:szCs w:val="22"/>
          <w:lang w:val="hy-AM" w:eastAsia="en-US"/>
        </w:rPr>
        <w:t xml:space="preserve">Արտահանման աճին ամենամեծ դրական նպաստումն է ունեցել «Մանածագործական իրեր» ապրանքախումբը՝ 4 տոկոսային կետով: Աճին դրական են նպաստել նաև «Բուսական ծագման արտադրանք», «Պատրաստի սննդի արտադրանք» և «Ոչ թանկարժեք մետաղներ և դրանցից պատրաստված իրեր» ապրանքախմբերը (համապատասխանաբար` 1.3, 1.3 և 1.2 տոկոսային կետերով): Արտահանման աճը հիմնականում զսպել է «Հանքահումքային արտադրանք» (1.4 տոկոսային կետ) ապրանքախումբը, որ հիմնականում պայմանավորված է եղել </w:t>
      </w:r>
      <w:r w:rsidRPr="00961B35">
        <w:rPr>
          <w:rFonts w:cs="Arial LatArm"/>
          <w:b w:val="0"/>
          <w:szCs w:val="22"/>
          <w:lang w:val="hy-AM" w:eastAsia="en-US"/>
        </w:rPr>
        <w:t>h</w:t>
      </w:r>
      <w:r w:rsidRPr="00961B35">
        <w:rPr>
          <w:rFonts w:cs="Sylfaen"/>
          <w:b w:val="0"/>
          <w:szCs w:val="22"/>
          <w:lang w:val="hy-AM" w:eastAsia="en-US"/>
        </w:rPr>
        <w:t xml:space="preserve">անքագործական արդյունաբերության և մետաղական հանքաքարի արդյունահանման նվազմամբ, ինչպես նաև </w:t>
      </w:r>
      <w:r w:rsidRPr="00961B35">
        <w:rPr>
          <w:rFonts w:cs="Arial LatArm"/>
          <w:b w:val="0"/>
          <w:szCs w:val="22"/>
          <w:lang w:val="hy-AM" w:eastAsia="en-US"/>
        </w:rPr>
        <w:t>միջազգային շուկաներում մետաղների գների անկման միտումներով:</w:t>
      </w:r>
      <w:r w:rsidRPr="00961B35">
        <w:rPr>
          <w:rFonts w:cs="Sylfaen"/>
          <w:b w:val="0"/>
          <w:szCs w:val="22"/>
          <w:lang w:val="hy-AM" w:eastAsia="en-US"/>
        </w:rPr>
        <w:t xml:space="preserve"> </w:t>
      </w:r>
    </w:p>
    <w:p w:rsidR="00961B35" w:rsidRPr="00961B35" w:rsidRDefault="00961B35" w:rsidP="00961B35">
      <w:pPr>
        <w:overflowPunct w:val="0"/>
        <w:autoSpaceDE w:val="0"/>
        <w:autoSpaceDN w:val="0"/>
        <w:adjustRightInd w:val="0"/>
        <w:spacing w:before="0"/>
        <w:ind w:firstLine="360"/>
        <w:contextualSpacing w:val="0"/>
        <w:textAlignment w:val="baseline"/>
        <w:rPr>
          <w:rFonts w:cs="Sylfaen"/>
          <w:b w:val="0"/>
          <w:szCs w:val="22"/>
          <w:lang w:val="hy-AM" w:eastAsia="en-US"/>
        </w:rPr>
      </w:pPr>
      <w:r w:rsidRPr="00961B35">
        <w:rPr>
          <w:rFonts w:cs="Sylfaen"/>
          <w:b w:val="0"/>
          <w:szCs w:val="22"/>
          <w:lang w:val="hy-AM" w:eastAsia="en-US"/>
        </w:rPr>
        <w:t xml:space="preserve"> </w:t>
      </w:r>
      <w:r w:rsidRPr="00961B35">
        <w:rPr>
          <w:rFonts w:cs="Sylfaen"/>
          <w:szCs w:val="22"/>
          <w:lang w:val="hy-AM" w:eastAsia="en-US"/>
        </w:rPr>
        <w:t>2019 թվականի առաջին յոթ ամիսների արդյունքում արձանագրվել է  արտահանման աճ` հիմնականում պայմանավորված տնտեսության արտահանելի հատվածի (մասնավորապես՝ մշակող արդյունաբերության) աճով։</w:t>
      </w:r>
      <w:r w:rsidRPr="00961B35">
        <w:rPr>
          <w:rFonts w:cs="Sylfaen"/>
          <w:b w:val="0"/>
          <w:szCs w:val="22"/>
          <w:lang w:val="hy-AM" w:eastAsia="en-US"/>
        </w:rPr>
        <w:t xml:space="preserve"> Արտահանման 3% աճին հիմնականում նպաստել է մշակող արդյունաբերության արտադրանքի արտահանումը՝</w:t>
      </w:r>
      <w:r w:rsidRPr="00961B35" w:rsidDel="004E60F8">
        <w:rPr>
          <w:rFonts w:cs="Sylfaen"/>
          <w:b w:val="0"/>
          <w:szCs w:val="22"/>
          <w:lang w:val="hy-AM" w:eastAsia="en-US"/>
        </w:rPr>
        <w:t xml:space="preserve"> </w:t>
      </w:r>
      <w:r w:rsidRPr="00961B35">
        <w:rPr>
          <w:rFonts w:cs="Sylfaen"/>
          <w:b w:val="0"/>
          <w:szCs w:val="22"/>
          <w:lang w:val="hy-AM" w:eastAsia="en-US"/>
        </w:rPr>
        <w:lastRenderedPageBreak/>
        <w:t>«Թանկարժեք և կիսաթանկարժեք քարեր, թանկարժեք մետաղներ և դրանցից իրեր», «Պատրաստի սննդի արտադրանք», ինչպես նաև «Սարքեր և ապարատներ» ապրանքախմբերը (համապատասխանաբար` 4.8, 2.1 և 1.8 տոկոսային կետերով):</w:t>
      </w:r>
    </w:p>
    <w:p w:rsidR="00961B35" w:rsidRPr="00961B35" w:rsidRDefault="00961B35" w:rsidP="00961B35">
      <w:pPr>
        <w:spacing w:before="0"/>
        <w:ind w:firstLine="450"/>
        <w:contextualSpacing w:val="0"/>
        <w:rPr>
          <w:rFonts w:cs="Sylfaen"/>
          <w:b w:val="0"/>
          <w:szCs w:val="22"/>
          <w:lang w:val="hy-AM" w:eastAsia="en-US"/>
        </w:rPr>
      </w:pPr>
      <w:r w:rsidRPr="00961B35">
        <w:rPr>
          <w:rFonts w:cs="Sylfaen"/>
          <w:szCs w:val="22"/>
          <w:lang w:val="hy-AM" w:eastAsia="en-US"/>
        </w:rPr>
        <w:t>Կանխատեսում.</w:t>
      </w:r>
      <w:r w:rsidRPr="00961B35">
        <w:rPr>
          <w:rFonts w:ascii="Times New Roman" w:hAnsi="Times New Roman"/>
          <w:b w:val="0"/>
          <w:i/>
          <w:sz w:val="24"/>
          <w:lang w:val="hy-AM" w:eastAsia="en-US"/>
        </w:rPr>
        <w:t xml:space="preserve"> </w:t>
      </w:r>
      <w:r w:rsidRPr="00961B35">
        <w:rPr>
          <w:rFonts w:cs="Sylfaen"/>
          <w:b w:val="0"/>
          <w:szCs w:val="22"/>
          <w:lang w:val="hy-AM" w:eastAsia="en-US"/>
        </w:rPr>
        <w:t>2019 թվականի ընթացիկ զարգացումներով և մշակող արդյունաբերության ակտիվությամբ պայմանվորված ակնկալվում է դոլարային արտահայտությամբ 7.1% արտահանման աճ (անվանական արժեքով): 2020 թվականին` գործընկեր երկրների տնտեսական աճերի և ՀՀ կառավա</w:t>
      </w:r>
      <w:r w:rsidRPr="00961B35">
        <w:rPr>
          <w:rFonts w:cs="Sylfaen"/>
          <w:b w:val="0"/>
          <w:szCs w:val="22"/>
          <w:lang w:val="hy-AM" w:eastAsia="en-US"/>
        </w:rPr>
        <w:softHyphen/>
        <w:t xml:space="preserve">րության կողմից տնտեսության արտահանելի ոլորտում վարվող քաղաքականության ուղղությանը համահունչ, կանխատեսվում է արտահանման շուրջ 10% աճ (դոլարային արտահայտությամբ): </w:t>
      </w:r>
    </w:p>
    <w:p w:rsidR="00961B35" w:rsidRPr="00961B35" w:rsidRDefault="00961B35" w:rsidP="00961B35">
      <w:pPr>
        <w:spacing w:before="0"/>
        <w:ind w:firstLine="450"/>
        <w:contextualSpacing w:val="0"/>
        <w:rPr>
          <w:rFonts w:cs="Sylfaen"/>
          <w:szCs w:val="22"/>
          <w:lang w:val="hy-AM" w:eastAsia="en-US"/>
        </w:rPr>
      </w:pPr>
      <w:r w:rsidRPr="00961B35">
        <w:rPr>
          <w:rFonts w:ascii="Times New Roman" w:hAnsi="Times New Roman"/>
          <w:b w:val="0"/>
          <w:sz w:val="24"/>
          <w:lang w:val="hy-AM" w:eastAsia="en-US"/>
        </w:rPr>
        <w:t xml:space="preserve"> </w:t>
      </w:r>
    </w:p>
    <w:p w:rsidR="00961B35" w:rsidRPr="00961B35" w:rsidRDefault="00961B35" w:rsidP="00961B35">
      <w:pPr>
        <w:spacing w:before="0"/>
        <w:ind w:firstLine="450"/>
        <w:contextualSpacing w:val="0"/>
        <w:rPr>
          <w:rFonts w:cs="Sylfaen"/>
          <w:i/>
          <w:szCs w:val="22"/>
          <w:lang w:val="hy-AM" w:eastAsia="en-US"/>
        </w:rPr>
      </w:pPr>
      <w:r w:rsidRPr="00961B35">
        <w:rPr>
          <w:rFonts w:cs="Sylfaen"/>
          <w:szCs w:val="22"/>
          <w:lang w:val="hy-AM" w:eastAsia="en-US"/>
        </w:rPr>
        <w:t>1.6.2.3. Գործընկեր երկրներ</w:t>
      </w:r>
      <w:r w:rsidRPr="00961B35">
        <w:rPr>
          <w:rFonts w:cs="Sylfaen"/>
          <w:i/>
          <w:szCs w:val="22"/>
          <w:lang w:val="hy-AM" w:eastAsia="en-US"/>
        </w:rPr>
        <w:t xml:space="preserve"> </w:t>
      </w:r>
    </w:p>
    <w:p w:rsidR="00961B35" w:rsidRPr="00961B35" w:rsidRDefault="00961B35" w:rsidP="0096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450"/>
        <w:contextualSpacing w:val="0"/>
        <w:jc w:val="left"/>
        <w:rPr>
          <w:rFonts w:cs="Courier New"/>
          <w:b w:val="0"/>
          <w:sz w:val="20"/>
          <w:szCs w:val="20"/>
          <w:lang w:val="hy-AM"/>
        </w:rPr>
      </w:pPr>
      <w:r w:rsidRPr="00961B35">
        <w:rPr>
          <w:rFonts w:cs="Sylfaen"/>
          <w:b w:val="0"/>
          <w:szCs w:val="22"/>
          <w:lang w:val="hy-AM" w:eastAsia="en-US"/>
        </w:rPr>
        <w:tab/>
      </w:r>
    </w:p>
    <w:p w:rsidR="00961B35" w:rsidRPr="00961B35" w:rsidRDefault="00961B35" w:rsidP="00961B35">
      <w:pPr>
        <w:spacing w:before="0"/>
        <w:ind w:firstLine="720"/>
        <w:contextualSpacing w:val="0"/>
        <w:rPr>
          <w:rFonts w:cs="Sylfaen"/>
          <w:szCs w:val="22"/>
          <w:lang w:val="hy-AM" w:eastAsia="en-US"/>
        </w:rPr>
      </w:pPr>
      <w:r w:rsidRPr="00961B35">
        <w:rPr>
          <w:rFonts w:cs="Sylfaen"/>
          <w:szCs w:val="22"/>
          <w:lang w:val="hy-AM" w:eastAsia="en-US"/>
        </w:rPr>
        <w:t xml:space="preserve">Համաշխարհային և հատկապես գործընկեր երկրների փոփոխական և անհամաչափ տնտեսական զարգացումները իրենց ազդեցությունն են թողնում Հայաստանի վրա, որը, լինելով փոքր և բաց տնտեսություն, արագ է արձագանքում այդ երևույթներին։ </w:t>
      </w:r>
    </w:p>
    <w:p w:rsidR="00961B35" w:rsidRPr="00961B35" w:rsidRDefault="00961B35" w:rsidP="00961B35">
      <w:pPr>
        <w:spacing w:before="0"/>
        <w:ind w:firstLine="720"/>
        <w:contextualSpacing w:val="0"/>
        <w:rPr>
          <w:rFonts w:cs="Sylfaen"/>
          <w:b w:val="0"/>
          <w:szCs w:val="22"/>
          <w:lang w:val="hy-AM" w:eastAsia="en-US"/>
        </w:rPr>
      </w:pPr>
      <w:r w:rsidRPr="00961B35">
        <w:rPr>
          <w:rFonts w:cs="Sylfaen"/>
          <w:szCs w:val="22"/>
          <w:lang w:val="hy-AM" w:eastAsia="en-US"/>
        </w:rPr>
        <w:t>2018 թվականին համաշխարհային տնտեսական աճը կազմել է 3.6%</w:t>
      </w:r>
      <w:r w:rsidRPr="00961B35">
        <w:rPr>
          <w:rFonts w:cs="Sylfaen"/>
          <w:b w:val="0"/>
          <w:szCs w:val="22"/>
          <w:lang w:val="hy-AM" w:eastAsia="en-US"/>
        </w:rPr>
        <w:t>, ընդ որում՝ զարգացած երկրներում աճը եղել է 2.2%, որից՝ ԱՄՆ-ն աճել է 2.9, ԵՄ-ը (Եվրոգոտի)՝ 1.9%-ով։ Զարգացող երկրներում աճը 2018 թվականին եղել է ավելի բարձր` 4.5%, որից՝ ՌԴ-ն աճել է 2.3%-ով։ 2018 թվականի նավթի համաշխարհային գների աճը դրական ազդեցություն է ունեցել ՌԴ տնտեսության վերականգնման վրա, ինչի արդյունքում աճել է ՌԴ պահանջարկը հայկական ապրանքների նկատմամբ՝ ՀՀ արտահանման ծավալներն դեպի ՌԴ զգալի ավելացել են (մոտ 20%-ով)։ Նախորդ տարվա համեմատ աճել է</w:t>
      </w:r>
      <w:r w:rsidRPr="00961B35" w:rsidDel="00062958">
        <w:rPr>
          <w:rFonts w:cs="Sylfaen"/>
          <w:b w:val="0"/>
          <w:szCs w:val="22"/>
          <w:lang w:val="hy-AM" w:eastAsia="en-US"/>
        </w:rPr>
        <w:t xml:space="preserve"> </w:t>
      </w:r>
      <w:r w:rsidRPr="00961B35">
        <w:rPr>
          <w:rFonts w:cs="Sylfaen"/>
          <w:b w:val="0"/>
          <w:szCs w:val="22"/>
          <w:lang w:val="hy-AM" w:eastAsia="en-US"/>
        </w:rPr>
        <w:t>նաև ՌԴ-ից ՀՀ-ում կատարված ուղղակի ներդրումների ներհոսքը (մոտ 32%-ով): Զուգահեռ զգալի աճել են պղնձի համաշխարհային գները՝ նպաստելով ՀՀ արտահանման աճին: Նշված տնտեսական զարգացումներով պայմանավորված արտարժույթի ներհոսքը դեպի հանրապետություն աճել է` նպաստելով տնօրինվող եկամուտների և ՀՀ տնտեսական աճի արագացմանը:</w:t>
      </w:r>
    </w:p>
    <w:p w:rsidR="00961B35" w:rsidRPr="00961B35" w:rsidRDefault="00961B35" w:rsidP="00961B35">
      <w:pPr>
        <w:spacing w:before="0"/>
        <w:ind w:firstLine="720"/>
        <w:contextualSpacing w:val="0"/>
        <w:rPr>
          <w:rFonts w:cs="Sylfaen"/>
          <w:b w:val="0"/>
          <w:szCs w:val="22"/>
          <w:lang w:val="hy-AM" w:eastAsia="en-US"/>
        </w:rPr>
      </w:pPr>
      <w:r w:rsidRPr="00961B35">
        <w:rPr>
          <w:rFonts w:cs="Sylfaen"/>
          <w:szCs w:val="22"/>
          <w:lang w:val="hy-AM" w:eastAsia="en-US"/>
        </w:rPr>
        <w:t>2019 թվականին ակնկալվում է, որ համաշխարհային տնտեսական աճը նախորդ տարվա նկատմամբ կդանդաղի և կկազմի 3.2%</w:t>
      </w:r>
      <w:r w:rsidRPr="00961B35">
        <w:rPr>
          <w:rFonts w:cs="Sylfaen"/>
          <w:b w:val="0"/>
          <w:szCs w:val="22"/>
          <w:lang w:val="hy-AM" w:eastAsia="en-US"/>
        </w:rPr>
        <w:t xml:space="preserve">, ընդ որում՝ աճը կդանդաղի ինչպես զարգացած, այնպես էլ զարգացող երկրներում ՝ համապատասխանաբար կազմելով 1.9 և 4.1 տոկոս: Թույլ համաշխարհային աճը հիմնականում պայմանավորվում է գլոբալ պահանջարկի, հատկապես՝ հիմնական միջոցներում ներդրումների նվազմամբ, ԱՄՆ-ի և Չինաստանի միջև առևտրատնտեսական և տեխնոլոգիական լարվածության հետևանքով համաշխարհային առևտրի թուլացմամբ, էներգակիրների գների անկայունությամբ, ինչպես նաև «Brexit»-ի շուրջ </w:t>
      </w:r>
      <w:r w:rsidRPr="00961B35">
        <w:rPr>
          <w:rFonts w:cs="Sylfaen"/>
          <w:b w:val="0"/>
          <w:szCs w:val="22"/>
          <w:lang w:val="hy-AM" w:eastAsia="en-US"/>
        </w:rPr>
        <w:lastRenderedPageBreak/>
        <w:t>անորոշություններով: Սպասվում է, որ մինչև տարեվերջ ԵՄ-ի տնտեսական աճը կդանդաղի՝ կազմելով 1.3%, Գերմանիայի, ԱՄՆ-ի և ՌԴ-ի աճերը նույնպես կդանդաղեն՝ կազելով համապատասխանաբար 0.7, 2.6 և 1.2%։ Ընթացիկ տարվա առաջին եռամսյակում ՌԴ թույլ տնտեսական աճը, կանխատեսվող նավթի համաշխարհային գնի նվազումը, ինչպես նաև ընթացիկ տարվա օգոստոսի վերջից ՌԴ նկատմամբ կիրառվող նոր պատժամիջոցները կհանգեցնեն ՌԴ տնտեսական աճի տեմպի դանդաղմանը: Այդուհանդերձ՝ ՌԴ-ից ՀՀ ուղղակի ներդրումների ներհոսքի նախորդ տարվա աճի միտումը ընթացիկ տարվա առաջին եռամսյակի տվյալներով շարունակվել է։</w:t>
      </w:r>
    </w:p>
    <w:p w:rsidR="00961B35" w:rsidRPr="00961B35" w:rsidRDefault="00961B35" w:rsidP="00961B35">
      <w:pPr>
        <w:spacing w:before="0"/>
        <w:ind w:firstLine="426"/>
        <w:contextualSpacing w:val="0"/>
        <w:rPr>
          <w:rFonts w:cs="GHEA Grapalat"/>
          <w:b w:val="0"/>
          <w:szCs w:val="22"/>
          <w:lang w:val="hy-AM" w:eastAsia="en-US"/>
        </w:rPr>
      </w:pPr>
      <w:r w:rsidRPr="00961B35">
        <w:rPr>
          <w:rFonts w:cs="Sylfaen"/>
          <w:szCs w:val="22"/>
          <w:lang w:val="hy-AM" w:eastAsia="en-US"/>
        </w:rPr>
        <w:t xml:space="preserve">Կանխատեսում. 2020 թվականին համաշխարհային տնտեսական աճը կարագանա և կկազզմի՝ 3.5%: </w:t>
      </w:r>
      <w:r w:rsidRPr="00961B35">
        <w:rPr>
          <w:rFonts w:cs="Sylfaen"/>
          <w:b w:val="0"/>
          <w:szCs w:val="22"/>
          <w:lang w:val="hy-AM" w:eastAsia="en-US"/>
        </w:rPr>
        <w:t>Զ</w:t>
      </w:r>
      <w:r w:rsidRPr="00961B35">
        <w:rPr>
          <w:rFonts w:cs="GHEA Grapalat"/>
          <w:b w:val="0"/>
          <w:szCs w:val="22"/>
          <w:lang w:val="hy-AM" w:eastAsia="en-US"/>
        </w:rPr>
        <w:t>արգացած</w:t>
      </w:r>
      <w:r w:rsidRPr="00961B35">
        <w:rPr>
          <w:rFonts w:cs="Sylfaen"/>
          <w:b w:val="0"/>
          <w:szCs w:val="22"/>
          <w:lang w:val="hy-AM" w:eastAsia="en-US"/>
        </w:rPr>
        <w:t xml:space="preserve"> </w:t>
      </w:r>
      <w:r w:rsidRPr="00961B35">
        <w:rPr>
          <w:rFonts w:cs="GHEA Grapalat"/>
          <w:b w:val="0"/>
          <w:szCs w:val="22"/>
          <w:lang w:val="hy-AM" w:eastAsia="en-US"/>
        </w:rPr>
        <w:t>երկրների</w:t>
      </w:r>
      <w:r w:rsidRPr="00961B35">
        <w:rPr>
          <w:rFonts w:cs="Sylfaen"/>
          <w:b w:val="0"/>
          <w:szCs w:val="22"/>
          <w:lang w:val="hy-AM" w:eastAsia="en-US"/>
        </w:rPr>
        <w:t xml:space="preserve"> </w:t>
      </w:r>
      <w:r w:rsidRPr="00961B35">
        <w:rPr>
          <w:rFonts w:cs="GHEA Grapalat"/>
          <w:b w:val="0"/>
          <w:szCs w:val="22"/>
          <w:lang w:val="hy-AM" w:eastAsia="en-US"/>
        </w:rPr>
        <w:t>տնտեսական</w:t>
      </w:r>
      <w:r w:rsidRPr="00961B35">
        <w:rPr>
          <w:rFonts w:cs="Sylfaen"/>
          <w:b w:val="0"/>
          <w:szCs w:val="22"/>
          <w:lang w:val="hy-AM" w:eastAsia="en-US"/>
        </w:rPr>
        <w:t xml:space="preserve"> </w:t>
      </w:r>
      <w:r w:rsidRPr="00961B35">
        <w:rPr>
          <w:rFonts w:cs="GHEA Grapalat"/>
          <w:b w:val="0"/>
          <w:szCs w:val="22"/>
          <w:lang w:val="hy-AM" w:eastAsia="en-US"/>
        </w:rPr>
        <w:t>աճը</w:t>
      </w:r>
      <w:r w:rsidRPr="00961B35">
        <w:rPr>
          <w:rFonts w:cs="Sylfaen"/>
          <w:b w:val="0"/>
          <w:szCs w:val="22"/>
          <w:lang w:val="hy-AM" w:eastAsia="en-US"/>
        </w:rPr>
        <w:t xml:space="preserve"> 2020 </w:t>
      </w:r>
      <w:r w:rsidRPr="00961B35">
        <w:rPr>
          <w:rFonts w:cs="GHEA Grapalat"/>
          <w:b w:val="0"/>
          <w:szCs w:val="22"/>
          <w:lang w:val="hy-AM" w:eastAsia="en-US"/>
        </w:rPr>
        <w:t>թվականին</w:t>
      </w:r>
      <w:r w:rsidRPr="00961B35">
        <w:rPr>
          <w:rFonts w:cs="Sylfaen"/>
          <w:b w:val="0"/>
          <w:szCs w:val="22"/>
          <w:lang w:val="hy-AM" w:eastAsia="en-US"/>
        </w:rPr>
        <w:t xml:space="preserve"> </w:t>
      </w:r>
      <w:r w:rsidRPr="00961B35">
        <w:rPr>
          <w:rFonts w:cs="GHEA Grapalat"/>
          <w:b w:val="0"/>
          <w:szCs w:val="22"/>
          <w:lang w:val="hy-AM" w:eastAsia="en-US"/>
        </w:rPr>
        <w:t>կդանդաղի՝</w:t>
      </w:r>
      <w:r w:rsidRPr="00961B35">
        <w:rPr>
          <w:rFonts w:cs="Sylfaen"/>
          <w:b w:val="0"/>
          <w:szCs w:val="22"/>
          <w:lang w:val="hy-AM" w:eastAsia="en-US"/>
        </w:rPr>
        <w:t xml:space="preserve"> </w:t>
      </w:r>
      <w:r w:rsidRPr="00961B35">
        <w:rPr>
          <w:rFonts w:cs="GHEA Grapalat"/>
          <w:b w:val="0"/>
          <w:szCs w:val="22"/>
          <w:lang w:val="hy-AM" w:eastAsia="en-US"/>
        </w:rPr>
        <w:t>կազմելով</w:t>
      </w:r>
      <w:r w:rsidRPr="00961B35">
        <w:rPr>
          <w:rFonts w:cs="Sylfaen"/>
          <w:b w:val="0"/>
          <w:szCs w:val="22"/>
          <w:lang w:val="hy-AM" w:eastAsia="en-US"/>
        </w:rPr>
        <w:t xml:space="preserve"> 1.7%, </w:t>
      </w:r>
      <w:r w:rsidRPr="00961B35">
        <w:rPr>
          <w:rFonts w:cs="GHEA Grapalat"/>
          <w:b w:val="0"/>
          <w:szCs w:val="22"/>
          <w:lang w:val="hy-AM" w:eastAsia="en-US"/>
        </w:rPr>
        <w:t>այդ թվում՝ թուլանում է ԱՄՆ տնտեսկանա աճը (1.9%), իսկ Եվոգոտում այն կարագանա (1.6% աճ)։ ԵՄ երկրներից ՀՀ հիմնական գործընկեր Գերմանիայի տնտեսական աճի սպասումները դրական են՝ նախորդ (ապրիլյան) կանխատեսման համեմատ ԱՄՀ-ի վերջին հրապարակումներում (հուլիս) Գերմանիայի 2020 թվականի տնտեսական աճը վերանայվել է դեպի վերև 0.3 տոկոսային կետով՝ կազմելով 1.7%:</w:t>
      </w:r>
    </w:p>
    <w:p w:rsidR="00961B35" w:rsidRPr="00961B35" w:rsidRDefault="00961B35" w:rsidP="00961B35">
      <w:pPr>
        <w:spacing w:before="0"/>
        <w:ind w:firstLine="426"/>
        <w:contextualSpacing w:val="0"/>
        <w:rPr>
          <w:rFonts w:cs="Sylfaen"/>
          <w:b w:val="0"/>
          <w:szCs w:val="22"/>
          <w:lang w:val="hy-AM" w:eastAsia="en-US"/>
        </w:rPr>
      </w:pPr>
      <w:r w:rsidRPr="00961B35">
        <w:rPr>
          <w:rFonts w:cs="Sylfaen"/>
          <w:b w:val="0"/>
          <w:szCs w:val="22"/>
          <w:lang w:val="hy-AM" w:eastAsia="en-US"/>
        </w:rPr>
        <w:t xml:space="preserve"> Զարգացող երկրների աճը 2020 թվականին կարագանա մինչև 4.7%, որից ՌԴ-ն կաճը 1.9%-ով՝ 0</w:t>
      </w:r>
      <w:r w:rsidRPr="00961B35">
        <w:rPr>
          <w:rFonts w:ascii="Cambria Math" w:hAnsi="Cambria Math" w:cs="Sylfaen"/>
          <w:b w:val="0"/>
          <w:szCs w:val="22"/>
          <w:lang w:val="hy-AM" w:eastAsia="en-US"/>
        </w:rPr>
        <w:t>.</w:t>
      </w:r>
      <w:r w:rsidRPr="00961B35">
        <w:rPr>
          <w:rFonts w:cs="Sylfaen"/>
          <w:b w:val="0"/>
          <w:szCs w:val="22"/>
          <w:lang w:val="hy-AM" w:eastAsia="en-US"/>
        </w:rPr>
        <w:t xml:space="preserve">7 տոկոսային կետով գերազանցելով 2019 թվականի համապատասխան ցուցանիշը։ </w:t>
      </w:r>
    </w:p>
    <w:p w:rsidR="00961B35" w:rsidRPr="00961B35" w:rsidRDefault="00961B35" w:rsidP="00961B3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450"/>
        <w:contextualSpacing w:val="0"/>
        <w:rPr>
          <w:rFonts w:cs="Sylfaen"/>
          <w:b w:val="0"/>
          <w:szCs w:val="22"/>
          <w:lang w:val="hy-AM" w:eastAsia="en-US"/>
        </w:rPr>
      </w:pPr>
      <w:r w:rsidRPr="00961B35">
        <w:rPr>
          <w:rFonts w:cs="Sylfaen"/>
          <w:b w:val="0"/>
          <w:szCs w:val="22"/>
          <w:lang w:val="hy-AM" w:eastAsia="en-US"/>
        </w:rPr>
        <w:t>Կանխատեսվում է նաև, որ նավթի գները 2020 թվականին կնվազեն 2.5%-ով</w:t>
      </w:r>
      <w:r w:rsidRPr="00961B35">
        <w:rPr>
          <w:rFonts w:ascii="Arial Armenian" w:hAnsi="Arial Armenian" w:cs="Sylfaen"/>
          <w:b w:val="0"/>
          <w:sz w:val="20"/>
          <w:szCs w:val="20"/>
          <w:vertAlign w:val="superscript"/>
          <w:lang w:val="hy-AM" w:eastAsia="en-US"/>
        </w:rPr>
        <w:footnoteReference w:id="22"/>
      </w:r>
      <w:r w:rsidRPr="00961B35">
        <w:rPr>
          <w:rFonts w:cs="Sylfaen"/>
          <w:b w:val="0"/>
          <w:szCs w:val="22"/>
          <w:lang w:val="hy-AM" w:eastAsia="en-US"/>
        </w:rPr>
        <w:t>, ինչպես նաև 2.9%-ով</w:t>
      </w:r>
      <w:r w:rsidRPr="00961B35">
        <w:rPr>
          <w:rFonts w:ascii="Arial Armenian" w:hAnsi="Arial Armenian" w:cs="Sylfaen"/>
          <w:b w:val="0"/>
          <w:sz w:val="20"/>
          <w:szCs w:val="20"/>
          <w:vertAlign w:val="superscript"/>
          <w:lang w:val="hy-AM" w:eastAsia="en-US"/>
        </w:rPr>
        <w:footnoteReference w:id="23"/>
      </w:r>
      <w:r w:rsidRPr="00961B35" w:rsidDel="001844C7">
        <w:rPr>
          <w:rFonts w:cs="Sylfaen"/>
          <w:b w:val="0"/>
          <w:szCs w:val="22"/>
          <w:lang w:val="hy-AM" w:eastAsia="en-US"/>
        </w:rPr>
        <w:t xml:space="preserve"> </w:t>
      </w:r>
      <w:r w:rsidRPr="00961B35">
        <w:rPr>
          <w:rFonts w:cs="Sylfaen"/>
          <w:b w:val="0"/>
          <w:szCs w:val="22"/>
          <w:lang w:val="hy-AM" w:eastAsia="en-US"/>
        </w:rPr>
        <w:t>կաճեն պղնձի համաշխարհային գները:</w:t>
      </w:r>
      <w:r w:rsidRPr="00961B35" w:rsidDel="005E07E7">
        <w:rPr>
          <w:rFonts w:cs="Sylfaen"/>
          <w:b w:val="0"/>
          <w:szCs w:val="22"/>
          <w:lang w:val="hy-AM" w:eastAsia="en-US"/>
        </w:rPr>
        <w:t xml:space="preserve"> </w:t>
      </w:r>
      <w:r w:rsidRPr="00961B35">
        <w:rPr>
          <w:rFonts w:cs="Sylfaen"/>
          <w:b w:val="0"/>
          <w:szCs w:val="22"/>
          <w:lang w:val="hy-AM" w:eastAsia="en-US"/>
        </w:rPr>
        <w:t xml:space="preserve"> </w:t>
      </w:r>
    </w:p>
    <w:p w:rsidR="00961B35" w:rsidRPr="00961B35" w:rsidRDefault="00961B35" w:rsidP="00961B35">
      <w:pPr>
        <w:spacing w:before="0"/>
        <w:ind w:firstLine="450"/>
        <w:contextualSpacing w:val="0"/>
        <w:rPr>
          <w:rFonts w:cs="Sylfaen"/>
          <w:szCs w:val="22"/>
          <w:lang w:val="hy-AM" w:eastAsia="en-US"/>
        </w:rPr>
      </w:pPr>
    </w:p>
    <w:p w:rsidR="00961B35" w:rsidRPr="00961B35" w:rsidRDefault="00961B35" w:rsidP="00961B35">
      <w:pPr>
        <w:spacing w:before="0"/>
        <w:ind w:firstLine="450"/>
        <w:contextualSpacing w:val="0"/>
        <w:rPr>
          <w:rFonts w:cs="Sylfaen"/>
          <w:b w:val="0"/>
          <w:szCs w:val="22"/>
          <w:lang w:val="hy-AM" w:eastAsia="en-US"/>
        </w:rPr>
      </w:pPr>
      <w:r w:rsidRPr="00961B35">
        <w:rPr>
          <w:rFonts w:cs="Sylfaen"/>
          <w:szCs w:val="22"/>
          <w:lang w:val="hy-AM" w:eastAsia="en-US"/>
        </w:rPr>
        <w:t>Ներմուծման աշխարհագրական կառուցվածքը</w:t>
      </w:r>
      <w:r w:rsidRPr="00961B35">
        <w:rPr>
          <w:rFonts w:cs="Sylfaen"/>
          <w:b w:val="0"/>
          <w:szCs w:val="22"/>
          <w:lang w:val="hy-AM" w:eastAsia="en-US"/>
        </w:rPr>
        <w:t xml:space="preserve"> </w:t>
      </w:r>
    </w:p>
    <w:p w:rsidR="00961B35" w:rsidRPr="00961B35" w:rsidRDefault="00961B35" w:rsidP="00961B35">
      <w:pPr>
        <w:spacing w:before="0"/>
        <w:ind w:firstLine="450"/>
        <w:contextualSpacing w:val="0"/>
        <w:rPr>
          <w:rFonts w:cs="Sylfaen"/>
          <w:b w:val="0"/>
          <w:szCs w:val="22"/>
          <w:lang w:val="hy-AM" w:eastAsia="en-US"/>
        </w:rPr>
      </w:pPr>
      <w:r w:rsidRPr="00961B35">
        <w:rPr>
          <w:rFonts w:cs="Sylfaen"/>
          <w:b w:val="0"/>
          <w:szCs w:val="22"/>
          <w:lang w:val="hy-AM" w:eastAsia="en-US"/>
        </w:rPr>
        <w:t>2018 թվականին երկրի սպառողական պահանջարկը հիմնականում բավա</w:t>
      </w:r>
      <w:r w:rsidRPr="00961B35">
        <w:rPr>
          <w:rFonts w:cs="Sylfaen"/>
          <w:b w:val="0"/>
          <w:szCs w:val="22"/>
          <w:lang w:val="hy-AM" w:eastAsia="en-US"/>
        </w:rPr>
        <w:softHyphen/>
        <w:t>րարվել է հետևյալ գործընկեր երկրներից ներմուծման հաշվին` Չինաստան (նպաստումը` 4.5 տոկոսային կետ, ներմուծվում է հիմնականում. սարքավորումներ և ապարատներ, տրանսպորտային միջոցներ, դրանց մասեր, հանքային վառելանյութեր, հագուստ), Գերմանիայից (2</w:t>
      </w:r>
      <w:r w:rsidRPr="00961B35">
        <w:rPr>
          <w:rFonts w:ascii="Cambria Math" w:hAnsi="Cambria Math" w:cs="Cambria Math"/>
          <w:b w:val="0"/>
          <w:szCs w:val="22"/>
          <w:lang w:val="hy-AM" w:eastAsia="en-US"/>
        </w:rPr>
        <w:t>.</w:t>
      </w:r>
      <w:r w:rsidRPr="00961B35">
        <w:rPr>
          <w:rFonts w:cs="Sylfaen"/>
          <w:b w:val="0"/>
          <w:szCs w:val="22"/>
          <w:lang w:val="hy-AM" w:eastAsia="en-US"/>
        </w:rPr>
        <w:t>3, տրանսպորտային միջոցներ, կաթսաներ, սարքավորումներ, դրանց մասեր), ԻԻՀ-ից (2.3, հանքային վառելիք, նավթ և նավթամթերք, պլաստմասսայից արտադրատեսակներ), Ռուսաստան (2.1, հանքային վառելանյութեր, նավթ և նավթամթերք, բիտումային միջոցներ, մոման</w:t>
      </w:r>
      <w:r w:rsidRPr="00961B35">
        <w:rPr>
          <w:rFonts w:cs="Sylfaen"/>
          <w:b w:val="0"/>
          <w:szCs w:val="22"/>
          <w:lang w:val="hy-AM" w:eastAsia="en-US"/>
        </w:rPr>
        <w:softHyphen/>
        <w:t>յու</w:t>
      </w:r>
      <w:r w:rsidRPr="00961B35">
        <w:rPr>
          <w:rFonts w:cs="Sylfaen"/>
          <w:b w:val="0"/>
          <w:szCs w:val="22"/>
          <w:lang w:val="hy-AM" w:eastAsia="en-US"/>
        </w:rPr>
        <w:softHyphen/>
        <w:t xml:space="preserve">թեր, հացահատիկներ), որոնք ապահովել են 2018 թվականի ընդհանուր ներմուծման 21.4% աճի 11.3 տոկոսային կետը: </w:t>
      </w:r>
    </w:p>
    <w:p w:rsidR="00961B35" w:rsidRPr="00961B35" w:rsidRDefault="00961B35" w:rsidP="00961B35">
      <w:pPr>
        <w:spacing w:before="0"/>
        <w:ind w:firstLine="450"/>
        <w:contextualSpacing w:val="0"/>
        <w:rPr>
          <w:rFonts w:cs="Sylfaen"/>
          <w:b w:val="0"/>
          <w:szCs w:val="22"/>
          <w:lang w:val="hy-AM" w:eastAsia="en-US"/>
        </w:rPr>
      </w:pPr>
      <w:r w:rsidRPr="00961B35">
        <w:rPr>
          <w:rFonts w:cs="Sylfaen"/>
          <w:b w:val="0"/>
          <w:szCs w:val="22"/>
          <w:lang w:val="hy-AM" w:eastAsia="en-US"/>
        </w:rPr>
        <w:lastRenderedPageBreak/>
        <w:t>2019 թվականի յոթ ամիսների տվյալներով ներմուծման 1.9% աճին հիմնականում նպաստել են Ռուսաստանը՝ 2.2, Չինաստանը՝ 1.8, ԻԻՀ-ը` 1.3 տոկոսային կետերով: Նախորդ տարվա համապա</w:t>
      </w:r>
      <w:r w:rsidRPr="00961B35">
        <w:rPr>
          <w:rFonts w:cs="Sylfaen"/>
          <w:b w:val="0"/>
          <w:szCs w:val="22"/>
          <w:lang w:val="hy-AM" w:eastAsia="en-US"/>
        </w:rPr>
        <w:softHyphen/>
        <w:t>տաս</w:t>
      </w:r>
      <w:r w:rsidRPr="00961B35">
        <w:rPr>
          <w:rFonts w:cs="Sylfaen"/>
          <w:b w:val="0"/>
          <w:szCs w:val="22"/>
          <w:lang w:val="hy-AM" w:eastAsia="en-US"/>
        </w:rPr>
        <w:softHyphen/>
        <w:t>խան ժամանակահատվածի համեմատ ԵՄ երկրների կշիռը նվազել է 2.3, իսկ Այլ և ԵԱՏՄ երկրների</w:t>
      </w:r>
      <w:r w:rsidRPr="00961B35" w:rsidDel="003C6404">
        <w:rPr>
          <w:rFonts w:cs="Sylfaen"/>
          <w:b w:val="0"/>
          <w:szCs w:val="22"/>
          <w:lang w:val="hy-AM" w:eastAsia="en-US"/>
        </w:rPr>
        <w:t xml:space="preserve"> </w:t>
      </w:r>
      <w:r w:rsidRPr="00961B35">
        <w:rPr>
          <w:rFonts w:cs="Sylfaen"/>
          <w:b w:val="0"/>
          <w:szCs w:val="22"/>
          <w:lang w:val="hy-AM" w:eastAsia="en-US"/>
        </w:rPr>
        <w:t>կշիռներն ընդհանուր ներմուծման մեջ աճել են 1.4 և 1.9 տոկոսային կետերով:</w:t>
      </w:r>
    </w:p>
    <w:p w:rsidR="00961B35" w:rsidRPr="00961B35" w:rsidRDefault="00961B35" w:rsidP="00961B35">
      <w:pPr>
        <w:spacing w:before="0"/>
        <w:ind w:firstLine="450"/>
        <w:contextualSpacing w:val="0"/>
        <w:rPr>
          <w:rFonts w:cs="Sylfaen"/>
          <w:b w:val="0"/>
          <w:szCs w:val="22"/>
          <w:lang w:val="hy-AM" w:eastAsia="en-US"/>
        </w:rPr>
      </w:pPr>
      <w:r w:rsidRPr="00961B35">
        <w:rPr>
          <w:rFonts w:cs="Sylfaen"/>
          <w:szCs w:val="22"/>
          <w:lang w:val="hy-AM" w:eastAsia="en-US"/>
        </w:rPr>
        <w:t>Արտահանման աշխարհագրական կառուցվածքը</w:t>
      </w:r>
    </w:p>
    <w:p w:rsidR="00961B35" w:rsidRPr="00961B35" w:rsidRDefault="00961B35" w:rsidP="00961B35">
      <w:pPr>
        <w:spacing w:before="0"/>
        <w:ind w:firstLine="450"/>
        <w:contextualSpacing w:val="0"/>
        <w:rPr>
          <w:rFonts w:cs="Sylfaen"/>
          <w:b w:val="0"/>
          <w:szCs w:val="22"/>
          <w:lang w:val="hy-AM" w:eastAsia="en-US"/>
        </w:rPr>
      </w:pPr>
      <w:r w:rsidRPr="00961B35">
        <w:rPr>
          <w:rFonts w:cs="Sylfaen"/>
          <w:b w:val="0"/>
          <w:szCs w:val="22"/>
          <w:lang w:val="hy-AM" w:eastAsia="en-US"/>
        </w:rPr>
        <w:t>2018 թվականի ՀՀ արտահանման աճի շուրջ 10.5 տո</w:t>
      </w:r>
      <w:r w:rsidRPr="00961B35">
        <w:rPr>
          <w:rFonts w:cs="Sylfaen"/>
          <w:b w:val="0"/>
          <w:szCs w:val="22"/>
          <w:lang w:val="hy-AM" w:eastAsia="en-US"/>
        </w:rPr>
        <w:softHyphen/>
        <w:t>կո</w:t>
      </w:r>
      <w:r w:rsidRPr="00961B35">
        <w:rPr>
          <w:rFonts w:cs="Sylfaen"/>
          <w:b w:val="0"/>
          <w:szCs w:val="22"/>
          <w:lang w:val="hy-AM" w:eastAsia="en-US"/>
        </w:rPr>
        <w:softHyphen/>
        <w:t>սային կետը ապահովել են Հայաստանյան ապրանքների նկատմամբ հիմ</w:t>
      </w:r>
      <w:r w:rsidRPr="00961B35">
        <w:rPr>
          <w:rFonts w:cs="Sylfaen"/>
          <w:b w:val="0"/>
          <w:szCs w:val="22"/>
          <w:lang w:val="hy-AM" w:eastAsia="en-US"/>
        </w:rPr>
        <w:softHyphen/>
        <w:t>նա</w:t>
      </w:r>
      <w:r w:rsidRPr="00961B35">
        <w:rPr>
          <w:rFonts w:cs="Sylfaen"/>
          <w:b w:val="0"/>
          <w:szCs w:val="22"/>
          <w:lang w:val="hy-AM" w:eastAsia="en-US"/>
        </w:rPr>
        <w:softHyphen/>
        <w:t>կան պահանջարկը ներկա</w:t>
      </w:r>
      <w:r w:rsidRPr="00961B35">
        <w:rPr>
          <w:rFonts w:cs="Sylfaen"/>
          <w:b w:val="0"/>
          <w:szCs w:val="22"/>
          <w:lang w:val="hy-AM" w:eastAsia="en-US"/>
        </w:rPr>
        <w:softHyphen/>
        <w:t>յաց</w:t>
      </w:r>
      <w:r w:rsidRPr="00961B35">
        <w:rPr>
          <w:rFonts w:cs="Sylfaen"/>
          <w:b w:val="0"/>
          <w:szCs w:val="22"/>
          <w:lang w:val="hy-AM" w:eastAsia="en-US"/>
        </w:rPr>
        <w:softHyphen/>
        <w:t>նեող հետևյալ երկրները. Ռուսաստան` 4.8, Շվեյցարիա՝ 3.4, և Ռումինիա` 2.3, Նիդերլանդներ՝ 2.0 տոկոսային կե</w:t>
      </w:r>
      <w:r w:rsidRPr="00961B35">
        <w:rPr>
          <w:rFonts w:cs="Sylfaen"/>
          <w:b w:val="0"/>
          <w:szCs w:val="22"/>
          <w:lang w:val="hy-AM" w:eastAsia="en-US"/>
        </w:rPr>
        <w:softHyphen/>
        <w:t>տե</w:t>
      </w:r>
      <w:r w:rsidRPr="00961B35">
        <w:rPr>
          <w:rFonts w:cs="Sylfaen"/>
          <w:b w:val="0"/>
          <w:szCs w:val="22"/>
          <w:lang w:val="hy-AM" w:eastAsia="en-US"/>
        </w:rPr>
        <w:softHyphen/>
        <w:t>րով: Մյուս կողմից արտահանման աճին 9.4 տոկոսային կե</w:t>
      </w:r>
      <w:r w:rsidRPr="00961B35">
        <w:rPr>
          <w:rFonts w:cs="Sylfaen"/>
          <w:b w:val="0"/>
          <w:szCs w:val="22"/>
          <w:lang w:val="hy-AM" w:eastAsia="en-US"/>
        </w:rPr>
        <w:softHyphen/>
        <w:t>տով հակազդել է դեպի Վրաստան, Բուլղարիա, ԱՄԷ, Չինաստան և ԱՄՆ արտահանվող ծավալների կրճատումը: Նշված երկրներ արտահանվող հիմնական ապրան</w:t>
      </w:r>
      <w:r w:rsidRPr="00961B35">
        <w:rPr>
          <w:rFonts w:cs="Sylfaen"/>
          <w:b w:val="0"/>
          <w:szCs w:val="22"/>
          <w:lang w:val="hy-AM" w:eastAsia="en-US"/>
        </w:rPr>
        <w:softHyphen/>
        <w:t>քա</w:t>
      </w:r>
      <w:r w:rsidRPr="00961B35">
        <w:rPr>
          <w:rFonts w:cs="Sylfaen"/>
          <w:b w:val="0"/>
          <w:szCs w:val="22"/>
          <w:lang w:val="hy-AM" w:eastAsia="en-US"/>
        </w:rPr>
        <w:softHyphen/>
        <w:t>տեսակներն են` բնական կամ արհեստական մարգարիտ, թանկարժեք կամ կիսաթանկարժեք քարեր, թանկարժեք մետաղներ, ոգելից և ոչ ոգելից ըմպելիքներ և քացախ, ծխախոտ և ծխախոտի արդյունաբերական փոխարինիչներ, հանքաքար, խարամ և մոխիր, ալյումին և իրեր դրանից և այլ ապ</w:t>
      </w:r>
      <w:r w:rsidRPr="00961B35">
        <w:rPr>
          <w:rFonts w:cs="Sylfaen"/>
          <w:b w:val="0"/>
          <w:szCs w:val="22"/>
          <w:lang w:val="hy-AM" w:eastAsia="en-US"/>
        </w:rPr>
        <w:softHyphen/>
        <w:t>րանք</w:t>
      </w:r>
      <w:r w:rsidRPr="00961B35">
        <w:rPr>
          <w:rFonts w:cs="Sylfaen"/>
          <w:b w:val="0"/>
          <w:szCs w:val="22"/>
          <w:lang w:val="hy-AM" w:eastAsia="en-US"/>
        </w:rPr>
        <w:softHyphen/>
        <w:t xml:space="preserve">ներ: </w:t>
      </w:r>
    </w:p>
    <w:p w:rsidR="00961B35" w:rsidRPr="00961B35" w:rsidRDefault="00961B35" w:rsidP="00961B35">
      <w:pPr>
        <w:spacing w:before="0"/>
        <w:ind w:firstLine="450"/>
        <w:contextualSpacing w:val="0"/>
        <w:rPr>
          <w:rFonts w:cs="Sylfaen"/>
          <w:b w:val="0"/>
          <w:szCs w:val="22"/>
          <w:lang w:val="hy-AM" w:eastAsia="en-US"/>
        </w:rPr>
      </w:pPr>
      <w:r w:rsidRPr="00961B35">
        <w:rPr>
          <w:rFonts w:cs="Sylfaen"/>
          <w:b w:val="0"/>
          <w:szCs w:val="22"/>
          <w:lang w:val="hy-AM" w:eastAsia="en-US"/>
        </w:rPr>
        <w:t>2019 թվականի հունվար-հուլիս ամիսների ընթացքում ՀՀ արտահանման 3% աճի 11.1 տոկոսային կետը ապահովել են հետևյալ հիմնական գործընկեր երկները</w:t>
      </w:r>
      <w:r w:rsidRPr="00961B35">
        <w:rPr>
          <w:rFonts w:ascii="Cambria Math" w:hAnsi="Cambria Math" w:cs="Cambria Math"/>
          <w:b w:val="0"/>
          <w:szCs w:val="22"/>
          <w:lang w:val="hy-AM" w:eastAsia="en-US"/>
        </w:rPr>
        <w:t>.</w:t>
      </w:r>
      <w:r w:rsidRPr="00961B35">
        <w:rPr>
          <w:rFonts w:cs="Sylfaen"/>
          <w:b w:val="0"/>
          <w:szCs w:val="22"/>
          <w:lang w:val="hy-AM" w:eastAsia="en-US"/>
        </w:rPr>
        <w:t xml:space="preserve"> Շվեցարիա՝ 3.5, Չինաստան՝ 3.2, Ռուսաստան՝ 2.4 և Նիդերլանդներ՝ 2.0 տոկոսային կետերով: Նախորդ տարվա համապա</w:t>
      </w:r>
      <w:r w:rsidRPr="00961B35">
        <w:rPr>
          <w:rFonts w:cs="Sylfaen"/>
          <w:b w:val="0"/>
          <w:szCs w:val="22"/>
          <w:lang w:val="hy-AM" w:eastAsia="en-US"/>
        </w:rPr>
        <w:softHyphen/>
        <w:t>տաս</w:t>
      </w:r>
      <w:r w:rsidRPr="00961B35">
        <w:rPr>
          <w:rFonts w:cs="Sylfaen"/>
          <w:b w:val="0"/>
          <w:szCs w:val="22"/>
          <w:lang w:val="hy-AM" w:eastAsia="en-US"/>
        </w:rPr>
        <w:softHyphen/>
        <w:t>խան ժամանակահատվածի համեմատ Այլ և ԵԱՏՄ երկրների կշիռները ՀՀ ընդհանուր արտահանման մեջ աճել են 6 և 1.5 տոկոսային կետերով, իսկ ԵՄ</w:t>
      </w:r>
      <w:r w:rsidRPr="00961B35" w:rsidDel="00D01828">
        <w:rPr>
          <w:rFonts w:cs="Sylfaen"/>
          <w:b w:val="0"/>
          <w:szCs w:val="22"/>
          <w:lang w:val="hy-AM" w:eastAsia="en-US"/>
        </w:rPr>
        <w:t xml:space="preserve"> </w:t>
      </w:r>
      <w:r w:rsidRPr="00961B35">
        <w:rPr>
          <w:rFonts w:cs="Sylfaen"/>
          <w:b w:val="0"/>
          <w:szCs w:val="22"/>
          <w:lang w:val="hy-AM" w:eastAsia="en-US"/>
        </w:rPr>
        <w:t>երկրների</w:t>
      </w:r>
      <w:r w:rsidRPr="00961B35" w:rsidDel="00D01828">
        <w:rPr>
          <w:rFonts w:cs="Sylfaen"/>
          <w:b w:val="0"/>
          <w:szCs w:val="22"/>
          <w:lang w:val="hy-AM" w:eastAsia="en-US"/>
        </w:rPr>
        <w:t xml:space="preserve"> </w:t>
      </w:r>
      <w:r w:rsidRPr="00961B35">
        <w:rPr>
          <w:rFonts w:cs="Sylfaen"/>
          <w:b w:val="0"/>
          <w:szCs w:val="22"/>
          <w:lang w:val="hy-AM" w:eastAsia="en-US"/>
        </w:rPr>
        <w:t>կշիռը՝ նվազել է 7.8 տոկոսային կետով (հիմանականում պայմանավորված մետաղների գների անկմամբ):</w:t>
      </w:r>
    </w:p>
    <w:p w:rsidR="00961B35" w:rsidRPr="00961B35" w:rsidRDefault="00961B35" w:rsidP="00961B35">
      <w:pPr>
        <w:tabs>
          <w:tab w:val="right" w:pos="8640"/>
        </w:tabs>
        <w:spacing w:before="0"/>
        <w:ind w:firstLine="450"/>
        <w:contextualSpacing w:val="0"/>
        <w:rPr>
          <w:rFonts w:cs="Sylfaen"/>
          <w:szCs w:val="22"/>
          <w:lang w:val="hy-AM" w:eastAsia="en-US"/>
        </w:rPr>
      </w:pPr>
    </w:p>
    <w:p w:rsidR="00961B35" w:rsidRPr="00961B35" w:rsidRDefault="00961B35" w:rsidP="00961B35">
      <w:pPr>
        <w:tabs>
          <w:tab w:val="right" w:pos="8640"/>
        </w:tabs>
        <w:spacing w:before="0"/>
        <w:ind w:firstLine="450"/>
        <w:contextualSpacing w:val="0"/>
        <w:rPr>
          <w:rFonts w:cs="Sylfaen"/>
          <w:b w:val="0"/>
          <w:szCs w:val="22"/>
          <w:lang w:val="hy-AM" w:eastAsia="en-US"/>
        </w:rPr>
      </w:pPr>
      <w:r w:rsidRPr="00961B35">
        <w:rPr>
          <w:rFonts w:cs="Sylfaen"/>
          <w:szCs w:val="22"/>
          <w:lang w:val="hy-AM" w:eastAsia="en-US"/>
        </w:rPr>
        <w:t xml:space="preserve">2018 թվականին ՀՀ արտաքին առևտրի աշխարհագրական կառուցվածքը նախորդ տարվա համեմատ գրեթե չի փոփոխվել: </w:t>
      </w:r>
      <w:r w:rsidRPr="00961B35">
        <w:rPr>
          <w:rFonts w:cs="Sylfaen"/>
          <w:b w:val="0"/>
          <w:szCs w:val="22"/>
          <w:lang w:val="hy-AM" w:eastAsia="en-US"/>
        </w:rPr>
        <w:t>2018 թվականի արտաքին առևտրաշրջանառության 29.8%-ը բաժին է ընկել ԱՊՀ (որից 26.9%-ը՝ ԵԱՏՄ), 24.9%-ը` ԵՄ և 45.3%-ը` Այլ երկրներին: ՀՀ արտաքին առևտրաշրջանառության 16.6% աճին ամենամեծ դրական նպաստումն են ունեցել Այլ երկները` 7.7 տոկոսային կետով (հիմնականում այդ երկրներից ներմուծման հաշվին): 2018 թվականին ՀՀ խոշոր առևտրային գործընկերների շրջանակում ընդգրկված էին. ԱՊՀ երկրներից՝ Ռուսաստանը (առևտրաշրջանառության 26.1%, նախորդ տարվա 27.3%-ի դիմաց) և Ուկրաինան (համապատասխանաբար՝ 2.3% և 2%): Իսկ ԵՄ և Այլ երկրներից՝ Չինաստանը (առևտրաշրջանառության 10.4%, նախորդ տարվա 9.4%-ի դիմաց), Շվեյցարիան (6.3% և 5.6%), Գերմանիան (5.9% և 5.3%), Իրանը (4.9% և 4.1%) և Բուլղարիան (3.5% և 5.1%):</w:t>
      </w:r>
    </w:p>
    <w:p w:rsidR="00961B35" w:rsidRPr="00961B35" w:rsidRDefault="00961B35" w:rsidP="00961B35">
      <w:pPr>
        <w:tabs>
          <w:tab w:val="right" w:pos="8640"/>
        </w:tabs>
        <w:spacing w:before="0"/>
        <w:ind w:firstLine="450"/>
        <w:contextualSpacing w:val="0"/>
        <w:rPr>
          <w:rFonts w:cs="Sylfaen"/>
          <w:b w:val="0"/>
          <w:szCs w:val="22"/>
          <w:lang w:val="hy-AM" w:eastAsia="en-US"/>
        </w:rPr>
      </w:pPr>
      <w:r w:rsidRPr="00961B35">
        <w:rPr>
          <w:rFonts w:cs="Sylfaen"/>
          <w:b w:val="0"/>
          <w:szCs w:val="22"/>
          <w:lang w:val="hy-AM" w:eastAsia="en-US"/>
        </w:rPr>
        <w:lastRenderedPageBreak/>
        <w:t>Ընթացիկ տարվա յոթ ամիսներին արտաքին առևտրաշրջանառության 30.8%-ը բաժին է ընկել ԱՊՀ (որից 28.5%-ը` ԵԱՏՄ), 21.8%-ը` ԵՄ և 47.4%-ը` Այլ երկրներին: ԵՄ երկրների կշիռը ՀՀ արտաքին առևտրաշրջանառության մեջ կրճատվել է 4.2 տոկոսային կետով, իսկ Այլ երկրներինը՝ աճել է 2.9 տոկոսային կետով, ինչը հիմնականում պայմանավորվել է արտահանման ուղղվածության փոփոխությամբ՝ արտահանումը ԵՄ նվազել է մոտ 23%-ով, իսկ Այլ երկրներ՝ աճել է մոտ 18%:</w:t>
      </w:r>
    </w:p>
    <w:p w:rsidR="00961B35" w:rsidRPr="00961B35" w:rsidRDefault="00961B35" w:rsidP="00961B35">
      <w:pPr>
        <w:tabs>
          <w:tab w:val="right" w:pos="8640"/>
        </w:tabs>
        <w:spacing w:before="0"/>
        <w:ind w:firstLine="450"/>
        <w:contextualSpacing w:val="0"/>
        <w:rPr>
          <w:rFonts w:cs="Sylfaen"/>
          <w:i/>
          <w:szCs w:val="22"/>
          <w:lang w:val="hy-AM" w:eastAsia="en-US"/>
        </w:rPr>
      </w:pPr>
    </w:p>
    <w:p w:rsidR="00961B35" w:rsidRPr="00961B35" w:rsidRDefault="00961B35" w:rsidP="00961B35">
      <w:pPr>
        <w:tabs>
          <w:tab w:val="right" w:pos="8640"/>
        </w:tabs>
        <w:spacing w:before="0"/>
        <w:ind w:firstLine="450"/>
        <w:contextualSpacing w:val="0"/>
        <w:rPr>
          <w:rFonts w:cs="Times Armenian"/>
          <w:szCs w:val="22"/>
          <w:lang w:val="hy-AM" w:eastAsia="en-US"/>
        </w:rPr>
      </w:pPr>
      <w:r w:rsidRPr="00961B35">
        <w:rPr>
          <w:rFonts w:cs="Sylfaen"/>
          <w:szCs w:val="22"/>
          <w:lang w:val="hy-AM" w:eastAsia="en-US"/>
        </w:rPr>
        <w:t>1.6.3. Փոխարժեք</w:t>
      </w:r>
      <w:r w:rsidRPr="00961B35">
        <w:rPr>
          <w:rFonts w:cs="Times Armenian"/>
          <w:szCs w:val="22"/>
          <w:lang w:val="hy-AM" w:eastAsia="en-US"/>
        </w:rPr>
        <w:t xml:space="preserve"> </w:t>
      </w:r>
    </w:p>
    <w:p w:rsidR="00961B35" w:rsidRPr="00961B35" w:rsidRDefault="00961B35" w:rsidP="00961B35">
      <w:pPr>
        <w:tabs>
          <w:tab w:val="right" w:pos="8640"/>
        </w:tabs>
        <w:spacing w:before="0"/>
        <w:ind w:firstLine="450"/>
        <w:contextualSpacing w:val="0"/>
        <w:rPr>
          <w:rFonts w:cs="Sylfaen"/>
          <w:b w:val="0"/>
          <w:szCs w:val="22"/>
          <w:lang w:val="hy-AM" w:eastAsia="en-US"/>
        </w:rPr>
      </w:pPr>
      <w:r w:rsidRPr="00961B35">
        <w:rPr>
          <w:rFonts w:cs="Sylfaen"/>
          <w:szCs w:val="22"/>
          <w:lang w:val="hy-AM" w:eastAsia="en-US"/>
        </w:rPr>
        <w:tab/>
        <w:t xml:space="preserve">ԱՄՆ դոլարի նկատմամբ ՀՀ դրամի փոխարժեքի արժեզրկման տեմպը դանդաղում է: </w:t>
      </w:r>
      <w:r w:rsidRPr="00961B35">
        <w:rPr>
          <w:rFonts w:cs="Sylfaen"/>
          <w:b w:val="0"/>
          <w:szCs w:val="22"/>
          <w:lang w:val="hy-AM" w:eastAsia="en-US"/>
        </w:rPr>
        <w:t>Վերջին տարիների ընթացքում ԱՄՆ դոլարի նկատմամբ ՀՀ դրամի փոխարժեքը ընդհանուր առմամբ կայուն էր: 2018 թվականի տարեսկզբից ԱՄՆ դոլարի նկատմամբ ՀՀ դրամը արժևորված էր (0.9%), այնուհանդերձ՝ սկսած մայիս ամսից արժևորումն ունեցել է դանդաղման միտում, իսկ հոկտեմբերից սկսած տեղի է ունեցել թույլ արժեզրկում՝ արդյունքում նախորդ տարվա համեմատ տարեվերջին դրամն արժեզրկվել է 0.1 տոկոսով:</w:t>
      </w:r>
    </w:p>
    <w:p w:rsidR="00961B35" w:rsidRPr="00961B35" w:rsidRDefault="00961B35" w:rsidP="00961B35">
      <w:pPr>
        <w:tabs>
          <w:tab w:val="right" w:pos="8640"/>
        </w:tabs>
        <w:spacing w:before="0"/>
        <w:ind w:firstLine="450"/>
        <w:contextualSpacing w:val="0"/>
        <w:rPr>
          <w:rFonts w:cs="Sylfaen"/>
          <w:b w:val="0"/>
          <w:szCs w:val="22"/>
          <w:lang w:val="hy-AM" w:eastAsia="en-US"/>
        </w:rPr>
      </w:pPr>
      <w:r w:rsidRPr="00961B35">
        <w:rPr>
          <w:rFonts w:cs="Sylfaen"/>
          <w:b w:val="0"/>
          <w:szCs w:val="22"/>
          <w:lang w:val="hy-AM" w:eastAsia="en-US"/>
        </w:rPr>
        <w:t>2019 թվականի սկզբից ՀՀ դրամի փոխարժեքը ԱՄՆ դոլարի նկատմամբ շարունակել է արժեզրկման  միտումը, որը առաջին երեք ամիսների արագացումից հետո ապրիլ ամսից սկսել է դանդաղել: Արդյունքում ընթացիկ տարվա առաջին յոթ ամիսներին ՀՀ դրամը ԱՄՆ դոլարի նկատմամբ նախորդ տարվա նույն ժամանակահատվածի համեմատ արժեզրկվել է 0.2 տոկոսով՝ կազմելով 483.1 դրամ 1 ԱՄՆ դոլարի դիմաց:</w:t>
      </w:r>
    </w:p>
    <w:p w:rsidR="00961B35" w:rsidRPr="00961B35" w:rsidRDefault="00961B35" w:rsidP="00961B35">
      <w:pPr>
        <w:tabs>
          <w:tab w:val="right" w:pos="8640"/>
        </w:tabs>
        <w:spacing w:before="0"/>
        <w:ind w:firstLine="450"/>
        <w:contextualSpacing w:val="0"/>
        <w:rPr>
          <w:rFonts w:cs="Sylfaen"/>
          <w:b w:val="0"/>
          <w:szCs w:val="22"/>
          <w:lang w:val="hy-AM" w:eastAsia="en-US"/>
        </w:rPr>
      </w:pPr>
      <w:r w:rsidRPr="00961B35">
        <w:rPr>
          <w:rFonts w:cs="Sylfaen"/>
          <w:szCs w:val="22"/>
          <w:lang w:val="hy-AM" w:eastAsia="en-US"/>
        </w:rPr>
        <w:t xml:space="preserve">ՀՀ դրամի իրական արդյունավետ փոխարժեքի նախորդ տարվա վերջի թույլ արժևորումը 2019 թվականի ընթացքում արագացել է: </w:t>
      </w:r>
      <w:r w:rsidRPr="00961B35">
        <w:rPr>
          <w:rFonts w:cs="Sylfaen"/>
          <w:b w:val="0"/>
          <w:szCs w:val="22"/>
          <w:lang w:val="hy-AM" w:eastAsia="en-US"/>
        </w:rPr>
        <w:t>ՀՀ ազգային արժույթն արտաքին առևտրի տեսանկյունից առավել կարևոր մի քանի արժույթ</w:t>
      </w:r>
      <w:r w:rsidRPr="00961B35">
        <w:rPr>
          <w:rFonts w:cs="Sylfaen"/>
          <w:b w:val="0"/>
          <w:szCs w:val="22"/>
          <w:lang w:val="hy-AM" w:eastAsia="en-US"/>
        </w:rPr>
        <w:softHyphen/>
        <w:t>ներից բաղկացած «զամբյուղի» նկատմամբ (անվանական արդյու</w:t>
      </w:r>
      <w:r w:rsidRPr="00961B35">
        <w:rPr>
          <w:rFonts w:cs="Sylfaen"/>
          <w:b w:val="0"/>
          <w:szCs w:val="22"/>
          <w:lang w:val="hy-AM" w:eastAsia="en-US"/>
        </w:rPr>
        <w:softHyphen/>
        <w:t>նավետ փոխարժեք</w:t>
      </w:r>
      <w:r w:rsidRPr="00961B35">
        <w:rPr>
          <w:rFonts w:cs="Sylfaen"/>
          <w:b w:val="0"/>
          <w:szCs w:val="22"/>
          <w:vertAlign w:val="superscript"/>
          <w:lang w:val="hy-AM" w:eastAsia="en-US"/>
        </w:rPr>
        <w:footnoteReference w:id="24"/>
      </w:r>
      <w:r w:rsidRPr="00961B35">
        <w:rPr>
          <w:rFonts w:cs="Sylfaen"/>
          <w:b w:val="0"/>
          <w:szCs w:val="22"/>
          <w:lang w:val="hy-AM" w:eastAsia="en-US"/>
        </w:rPr>
        <w:t>) ընթացիկ տարվա առաջին յոթ ամիսներին նախորդ տարվա համապա</w:t>
      </w:r>
      <w:r w:rsidRPr="00961B35">
        <w:rPr>
          <w:rFonts w:cs="Sylfaen"/>
          <w:b w:val="0"/>
          <w:szCs w:val="22"/>
          <w:lang w:val="hy-AM" w:eastAsia="en-US"/>
        </w:rPr>
        <w:softHyphen/>
        <w:t>տասխան ժամանակահատվածի համե</w:t>
      </w:r>
      <w:r w:rsidRPr="00961B35">
        <w:rPr>
          <w:rFonts w:cs="Sylfaen"/>
          <w:b w:val="0"/>
          <w:szCs w:val="22"/>
          <w:lang w:val="hy-AM" w:eastAsia="en-US"/>
        </w:rPr>
        <w:softHyphen/>
        <w:t>մատ արժևորվել  է 7.2%-ով, ինչը նշանակում է, որ ՀՀ դրամը արժևորվել է հիմնական արժույթ</w:t>
      </w:r>
      <w:r w:rsidRPr="00961B35">
        <w:rPr>
          <w:rFonts w:cs="Sylfaen"/>
          <w:b w:val="0"/>
          <w:szCs w:val="22"/>
          <w:lang w:val="hy-AM" w:eastAsia="en-US"/>
        </w:rPr>
        <w:softHyphen/>
        <w:t xml:space="preserve">ների միավորված գնի համեմատ, ընդ որում` վերոնշյալ «զամբյուղում» ընդգրկված մնացած երկրների արժույթները դոլարի նկատմամբ արժեզրկվել են ավելի շատ (շուրջ 7.4%-ով), քան ՀՀ դրամի արժեզրկումն է </w:t>
      </w:r>
      <w:r w:rsidRPr="00961B35">
        <w:rPr>
          <w:rFonts w:cs="Sylfaen"/>
          <w:b w:val="0"/>
          <w:szCs w:val="22"/>
          <w:lang w:val="hy-AM" w:eastAsia="en-US"/>
        </w:rPr>
        <w:lastRenderedPageBreak/>
        <w:t>(0.2%)</w:t>
      </w:r>
      <w:r w:rsidRPr="00961B35">
        <w:rPr>
          <w:rFonts w:ascii="Arial Armenian" w:hAnsi="Arial Armenian" w:cs="Sylfaen"/>
          <w:b w:val="0"/>
          <w:sz w:val="20"/>
          <w:szCs w:val="20"/>
          <w:vertAlign w:val="superscript"/>
          <w:lang w:val="hy-AM" w:eastAsia="en-US"/>
        </w:rPr>
        <w:footnoteReference w:id="25"/>
      </w:r>
      <w:r w:rsidRPr="00961B35">
        <w:rPr>
          <w:rFonts w:cs="Sylfaen"/>
          <w:b w:val="0"/>
          <w:szCs w:val="22"/>
          <w:lang w:val="hy-AM" w:eastAsia="en-US"/>
        </w:rPr>
        <w:t>:</w:t>
      </w:r>
      <w:r w:rsidRPr="00961B35">
        <w:rPr>
          <w:rFonts w:ascii="Sylfaen" w:hAnsi="Sylfaen"/>
          <w:b w:val="0"/>
          <w:sz w:val="24"/>
          <w:lang w:val="hy-AM" w:eastAsia="en-US"/>
        </w:rPr>
        <w:t xml:space="preserve"> </w:t>
      </w:r>
      <w:r w:rsidRPr="00961B35">
        <w:rPr>
          <w:rFonts w:cs="Sylfaen"/>
          <w:b w:val="0"/>
          <w:szCs w:val="22"/>
          <w:lang w:val="hy-AM" w:eastAsia="en-US"/>
        </w:rPr>
        <w:t>Իրական արդյունավետ փոխարժեքի արժևորումն ընթացիկ տարվա առաջին երեք ամիսներին աստիճանական արագացել է, ապա անվանական արդյունավետ փոխարժեքի արժևորման տեմպին համահունչ դանդաղել՝ 2019 թվականի հունվար-հուլիս ամիսներին նախորդ տարվա նույն ժամանակաշրջանի նկատմամբ արժևորվելով 5.2%-ով:</w:t>
      </w:r>
    </w:p>
    <w:p w:rsidR="00961B35" w:rsidRPr="00961B35" w:rsidRDefault="00961B35" w:rsidP="00961B35">
      <w:pPr>
        <w:spacing w:before="0"/>
        <w:ind w:firstLine="450"/>
        <w:contextualSpacing w:val="0"/>
        <w:rPr>
          <w:rFonts w:cs="Sylfaen"/>
          <w:szCs w:val="22"/>
          <w:u w:val="single"/>
          <w:lang w:val="hy-AM" w:eastAsia="en-US"/>
        </w:rPr>
      </w:pPr>
      <w:r w:rsidRPr="00961B35">
        <w:rPr>
          <w:rFonts w:cs="Sylfaen"/>
          <w:szCs w:val="22"/>
          <w:lang w:val="hy-AM" w:eastAsia="en-US"/>
        </w:rPr>
        <w:t>Ամփոփելով նշենք, որ 2020 թվականին ՀՆԱ-ի նկատմամբ ընթացիկ հաշվի պակասուրդը կկրճատվի՝ մոտենալով իր երկարաժամկետ հավասարակշիռ մակարդակին, ընդ որում՝ արտահանումը ներմուծման համեմատ կունենա առաջանցիկ աճի տեմպ, իսկ դրամական փոխանցումների աճը կվերականգնվի:</w:t>
      </w:r>
    </w:p>
    <w:p w:rsidR="00961B35" w:rsidRPr="00961B35" w:rsidRDefault="00961B35" w:rsidP="00961B35">
      <w:pPr>
        <w:spacing w:before="0"/>
        <w:ind w:firstLine="450"/>
        <w:contextualSpacing w:val="0"/>
        <w:jc w:val="center"/>
        <w:rPr>
          <w:rFonts w:cs="Sylfaen"/>
          <w:szCs w:val="22"/>
          <w:lang w:val="hy-AM" w:eastAsia="en-US"/>
        </w:rPr>
      </w:pPr>
    </w:p>
    <w:p w:rsidR="00961B35" w:rsidRPr="00961B35" w:rsidRDefault="00961B35" w:rsidP="00961B35">
      <w:pPr>
        <w:keepNext/>
        <w:spacing w:before="240" w:after="60" w:line="240" w:lineRule="auto"/>
        <w:ind w:firstLine="450"/>
        <w:contextualSpacing w:val="0"/>
        <w:jc w:val="center"/>
        <w:outlineLvl w:val="2"/>
        <w:rPr>
          <w:rFonts w:cs="Arial"/>
          <w:szCs w:val="26"/>
          <w:lang w:val="hy-AM" w:eastAsia="en-US"/>
        </w:rPr>
      </w:pPr>
      <w:bookmarkStart w:id="26" w:name="_Toc525892381"/>
      <w:bookmarkStart w:id="27" w:name="_Toc525893572"/>
      <w:bookmarkStart w:id="28" w:name="_Toc525893664"/>
      <w:bookmarkStart w:id="29" w:name="_Toc26174921"/>
      <w:r w:rsidRPr="00961B35">
        <w:rPr>
          <w:rFonts w:cs="Arial"/>
          <w:szCs w:val="26"/>
          <w:lang w:val="hy-AM" w:eastAsia="en-US"/>
        </w:rPr>
        <w:t>1.7.  Հարկաբյուջետային հատված</w:t>
      </w:r>
      <w:bookmarkEnd w:id="26"/>
      <w:bookmarkEnd w:id="27"/>
      <w:bookmarkEnd w:id="28"/>
      <w:bookmarkEnd w:id="29"/>
    </w:p>
    <w:p w:rsidR="00961B35" w:rsidRPr="00961B35" w:rsidRDefault="00961B35" w:rsidP="00961B35">
      <w:pPr>
        <w:tabs>
          <w:tab w:val="left" w:pos="540"/>
        </w:tabs>
        <w:spacing w:before="0"/>
        <w:ind w:firstLine="450"/>
        <w:contextualSpacing w:val="0"/>
        <w:rPr>
          <w:b w:val="0"/>
          <w:szCs w:val="22"/>
          <w:lang w:val="hy-AM" w:eastAsia="en-US"/>
        </w:rPr>
      </w:pPr>
    </w:p>
    <w:p w:rsidR="00961B35" w:rsidRPr="00961B35" w:rsidRDefault="00961B35" w:rsidP="00961B35">
      <w:pPr>
        <w:tabs>
          <w:tab w:val="left" w:pos="540"/>
        </w:tabs>
        <w:spacing w:before="0"/>
        <w:ind w:firstLine="450"/>
        <w:contextualSpacing w:val="0"/>
        <w:rPr>
          <w:rFonts w:cs="Sylfaen"/>
          <w:b w:val="0"/>
          <w:szCs w:val="22"/>
          <w:lang w:val="hy-AM" w:eastAsia="en-US"/>
        </w:rPr>
      </w:pPr>
      <w:r w:rsidRPr="00961B35">
        <w:rPr>
          <w:rFonts w:cs="Sylfaen"/>
          <w:bCs/>
          <w:szCs w:val="22"/>
          <w:lang w:val="hy-AM" w:eastAsia="en-US"/>
        </w:rPr>
        <w:t xml:space="preserve">2018 թվականին պարտքի կայունության պահպանման նպատակով նպատակադրվել և իրականացվել է զսպող հարկաբյուջետային քաղաքականություն: </w:t>
      </w:r>
      <w:r w:rsidRPr="00961B35">
        <w:rPr>
          <w:rFonts w:cs="Sylfaen"/>
          <w:b w:val="0"/>
          <w:bCs/>
          <w:szCs w:val="22"/>
          <w:lang w:val="hy-AM" w:eastAsia="en-US"/>
        </w:rPr>
        <w:t xml:space="preserve">2018 թվականին ՀՀ պետական բյուջեի ընդհանուր եկամուտները կազմել են ՀՆԱ-ի 22.3%-ը՝ նախորդ տարվա 22.2%-ի դիմաց, իսկ հարկեր և տուրքերը՝ ՀՆԱ-ի 21.0%-ը նախորդ տարվա 20.8%-ի դիմաց: </w:t>
      </w:r>
      <w:r w:rsidRPr="00961B35">
        <w:rPr>
          <w:rFonts w:cs="Sylfaen"/>
          <w:b w:val="0"/>
          <w:szCs w:val="22"/>
          <w:lang w:val="it-IT" w:eastAsia="en-US"/>
        </w:rPr>
        <w:t xml:space="preserve">Սակայն, նշված ժամանակահատվածում հարկերի իրական պատկերն արտացոլող </w:t>
      </w:r>
      <w:r w:rsidRPr="00961B35">
        <w:rPr>
          <w:rFonts w:cs="Sylfaen"/>
          <w:b w:val="0"/>
          <w:bCs/>
          <w:szCs w:val="22"/>
          <w:lang w:val="hy-AM" w:eastAsia="en-US"/>
        </w:rPr>
        <w:t>ճշգրտված հարկերը (առանց ԱԱՀ վերադարձի</w:t>
      </w:r>
      <w:r w:rsidRPr="00961B35">
        <w:rPr>
          <w:rFonts w:cs="Sylfaen"/>
          <w:b w:val="0"/>
          <w:szCs w:val="22"/>
          <w:vertAlign w:val="superscript"/>
          <w:lang w:val="hy-AM" w:eastAsia="en-US"/>
        </w:rPr>
        <w:footnoteReference w:id="26"/>
      </w:r>
      <w:r w:rsidRPr="00961B35">
        <w:rPr>
          <w:rFonts w:cs="Sylfaen"/>
          <w:b w:val="0"/>
          <w:bCs/>
          <w:szCs w:val="22"/>
          <w:lang w:val="hy-AM" w:eastAsia="en-US"/>
        </w:rPr>
        <w:t xml:space="preserve">) նախորդ տարվա նկատմամբ բարելավվել են </w:t>
      </w:r>
      <w:r w:rsidRPr="00961B35">
        <w:rPr>
          <w:rFonts w:cs="Sylfaen"/>
          <w:b w:val="0"/>
          <w:szCs w:val="22"/>
          <w:lang w:val="hy-AM" w:eastAsia="en-US"/>
        </w:rPr>
        <w:t xml:space="preserve">0.5 տոկոսային կետով: </w:t>
      </w:r>
      <w:r w:rsidRPr="00961B35">
        <w:rPr>
          <w:rFonts w:cs="Sylfaen"/>
          <w:b w:val="0"/>
          <w:bCs/>
          <w:szCs w:val="22"/>
          <w:lang w:val="hy-AM" w:eastAsia="en-US"/>
        </w:rPr>
        <w:t>2018 թվականի արդյունքներով նախորդ տարվա նկատմամբ պետական բյուջեի եկամուտների անվանական աճը կազմել է 8.4%, իսկ հարկային եկամուտներ և տուրքերինը` 8.6%,</w:t>
      </w:r>
      <w:r w:rsidRPr="00961B35">
        <w:rPr>
          <w:rFonts w:cs="Sylfaen"/>
          <w:b w:val="0"/>
          <w:szCs w:val="22"/>
          <w:lang w:val="hy-AM" w:eastAsia="en-US"/>
        </w:rPr>
        <w:t xml:space="preserve"> ճշգրտված հարկային եկամուտները` 10.2%: </w:t>
      </w:r>
    </w:p>
    <w:p w:rsidR="00961B35" w:rsidRPr="00961B35" w:rsidRDefault="00961B35" w:rsidP="00961B35">
      <w:pPr>
        <w:tabs>
          <w:tab w:val="left" w:pos="540"/>
        </w:tabs>
        <w:spacing w:before="0"/>
        <w:ind w:firstLine="450"/>
        <w:contextualSpacing w:val="0"/>
        <w:rPr>
          <w:rFonts w:cs="Sylfaen"/>
          <w:b w:val="0"/>
          <w:szCs w:val="22"/>
          <w:lang w:val="hy-AM" w:eastAsia="en-US"/>
        </w:rPr>
      </w:pPr>
      <w:r w:rsidRPr="00961B35">
        <w:rPr>
          <w:rFonts w:cs="Sylfaen"/>
          <w:b w:val="0"/>
          <w:szCs w:val="22"/>
          <w:lang w:val="hy-AM" w:eastAsia="en-US"/>
        </w:rPr>
        <w:t xml:space="preserve"> </w:t>
      </w:r>
      <w:r w:rsidRPr="00961B35">
        <w:rPr>
          <w:rFonts w:cs="Sylfaen"/>
          <w:b w:val="0"/>
          <w:szCs w:val="22"/>
          <w:lang w:val="hy-AM" w:eastAsia="en-US"/>
        </w:rPr>
        <w:tab/>
        <w:t xml:space="preserve">ՀՀ պետական բյուջեի ծախսեր/ՀՆԱ ցուցանիշը 2018 թվականի արդյունքներով նախորդ տարվա նկատմամբ նվազել է 2.9 տոկոսային կետով և կազմել 24.1%: </w:t>
      </w:r>
      <w:r w:rsidRPr="00961B35">
        <w:rPr>
          <w:rFonts w:eastAsia="Calibri"/>
          <w:b w:val="0"/>
          <w:szCs w:val="22"/>
          <w:lang w:val="hy-AM" w:eastAsia="en-US"/>
        </w:rPr>
        <w:t>Պետական բյուջեի ծախսերում ընթացիկ ծախսերի կշիռը նվազել են 1.1 տոկոսային կետով և կազմել</w:t>
      </w:r>
      <w:r w:rsidRPr="00961B35">
        <w:rPr>
          <w:rFonts w:cs="Sylfaen"/>
          <w:b w:val="0"/>
          <w:szCs w:val="22"/>
          <w:lang w:val="it-IT" w:eastAsia="en-US"/>
        </w:rPr>
        <w:t xml:space="preserve"> ՀՆԱ-ի 21.6%-ը</w:t>
      </w:r>
      <w:r w:rsidRPr="00961B35">
        <w:rPr>
          <w:rFonts w:eastAsia="Calibri"/>
          <w:b w:val="0"/>
          <w:szCs w:val="22"/>
          <w:lang w:val="hy-AM" w:eastAsia="en-US"/>
        </w:rPr>
        <w:t>, իսկ ոչ ֆինանսական ակտիվների գծով ծախսերի կշիռը նվազել է 1.8 տոկոսային կետով և կազմել է ՀՆԱ-ի</w:t>
      </w:r>
      <w:r w:rsidRPr="00961B35">
        <w:rPr>
          <w:rFonts w:cs="Sylfaen"/>
          <w:b w:val="0"/>
          <w:szCs w:val="22"/>
          <w:lang w:val="it-IT" w:eastAsia="en-US"/>
        </w:rPr>
        <w:t xml:space="preserve"> 2.5%-ը:</w:t>
      </w:r>
    </w:p>
    <w:p w:rsidR="00961B35" w:rsidRPr="00961B35" w:rsidRDefault="00961B35" w:rsidP="00961B35">
      <w:pPr>
        <w:tabs>
          <w:tab w:val="left" w:pos="540"/>
        </w:tabs>
        <w:spacing w:before="0"/>
        <w:ind w:firstLine="450"/>
        <w:contextualSpacing w:val="0"/>
        <w:rPr>
          <w:rFonts w:cs="Sylfaen"/>
          <w:b w:val="0"/>
          <w:szCs w:val="22"/>
          <w:lang w:val="it-IT" w:eastAsia="en-US"/>
        </w:rPr>
      </w:pPr>
      <w:r w:rsidRPr="00961B35">
        <w:rPr>
          <w:rFonts w:cs="Sylfaen"/>
          <w:b w:val="0"/>
          <w:szCs w:val="22"/>
          <w:lang w:val="hy-AM" w:eastAsia="en-US"/>
        </w:rPr>
        <w:t>Արդյունքում,</w:t>
      </w:r>
      <w:r w:rsidRPr="00961B35">
        <w:rPr>
          <w:rFonts w:eastAsia="Arial Unicode MS" w:cs="Sylfaen"/>
          <w:b w:val="0"/>
          <w:color w:val="000000"/>
          <w:szCs w:val="22"/>
          <w:lang w:val="hy-AM" w:eastAsia="en-US"/>
        </w:rPr>
        <w:t xml:space="preserve">  զսպող հարկաբյուջետային քաղաքականության</w:t>
      </w:r>
      <w:r w:rsidRPr="00961B35">
        <w:rPr>
          <w:rFonts w:eastAsia="Arial Unicode MS" w:cs="Sylfaen"/>
          <w:b w:val="0"/>
          <w:color w:val="000000"/>
          <w:szCs w:val="22"/>
          <w:lang w:val="it-IT" w:eastAsia="en-US"/>
        </w:rPr>
        <w:t xml:space="preserve"> </w:t>
      </w:r>
      <w:r w:rsidRPr="00961B35">
        <w:rPr>
          <w:rFonts w:eastAsia="Arial Unicode MS" w:cs="Sylfaen"/>
          <w:b w:val="0"/>
          <w:color w:val="000000"/>
          <w:szCs w:val="22"/>
          <w:lang w:val="hy-AM" w:eastAsia="en-US"/>
        </w:rPr>
        <w:t>պայմաններում պ</w:t>
      </w:r>
      <w:r w:rsidRPr="00961B35">
        <w:rPr>
          <w:rFonts w:cs="Sylfaen"/>
          <w:b w:val="0"/>
          <w:szCs w:val="22"/>
          <w:lang w:val="hy-AM" w:eastAsia="en-US"/>
        </w:rPr>
        <w:t>ետական</w:t>
      </w:r>
      <w:r w:rsidRPr="00961B35">
        <w:rPr>
          <w:rFonts w:eastAsia="Arial Unicode MS" w:cs="Sylfaen"/>
          <w:b w:val="0"/>
          <w:color w:val="000000"/>
          <w:szCs w:val="22"/>
          <w:lang w:val="hy-AM" w:eastAsia="en-US"/>
        </w:rPr>
        <w:t xml:space="preserve"> բյուջեի պակասուրդը նվազել</w:t>
      </w:r>
      <w:r w:rsidRPr="00961B35">
        <w:rPr>
          <w:rFonts w:eastAsia="Arial Unicode MS" w:cs="Sylfaen"/>
          <w:b w:val="0"/>
          <w:color w:val="000000"/>
          <w:szCs w:val="22"/>
          <w:lang w:val="it-IT" w:eastAsia="en-US"/>
        </w:rPr>
        <w:t xml:space="preserve"> </w:t>
      </w:r>
      <w:r w:rsidRPr="00961B35">
        <w:rPr>
          <w:rFonts w:eastAsia="Arial Unicode MS" w:cs="Sylfaen"/>
          <w:b w:val="0"/>
          <w:color w:val="000000"/>
          <w:szCs w:val="22"/>
          <w:lang w:val="hy-AM" w:eastAsia="en-US"/>
        </w:rPr>
        <w:t>է</w:t>
      </w:r>
      <w:r w:rsidRPr="00961B35">
        <w:rPr>
          <w:rFonts w:eastAsia="Arial Unicode MS" w:cs="Sylfaen"/>
          <w:b w:val="0"/>
          <w:color w:val="000000"/>
          <w:szCs w:val="22"/>
          <w:lang w:val="it-IT" w:eastAsia="en-US"/>
        </w:rPr>
        <w:t>:</w:t>
      </w:r>
      <w:r w:rsidRPr="00961B35">
        <w:rPr>
          <w:rFonts w:cs="Sylfaen"/>
          <w:b w:val="0"/>
          <w:szCs w:val="22"/>
          <w:lang w:val="hy-AM" w:eastAsia="en-US"/>
        </w:rPr>
        <w:tab/>
      </w:r>
      <w:r w:rsidRPr="00961B35">
        <w:rPr>
          <w:rFonts w:cs="Sylfaen"/>
          <w:b w:val="0"/>
          <w:szCs w:val="22"/>
          <w:lang w:val="it-IT" w:eastAsia="en-US"/>
        </w:rPr>
        <w:t>2018 թվականին պետական բուջեի պակասուրդը կազմել է ՀՆԱ-</w:t>
      </w:r>
      <w:r w:rsidRPr="00961B35">
        <w:rPr>
          <w:rFonts w:cs="Sylfaen"/>
          <w:b w:val="0"/>
          <w:szCs w:val="22"/>
          <w:lang w:val="it-IT" w:eastAsia="en-US"/>
        </w:rPr>
        <w:lastRenderedPageBreak/>
        <w:t>ի 1.8%՝ նախորդ տարվա համեմատ նվազելով 3.0 տոկոսային կետով,</w:t>
      </w:r>
      <w:r w:rsidRPr="00961B35">
        <w:rPr>
          <w:rFonts w:cs="Sylfaen"/>
          <w:b w:val="0"/>
          <w:szCs w:val="22"/>
          <w:lang w:val="hy-AM" w:eastAsia="en-US"/>
        </w:rPr>
        <w:t xml:space="preserve"> </w:t>
      </w:r>
      <w:r w:rsidRPr="00961B35">
        <w:rPr>
          <w:rFonts w:cs="Sylfaen"/>
          <w:b w:val="0"/>
          <w:szCs w:val="22"/>
          <w:lang w:val="it-IT" w:eastAsia="en-US"/>
        </w:rPr>
        <w:t>իսկ  առանց նախորդ տարվա ՌԴ-ից ստացված ռազմական վարկի</w:t>
      </w:r>
      <w:r w:rsidRPr="00961B35">
        <w:rPr>
          <w:rFonts w:cs="Sylfaen"/>
          <w:b w:val="0"/>
          <w:szCs w:val="22"/>
          <w:lang w:val="hy-AM" w:eastAsia="en-US"/>
        </w:rPr>
        <w:t xml:space="preserve"> նվազել է 1.5 տոկոսային կետով:</w:t>
      </w:r>
    </w:p>
    <w:p w:rsidR="00961B35" w:rsidRPr="00961B35" w:rsidRDefault="00961B35" w:rsidP="00961B35">
      <w:pPr>
        <w:autoSpaceDE w:val="0"/>
        <w:autoSpaceDN w:val="0"/>
        <w:adjustRightInd w:val="0"/>
        <w:spacing w:before="0"/>
        <w:ind w:right="-12" w:firstLine="561"/>
        <w:contextualSpacing w:val="0"/>
        <w:rPr>
          <w:rFonts w:cs="GHEA Grapalat"/>
          <w:b w:val="0"/>
          <w:szCs w:val="22"/>
          <w:lang w:val="hy-AM" w:eastAsia="en-US"/>
        </w:rPr>
      </w:pPr>
      <w:r w:rsidRPr="00961B35">
        <w:rPr>
          <w:rFonts w:cs="GHEA Grapalat"/>
          <w:szCs w:val="22"/>
          <w:lang w:val="hy-AM" w:eastAsia="en-US"/>
        </w:rPr>
        <w:t>2019 թվականի</w:t>
      </w:r>
      <w:r w:rsidRPr="00961B35">
        <w:rPr>
          <w:rFonts w:cs="GHEA Grapalat"/>
          <w:szCs w:val="22"/>
          <w:lang w:val="en-US" w:eastAsia="en-US"/>
        </w:rPr>
        <w:t>ն</w:t>
      </w:r>
      <w:r w:rsidRPr="00961B35">
        <w:rPr>
          <w:rFonts w:cs="GHEA Grapalat"/>
          <w:szCs w:val="22"/>
          <w:lang w:val="hy-AM" w:eastAsia="en-US"/>
        </w:rPr>
        <w:t xml:space="preserve"> հարկաբյուջետային քաղաքականության ուղղությունը պահպանվել է։</w:t>
      </w:r>
      <w:r w:rsidRPr="00961B35">
        <w:rPr>
          <w:rFonts w:cs="GHEA Grapalat"/>
          <w:b w:val="0"/>
          <w:szCs w:val="22"/>
          <w:lang w:val="hy-AM" w:eastAsia="en-US"/>
        </w:rPr>
        <w:t xml:space="preserve"> 2019 թվականի հարկաբյուջետային քաղաքականության ազդեցությունն ամբողջական պահանջարկի վրա ծրագրվել էր գրեթե չեզոք, սակայն տնտեսության աճի պայմաններում հարկաբյուջետային և պարտքի կայունության պահպանման նպատակով տարվա ընթացքում իրականացվել է զսպող հարկաբյուջետային քաղաքականություն:</w:t>
      </w:r>
    </w:p>
    <w:p w:rsidR="00961B35" w:rsidRPr="00961B35" w:rsidRDefault="00961B35" w:rsidP="00961B35">
      <w:pPr>
        <w:spacing w:before="0"/>
        <w:ind w:firstLine="540"/>
        <w:contextualSpacing w:val="0"/>
        <w:rPr>
          <w:rFonts w:cs="Sylfaen"/>
          <w:szCs w:val="22"/>
          <w:lang w:val="it-IT" w:eastAsia="en-US"/>
        </w:rPr>
      </w:pPr>
      <w:r w:rsidRPr="00961B35">
        <w:rPr>
          <w:rFonts w:cs="Sylfaen"/>
          <w:b w:val="0"/>
          <w:szCs w:val="22"/>
          <w:lang w:val="it-IT" w:eastAsia="en-US"/>
        </w:rPr>
        <w:t xml:space="preserve">2019 </w:t>
      </w:r>
      <w:r w:rsidRPr="00961B35">
        <w:rPr>
          <w:rFonts w:cs="Sylfaen"/>
          <w:b w:val="0"/>
          <w:szCs w:val="22"/>
          <w:lang w:val="hy-AM" w:eastAsia="en-US"/>
        </w:rPr>
        <w:t>թվականի</w:t>
      </w:r>
      <w:r w:rsidRPr="00961B35">
        <w:rPr>
          <w:rFonts w:cs="Sylfaen"/>
          <w:b w:val="0"/>
          <w:szCs w:val="22"/>
          <w:lang w:val="it-IT" w:eastAsia="en-US"/>
        </w:rPr>
        <w:t xml:space="preserve"> </w:t>
      </w:r>
      <w:r w:rsidRPr="00961B35">
        <w:rPr>
          <w:rFonts w:cs="Sylfaen"/>
          <w:b w:val="0"/>
          <w:szCs w:val="22"/>
          <w:lang w:val="hy-AM" w:eastAsia="en-US"/>
        </w:rPr>
        <w:t>հունվար</w:t>
      </w:r>
      <w:r w:rsidRPr="00961B35">
        <w:rPr>
          <w:rFonts w:cs="Sylfaen"/>
          <w:b w:val="0"/>
          <w:szCs w:val="22"/>
          <w:lang w:val="it-IT" w:eastAsia="en-US"/>
        </w:rPr>
        <w:t>-</w:t>
      </w:r>
      <w:r w:rsidRPr="00961B35">
        <w:rPr>
          <w:rFonts w:cs="Sylfaen"/>
          <w:b w:val="0"/>
          <w:szCs w:val="22"/>
          <w:lang w:val="hy-AM" w:eastAsia="en-US"/>
        </w:rPr>
        <w:t>հուլիս</w:t>
      </w:r>
      <w:r w:rsidRPr="00961B35">
        <w:rPr>
          <w:rFonts w:cs="Sylfaen"/>
          <w:b w:val="0"/>
          <w:szCs w:val="22"/>
          <w:lang w:val="it-IT" w:eastAsia="en-US"/>
        </w:rPr>
        <w:t xml:space="preserve"> </w:t>
      </w:r>
      <w:r w:rsidRPr="00961B35">
        <w:rPr>
          <w:rFonts w:cs="Sylfaen"/>
          <w:b w:val="0"/>
          <w:szCs w:val="22"/>
          <w:lang w:val="hy-AM" w:eastAsia="en-US"/>
        </w:rPr>
        <w:t>ամիսների</w:t>
      </w:r>
      <w:r w:rsidRPr="00961B35">
        <w:rPr>
          <w:rFonts w:cs="Sylfaen"/>
          <w:b w:val="0"/>
          <w:szCs w:val="22"/>
          <w:lang w:val="it-IT" w:eastAsia="en-US"/>
        </w:rPr>
        <w:t xml:space="preserve"> </w:t>
      </w:r>
      <w:r w:rsidRPr="00961B35">
        <w:rPr>
          <w:rFonts w:cs="Sylfaen"/>
          <w:b w:val="0"/>
          <w:szCs w:val="22"/>
          <w:lang w:val="hy-AM" w:eastAsia="en-US"/>
        </w:rPr>
        <w:t>արդյունքներով</w:t>
      </w:r>
      <w:r w:rsidRPr="00961B35">
        <w:rPr>
          <w:rFonts w:cs="Sylfaen"/>
          <w:b w:val="0"/>
          <w:szCs w:val="22"/>
          <w:lang w:val="it-IT" w:eastAsia="en-US"/>
        </w:rPr>
        <w:t xml:space="preserve"> </w:t>
      </w:r>
      <w:r w:rsidRPr="00961B35">
        <w:rPr>
          <w:rFonts w:cs="Sylfaen"/>
          <w:b w:val="0"/>
          <w:szCs w:val="22"/>
          <w:lang w:val="hy-AM" w:eastAsia="en-US"/>
        </w:rPr>
        <w:t>ՀՀ</w:t>
      </w:r>
      <w:r w:rsidRPr="00961B35">
        <w:rPr>
          <w:rFonts w:cs="Sylfaen"/>
          <w:b w:val="0"/>
          <w:szCs w:val="22"/>
          <w:lang w:val="it-IT" w:eastAsia="en-US"/>
        </w:rPr>
        <w:t xml:space="preserve"> </w:t>
      </w:r>
      <w:r w:rsidRPr="00961B35">
        <w:rPr>
          <w:rFonts w:cs="Sylfaen"/>
          <w:b w:val="0"/>
          <w:szCs w:val="22"/>
          <w:lang w:val="hy-AM" w:eastAsia="en-US"/>
        </w:rPr>
        <w:t>պետական</w:t>
      </w:r>
      <w:r w:rsidRPr="00961B35">
        <w:rPr>
          <w:rFonts w:cs="Sylfaen"/>
          <w:b w:val="0"/>
          <w:szCs w:val="22"/>
          <w:lang w:val="it-IT" w:eastAsia="en-US"/>
        </w:rPr>
        <w:t xml:space="preserve"> </w:t>
      </w:r>
      <w:r w:rsidRPr="00961B35">
        <w:rPr>
          <w:rFonts w:cs="Sylfaen"/>
          <w:b w:val="0"/>
          <w:szCs w:val="22"/>
          <w:lang w:val="hy-AM" w:eastAsia="en-US"/>
        </w:rPr>
        <w:t>բյուջեի</w:t>
      </w:r>
      <w:r w:rsidRPr="00961B35">
        <w:rPr>
          <w:rFonts w:cs="Sylfaen"/>
          <w:b w:val="0"/>
          <w:szCs w:val="22"/>
          <w:lang w:val="it-IT" w:eastAsia="en-US"/>
        </w:rPr>
        <w:t xml:space="preserve"> </w:t>
      </w:r>
      <w:r w:rsidRPr="00961B35">
        <w:rPr>
          <w:rFonts w:cs="Sylfaen"/>
          <w:b w:val="0"/>
          <w:szCs w:val="22"/>
          <w:lang w:val="hy-AM" w:eastAsia="en-US"/>
        </w:rPr>
        <w:t>ընդհանուր</w:t>
      </w:r>
      <w:r w:rsidRPr="00961B35">
        <w:rPr>
          <w:rFonts w:cs="Sylfaen"/>
          <w:b w:val="0"/>
          <w:szCs w:val="22"/>
          <w:lang w:val="it-IT" w:eastAsia="en-US"/>
        </w:rPr>
        <w:t xml:space="preserve"> </w:t>
      </w:r>
      <w:r w:rsidRPr="00961B35">
        <w:rPr>
          <w:b w:val="0"/>
          <w:szCs w:val="22"/>
          <w:lang w:val="hy-AM" w:eastAsia="en-US"/>
        </w:rPr>
        <w:t>եկամուտները</w:t>
      </w:r>
      <w:r w:rsidRPr="00961B35">
        <w:rPr>
          <w:b w:val="0"/>
          <w:szCs w:val="22"/>
          <w:lang w:val="it-IT" w:eastAsia="en-US"/>
        </w:rPr>
        <w:t xml:space="preserve"> նախորդ տարվա նկատմամբ աճել են 23.8</w:t>
      </w:r>
      <w:r w:rsidRPr="00961B35">
        <w:rPr>
          <w:rFonts w:cs="Sylfaen"/>
          <w:b w:val="0"/>
          <w:szCs w:val="22"/>
          <w:lang w:val="it-IT" w:eastAsia="en-US"/>
        </w:rPr>
        <w:t>%</w:t>
      </w:r>
      <w:r w:rsidRPr="00961B35">
        <w:rPr>
          <w:b w:val="0"/>
          <w:szCs w:val="22"/>
          <w:lang w:val="it-IT" w:eastAsia="en-US"/>
        </w:rPr>
        <w:t>-ով</w:t>
      </w:r>
      <w:r w:rsidRPr="00961B35">
        <w:rPr>
          <w:b w:val="0"/>
          <w:szCs w:val="22"/>
          <w:lang w:val="hy-AM" w:eastAsia="en-US"/>
        </w:rPr>
        <w:t xml:space="preserve"> և կազմել՝</w:t>
      </w:r>
      <w:r w:rsidRPr="00961B35">
        <w:rPr>
          <w:b w:val="0"/>
          <w:szCs w:val="22"/>
          <w:lang w:val="it-IT" w:eastAsia="en-US"/>
        </w:rPr>
        <w:t xml:space="preserve"> 884.5 </w:t>
      </w:r>
      <w:r w:rsidRPr="00961B35">
        <w:rPr>
          <w:b w:val="0"/>
          <w:szCs w:val="22"/>
          <w:lang w:val="hy-AM" w:eastAsia="en-US"/>
        </w:rPr>
        <w:t>մլրդ</w:t>
      </w:r>
      <w:r w:rsidRPr="00961B35">
        <w:rPr>
          <w:b w:val="0"/>
          <w:szCs w:val="22"/>
          <w:lang w:val="it-IT" w:eastAsia="en-US"/>
        </w:rPr>
        <w:t xml:space="preserve">. </w:t>
      </w:r>
      <w:r w:rsidRPr="00961B35">
        <w:rPr>
          <w:b w:val="0"/>
          <w:szCs w:val="22"/>
          <w:lang w:val="hy-AM" w:eastAsia="en-US"/>
        </w:rPr>
        <w:t>դրամ</w:t>
      </w:r>
      <w:r w:rsidRPr="00961B35">
        <w:rPr>
          <w:b w:val="0"/>
          <w:szCs w:val="22"/>
          <w:lang w:val="it-IT" w:eastAsia="en-US"/>
        </w:rPr>
        <w:t xml:space="preserve">, այդ թվում՝  </w:t>
      </w:r>
      <w:r w:rsidRPr="00961B35">
        <w:rPr>
          <w:b w:val="0"/>
          <w:szCs w:val="22"/>
          <w:lang w:val="hy-AM" w:eastAsia="en-US"/>
        </w:rPr>
        <w:t>հարկեր</w:t>
      </w:r>
      <w:r w:rsidRPr="00961B35">
        <w:rPr>
          <w:b w:val="0"/>
          <w:szCs w:val="22"/>
          <w:lang w:val="it-IT" w:eastAsia="en-US"/>
        </w:rPr>
        <w:t xml:space="preserve"> </w:t>
      </w:r>
      <w:r w:rsidRPr="00961B35">
        <w:rPr>
          <w:b w:val="0"/>
          <w:szCs w:val="22"/>
          <w:lang w:val="hy-AM" w:eastAsia="en-US"/>
        </w:rPr>
        <w:t>և</w:t>
      </w:r>
      <w:r w:rsidRPr="00961B35">
        <w:rPr>
          <w:b w:val="0"/>
          <w:szCs w:val="22"/>
          <w:lang w:val="it-IT" w:eastAsia="en-US"/>
        </w:rPr>
        <w:t xml:space="preserve"> </w:t>
      </w:r>
      <w:r w:rsidRPr="00961B35">
        <w:rPr>
          <w:b w:val="0"/>
          <w:szCs w:val="22"/>
          <w:lang w:val="hy-AM" w:eastAsia="en-US"/>
        </w:rPr>
        <w:t xml:space="preserve">տուրքերը </w:t>
      </w:r>
      <w:r w:rsidRPr="00961B35">
        <w:rPr>
          <w:b w:val="0"/>
          <w:szCs w:val="22"/>
          <w:lang w:val="it-IT" w:eastAsia="en-US"/>
        </w:rPr>
        <w:t>նախորդ տարվա նկատմամբ աճել են 23.2</w:t>
      </w:r>
      <w:r w:rsidRPr="00961B35">
        <w:rPr>
          <w:rFonts w:cs="Sylfaen"/>
          <w:b w:val="0"/>
          <w:szCs w:val="22"/>
          <w:lang w:val="it-IT" w:eastAsia="en-US"/>
        </w:rPr>
        <w:t>%</w:t>
      </w:r>
      <w:r w:rsidRPr="00961B35">
        <w:rPr>
          <w:b w:val="0"/>
          <w:szCs w:val="22"/>
          <w:lang w:val="it-IT" w:eastAsia="en-US"/>
        </w:rPr>
        <w:t>-ով և</w:t>
      </w:r>
      <w:r w:rsidRPr="00961B35">
        <w:rPr>
          <w:b w:val="0"/>
          <w:szCs w:val="22"/>
          <w:lang w:val="hy-AM" w:eastAsia="en-US"/>
        </w:rPr>
        <w:t xml:space="preserve"> կազմել՝ </w:t>
      </w:r>
      <w:r w:rsidRPr="00961B35">
        <w:rPr>
          <w:b w:val="0"/>
          <w:szCs w:val="22"/>
          <w:lang w:val="it-IT" w:eastAsia="en-US"/>
        </w:rPr>
        <w:t xml:space="preserve">832.0 </w:t>
      </w:r>
      <w:r w:rsidRPr="00961B35">
        <w:rPr>
          <w:b w:val="0"/>
          <w:szCs w:val="22"/>
          <w:lang w:val="hy-AM" w:eastAsia="en-US"/>
        </w:rPr>
        <w:t>մլրդ</w:t>
      </w:r>
      <w:r w:rsidRPr="00961B35">
        <w:rPr>
          <w:b w:val="0"/>
          <w:szCs w:val="22"/>
          <w:lang w:val="it-IT" w:eastAsia="en-US"/>
        </w:rPr>
        <w:t xml:space="preserve"> </w:t>
      </w:r>
      <w:r w:rsidRPr="00961B35">
        <w:rPr>
          <w:b w:val="0"/>
          <w:szCs w:val="22"/>
          <w:lang w:val="hy-AM" w:eastAsia="en-US"/>
        </w:rPr>
        <w:t>դրամ</w:t>
      </w:r>
      <w:r w:rsidRPr="00961B35">
        <w:rPr>
          <w:b w:val="0"/>
          <w:szCs w:val="22"/>
          <w:lang w:val="it-IT" w:eastAsia="en-US"/>
        </w:rPr>
        <w:t xml:space="preserve">: </w:t>
      </w:r>
      <w:r w:rsidRPr="00961B35">
        <w:rPr>
          <w:b w:val="0"/>
          <w:szCs w:val="22"/>
          <w:lang w:val="hy-AM" w:eastAsia="en-US"/>
        </w:rPr>
        <w:t>Հարկերի</w:t>
      </w:r>
      <w:r w:rsidRPr="00961B35">
        <w:rPr>
          <w:b w:val="0"/>
          <w:szCs w:val="22"/>
          <w:lang w:val="it-IT" w:eastAsia="en-US"/>
        </w:rPr>
        <w:t xml:space="preserve"> </w:t>
      </w:r>
      <w:r w:rsidRPr="00961B35">
        <w:rPr>
          <w:b w:val="0"/>
          <w:szCs w:val="22"/>
          <w:lang w:val="hy-AM" w:eastAsia="en-US"/>
        </w:rPr>
        <w:t>միասնական</w:t>
      </w:r>
      <w:r w:rsidRPr="00961B35">
        <w:rPr>
          <w:b w:val="0"/>
          <w:szCs w:val="22"/>
          <w:lang w:val="it-IT" w:eastAsia="en-US"/>
        </w:rPr>
        <w:t xml:space="preserve"> </w:t>
      </w:r>
      <w:r w:rsidRPr="00961B35">
        <w:rPr>
          <w:b w:val="0"/>
          <w:szCs w:val="22"/>
          <w:lang w:val="hy-AM" w:eastAsia="en-US"/>
        </w:rPr>
        <w:t>հաշվի</w:t>
      </w:r>
      <w:r w:rsidRPr="00961B35">
        <w:rPr>
          <w:b w:val="0"/>
          <w:szCs w:val="22"/>
          <w:lang w:val="it-IT" w:eastAsia="en-US"/>
        </w:rPr>
        <w:t xml:space="preserve"> </w:t>
      </w:r>
      <w:r w:rsidRPr="00961B35">
        <w:rPr>
          <w:b w:val="0"/>
          <w:szCs w:val="22"/>
          <w:lang w:val="hy-AM" w:eastAsia="en-US"/>
        </w:rPr>
        <w:t>զուտ</w:t>
      </w:r>
      <w:r w:rsidRPr="00961B35">
        <w:rPr>
          <w:b w:val="0"/>
          <w:szCs w:val="22"/>
          <w:lang w:val="it-IT" w:eastAsia="en-US"/>
        </w:rPr>
        <w:t xml:space="preserve"> </w:t>
      </w:r>
      <w:r w:rsidRPr="00961B35">
        <w:rPr>
          <w:b w:val="0"/>
          <w:szCs w:val="22"/>
          <w:lang w:val="hy-AM" w:eastAsia="en-US"/>
        </w:rPr>
        <w:t>մուտքերը</w:t>
      </w:r>
      <w:r w:rsidRPr="00961B35">
        <w:rPr>
          <w:b w:val="0"/>
          <w:szCs w:val="22"/>
          <w:lang w:val="it-IT" w:eastAsia="en-US"/>
        </w:rPr>
        <w:t xml:space="preserve"> 2019 </w:t>
      </w:r>
      <w:r w:rsidRPr="00961B35">
        <w:rPr>
          <w:b w:val="0"/>
          <w:szCs w:val="22"/>
          <w:lang w:val="hy-AM" w:eastAsia="en-US"/>
        </w:rPr>
        <w:t>թվականի</w:t>
      </w:r>
      <w:r w:rsidRPr="00961B35">
        <w:rPr>
          <w:b w:val="0"/>
          <w:szCs w:val="22"/>
          <w:lang w:val="it-IT" w:eastAsia="en-US"/>
        </w:rPr>
        <w:t xml:space="preserve"> </w:t>
      </w:r>
      <w:r w:rsidRPr="00961B35">
        <w:rPr>
          <w:b w:val="0"/>
          <w:szCs w:val="22"/>
          <w:lang w:val="hy-AM" w:eastAsia="en-US"/>
        </w:rPr>
        <w:t>օգոստոսի</w:t>
      </w:r>
      <w:r w:rsidRPr="00961B35">
        <w:rPr>
          <w:b w:val="0"/>
          <w:szCs w:val="22"/>
          <w:lang w:val="it-IT" w:eastAsia="en-US"/>
        </w:rPr>
        <w:t xml:space="preserve"> 1-</w:t>
      </w:r>
      <w:r w:rsidRPr="00961B35">
        <w:rPr>
          <w:b w:val="0"/>
          <w:szCs w:val="22"/>
          <w:lang w:val="hy-AM" w:eastAsia="en-US"/>
        </w:rPr>
        <w:t>ի</w:t>
      </w:r>
      <w:r w:rsidRPr="00961B35">
        <w:rPr>
          <w:b w:val="0"/>
          <w:szCs w:val="22"/>
          <w:lang w:val="it-IT" w:eastAsia="en-US"/>
        </w:rPr>
        <w:t xml:space="preserve"> </w:t>
      </w:r>
      <w:r w:rsidRPr="00961B35">
        <w:rPr>
          <w:b w:val="0"/>
          <w:szCs w:val="22"/>
          <w:lang w:val="hy-AM" w:eastAsia="en-US"/>
        </w:rPr>
        <w:t>դրությամբ</w:t>
      </w:r>
      <w:r w:rsidRPr="00961B35">
        <w:rPr>
          <w:b w:val="0"/>
          <w:szCs w:val="22"/>
          <w:lang w:val="it-IT" w:eastAsia="en-US"/>
        </w:rPr>
        <w:t xml:space="preserve"> </w:t>
      </w:r>
      <w:r w:rsidRPr="00961B35">
        <w:rPr>
          <w:b w:val="0"/>
          <w:szCs w:val="22"/>
          <w:lang w:val="hy-AM" w:eastAsia="en-US"/>
        </w:rPr>
        <w:t>կազմել</w:t>
      </w:r>
      <w:r w:rsidRPr="00961B35">
        <w:rPr>
          <w:b w:val="0"/>
          <w:szCs w:val="22"/>
          <w:lang w:val="it-IT" w:eastAsia="en-US"/>
        </w:rPr>
        <w:t xml:space="preserve"> </w:t>
      </w:r>
      <w:r w:rsidRPr="00961B35">
        <w:rPr>
          <w:b w:val="0"/>
          <w:szCs w:val="22"/>
          <w:lang w:val="hy-AM" w:eastAsia="en-US"/>
        </w:rPr>
        <w:t>են</w:t>
      </w:r>
      <w:r w:rsidRPr="00961B35">
        <w:rPr>
          <w:b w:val="0"/>
          <w:szCs w:val="22"/>
          <w:lang w:val="it-IT" w:eastAsia="en-US"/>
        </w:rPr>
        <w:t xml:space="preserve"> 34.2 </w:t>
      </w:r>
      <w:r w:rsidRPr="00961B35">
        <w:rPr>
          <w:b w:val="0"/>
          <w:szCs w:val="22"/>
          <w:lang w:val="hy-AM" w:eastAsia="en-US"/>
        </w:rPr>
        <w:t>մլրդ</w:t>
      </w:r>
      <w:r w:rsidRPr="00961B35">
        <w:rPr>
          <w:b w:val="0"/>
          <w:szCs w:val="22"/>
          <w:lang w:val="it-IT" w:eastAsia="en-US"/>
        </w:rPr>
        <w:t xml:space="preserve"> </w:t>
      </w:r>
      <w:r w:rsidRPr="00961B35">
        <w:rPr>
          <w:b w:val="0"/>
          <w:szCs w:val="22"/>
          <w:lang w:val="hy-AM" w:eastAsia="en-US"/>
        </w:rPr>
        <w:t>դրամ, իսկ 2019 թվականի հունվարի 1-ից մինչև օգոստոսի 1-ը  միասնական հաշվի շարժը կազմել է (13.9) մլրդ դրամ</w:t>
      </w:r>
      <w:r w:rsidRPr="00961B35">
        <w:rPr>
          <w:b w:val="0"/>
          <w:szCs w:val="22"/>
          <w:lang w:val="it-IT" w:eastAsia="en-US"/>
        </w:rPr>
        <w:t>: Հարկային եկամուտների աճը ներառյալ միասնական հաշվի մնացորդը կազմում է 15.4</w:t>
      </w:r>
      <w:r w:rsidRPr="00961B35">
        <w:rPr>
          <w:rFonts w:cs="Sylfaen"/>
          <w:b w:val="0"/>
          <w:szCs w:val="22"/>
          <w:lang w:val="it-IT" w:eastAsia="en-US"/>
        </w:rPr>
        <w:t xml:space="preserve">%: </w:t>
      </w:r>
      <w:r w:rsidRPr="00961B35">
        <w:rPr>
          <w:b w:val="0"/>
          <w:szCs w:val="22"/>
          <w:lang w:val="hy-AM" w:eastAsia="en-US"/>
        </w:rPr>
        <w:t>Նշենք</w:t>
      </w:r>
      <w:r w:rsidRPr="00961B35">
        <w:rPr>
          <w:b w:val="0"/>
          <w:szCs w:val="22"/>
          <w:lang w:val="it-IT" w:eastAsia="en-US"/>
        </w:rPr>
        <w:t xml:space="preserve">, </w:t>
      </w:r>
      <w:r w:rsidRPr="00961B35">
        <w:rPr>
          <w:b w:val="0"/>
          <w:szCs w:val="22"/>
          <w:lang w:val="hy-AM" w:eastAsia="en-US"/>
        </w:rPr>
        <w:t>որ</w:t>
      </w:r>
      <w:r w:rsidRPr="00961B35">
        <w:rPr>
          <w:b w:val="0"/>
          <w:szCs w:val="22"/>
          <w:lang w:val="it-IT" w:eastAsia="en-US"/>
        </w:rPr>
        <w:t xml:space="preserve"> </w:t>
      </w:r>
      <w:r w:rsidRPr="00961B35">
        <w:rPr>
          <w:b w:val="0"/>
          <w:szCs w:val="22"/>
          <w:lang w:val="hy-AM" w:eastAsia="en-US"/>
        </w:rPr>
        <w:t>պետական</w:t>
      </w:r>
      <w:r w:rsidRPr="00961B35">
        <w:rPr>
          <w:b w:val="0"/>
          <w:szCs w:val="22"/>
          <w:lang w:val="it-IT" w:eastAsia="en-US"/>
        </w:rPr>
        <w:t xml:space="preserve"> </w:t>
      </w:r>
      <w:r w:rsidRPr="00961B35">
        <w:rPr>
          <w:b w:val="0"/>
          <w:szCs w:val="22"/>
          <w:lang w:val="hy-AM" w:eastAsia="en-US"/>
        </w:rPr>
        <w:t>բյուջեի</w:t>
      </w:r>
      <w:r w:rsidRPr="00961B35">
        <w:rPr>
          <w:b w:val="0"/>
          <w:szCs w:val="22"/>
          <w:lang w:val="it-IT" w:eastAsia="en-US"/>
        </w:rPr>
        <w:t xml:space="preserve"> </w:t>
      </w:r>
      <w:r w:rsidRPr="00961B35">
        <w:rPr>
          <w:b w:val="0"/>
          <w:szCs w:val="22"/>
          <w:lang w:val="hy-AM" w:eastAsia="en-US"/>
        </w:rPr>
        <w:t>ընդհանուր</w:t>
      </w:r>
      <w:r w:rsidRPr="00961B35">
        <w:rPr>
          <w:b w:val="0"/>
          <w:szCs w:val="22"/>
          <w:lang w:val="it-IT" w:eastAsia="en-US"/>
        </w:rPr>
        <w:t xml:space="preserve"> </w:t>
      </w:r>
      <w:r w:rsidRPr="00961B35">
        <w:rPr>
          <w:b w:val="0"/>
          <w:szCs w:val="22"/>
          <w:lang w:val="hy-AM" w:eastAsia="en-US"/>
        </w:rPr>
        <w:t>հարկային</w:t>
      </w:r>
      <w:r w:rsidRPr="00961B35">
        <w:rPr>
          <w:b w:val="0"/>
          <w:szCs w:val="22"/>
          <w:lang w:val="it-IT" w:eastAsia="en-US"/>
        </w:rPr>
        <w:t xml:space="preserve"> </w:t>
      </w:r>
      <w:r w:rsidRPr="00961B35">
        <w:rPr>
          <w:b w:val="0"/>
          <w:szCs w:val="22"/>
          <w:lang w:val="hy-AM" w:eastAsia="en-US"/>
        </w:rPr>
        <w:t>եկամուտների</w:t>
      </w:r>
      <w:r w:rsidRPr="00961B35">
        <w:rPr>
          <w:b w:val="0"/>
          <w:szCs w:val="22"/>
          <w:lang w:val="it-IT" w:eastAsia="en-US"/>
        </w:rPr>
        <w:t xml:space="preserve"> </w:t>
      </w:r>
      <w:r w:rsidRPr="00961B35">
        <w:rPr>
          <w:b w:val="0"/>
          <w:szCs w:val="22"/>
          <w:lang w:val="hy-AM" w:eastAsia="en-US"/>
        </w:rPr>
        <w:t>առանձին</w:t>
      </w:r>
      <w:r w:rsidRPr="00961B35">
        <w:rPr>
          <w:b w:val="0"/>
          <w:szCs w:val="22"/>
          <w:lang w:val="it-IT" w:eastAsia="en-US"/>
        </w:rPr>
        <w:t xml:space="preserve"> </w:t>
      </w:r>
      <w:r w:rsidRPr="00961B35">
        <w:rPr>
          <w:b w:val="0"/>
          <w:szCs w:val="22"/>
          <w:lang w:val="hy-AM" w:eastAsia="en-US"/>
        </w:rPr>
        <w:t>հարկատեսակների</w:t>
      </w:r>
      <w:r w:rsidRPr="00961B35">
        <w:rPr>
          <w:b w:val="0"/>
          <w:szCs w:val="22"/>
          <w:lang w:val="it-IT" w:eastAsia="en-US"/>
        </w:rPr>
        <w:t xml:space="preserve"> </w:t>
      </w:r>
      <w:r w:rsidRPr="00961B35">
        <w:rPr>
          <w:b w:val="0"/>
          <w:szCs w:val="22"/>
          <w:lang w:val="hy-AM" w:eastAsia="en-US"/>
        </w:rPr>
        <w:t>մուտքերը</w:t>
      </w:r>
      <w:r w:rsidRPr="00961B35">
        <w:rPr>
          <w:b w:val="0"/>
          <w:szCs w:val="22"/>
          <w:lang w:val="it-IT" w:eastAsia="en-US"/>
        </w:rPr>
        <w:t xml:space="preserve"> </w:t>
      </w:r>
      <w:r w:rsidRPr="00961B35">
        <w:rPr>
          <w:b w:val="0"/>
          <w:szCs w:val="22"/>
          <w:lang w:val="hy-AM" w:eastAsia="en-US"/>
        </w:rPr>
        <w:t>համադրելի</w:t>
      </w:r>
      <w:r w:rsidRPr="00961B35">
        <w:rPr>
          <w:b w:val="0"/>
          <w:szCs w:val="22"/>
          <w:lang w:val="it-IT" w:eastAsia="en-US"/>
        </w:rPr>
        <w:t xml:space="preserve"> </w:t>
      </w:r>
      <w:r w:rsidRPr="00961B35">
        <w:rPr>
          <w:b w:val="0"/>
          <w:szCs w:val="22"/>
          <w:lang w:val="hy-AM" w:eastAsia="en-US"/>
        </w:rPr>
        <w:t>չեն</w:t>
      </w:r>
      <w:r w:rsidRPr="00961B35">
        <w:rPr>
          <w:b w:val="0"/>
          <w:szCs w:val="22"/>
          <w:lang w:val="it-IT" w:eastAsia="en-US"/>
        </w:rPr>
        <w:t xml:space="preserve"> </w:t>
      </w:r>
      <w:r w:rsidRPr="00961B35">
        <w:rPr>
          <w:b w:val="0"/>
          <w:szCs w:val="22"/>
          <w:lang w:val="hy-AM" w:eastAsia="en-US"/>
        </w:rPr>
        <w:t>նախորդ</w:t>
      </w:r>
      <w:r w:rsidRPr="00961B35">
        <w:rPr>
          <w:b w:val="0"/>
          <w:szCs w:val="22"/>
          <w:lang w:val="it-IT" w:eastAsia="en-US"/>
        </w:rPr>
        <w:t xml:space="preserve"> </w:t>
      </w:r>
      <w:r w:rsidRPr="00961B35">
        <w:rPr>
          <w:b w:val="0"/>
          <w:szCs w:val="22"/>
          <w:lang w:val="hy-AM" w:eastAsia="en-US"/>
        </w:rPr>
        <w:t>տարվա</w:t>
      </w:r>
      <w:r w:rsidRPr="00961B35">
        <w:rPr>
          <w:b w:val="0"/>
          <w:szCs w:val="22"/>
          <w:lang w:val="it-IT" w:eastAsia="en-US"/>
        </w:rPr>
        <w:t xml:space="preserve"> </w:t>
      </w:r>
      <w:r w:rsidRPr="00961B35">
        <w:rPr>
          <w:b w:val="0"/>
          <w:szCs w:val="22"/>
          <w:lang w:val="hy-AM" w:eastAsia="en-US"/>
        </w:rPr>
        <w:t>մուտքերի</w:t>
      </w:r>
      <w:r w:rsidRPr="00961B35">
        <w:rPr>
          <w:b w:val="0"/>
          <w:szCs w:val="22"/>
          <w:lang w:val="it-IT" w:eastAsia="en-US"/>
        </w:rPr>
        <w:t xml:space="preserve"> </w:t>
      </w:r>
      <w:r w:rsidRPr="00961B35">
        <w:rPr>
          <w:b w:val="0"/>
          <w:szCs w:val="22"/>
          <w:lang w:val="hy-AM" w:eastAsia="en-US"/>
        </w:rPr>
        <w:t>հետ</w:t>
      </w:r>
      <w:r w:rsidRPr="00961B35">
        <w:rPr>
          <w:b w:val="0"/>
          <w:szCs w:val="22"/>
          <w:lang w:val="it-IT" w:eastAsia="en-US"/>
        </w:rPr>
        <w:t xml:space="preserve">, </w:t>
      </w:r>
      <w:r w:rsidRPr="00961B35">
        <w:rPr>
          <w:b w:val="0"/>
          <w:szCs w:val="22"/>
          <w:lang w:val="hy-AM" w:eastAsia="en-US"/>
        </w:rPr>
        <w:t>ուստի</w:t>
      </w:r>
      <w:r w:rsidRPr="00961B35">
        <w:rPr>
          <w:rFonts w:cs="GHEA Grapalat"/>
          <w:b w:val="0"/>
          <w:szCs w:val="22"/>
          <w:lang w:val="it-IT" w:eastAsia="en-US"/>
        </w:rPr>
        <w:t xml:space="preserve"> </w:t>
      </w:r>
      <w:r w:rsidRPr="00961B35">
        <w:rPr>
          <w:b w:val="0"/>
          <w:szCs w:val="22"/>
          <w:lang w:val="hy-AM" w:eastAsia="en-US"/>
        </w:rPr>
        <w:t>դրանց</w:t>
      </w:r>
      <w:r w:rsidRPr="00961B35">
        <w:rPr>
          <w:b w:val="0"/>
          <w:szCs w:val="22"/>
          <w:lang w:val="it-IT" w:eastAsia="en-US"/>
        </w:rPr>
        <w:t xml:space="preserve"> </w:t>
      </w:r>
      <w:r w:rsidRPr="00961B35">
        <w:rPr>
          <w:b w:val="0"/>
          <w:szCs w:val="22"/>
          <w:lang w:val="hy-AM" w:eastAsia="en-US"/>
        </w:rPr>
        <w:t>համեմատությունը</w:t>
      </w:r>
      <w:r w:rsidRPr="00961B35">
        <w:rPr>
          <w:b w:val="0"/>
          <w:szCs w:val="22"/>
          <w:lang w:val="it-IT" w:eastAsia="en-US"/>
        </w:rPr>
        <w:t xml:space="preserve"> </w:t>
      </w:r>
      <w:r w:rsidRPr="00961B35">
        <w:rPr>
          <w:b w:val="0"/>
          <w:szCs w:val="22"/>
          <w:lang w:val="hy-AM" w:eastAsia="en-US"/>
        </w:rPr>
        <w:t>նախորդ</w:t>
      </w:r>
      <w:r w:rsidRPr="00961B35">
        <w:rPr>
          <w:b w:val="0"/>
          <w:szCs w:val="22"/>
          <w:lang w:val="it-IT" w:eastAsia="en-US"/>
        </w:rPr>
        <w:t xml:space="preserve"> </w:t>
      </w:r>
      <w:r w:rsidRPr="00961B35">
        <w:rPr>
          <w:b w:val="0"/>
          <w:szCs w:val="22"/>
          <w:lang w:val="hy-AM" w:eastAsia="en-US"/>
        </w:rPr>
        <w:t>տարվա</w:t>
      </w:r>
      <w:r w:rsidRPr="00961B35">
        <w:rPr>
          <w:b w:val="0"/>
          <w:szCs w:val="22"/>
          <w:lang w:val="it-IT" w:eastAsia="en-US"/>
        </w:rPr>
        <w:t xml:space="preserve"> </w:t>
      </w:r>
      <w:r w:rsidRPr="00961B35">
        <w:rPr>
          <w:b w:val="0"/>
          <w:szCs w:val="22"/>
          <w:lang w:val="hy-AM" w:eastAsia="en-US"/>
        </w:rPr>
        <w:t>նույն</w:t>
      </w:r>
      <w:r w:rsidRPr="00961B35">
        <w:rPr>
          <w:b w:val="0"/>
          <w:szCs w:val="22"/>
          <w:lang w:val="it-IT" w:eastAsia="en-US"/>
        </w:rPr>
        <w:t xml:space="preserve"> </w:t>
      </w:r>
      <w:r w:rsidRPr="00961B35">
        <w:rPr>
          <w:b w:val="0"/>
          <w:szCs w:val="22"/>
          <w:lang w:val="hy-AM" w:eastAsia="en-US"/>
        </w:rPr>
        <w:t>ժամանակահատվածի</w:t>
      </w:r>
      <w:r w:rsidRPr="00961B35">
        <w:rPr>
          <w:b w:val="0"/>
          <w:szCs w:val="22"/>
          <w:lang w:val="it-IT" w:eastAsia="en-US"/>
        </w:rPr>
        <w:t xml:space="preserve"> </w:t>
      </w:r>
      <w:r w:rsidRPr="00961B35">
        <w:rPr>
          <w:b w:val="0"/>
          <w:szCs w:val="22"/>
          <w:lang w:val="hy-AM" w:eastAsia="en-US"/>
        </w:rPr>
        <w:t>ցուցանիշների</w:t>
      </w:r>
      <w:r w:rsidRPr="00961B35">
        <w:rPr>
          <w:b w:val="0"/>
          <w:szCs w:val="22"/>
          <w:lang w:val="it-IT" w:eastAsia="en-US"/>
        </w:rPr>
        <w:t xml:space="preserve"> </w:t>
      </w:r>
      <w:r w:rsidRPr="00961B35">
        <w:rPr>
          <w:b w:val="0"/>
          <w:szCs w:val="22"/>
          <w:lang w:val="hy-AM" w:eastAsia="en-US"/>
        </w:rPr>
        <w:t>նկատմամբ</w:t>
      </w:r>
      <w:r w:rsidRPr="00961B35">
        <w:rPr>
          <w:b w:val="0"/>
          <w:szCs w:val="22"/>
          <w:lang w:val="it-IT" w:eastAsia="en-US"/>
        </w:rPr>
        <w:t xml:space="preserve"> </w:t>
      </w:r>
      <w:r w:rsidRPr="00961B35">
        <w:rPr>
          <w:b w:val="0"/>
          <w:szCs w:val="22"/>
          <w:lang w:val="hy-AM" w:eastAsia="en-US"/>
        </w:rPr>
        <w:t>չի</w:t>
      </w:r>
      <w:r w:rsidRPr="00961B35">
        <w:rPr>
          <w:b w:val="0"/>
          <w:szCs w:val="22"/>
          <w:lang w:val="it-IT" w:eastAsia="en-US"/>
        </w:rPr>
        <w:t xml:space="preserve"> </w:t>
      </w:r>
      <w:r w:rsidRPr="00961B35">
        <w:rPr>
          <w:b w:val="0"/>
          <w:szCs w:val="22"/>
          <w:lang w:val="hy-AM" w:eastAsia="en-US"/>
        </w:rPr>
        <w:t>ներկայացվում</w:t>
      </w:r>
      <w:r w:rsidRPr="00961B35">
        <w:rPr>
          <w:b w:val="0"/>
          <w:szCs w:val="22"/>
          <w:vertAlign w:val="superscript"/>
          <w:lang w:val="en-US" w:eastAsia="en-US"/>
        </w:rPr>
        <w:footnoteReference w:id="27"/>
      </w:r>
      <w:r w:rsidRPr="00961B35">
        <w:rPr>
          <w:b w:val="0"/>
          <w:szCs w:val="22"/>
          <w:lang w:val="it-IT" w:eastAsia="en-US"/>
        </w:rPr>
        <w:t xml:space="preserve">: </w:t>
      </w:r>
    </w:p>
    <w:p w:rsidR="00961B35" w:rsidRPr="00961B35" w:rsidRDefault="00961B35" w:rsidP="00961B35">
      <w:pPr>
        <w:tabs>
          <w:tab w:val="left" w:pos="540"/>
        </w:tabs>
        <w:spacing w:before="0"/>
        <w:ind w:firstLine="450"/>
        <w:contextualSpacing w:val="0"/>
        <w:rPr>
          <w:rFonts w:cs="Sylfaen"/>
          <w:b w:val="0"/>
          <w:szCs w:val="22"/>
          <w:lang w:val="hy-AM" w:eastAsia="en-US"/>
        </w:rPr>
      </w:pPr>
      <w:r w:rsidRPr="00961B35">
        <w:rPr>
          <w:rFonts w:cs="Sylfaen"/>
          <w:b w:val="0"/>
          <w:szCs w:val="22"/>
          <w:lang w:val="hy-AM" w:eastAsia="en-US"/>
        </w:rPr>
        <w:tab/>
        <w:t xml:space="preserve">ՀՀ պետական բյուջեի ծախսերը 2019 թվականի հունվար-հուլիսին նախորդ տարվա նույն ժամանակահատվածի նկատմամբ աճել են </w:t>
      </w:r>
      <w:r w:rsidRPr="00961B35">
        <w:rPr>
          <w:rFonts w:cs="Sylfaen"/>
          <w:b w:val="0"/>
          <w:szCs w:val="22"/>
          <w:lang w:val="sk-SK" w:eastAsia="en-US"/>
        </w:rPr>
        <w:t>6.1</w:t>
      </w:r>
      <w:r w:rsidRPr="00961B35">
        <w:rPr>
          <w:rFonts w:cs="Sylfaen"/>
          <w:b w:val="0"/>
          <w:szCs w:val="22"/>
          <w:lang w:val="hy-AM" w:eastAsia="en-US"/>
        </w:rPr>
        <w:t xml:space="preserve">%-ով, որից ընթացիկ ծախսերի գծով արձանագրվել է </w:t>
      </w:r>
      <w:r w:rsidRPr="00961B35">
        <w:rPr>
          <w:rFonts w:cs="Sylfaen"/>
          <w:b w:val="0"/>
          <w:szCs w:val="22"/>
          <w:lang w:val="sk-SK" w:eastAsia="en-US"/>
        </w:rPr>
        <w:t>6.6</w:t>
      </w:r>
      <w:r w:rsidRPr="00961B35">
        <w:rPr>
          <w:rFonts w:cs="Sylfaen"/>
          <w:b w:val="0"/>
          <w:szCs w:val="22"/>
          <w:lang w:val="hy-AM" w:eastAsia="en-US"/>
        </w:rPr>
        <w:t xml:space="preserve">% աճ, իսկ ոչ ֆինանսական ակտիվների հետ գործառնությունների գծով՝ 3.2% նվազում: Արդյունքում, ձևավորվել է հավելուրդային պետական բյուջե, որը կազմել է 107.3 մլրդ դրամ, նախորդ տարվա 18.1 մլրդ դրամ դեֆիցիտի դիմաց: </w:t>
      </w:r>
    </w:p>
    <w:p w:rsidR="00961B35" w:rsidRPr="00961B35" w:rsidRDefault="00961B35" w:rsidP="00961B35">
      <w:pPr>
        <w:spacing w:before="0"/>
        <w:ind w:firstLine="540"/>
        <w:contextualSpacing w:val="0"/>
        <w:rPr>
          <w:rFonts w:cs="Sylfaen"/>
          <w:b w:val="0"/>
          <w:sz w:val="24"/>
          <w:lang w:val="it-IT" w:eastAsia="en-US"/>
        </w:rPr>
      </w:pPr>
      <w:r w:rsidRPr="00961B35">
        <w:rPr>
          <w:szCs w:val="22"/>
          <w:lang w:val="es-ES" w:eastAsia="en-US"/>
        </w:rPr>
        <w:t>Կանխատեսում. 2020 թվականի հարկաբյուջետային շրջանակը կառուցվել է 2017 թ</w:t>
      </w:r>
      <w:r w:rsidRPr="00961B35">
        <w:rPr>
          <w:szCs w:val="22"/>
          <w:lang w:val="hy-AM" w:eastAsia="en-US"/>
        </w:rPr>
        <w:t>վականին</w:t>
      </w:r>
      <w:r w:rsidRPr="00961B35">
        <w:rPr>
          <w:szCs w:val="22"/>
          <w:lang w:val="es-ES" w:eastAsia="en-US"/>
        </w:rPr>
        <w:t xml:space="preserve"> մշակված և 2018</w:t>
      </w:r>
      <w:r w:rsidRPr="00961B35">
        <w:rPr>
          <w:szCs w:val="22"/>
          <w:lang w:val="hy-AM" w:eastAsia="en-US"/>
        </w:rPr>
        <w:t xml:space="preserve"> </w:t>
      </w:r>
      <w:r w:rsidRPr="00961B35">
        <w:rPr>
          <w:szCs w:val="22"/>
          <w:lang w:val="es-ES" w:eastAsia="en-US"/>
        </w:rPr>
        <w:t>թ</w:t>
      </w:r>
      <w:r w:rsidRPr="00961B35">
        <w:rPr>
          <w:szCs w:val="22"/>
          <w:lang w:val="hy-AM" w:eastAsia="en-US"/>
        </w:rPr>
        <w:t>վական</w:t>
      </w:r>
      <w:r w:rsidRPr="00961B35">
        <w:rPr>
          <w:szCs w:val="22"/>
          <w:lang w:val="es-ES" w:eastAsia="en-US"/>
        </w:rPr>
        <w:t xml:space="preserve">ից ուժի մեջ մտած հարկաբյուջետային կանոնների արդիականացված համակարգի  հիման վրա: </w:t>
      </w:r>
      <w:r w:rsidRPr="00961B35">
        <w:rPr>
          <w:szCs w:val="22"/>
          <w:lang w:val="hy-AM" w:eastAsia="en-US"/>
        </w:rPr>
        <w:t xml:space="preserve">Այդ համակարգի սկզբունքներին համահունչ՝ </w:t>
      </w:r>
      <w:r w:rsidRPr="00961B35">
        <w:rPr>
          <w:szCs w:val="22"/>
          <w:lang w:val="es-ES" w:eastAsia="en-US"/>
        </w:rPr>
        <w:t>2020 թվականի հարկաբյուջետային քաղաքականության ազդեցություն</w:t>
      </w:r>
      <w:r w:rsidRPr="00961B35">
        <w:rPr>
          <w:szCs w:val="22"/>
          <w:lang w:val="hy-AM" w:eastAsia="en-US"/>
        </w:rPr>
        <w:t>ը</w:t>
      </w:r>
      <w:r w:rsidRPr="00961B35">
        <w:rPr>
          <w:szCs w:val="22"/>
          <w:lang w:val="es-ES" w:eastAsia="en-US"/>
        </w:rPr>
        <w:t xml:space="preserve"> ամբողջական պահանջարկի վրա </w:t>
      </w:r>
      <w:r w:rsidRPr="00961B35">
        <w:rPr>
          <w:szCs w:val="22"/>
          <w:lang w:val="hy-AM" w:eastAsia="en-US"/>
        </w:rPr>
        <w:t>լինելու</w:t>
      </w:r>
      <w:r w:rsidRPr="00961B35">
        <w:rPr>
          <w:szCs w:val="22"/>
          <w:lang w:val="es-ES" w:eastAsia="en-US"/>
        </w:rPr>
        <w:t xml:space="preserve"> </w:t>
      </w:r>
      <w:r w:rsidRPr="00961B35">
        <w:rPr>
          <w:szCs w:val="22"/>
          <w:lang w:val="hy-AM" w:eastAsia="en-US"/>
        </w:rPr>
        <w:t>է</w:t>
      </w:r>
      <w:r w:rsidRPr="00961B35">
        <w:rPr>
          <w:szCs w:val="22"/>
          <w:lang w:val="es-ES" w:eastAsia="en-US"/>
        </w:rPr>
        <w:t xml:space="preserve"> </w:t>
      </w:r>
      <w:r w:rsidRPr="00961B35">
        <w:rPr>
          <w:szCs w:val="22"/>
          <w:lang w:val="hy-AM" w:eastAsia="en-US"/>
        </w:rPr>
        <w:t>ընդլայնող</w:t>
      </w:r>
      <w:r w:rsidRPr="00961B35">
        <w:rPr>
          <w:szCs w:val="22"/>
          <w:lang w:val="es-ES" w:eastAsia="en-US"/>
        </w:rPr>
        <w:t xml:space="preserve">: </w:t>
      </w:r>
    </w:p>
    <w:p w:rsidR="00961B35" w:rsidRPr="00961B35" w:rsidRDefault="00961B35" w:rsidP="00961B35">
      <w:pPr>
        <w:spacing w:before="0"/>
        <w:ind w:firstLine="540"/>
        <w:contextualSpacing w:val="0"/>
        <w:rPr>
          <w:szCs w:val="22"/>
          <w:lang w:val="es-ES" w:eastAsia="en-US"/>
        </w:rPr>
      </w:pPr>
      <w:r w:rsidRPr="00961B35">
        <w:rPr>
          <w:b w:val="0"/>
          <w:szCs w:val="22"/>
          <w:lang w:val="es-ES" w:eastAsia="en-US"/>
        </w:rPr>
        <w:t xml:space="preserve">2019 թվականին ընթացքում ՀՀ կառավարության կողմից ստվերի կրճատման և հարկային վարչարարության բարելավման միջոցառումների արդյունքում գրանցվում են հարկերի հավաքագրման բավական բարձր տեմպեր, որով պայմանավորված հարկային եկամուտների </w:t>
      </w:r>
      <w:r w:rsidRPr="00961B35">
        <w:rPr>
          <w:b w:val="0"/>
          <w:szCs w:val="22"/>
          <w:lang w:val="es-ES" w:eastAsia="en-US"/>
        </w:rPr>
        <w:lastRenderedPageBreak/>
        <w:t xml:space="preserve">նախատեսված պլանը գերակատարվել է: Իսկ ծախսերի մասով գրանցվում են խնայողություններ՝ պայմանավորված ՀՀ կառավարության կողմից ծախսերի արդյունավետության բարձրացմանն ուղղված միջոցառումներով: Հաշվի առնելով պետական բյուջեի ցուցանիշների ընթացիկ զարգացումները՝ </w:t>
      </w:r>
      <w:r w:rsidRPr="00961B35">
        <w:rPr>
          <w:rFonts w:cs="Sylfaen"/>
          <w:b w:val="0"/>
          <w:szCs w:val="22"/>
          <w:lang w:val="hy-AM" w:eastAsia="en-US"/>
        </w:rPr>
        <w:t>2019 թվականի պետական բյուջեի սպասվող</w:t>
      </w:r>
      <w:r w:rsidRPr="00961B35">
        <w:rPr>
          <w:rFonts w:cs="Sylfaen"/>
          <w:b w:val="0"/>
          <w:szCs w:val="22"/>
          <w:lang w:val="it-IT" w:eastAsia="en-US"/>
        </w:rPr>
        <w:t xml:space="preserve"> </w:t>
      </w:r>
      <w:r w:rsidRPr="00961B35">
        <w:rPr>
          <w:rFonts w:cs="Sylfaen"/>
          <w:b w:val="0"/>
          <w:szCs w:val="22"/>
          <w:lang w:val="en-US" w:eastAsia="en-US"/>
        </w:rPr>
        <w:t>ծախսերը</w:t>
      </w:r>
      <w:r w:rsidRPr="00961B35">
        <w:rPr>
          <w:rFonts w:cs="Sylfaen"/>
          <w:b w:val="0"/>
          <w:szCs w:val="22"/>
          <w:lang w:val="it-IT" w:eastAsia="en-US"/>
        </w:rPr>
        <w:t xml:space="preserve"> </w:t>
      </w:r>
      <w:r w:rsidRPr="00961B35">
        <w:rPr>
          <w:rFonts w:cs="Sylfaen"/>
          <w:b w:val="0"/>
          <w:szCs w:val="22"/>
          <w:lang w:val="en-US" w:eastAsia="en-US"/>
        </w:rPr>
        <w:t>և</w:t>
      </w:r>
      <w:r w:rsidRPr="00961B35">
        <w:rPr>
          <w:rFonts w:cs="Sylfaen"/>
          <w:b w:val="0"/>
          <w:szCs w:val="22"/>
          <w:lang w:val="it-IT" w:eastAsia="en-US"/>
        </w:rPr>
        <w:t xml:space="preserve"> </w:t>
      </w:r>
      <w:r w:rsidRPr="00961B35">
        <w:rPr>
          <w:rFonts w:cs="Sylfaen"/>
          <w:b w:val="0"/>
          <w:szCs w:val="22"/>
          <w:lang w:val="en-US" w:eastAsia="en-US"/>
        </w:rPr>
        <w:t>պակասուրդը</w:t>
      </w:r>
      <w:r w:rsidRPr="00961B35">
        <w:rPr>
          <w:rFonts w:cs="Sylfaen"/>
          <w:b w:val="0"/>
          <w:szCs w:val="22"/>
          <w:lang w:val="it-IT" w:eastAsia="en-US"/>
        </w:rPr>
        <w:t xml:space="preserve"> </w:t>
      </w:r>
      <w:r w:rsidRPr="00961B35">
        <w:rPr>
          <w:rFonts w:cs="Sylfaen"/>
          <w:b w:val="0"/>
          <w:szCs w:val="22"/>
          <w:lang w:val="en-US" w:eastAsia="en-US"/>
        </w:rPr>
        <w:t>վերանայվել</w:t>
      </w:r>
      <w:r w:rsidRPr="00961B35">
        <w:rPr>
          <w:rFonts w:cs="Sylfaen"/>
          <w:b w:val="0"/>
          <w:szCs w:val="22"/>
          <w:lang w:val="it-IT" w:eastAsia="en-US"/>
        </w:rPr>
        <w:t xml:space="preserve"> </w:t>
      </w:r>
      <w:r w:rsidRPr="00961B35">
        <w:rPr>
          <w:rFonts w:cs="Sylfaen"/>
          <w:b w:val="0"/>
          <w:szCs w:val="22"/>
          <w:lang w:val="en-US" w:eastAsia="en-US"/>
        </w:rPr>
        <w:t>են</w:t>
      </w:r>
      <w:r w:rsidRPr="00961B35">
        <w:rPr>
          <w:rFonts w:cs="Sylfaen"/>
          <w:b w:val="0"/>
          <w:szCs w:val="22"/>
          <w:lang w:val="it-IT" w:eastAsia="en-US"/>
        </w:rPr>
        <w:t xml:space="preserve"> </w:t>
      </w:r>
      <w:r w:rsidRPr="00961B35">
        <w:rPr>
          <w:rFonts w:cs="Sylfaen"/>
          <w:b w:val="0"/>
          <w:szCs w:val="22"/>
          <w:lang w:val="hy-AM" w:eastAsia="en-US"/>
        </w:rPr>
        <w:t>նվազման</w:t>
      </w:r>
      <w:r w:rsidRPr="00961B35">
        <w:rPr>
          <w:rFonts w:cs="Sylfaen"/>
          <w:b w:val="0"/>
          <w:szCs w:val="22"/>
          <w:lang w:val="es-ES" w:eastAsia="en-US"/>
        </w:rPr>
        <w:t xml:space="preserve"> </w:t>
      </w:r>
      <w:r w:rsidRPr="00961B35">
        <w:rPr>
          <w:rFonts w:cs="Sylfaen"/>
          <w:b w:val="0"/>
          <w:szCs w:val="22"/>
          <w:lang w:val="hy-AM" w:eastAsia="en-US"/>
        </w:rPr>
        <w:t>ուղղությամ</w:t>
      </w:r>
      <w:r w:rsidRPr="00961B35">
        <w:rPr>
          <w:rFonts w:cs="Sylfaen"/>
          <w:b w:val="0"/>
          <w:szCs w:val="22"/>
          <w:lang w:val="en-US" w:eastAsia="en-US"/>
        </w:rPr>
        <w:t>բ</w:t>
      </w:r>
      <w:r w:rsidRPr="00961B35">
        <w:rPr>
          <w:rFonts w:cs="Sylfaen"/>
          <w:b w:val="0"/>
          <w:szCs w:val="22"/>
          <w:lang w:val="it-IT" w:eastAsia="en-US"/>
        </w:rPr>
        <w:t xml:space="preserve">, </w:t>
      </w:r>
      <w:r w:rsidRPr="00961B35">
        <w:rPr>
          <w:rFonts w:cs="Sylfaen"/>
          <w:b w:val="0"/>
          <w:szCs w:val="22"/>
          <w:lang w:val="en-US" w:eastAsia="en-US"/>
        </w:rPr>
        <w:t>և</w:t>
      </w:r>
      <w:r w:rsidRPr="00961B35">
        <w:rPr>
          <w:b w:val="0"/>
          <w:szCs w:val="22"/>
          <w:lang w:val="es-ES" w:eastAsia="en-US"/>
        </w:rPr>
        <w:t xml:space="preserve"> 2019 թվականին </w:t>
      </w:r>
      <w:r w:rsidRPr="00961B35">
        <w:rPr>
          <w:b w:val="0"/>
          <w:szCs w:val="22"/>
          <w:lang w:val="hy-AM" w:eastAsia="en-US"/>
        </w:rPr>
        <w:t>հարկաբյուջետային</w:t>
      </w:r>
      <w:r w:rsidRPr="00961B35">
        <w:rPr>
          <w:b w:val="0"/>
          <w:szCs w:val="22"/>
          <w:lang w:val="es-ES" w:eastAsia="en-US"/>
        </w:rPr>
        <w:t xml:space="preserve"> </w:t>
      </w:r>
      <w:r w:rsidRPr="00961B35">
        <w:rPr>
          <w:b w:val="0"/>
          <w:szCs w:val="22"/>
          <w:lang w:val="hy-AM" w:eastAsia="en-US"/>
        </w:rPr>
        <w:t>քաղաքականությունը</w:t>
      </w:r>
      <w:r w:rsidRPr="00961B35">
        <w:rPr>
          <w:b w:val="0"/>
          <w:szCs w:val="22"/>
          <w:lang w:val="es-ES" w:eastAsia="en-US"/>
        </w:rPr>
        <w:t xml:space="preserve"> </w:t>
      </w:r>
      <w:r w:rsidRPr="00961B35">
        <w:rPr>
          <w:b w:val="0"/>
          <w:szCs w:val="22"/>
          <w:lang w:val="hy-AM" w:eastAsia="en-US"/>
        </w:rPr>
        <w:t>տնտեսության</w:t>
      </w:r>
      <w:r w:rsidRPr="00961B35">
        <w:rPr>
          <w:b w:val="0"/>
          <w:szCs w:val="22"/>
          <w:lang w:val="es-ES" w:eastAsia="en-US"/>
        </w:rPr>
        <w:t xml:space="preserve"> </w:t>
      </w:r>
      <w:r w:rsidRPr="00961B35">
        <w:rPr>
          <w:b w:val="0"/>
          <w:szCs w:val="22"/>
          <w:lang w:val="hy-AM" w:eastAsia="en-US"/>
        </w:rPr>
        <w:t>վրա</w:t>
      </w:r>
      <w:r w:rsidRPr="00961B35">
        <w:rPr>
          <w:b w:val="0"/>
          <w:szCs w:val="22"/>
          <w:lang w:val="es-ES" w:eastAsia="en-US"/>
        </w:rPr>
        <w:t xml:space="preserve"> </w:t>
      </w:r>
      <w:r w:rsidRPr="00961B35">
        <w:rPr>
          <w:b w:val="0"/>
          <w:szCs w:val="22"/>
          <w:lang w:val="hy-AM" w:eastAsia="en-US"/>
        </w:rPr>
        <w:t>կունենա</w:t>
      </w:r>
      <w:r w:rsidRPr="00961B35">
        <w:rPr>
          <w:b w:val="0"/>
          <w:szCs w:val="22"/>
          <w:lang w:val="es-ES" w:eastAsia="en-US"/>
        </w:rPr>
        <w:t xml:space="preserve"> թույլ զսպող </w:t>
      </w:r>
      <w:r w:rsidRPr="00961B35">
        <w:rPr>
          <w:b w:val="0"/>
          <w:szCs w:val="22"/>
          <w:lang w:val="hy-AM" w:eastAsia="en-US"/>
        </w:rPr>
        <w:t>ազդեցություն</w:t>
      </w:r>
      <w:r w:rsidRPr="00961B35">
        <w:rPr>
          <w:b w:val="0"/>
          <w:szCs w:val="22"/>
          <w:lang w:val="es-ES" w:eastAsia="en-US"/>
        </w:rPr>
        <w:t>:</w:t>
      </w:r>
      <w:r w:rsidRPr="00961B35">
        <w:rPr>
          <w:szCs w:val="22"/>
          <w:lang w:val="es-ES" w:eastAsia="en-US"/>
        </w:rPr>
        <w:t xml:space="preserve"> </w:t>
      </w:r>
    </w:p>
    <w:p w:rsidR="00961B35" w:rsidRPr="00961B35" w:rsidRDefault="00961B35" w:rsidP="00961B35">
      <w:pPr>
        <w:spacing w:before="0" w:line="276" w:lineRule="auto"/>
        <w:ind w:firstLine="450"/>
        <w:contextualSpacing w:val="0"/>
        <w:rPr>
          <w:rFonts w:cs="Sylfaen"/>
          <w:szCs w:val="22"/>
          <w:u w:val="single"/>
          <w:lang w:val="es-ES" w:eastAsia="en-US"/>
        </w:rPr>
      </w:pPr>
      <w:r w:rsidRPr="00961B35">
        <w:rPr>
          <w:rFonts w:cs="Sylfaen"/>
          <w:szCs w:val="22"/>
          <w:u w:val="single"/>
          <w:lang w:val="hy-AM" w:eastAsia="en-US"/>
        </w:rPr>
        <w:t>Գծապատկեր 1.7.</w:t>
      </w:r>
      <w:r w:rsidRPr="00961B35">
        <w:rPr>
          <w:rFonts w:cs="Sylfaen"/>
          <w:szCs w:val="22"/>
          <w:u w:val="single"/>
          <w:lang w:val="es-ES" w:eastAsia="en-US"/>
        </w:rPr>
        <w:t>1</w:t>
      </w:r>
      <w:r w:rsidRPr="00961B35">
        <w:rPr>
          <w:rFonts w:cs="Sylfaen"/>
          <w:szCs w:val="22"/>
          <w:u w:val="single"/>
          <w:lang w:val="hy-AM" w:eastAsia="en-US"/>
        </w:rPr>
        <w:t>. Հարկաբյուջետային ազդակը</w:t>
      </w:r>
      <w:r w:rsidRPr="00961B35">
        <w:rPr>
          <w:rFonts w:cs="Sylfaen"/>
          <w:szCs w:val="22"/>
          <w:u w:val="single"/>
          <w:vertAlign w:val="superscript"/>
          <w:lang w:val="en-US" w:eastAsia="en-US"/>
        </w:rPr>
        <w:footnoteReference w:id="28"/>
      </w:r>
      <w:r w:rsidRPr="00961B35">
        <w:rPr>
          <w:rFonts w:cs="Sylfaen"/>
          <w:szCs w:val="22"/>
          <w:u w:val="single"/>
          <w:lang w:val="hy-AM" w:eastAsia="en-US"/>
        </w:rPr>
        <w:t xml:space="preserve"> 2014-20</w:t>
      </w:r>
      <w:r w:rsidRPr="00961B35">
        <w:rPr>
          <w:rFonts w:cs="Sylfaen"/>
          <w:szCs w:val="22"/>
          <w:u w:val="single"/>
          <w:lang w:val="es-ES" w:eastAsia="en-US"/>
        </w:rPr>
        <w:t>20</w:t>
      </w:r>
      <w:r w:rsidRPr="00961B35">
        <w:rPr>
          <w:rFonts w:cs="Sylfaen"/>
          <w:szCs w:val="22"/>
          <w:u w:val="single"/>
          <w:lang w:val="hy-AM" w:eastAsia="en-US"/>
        </w:rPr>
        <w:t xml:space="preserve"> թվականներին</w:t>
      </w:r>
    </w:p>
    <w:p w:rsidR="00961B35" w:rsidRPr="00961B35" w:rsidRDefault="00961B35" w:rsidP="00961B35">
      <w:pPr>
        <w:spacing w:before="0"/>
        <w:ind w:firstLine="0"/>
        <w:contextualSpacing w:val="0"/>
        <w:jc w:val="center"/>
        <w:rPr>
          <w:szCs w:val="22"/>
          <w:lang w:val="es-ES" w:eastAsia="en-US"/>
        </w:rPr>
      </w:pPr>
      <w:r w:rsidRPr="00961B35">
        <w:rPr>
          <w:rFonts w:cs="Sylfaen"/>
          <w:noProof/>
          <w:szCs w:val="22"/>
          <w:lang w:val="en-US" w:eastAsia="en-US"/>
        </w:rPr>
        <w:drawing>
          <wp:inline distT="0" distB="0" distL="0" distR="0" wp14:anchorId="1C5C4D21" wp14:editId="1C07B612">
            <wp:extent cx="6496685" cy="2305050"/>
            <wp:effectExtent l="0" t="0" r="18415" b="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61B35" w:rsidRPr="00961B35" w:rsidRDefault="00961B35" w:rsidP="00961B35">
      <w:pPr>
        <w:tabs>
          <w:tab w:val="left" w:pos="540"/>
        </w:tabs>
        <w:spacing w:before="0"/>
        <w:ind w:firstLine="450"/>
        <w:contextualSpacing w:val="0"/>
        <w:rPr>
          <w:b w:val="0"/>
          <w:szCs w:val="22"/>
          <w:lang w:val="es-ES" w:eastAsia="en-US"/>
        </w:rPr>
      </w:pPr>
      <w:r w:rsidRPr="00961B35">
        <w:rPr>
          <w:szCs w:val="22"/>
          <w:lang w:val="es-ES" w:eastAsia="en-US"/>
        </w:rPr>
        <w:t xml:space="preserve">Հաշվի առնելով նախորդ տարիներին ՀՀ </w:t>
      </w:r>
      <w:r w:rsidRPr="00961B35">
        <w:rPr>
          <w:szCs w:val="22"/>
          <w:lang w:val="hy-AM" w:eastAsia="en-US"/>
        </w:rPr>
        <w:t>հարկաբյուջետային</w:t>
      </w:r>
      <w:r w:rsidRPr="00961B35">
        <w:rPr>
          <w:szCs w:val="22"/>
          <w:lang w:val="es-ES" w:eastAsia="en-US"/>
        </w:rPr>
        <w:t xml:space="preserve"> քաղաքականության խնդիրների ախտորոշումը` հարկաբյուջետային արդիականացված կանոնների համակարգը թույլ է տվել 2019-2020 </w:t>
      </w:r>
      <w:r w:rsidRPr="00961B35">
        <w:rPr>
          <w:szCs w:val="22"/>
          <w:lang w:val="hy-AM" w:eastAsia="en-US"/>
        </w:rPr>
        <w:t>թվականներին</w:t>
      </w:r>
      <w:r w:rsidRPr="00961B35">
        <w:rPr>
          <w:szCs w:val="22"/>
          <w:lang w:val="es-ES" w:eastAsia="en-US"/>
        </w:rPr>
        <w:t xml:space="preserve"> </w:t>
      </w:r>
      <w:r w:rsidRPr="00961B35">
        <w:rPr>
          <w:szCs w:val="22"/>
          <w:lang w:val="hy-AM" w:eastAsia="en-US"/>
        </w:rPr>
        <w:t>պետական</w:t>
      </w:r>
      <w:r w:rsidRPr="00961B35">
        <w:rPr>
          <w:szCs w:val="22"/>
          <w:lang w:val="es-ES" w:eastAsia="en-US"/>
        </w:rPr>
        <w:t xml:space="preserve"> </w:t>
      </w:r>
      <w:r w:rsidRPr="00961B35">
        <w:rPr>
          <w:szCs w:val="22"/>
          <w:lang w:val="hy-AM" w:eastAsia="en-US"/>
        </w:rPr>
        <w:t>բյուջեի</w:t>
      </w:r>
      <w:r w:rsidRPr="00961B35">
        <w:rPr>
          <w:szCs w:val="22"/>
          <w:lang w:val="es-ES" w:eastAsia="en-US"/>
        </w:rPr>
        <w:t xml:space="preserve"> հիմքում էական փոփոխություն նախագծել:</w:t>
      </w:r>
      <w:r w:rsidRPr="00961B35">
        <w:rPr>
          <w:b w:val="0"/>
          <w:szCs w:val="22"/>
          <w:lang w:val="es-ES" w:eastAsia="en-US"/>
        </w:rPr>
        <w:t xml:space="preserve"> </w:t>
      </w:r>
      <w:r w:rsidRPr="00961B35">
        <w:rPr>
          <w:b w:val="0"/>
          <w:szCs w:val="22"/>
          <w:lang w:val="hy-AM" w:eastAsia="en-US"/>
        </w:rPr>
        <w:t>Կ</w:t>
      </w:r>
      <w:r w:rsidRPr="00961B35">
        <w:rPr>
          <w:b w:val="0"/>
          <w:szCs w:val="22"/>
          <w:lang w:val="es-ES" w:eastAsia="en-US"/>
        </w:rPr>
        <w:t>առավարությունը հիմք ընդունելով նախորդ տարիներին քաղաքականության ոլորտում բացահայտված հիմնախնդիրները նախա</w:t>
      </w:r>
      <w:r w:rsidRPr="00961B35">
        <w:rPr>
          <w:b w:val="0"/>
          <w:szCs w:val="22"/>
          <w:lang w:val="hy-AM" w:eastAsia="en-US"/>
        </w:rPr>
        <w:t>նշել</w:t>
      </w:r>
      <w:r w:rsidRPr="00961B35">
        <w:rPr>
          <w:b w:val="0"/>
          <w:szCs w:val="22"/>
          <w:lang w:val="es-ES" w:eastAsia="en-US"/>
        </w:rPr>
        <w:t xml:space="preserve"> է այնպիսի հարկաբյուջետային քաղաքականություն, որը համահունչ կլինի «ոսկյա կանոնին», կայուն հիմքեր կստեղծի երկարաժամկետ տնտեսական աճի համար, այսինքն` կապիտալ ծախսերի մասնաբաժնի մեծացում և ընթացիկ ծախսերի</w:t>
      </w:r>
      <w:r w:rsidRPr="00961B35">
        <w:rPr>
          <w:b w:val="0"/>
          <w:szCs w:val="22"/>
          <w:lang w:val="hy-AM" w:eastAsia="en-US"/>
        </w:rPr>
        <w:t>՝</w:t>
      </w:r>
      <w:r w:rsidRPr="00961B35">
        <w:rPr>
          <w:b w:val="0"/>
          <w:szCs w:val="22"/>
          <w:lang w:val="es-ES" w:eastAsia="en-US"/>
        </w:rPr>
        <w:t xml:space="preserve"> հարկային եկամուտների </w:t>
      </w:r>
      <w:r w:rsidRPr="00961B35">
        <w:rPr>
          <w:b w:val="0"/>
          <w:szCs w:val="22"/>
          <w:lang w:val="hy-AM" w:eastAsia="en-US"/>
        </w:rPr>
        <w:t>մակարդակին</w:t>
      </w:r>
      <w:r w:rsidRPr="00961B35">
        <w:rPr>
          <w:b w:val="0"/>
          <w:szCs w:val="22"/>
          <w:lang w:val="es-ES" w:eastAsia="en-US"/>
        </w:rPr>
        <w:t xml:space="preserve"> </w:t>
      </w:r>
      <w:r w:rsidRPr="00961B35">
        <w:rPr>
          <w:b w:val="0"/>
          <w:szCs w:val="22"/>
          <w:lang w:val="hy-AM" w:eastAsia="en-US"/>
        </w:rPr>
        <w:t>առնվազն</w:t>
      </w:r>
      <w:r w:rsidRPr="00961B35">
        <w:rPr>
          <w:b w:val="0"/>
          <w:szCs w:val="22"/>
          <w:lang w:val="es-ES" w:eastAsia="en-US"/>
        </w:rPr>
        <w:t xml:space="preserve"> </w:t>
      </w:r>
      <w:r w:rsidRPr="00961B35">
        <w:rPr>
          <w:b w:val="0"/>
          <w:szCs w:val="22"/>
          <w:lang w:val="hy-AM" w:eastAsia="en-US"/>
        </w:rPr>
        <w:t>հավասար</w:t>
      </w:r>
      <w:r w:rsidRPr="00961B35">
        <w:rPr>
          <w:b w:val="0"/>
          <w:szCs w:val="22"/>
          <w:lang w:val="es-ES" w:eastAsia="en-US"/>
        </w:rPr>
        <w:t xml:space="preserve"> </w:t>
      </w:r>
      <w:r w:rsidRPr="00961B35">
        <w:rPr>
          <w:b w:val="0"/>
          <w:szCs w:val="22"/>
          <w:lang w:val="hy-AM" w:eastAsia="en-US"/>
        </w:rPr>
        <w:t>մակարդակի</w:t>
      </w:r>
      <w:r w:rsidRPr="00961B35">
        <w:rPr>
          <w:b w:val="0"/>
          <w:szCs w:val="22"/>
          <w:lang w:val="es-ES" w:eastAsia="en-US"/>
        </w:rPr>
        <w:t xml:space="preserve"> </w:t>
      </w:r>
      <w:r w:rsidRPr="00961B35">
        <w:rPr>
          <w:b w:val="0"/>
          <w:szCs w:val="22"/>
          <w:lang w:val="hy-AM" w:eastAsia="en-US"/>
        </w:rPr>
        <w:t>ապահովում</w:t>
      </w:r>
      <w:r w:rsidRPr="00961B35">
        <w:rPr>
          <w:b w:val="0"/>
          <w:szCs w:val="22"/>
          <w:lang w:val="es-ES" w:eastAsia="en-US"/>
        </w:rPr>
        <w:t xml:space="preserve">: 2020 թվականի համար կանխատեսվում է ՀՆԱ-ի նկատմամբ </w:t>
      </w:r>
      <w:r w:rsidRPr="00961B35">
        <w:rPr>
          <w:rFonts w:cs="Sylfaen"/>
          <w:b w:val="0"/>
          <w:szCs w:val="22"/>
          <w:lang w:val="hy-AM" w:eastAsia="en-US"/>
        </w:rPr>
        <w:t xml:space="preserve">հարկային եկամուտների </w:t>
      </w:r>
      <w:r w:rsidRPr="00961B35">
        <w:rPr>
          <w:b w:val="0"/>
          <w:szCs w:val="22"/>
          <w:lang w:val="es-ES" w:eastAsia="en-US"/>
        </w:rPr>
        <w:t>22.6</w:t>
      </w:r>
      <w:r w:rsidRPr="00961B35">
        <w:rPr>
          <w:rFonts w:cs="Sylfaen"/>
          <w:b w:val="0"/>
          <w:szCs w:val="22"/>
          <w:lang w:val="es-ES" w:eastAsia="en-US"/>
        </w:rPr>
        <w:t>%</w:t>
      </w:r>
      <w:r w:rsidRPr="00961B35">
        <w:rPr>
          <w:b w:val="0"/>
          <w:szCs w:val="22"/>
          <w:lang w:val="es-ES" w:eastAsia="en-US"/>
        </w:rPr>
        <w:t xml:space="preserve"> մակարդակի ապահովում: </w:t>
      </w:r>
      <w:r w:rsidRPr="00961B35">
        <w:rPr>
          <w:rFonts w:cs="Sylfaen"/>
          <w:b w:val="0"/>
          <w:szCs w:val="22"/>
          <w:lang w:val="hy-AM" w:eastAsia="en-US"/>
        </w:rPr>
        <w:t>Ընդ</w:t>
      </w:r>
      <w:r w:rsidRPr="00961B35">
        <w:rPr>
          <w:rFonts w:cs="Sylfaen"/>
          <w:b w:val="0"/>
          <w:szCs w:val="22"/>
          <w:lang w:val="es-ES" w:eastAsia="en-US"/>
        </w:rPr>
        <w:t xml:space="preserve"> </w:t>
      </w:r>
      <w:r w:rsidRPr="00961B35">
        <w:rPr>
          <w:rFonts w:cs="Sylfaen"/>
          <w:b w:val="0"/>
          <w:szCs w:val="22"/>
          <w:lang w:val="hy-AM" w:eastAsia="en-US"/>
        </w:rPr>
        <w:t>որում 201</w:t>
      </w:r>
      <w:r w:rsidRPr="00961B35">
        <w:rPr>
          <w:rFonts w:cs="Sylfaen"/>
          <w:b w:val="0"/>
          <w:szCs w:val="22"/>
          <w:lang w:val="es-ES" w:eastAsia="en-US"/>
        </w:rPr>
        <w:t>9</w:t>
      </w:r>
      <w:r w:rsidRPr="00961B35">
        <w:rPr>
          <w:rFonts w:cs="Sylfaen"/>
          <w:b w:val="0"/>
          <w:szCs w:val="22"/>
          <w:lang w:val="hy-AM" w:eastAsia="en-US"/>
        </w:rPr>
        <w:t xml:space="preserve"> թվականի</w:t>
      </w:r>
      <w:r w:rsidRPr="00961B35">
        <w:rPr>
          <w:rFonts w:cs="Sylfaen"/>
          <w:b w:val="0"/>
          <w:szCs w:val="22"/>
          <w:lang w:val="es-ES" w:eastAsia="en-US"/>
        </w:rPr>
        <w:t xml:space="preserve"> </w:t>
      </w:r>
      <w:r w:rsidRPr="00961B35">
        <w:rPr>
          <w:rFonts w:cs="Sylfaen"/>
          <w:b w:val="0"/>
          <w:szCs w:val="22"/>
          <w:lang w:val="en-US" w:eastAsia="en-US"/>
        </w:rPr>
        <w:t>նկատմամբ</w:t>
      </w:r>
      <w:r w:rsidRPr="00961B35">
        <w:rPr>
          <w:rFonts w:cs="Sylfaen"/>
          <w:b w:val="0"/>
          <w:szCs w:val="22"/>
          <w:lang w:val="es-ES" w:eastAsia="en-US"/>
        </w:rPr>
        <w:t xml:space="preserve"> 2020 </w:t>
      </w:r>
      <w:r w:rsidRPr="00961B35">
        <w:rPr>
          <w:rFonts w:cs="Sylfaen"/>
          <w:b w:val="0"/>
          <w:szCs w:val="22"/>
          <w:lang w:val="en-US" w:eastAsia="en-US"/>
        </w:rPr>
        <w:t>թվականին</w:t>
      </w:r>
      <w:r w:rsidRPr="00961B35">
        <w:rPr>
          <w:rFonts w:cs="Sylfaen"/>
          <w:b w:val="0"/>
          <w:szCs w:val="22"/>
          <w:lang w:val="es-ES" w:eastAsia="en-US"/>
        </w:rPr>
        <w:t xml:space="preserve"> </w:t>
      </w:r>
      <w:r w:rsidRPr="00961B35">
        <w:rPr>
          <w:rFonts w:cs="Sylfaen"/>
          <w:b w:val="0"/>
          <w:szCs w:val="22"/>
          <w:lang w:val="hy-AM" w:eastAsia="en-US"/>
        </w:rPr>
        <w:t xml:space="preserve">հարկային եկամուտների կշիռը ՀՆԱ-ում կբարելավվի </w:t>
      </w:r>
      <w:r w:rsidRPr="00961B35">
        <w:rPr>
          <w:rFonts w:cs="Sylfaen"/>
          <w:b w:val="0"/>
          <w:szCs w:val="22"/>
          <w:lang w:val="es-ES" w:eastAsia="en-US"/>
        </w:rPr>
        <w:t>0.3</w:t>
      </w:r>
      <w:r w:rsidRPr="00961B35">
        <w:rPr>
          <w:rFonts w:cs="Sylfaen"/>
          <w:b w:val="0"/>
          <w:szCs w:val="22"/>
          <w:lang w:val="hy-AM" w:eastAsia="en-US"/>
        </w:rPr>
        <w:t xml:space="preserve"> տոկոսային կետով: </w:t>
      </w:r>
      <w:r w:rsidRPr="00961B35">
        <w:rPr>
          <w:b w:val="0"/>
          <w:szCs w:val="22"/>
          <w:lang w:val="es-ES" w:eastAsia="en-US"/>
        </w:rPr>
        <w:lastRenderedPageBreak/>
        <w:t>Եթե 2015-2017</w:t>
      </w:r>
      <w:r w:rsidRPr="00961B35">
        <w:rPr>
          <w:b w:val="0"/>
          <w:szCs w:val="22"/>
          <w:lang w:val="hy-AM" w:eastAsia="en-US"/>
        </w:rPr>
        <w:t xml:space="preserve"> </w:t>
      </w:r>
      <w:r w:rsidRPr="00961B35">
        <w:rPr>
          <w:b w:val="0"/>
          <w:szCs w:val="22"/>
          <w:lang w:val="es-ES" w:eastAsia="en-US"/>
        </w:rPr>
        <w:t xml:space="preserve">թվականին ընթացիկ ծախսեր/ՀՆԱ ցուցանիշը գերազանցել է հարկային եկամուտներ/ՀՆԱ ցուցանիշը շուրջ 3.0 տոկոսային կետով, իսկ արդեն 2018 թվականին այդ ճեղքը նվազել է մինչև 0.7 տոկոսային կետ, ապա 2019-2020 թվականներին այդ  բացասական ճեղքն արդեն կփակվի: </w:t>
      </w:r>
      <w:r w:rsidRPr="00961B35">
        <w:rPr>
          <w:b w:val="0"/>
          <w:szCs w:val="22"/>
          <w:lang w:val="hy-AM" w:eastAsia="en-US"/>
        </w:rPr>
        <w:t>Մյուս</w:t>
      </w:r>
      <w:r w:rsidRPr="00961B35">
        <w:rPr>
          <w:b w:val="0"/>
          <w:szCs w:val="22"/>
          <w:lang w:val="es-ES" w:eastAsia="en-US"/>
        </w:rPr>
        <w:t xml:space="preserve"> </w:t>
      </w:r>
      <w:r w:rsidRPr="00961B35">
        <w:rPr>
          <w:b w:val="0"/>
          <w:szCs w:val="22"/>
          <w:lang w:val="hy-AM" w:eastAsia="en-US"/>
        </w:rPr>
        <w:t>կողմից</w:t>
      </w:r>
      <w:r w:rsidRPr="00961B35">
        <w:rPr>
          <w:b w:val="0"/>
          <w:szCs w:val="22"/>
          <w:lang w:val="es-ES" w:eastAsia="en-US"/>
        </w:rPr>
        <w:t xml:space="preserve"> </w:t>
      </w:r>
      <w:r w:rsidRPr="00961B35">
        <w:rPr>
          <w:b w:val="0"/>
          <w:szCs w:val="22"/>
          <w:lang w:val="hy-AM" w:eastAsia="en-US"/>
        </w:rPr>
        <w:t>ա</w:t>
      </w:r>
      <w:r w:rsidRPr="00961B35">
        <w:rPr>
          <w:b w:val="0"/>
          <w:szCs w:val="22"/>
          <w:lang w:val="es-ES" w:eastAsia="en-US"/>
        </w:rPr>
        <w:t xml:space="preserve">նկալվում է, որ 2020 թվականին ՀՀ պետական բյուջեի </w:t>
      </w:r>
      <w:r w:rsidRPr="00961B35">
        <w:rPr>
          <w:b w:val="0"/>
          <w:szCs w:val="22"/>
          <w:lang w:val="hy-AM" w:eastAsia="en-US"/>
        </w:rPr>
        <w:t>պակասուրդը</w:t>
      </w:r>
      <w:r w:rsidRPr="00961B35">
        <w:rPr>
          <w:b w:val="0"/>
          <w:szCs w:val="22"/>
          <w:lang w:val="es-ES" w:eastAsia="en-US"/>
        </w:rPr>
        <w:t xml:space="preserve"> կկազմի ՀՆԱ-ի 2.3</w:t>
      </w:r>
      <w:r w:rsidRPr="00961B35">
        <w:rPr>
          <w:rFonts w:cs="Sylfaen"/>
          <w:b w:val="0"/>
          <w:szCs w:val="22"/>
          <w:lang w:val="es-ES" w:eastAsia="en-US"/>
        </w:rPr>
        <w:t>%-</w:t>
      </w:r>
      <w:r w:rsidRPr="00961B35">
        <w:rPr>
          <w:b w:val="0"/>
          <w:szCs w:val="22"/>
          <w:lang w:val="es-ES" w:eastAsia="en-US"/>
        </w:rPr>
        <w:t>ը</w:t>
      </w:r>
      <w:r w:rsidRPr="00961B35">
        <w:rPr>
          <w:rFonts w:cs="Sylfaen"/>
          <w:b w:val="0"/>
          <w:szCs w:val="22"/>
          <w:lang w:val="hy-AM" w:eastAsia="en-US"/>
        </w:rPr>
        <w:t>՝ շարունակելով պահպանել</w:t>
      </w:r>
      <w:r w:rsidRPr="00961B35">
        <w:rPr>
          <w:rFonts w:cs="Sylfaen"/>
          <w:b w:val="0"/>
          <w:szCs w:val="22"/>
          <w:lang w:val="es-ES" w:eastAsia="en-US"/>
        </w:rPr>
        <w:t xml:space="preserve"> «</w:t>
      </w:r>
      <w:r w:rsidRPr="00961B35">
        <w:rPr>
          <w:rFonts w:cs="Sylfaen"/>
          <w:b w:val="0"/>
          <w:szCs w:val="22"/>
          <w:lang w:val="hy-AM" w:eastAsia="en-US"/>
        </w:rPr>
        <w:t>ոսկյա</w:t>
      </w:r>
      <w:r w:rsidRPr="00961B35">
        <w:rPr>
          <w:rFonts w:cs="Sylfaen"/>
          <w:b w:val="0"/>
          <w:szCs w:val="22"/>
          <w:lang w:val="es-ES" w:eastAsia="en-US"/>
        </w:rPr>
        <w:t xml:space="preserve"> </w:t>
      </w:r>
      <w:r w:rsidRPr="00961B35">
        <w:rPr>
          <w:rFonts w:cs="Sylfaen"/>
          <w:b w:val="0"/>
          <w:szCs w:val="22"/>
          <w:lang w:val="hy-AM" w:eastAsia="en-US"/>
        </w:rPr>
        <w:t>կանոնը</w:t>
      </w:r>
      <w:r w:rsidRPr="00961B35">
        <w:rPr>
          <w:rFonts w:cs="Sylfaen"/>
          <w:b w:val="0"/>
          <w:szCs w:val="22"/>
          <w:lang w:val="es-ES" w:eastAsia="en-US"/>
        </w:rPr>
        <w:t>»</w:t>
      </w:r>
      <w:r w:rsidRPr="00961B35">
        <w:rPr>
          <w:rFonts w:cs="Sylfaen"/>
          <w:b w:val="0"/>
          <w:szCs w:val="22"/>
          <w:lang w:val="hy-AM" w:eastAsia="en-US"/>
        </w:rPr>
        <w:t>:</w:t>
      </w:r>
    </w:p>
    <w:p w:rsidR="00961B35" w:rsidRPr="00961B35" w:rsidRDefault="00961B35" w:rsidP="00961B35">
      <w:pPr>
        <w:spacing w:before="0"/>
        <w:contextualSpacing w:val="0"/>
        <w:rPr>
          <w:rFonts w:cs="Sylfaen"/>
          <w:szCs w:val="22"/>
          <w:lang w:val="es-ES" w:eastAsia="en-US"/>
        </w:rPr>
      </w:pPr>
    </w:p>
    <w:p w:rsidR="00961B35" w:rsidRPr="00961B35" w:rsidRDefault="00961B35" w:rsidP="00961B35">
      <w:pPr>
        <w:spacing w:before="0" w:line="240" w:lineRule="auto"/>
        <w:ind w:firstLine="0"/>
        <w:contextualSpacing w:val="0"/>
        <w:jc w:val="left"/>
        <w:rPr>
          <w:b w:val="0"/>
          <w:szCs w:val="22"/>
          <w:highlight w:val="yellow"/>
          <w:lang w:val="hy-AM" w:eastAsia="en-US"/>
        </w:rPr>
      </w:pPr>
    </w:p>
    <w:p w:rsidR="00961B35" w:rsidRPr="00961B35" w:rsidRDefault="00961B35" w:rsidP="00961B35">
      <w:pPr>
        <w:spacing w:before="0" w:line="240" w:lineRule="auto"/>
        <w:ind w:firstLine="0"/>
        <w:contextualSpacing w:val="0"/>
        <w:jc w:val="left"/>
        <w:rPr>
          <w:b w:val="0"/>
          <w:szCs w:val="22"/>
          <w:lang w:val="hy-AM" w:eastAsia="en-US"/>
        </w:rPr>
      </w:pPr>
      <w:r w:rsidRPr="00961B35">
        <w:rPr>
          <w:i/>
          <w:szCs w:val="22"/>
          <w:lang w:val="es-ES" w:eastAsia="en-US"/>
        </w:rPr>
        <w:t xml:space="preserve">     </w:t>
      </w:r>
      <w:r w:rsidRPr="00961B35">
        <w:rPr>
          <w:i/>
          <w:szCs w:val="22"/>
          <w:u w:val="single"/>
          <w:lang w:val="hy-AM" w:eastAsia="en-US"/>
        </w:rPr>
        <w:t xml:space="preserve">Գծապատկեր </w:t>
      </w:r>
      <w:r w:rsidRPr="00961B35">
        <w:rPr>
          <w:rFonts w:cs="Sylfaen"/>
          <w:szCs w:val="22"/>
          <w:u w:val="single"/>
          <w:lang w:val="hy-AM" w:eastAsia="en-US"/>
        </w:rPr>
        <w:t xml:space="preserve">1.7.2. </w:t>
      </w:r>
      <w:r w:rsidRPr="00961B35">
        <w:rPr>
          <w:b w:val="0"/>
          <w:i/>
          <w:szCs w:val="22"/>
          <w:u w:val="single"/>
          <w:lang w:val="hy-AM" w:eastAsia="en-US"/>
        </w:rPr>
        <w:t xml:space="preserve">Կապիտալ </w:t>
      </w:r>
      <w:r w:rsidRPr="00961B35">
        <w:rPr>
          <w:b w:val="0"/>
          <w:szCs w:val="22"/>
          <w:lang w:val="hy-AM" w:eastAsia="en-US"/>
        </w:rPr>
        <w:t xml:space="preserve">                            </w:t>
      </w:r>
      <w:r w:rsidRPr="00961B35">
        <w:rPr>
          <w:i/>
          <w:szCs w:val="22"/>
          <w:u w:val="single"/>
          <w:lang w:val="hy-AM" w:eastAsia="en-US"/>
        </w:rPr>
        <w:t xml:space="preserve">Գծապատկեր </w:t>
      </w:r>
      <w:r w:rsidRPr="00961B35">
        <w:rPr>
          <w:rFonts w:cs="Sylfaen"/>
          <w:szCs w:val="22"/>
          <w:u w:val="single"/>
          <w:lang w:val="hy-AM" w:eastAsia="en-US"/>
        </w:rPr>
        <w:t xml:space="preserve">1.7.3. </w:t>
      </w:r>
      <w:r w:rsidRPr="00961B35">
        <w:rPr>
          <w:b w:val="0"/>
          <w:i/>
          <w:szCs w:val="22"/>
          <w:u w:val="single"/>
          <w:lang w:val="hy-AM" w:eastAsia="en-US"/>
        </w:rPr>
        <w:t xml:space="preserve">Ընթացիկ ծախսերի և       ծախսերի և պակասուրդի կշիռը ՀՆԱ-ում, % </w:t>
      </w:r>
      <w:r w:rsidRPr="00961B35">
        <w:rPr>
          <w:b w:val="0"/>
          <w:szCs w:val="22"/>
          <w:lang w:val="hy-AM" w:eastAsia="en-US"/>
        </w:rPr>
        <w:tab/>
        <w:t xml:space="preserve">        </w:t>
      </w:r>
      <w:r w:rsidRPr="00961B35">
        <w:rPr>
          <w:b w:val="0"/>
          <w:i/>
          <w:szCs w:val="22"/>
          <w:u w:val="single"/>
          <w:lang w:val="hy-AM" w:eastAsia="en-US"/>
        </w:rPr>
        <w:t>հարկեր, տուրքերի կշիռը ՀՆԱ-ում,%</w:t>
      </w:r>
      <w:r w:rsidRPr="00961B35">
        <w:rPr>
          <w:b w:val="0"/>
          <w:szCs w:val="22"/>
          <w:lang w:val="hy-AM" w:eastAsia="en-US"/>
        </w:rPr>
        <w:tab/>
      </w:r>
      <w:r w:rsidRPr="00961B35">
        <w:rPr>
          <w:b w:val="0"/>
          <w:szCs w:val="22"/>
          <w:lang w:val="hy-AM" w:eastAsia="en-US"/>
        </w:rPr>
        <w:tab/>
      </w:r>
    </w:p>
    <w:p w:rsidR="00961B35" w:rsidRPr="00961B35" w:rsidRDefault="00961B35" w:rsidP="00961B35">
      <w:pPr>
        <w:spacing w:before="0" w:line="240" w:lineRule="auto"/>
        <w:ind w:left="-540" w:firstLine="0"/>
        <w:contextualSpacing w:val="0"/>
        <w:jc w:val="left"/>
        <w:rPr>
          <w:b w:val="0"/>
          <w:szCs w:val="22"/>
          <w:lang w:val="hy-AM" w:eastAsia="en-US"/>
        </w:rPr>
      </w:pPr>
      <w:r w:rsidRPr="00961B35">
        <w:rPr>
          <w:b w:val="0"/>
          <w:i/>
          <w:noProof/>
          <w:szCs w:val="22"/>
          <w:highlight w:val="yellow"/>
          <w:u w:val="single"/>
          <w:lang w:val="en-US" w:eastAsia="en-US"/>
        </w:rPr>
        <w:drawing>
          <wp:anchor distT="0" distB="0" distL="114300" distR="114300" simplePos="0" relativeHeight="251684864" behindDoc="0" locked="0" layoutInCell="1" allowOverlap="1" wp14:anchorId="33ADA299" wp14:editId="27438CD1">
            <wp:simplePos x="0" y="0"/>
            <wp:positionH relativeFrom="margin">
              <wp:posOffset>-132080</wp:posOffset>
            </wp:positionH>
            <wp:positionV relativeFrom="paragraph">
              <wp:posOffset>181610</wp:posOffset>
            </wp:positionV>
            <wp:extent cx="3024000" cy="2716183"/>
            <wp:effectExtent l="0" t="0" r="5080" b="8255"/>
            <wp:wrapSquare wrapText="bothSides"/>
            <wp:docPr id="44" name="Chart 4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961B35" w:rsidRPr="00961B35" w:rsidRDefault="00961B35" w:rsidP="00961B35">
      <w:pPr>
        <w:spacing w:before="0" w:line="240" w:lineRule="auto"/>
        <w:ind w:firstLine="0"/>
        <w:contextualSpacing w:val="0"/>
        <w:jc w:val="center"/>
        <w:rPr>
          <w:rFonts w:cs="Sylfaen"/>
          <w:szCs w:val="22"/>
          <w:lang w:val="hy-AM" w:eastAsia="en-US"/>
        </w:rPr>
      </w:pPr>
      <w:r w:rsidRPr="00961B35">
        <w:rPr>
          <w:b w:val="0"/>
          <w:noProof/>
          <w:szCs w:val="22"/>
          <w:lang w:val="en-US" w:eastAsia="en-US"/>
        </w:rPr>
        <w:drawing>
          <wp:inline distT="0" distB="0" distL="0" distR="0" wp14:anchorId="2E0B46BD" wp14:editId="01A59AF4">
            <wp:extent cx="3024000" cy="2714400"/>
            <wp:effectExtent l="0" t="0" r="5080" b="10160"/>
            <wp:docPr id="45" name="Chart 4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961B35">
        <w:rPr>
          <w:rFonts w:cs="Sylfaen"/>
          <w:szCs w:val="22"/>
          <w:lang w:val="hy-AM" w:eastAsia="en-US"/>
        </w:rPr>
        <w:br w:type="page"/>
      </w:r>
    </w:p>
    <w:p w:rsidR="00961B35" w:rsidRPr="00961B35" w:rsidRDefault="00961B35" w:rsidP="00961B35">
      <w:pPr>
        <w:tabs>
          <w:tab w:val="left" w:pos="540"/>
        </w:tabs>
        <w:spacing w:before="0"/>
        <w:ind w:firstLine="450"/>
        <w:contextualSpacing w:val="0"/>
        <w:rPr>
          <w:rFonts w:cs="Sylfaen"/>
          <w:szCs w:val="22"/>
          <w:u w:val="single"/>
          <w:lang w:val="en-US" w:eastAsia="en-US"/>
        </w:rPr>
      </w:pPr>
      <w:r w:rsidRPr="00961B35">
        <w:rPr>
          <w:rFonts w:cs="Sylfaen"/>
          <w:szCs w:val="22"/>
          <w:u w:val="single"/>
          <w:lang w:val="hy-AM" w:eastAsia="en-US"/>
        </w:rPr>
        <w:lastRenderedPageBreak/>
        <w:t xml:space="preserve">Հավելված. </w:t>
      </w:r>
      <w:r w:rsidRPr="00961B35">
        <w:rPr>
          <w:rFonts w:cs="Sylfaen"/>
          <w:szCs w:val="22"/>
          <w:u w:val="single"/>
          <w:lang w:val="en-US" w:eastAsia="en-US"/>
        </w:rPr>
        <w:t>Հիմնական մակրոտնտեսական ցուցանիշներ</w:t>
      </w:r>
    </w:p>
    <w:tbl>
      <w:tblPr>
        <w:tblW w:w="5305" w:type="pct"/>
        <w:tblInd w:w="-252"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5020"/>
        <w:gridCol w:w="994"/>
        <w:gridCol w:w="1068"/>
        <w:gridCol w:w="1000"/>
        <w:gridCol w:w="1076"/>
        <w:gridCol w:w="1049"/>
      </w:tblGrid>
      <w:tr w:rsidR="00961B35" w:rsidRPr="00961B35" w:rsidTr="00E52D4A">
        <w:trPr>
          <w:trHeight w:val="258"/>
        </w:trPr>
        <w:tc>
          <w:tcPr>
            <w:tcW w:w="2459" w:type="pct"/>
            <w:vMerge w:val="restart"/>
            <w:noWrap/>
            <w:vAlign w:val="center"/>
          </w:tcPr>
          <w:p w:rsidR="00961B35" w:rsidRPr="00961B35" w:rsidRDefault="00961B35" w:rsidP="00961B35">
            <w:pPr>
              <w:spacing w:before="0"/>
              <w:ind w:firstLine="0"/>
              <w:contextualSpacing w:val="0"/>
              <w:jc w:val="center"/>
              <w:rPr>
                <w:rFonts w:cs="Sylfaen"/>
                <w:b w:val="0"/>
                <w:sz w:val="20"/>
                <w:szCs w:val="20"/>
                <w:lang w:val="en-US" w:eastAsia="en-US"/>
              </w:rPr>
            </w:pPr>
            <w:r w:rsidRPr="00961B35">
              <w:rPr>
                <w:rFonts w:cs="Sylfaen"/>
                <w:b w:val="0"/>
                <w:sz w:val="20"/>
                <w:szCs w:val="20"/>
                <w:lang w:val="hy-AM" w:eastAsia="en-US"/>
              </w:rPr>
              <w:t>Ցուցանիշներ</w:t>
            </w:r>
          </w:p>
        </w:tc>
        <w:tc>
          <w:tcPr>
            <w:tcW w:w="487" w:type="pct"/>
            <w:vAlign w:val="center"/>
          </w:tcPr>
          <w:p w:rsidR="00961B35" w:rsidRPr="00961B35" w:rsidRDefault="00961B35" w:rsidP="00961B35">
            <w:pPr>
              <w:spacing w:before="0"/>
              <w:ind w:firstLine="0"/>
              <w:contextualSpacing w:val="0"/>
              <w:jc w:val="center"/>
              <w:rPr>
                <w:rFonts w:cs="Sylfaen"/>
                <w:b w:val="0"/>
                <w:sz w:val="20"/>
                <w:szCs w:val="20"/>
                <w:lang w:val="hy-AM" w:eastAsia="en-US"/>
              </w:rPr>
            </w:pPr>
            <w:r w:rsidRPr="00961B35">
              <w:rPr>
                <w:rFonts w:cs="Sylfaen"/>
                <w:b w:val="0"/>
                <w:sz w:val="20"/>
                <w:szCs w:val="20"/>
                <w:lang w:val="en-US" w:eastAsia="en-US"/>
              </w:rPr>
              <w:t>2016</w:t>
            </w:r>
          </w:p>
        </w:tc>
        <w:tc>
          <w:tcPr>
            <w:tcW w:w="523" w:type="pct"/>
            <w:vAlign w:val="center"/>
          </w:tcPr>
          <w:p w:rsidR="00961B35" w:rsidRPr="00961B35" w:rsidRDefault="00961B35" w:rsidP="00961B35">
            <w:pPr>
              <w:spacing w:before="0"/>
              <w:ind w:firstLine="0"/>
              <w:contextualSpacing w:val="0"/>
              <w:jc w:val="center"/>
              <w:rPr>
                <w:rFonts w:cs="Sylfaen"/>
                <w:b w:val="0"/>
                <w:sz w:val="20"/>
                <w:szCs w:val="20"/>
                <w:lang w:val="hy-AM" w:eastAsia="en-US"/>
              </w:rPr>
            </w:pPr>
            <w:r w:rsidRPr="00961B35">
              <w:rPr>
                <w:rFonts w:cs="Sylfaen"/>
                <w:b w:val="0"/>
                <w:sz w:val="20"/>
                <w:szCs w:val="20"/>
                <w:lang w:val="en-US" w:eastAsia="en-US"/>
              </w:rPr>
              <w:t>2017</w:t>
            </w:r>
          </w:p>
        </w:tc>
        <w:tc>
          <w:tcPr>
            <w:tcW w:w="490" w:type="pct"/>
            <w:vAlign w:val="center"/>
          </w:tcPr>
          <w:p w:rsidR="00961B35" w:rsidRPr="00961B35" w:rsidRDefault="00961B35" w:rsidP="00961B35">
            <w:pPr>
              <w:spacing w:before="0"/>
              <w:ind w:firstLine="0"/>
              <w:contextualSpacing w:val="0"/>
              <w:jc w:val="center"/>
              <w:rPr>
                <w:rFonts w:cs="Sylfaen"/>
                <w:b w:val="0"/>
                <w:sz w:val="20"/>
                <w:szCs w:val="20"/>
                <w:lang w:val="en-US" w:eastAsia="en-US"/>
              </w:rPr>
            </w:pPr>
            <w:r w:rsidRPr="00961B35">
              <w:rPr>
                <w:rFonts w:cs="Sylfaen"/>
                <w:b w:val="0"/>
                <w:sz w:val="20"/>
                <w:szCs w:val="20"/>
                <w:lang w:val="en-US" w:eastAsia="en-US"/>
              </w:rPr>
              <w:t>2018</w:t>
            </w:r>
          </w:p>
        </w:tc>
        <w:tc>
          <w:tcPr>
            <w:tcW w:w="527" w:type="pct"/>
            <w:vAlign w:val="center"/>
          </w:tcPr>
          <w:p w:rsidR="00961B35" w:rsidRPr="00961B35" w:rsidRDefault="00961B35" w:rsidP="00961B35">
            <w:pPr>
              <w:spacing w:before="0"/>
              <w:ind w:firstLine="0"/>
              <w:contextualSpacing w:val="0"/>
              <w:jc w:val="center"/>
              <w:rPr>
                <w:rFonts w:cs="Sylfaen"/>
                <w:b w:val="0"/>
                <w:sz w:val="20"/>
                <w:szCs w:val="20"/>
                <w:lang w:val="en-US" w:eastAsia="en-US"/>
              </w:rPr>
            </w:pPr>
            <w:r w:rsidRPr="00961B35">
              <w:rPr>
                <w:rFonts w:cs="Sylfaen"/>
                <w:b w:val="0"/>
                <w:sz w:val="20"/>
                <w:szCs w:val="20"/>
                <w:lang w:val="en-US" w:eastAsia="en-US"/>
              </w:rPr>
              <w:t>2019</w:t>
            </w:r>
          </w:p>
        </w:tc>
        <w:tc>
          <w:tcPr>
            <w:tcW w:w="514" w:type="pct"/>
            <w:vAlign w:val="center"/>
          </w:tcPr>
          <w:p w:rsidR="00961B35" w:rsidRPr="00961B35" w:rsidRDefault="00961B35" w:rsidP="00961B35">
            <w:pPr>
              <w:spacing w:before="0"/>
              <w:ind w:firstLine="0"/>
              <w:contextualSpacing w:val="0"/>
              <w:jc w:val="center"/>
              <w:rPr>
                <w:rFonts w:cs="Sylfaen"/>
                <w:b w:val="0"/>
                <w:sz w:val="20"/>
                <w:szCs w:val="20"/>
                <w:lang w:val="en-US" w:eastAsia="en-US"/>
              </w:rPr>
            </w:pPr>
            <w:r w:rsidRPr="00961B35">
              <w:rPr>
                <w:rFonts w:cs="Sylfaen"/>
                <w:b w:val="0"/>
                <w:sz w:val="20"/>
                <w:szCs w:val="20"/>
                <w:lang w:val="en-US" w:eastAsia="en-US"/>
              </w:rPr>
              <w:t>2020</w:t>
            </w:r>
          </w:p>
        </w:tc>
      </w:tr>
      <w:tr w:rsidR="00961B35" w:rsidRPr="00961B35" w:rsidTr="00E52D4A">
        <w:trPr>
          <w:trHeight w:val="258"/>
        </w:trPr>
        <w:tc>
          <w:tcPr>
            <w:tcW w:w="2459" w:type="pct"/>
            <w:vMerge/>
            <w:noWrap/>
          </w:tcPr>
          <w:p w:rsidR="00961B35" w:rsidRPr="00961B35" w:rsidRDefault="00961B35" w:rsidP="00961B35">
            <w:pPr>
              <w:spacing w:before="0"/>
              <w:ind w:firstLine="450"/>
              <w:contextualSpacing w:val="0"/>
              <w:jc w:val="left"/>
              <w:rPr>
                <w:rFonts w:cs="Sylfaen"/>
                <w:b w:val="0"/>
                <w:sz w:val="20"/>
                <w:szCs w:val="20"/>
                <w:lang w:val="hy-AM" w:eastAsia="en-US"/>
              </w:rPr>
            </w:pPr>
          </w:p>
        </w:tc>
        <w:tc>
          <w:tcPr>
            <w:tcW w:w="487" w:type="pct"/>
            <w:vAlign w:val="center"/>
          </w:tcPr>
          <w:p w:rsidR="00961B35" w:rsidRPr="00961B35" w:rsidRDefault="00961B35" w:rsidP="00961B35">
            <w:pPr>
              <w:spacing w:before="0"/>
              <w:ind w:firstLine="0"/>
              <w:contextualSpacing w:val="0"/>
              <w:jc w:val="center"/>
              <w:rPr>
                <w:rFonts w:cs="Sylfaen"/>
                <w:b w:val="0"/>
                <w:sz w:val="20"/>
                <w:szCs w:val="20"/>
                <w:lang w:val="hy-AM" w:eastAsia="en-US"/>
              </w:rPr>
            </w:pPr>
            <w:r w:rsidRPr="00961B35">
              <w:rPr>
                <w:rFonts w:cs="Sylfaen"/>
                <w:b w:val="0"/>
                <w:sz w:val="20"/>
                <w:szCs w:val="20"/>
                <w:lang w:val="hy-AM" w:eastAsia="en-US"/>
              </w:rPr>
              <w:t>փաստ</w:t>
            </w:r>
            <w:r w:rsidRPr="00961B35">
              <w:rPr>
                <w:rFonts w:cs="Tahoma"/>
                <w:b w:val="0"/>
                <w:sz w:val="20"/>
                <w:szCs w:val="20"/>
                <w:lang w:val="hy-AM" w:eastAsia="en-US"/>
              </w:rPr>
              <w:t>.</w:t>
            </w:r>
          </w:p>
        </w:tc>
        <w:tc>
          <w:tcPr>
            <w:tcW w:w="523" w:type="pct"/>
            <w:vAlign w:val="center"/>
          </w:tcPr>
          <w:p w:rsidR="00961B35" w:rsidRPr="00961B35" w:rsidRDefault="00961B35" w:rsidP="00961B35">
            <w:pPr>
              <w:spacing w:before="0"/>
              <w:ind w:firstLine="0"/>
              <w:contextualSpacing w:val="0"/>
              <w:jc w:val="center"/>
              <w:rPr>
                <w:rFonts w:cs="Sylfaen"/>
                <w:b w:val="0"/>
                <w:sz w:val="20"/>
                <w:szCs w:val="20"/>
                <w:lang w:val="hy-AM" w:eastAsia="en-US"/>
              </w:rPr>
            </w:pPr>
            <w:r w:rsidRPr="00961B35">
              <w:rPr>
                <w:rFonts w:cs="Sylfaen"/>
                <w:b w:val="0"/>
                <w:sz w:val="20"/>
                <w:szCs w:val="20"/>
                <w:lang w:val="hy-AM" w:eastAsia="en-US"/>
              </w:rPr>
              <w:t>փաստ</w:t>
            </w:r>
            <w:r w:rsidRPr="00961B35">
              <w:rPr>
                <w:rFonts w:cs="Tahoma"/>
                <w:b w:val="0"/>
                <w:sz w:val="20"/>
                <w:szCs w:val="20"/>
                <w:lang w:val="hy-AM" w:eastAsia="en-US"/>
              </w:rPr>
              <w:t>.</w:t>
            </w:r>
          </w:p>
        </w:tc>
        <w:tc>
          <w:tcPr>
            <w:tcW w:w="490" w:type="pct"/>
            <w:vAlign w:val="center"/>
          </w:tcPr>
          <w:p w:rsidR="00961B35" w:rsidRPr="00961B35" w:rsidRDefault="00961B35" w:rsidP="00961B35">
            <w:pPr>
              <w:spacing w:before="0"/>
              <w:ind w:firstLine="0"/>
              <w:contextualSpacing w:val="0"/>
              <w:jc w:val="center"/>
              <w:rPr>
                <w:rFonts w:cs="Sylfaen"/>
                <w:b w:val="0"/>
                <w:sz w:val="20"/>
                <w:szCs w:val="20"/>
                <w:lang w:val="hy-AM" w:eastAsia="en-US"/>
              </w:rPr>
            </w:pPr>
            <w:r w:rsidRPr="00961B35">
              <w:rPr>
                <w:rFonts w:cs="Sylfaen"/>
                <w:b w:val="0"/>
                <w:sz w:val="20"/>
                <w:szCs w:val="20"/>
                <w:lang w:val="hy-AM" w:eastAsia="en-US"/>
              </w:rPr>
              <w:t>փաստ</w:t>
            </w:r>
            <w:r w:rsidRPr="00961B35">
              <w:rPr>
                <w:rFonts w:cs="Tahoma"/>
                <w:b w:val="0"/>
                <w:sz w:val="20"/>
                <w:szCs w:val="20"/>
                <w:lang w:val="hy-AM" w:eastAsia="en-US"/>
              </w:rPr>
              <w:t>.</w:t>
            </w:r>
          </w:p>
        </w:tc>
        <w:tc>
          <w:tcPr>
            <w:tcW w:w="527" w:type="pct"/>
            <w:vAlign w:val="center"/>
          </w:tcPr>
          <w:p w:rsidR="00961B35" w:rsidRPr="00961B35" w:rsidRDefault="00961B35" w:rsidP="00961B35">
            <w:pPr>
              <w:spacing w:before="0"/>
              <w:ind w:firstLine="0"/>
              <w:contextualSpacing w:val="0"/>
              <w:jc w:val="center"/>
              <w:rPr>
                <w:rFonts w:cs="Sylfaen"/>
                <w:b w:val="0"/>
                <w:sz w:val="20"/>
                <w:szCs w:val="20"/>
                <w:lang w:val="hy-AM" w:eastAsia="en-US"/>
              </w:rPr>
            </w:pPr>
            <w:r w:rsidRPr="00961B35">
              <w:rPr>
                <w:rFonts w:cs="Sylfaen"/>
                <w:b w:val="0"/>
                <w:sz w:val="20"/>
                <w:szCs w:val="20"/>
                <w:lang w:val="en-US" w:eastAsia="en-US"/>
              </w:rPr>
              <w:t>կանխ.</w:t>
            </w:r>
          </w:p>
        </w:tc>
        <w:tc>
          <w:tcPr>
            <w:tcW w:w="514" w:type="pct"/>
            <w:vAlign w:val="center"/>
          </w:tcPr>
          <w:p w:rsidR="00961B35" w:rsidRPr="00961B35" w:rsidRDefault="00961B35" w:rsidP="00961B35">
            <w:pPr>
              <w:spacing w:before="0"/>
              <w:ind w:firstLine="0"/>
              <w:contextualSpacing w:val="0"/>
              <w:jc w:val="center"/>
              <w:rPr>
                <w:rFonts w:cs="Sylfaen"/>
                <w:b w:val="0"/>
                <w:sz w:val="20"/>
                <w:szCs w:val="20"/>
                <w:lang w:eastAsia="en-US"/>
              </w:rPr>
            </w:pPr>
            <w:r w:rsidRPr="00961B35">
              <w:rPr>
                <w:rFonts w:cs="Sylfaen"/>
                <w:b w:val="0"/>
                <w:sz w:val="20"/>
                <w:szCs w:val="20"/>
                <w:lang w:val="en-US" w:eastAsia="en-US"/>
              </w:rPr>
              <w:t>կ</w:t>
            </w:r>
            <w:r w:rsidRPr="00961B35">
              <w:rPr>
                <w:rFonts w:cs="Sylfaen"/>
                <w:b w:val="0"/>
                <w:sz w:val="20"/>
                <w:szCs w:val="20"/>
                <w:lang w:eastAsia="en-US"/>
              </w:rPr>
              <w:t>անխ.</w:t>
            </w:r>
          </w:p>
        </w:tc>
      </w:tr>
      <w:tr w:rsidR="00961B35" w:rsidRPr="00961B35" w:rsidTr="00E52D4A">
        <w:trPr>
          <w:trHeight w:val="258"/>
        </w:trPr>
        <w:tc>
          <w:tcPr>
            <w:tcW w:w="2459" w:type="pct"/>
            <w:noWrap/>
          </w:tcPr>
          <w:p w:rsidR="00961B35" w:rsidRPr="00961B35" w:rsidRDefault="00961B35" w:rsidP="00961B35">
            <w:pPr>
              <w:spacing w:before="0"/>
              <w:ind w:firstLine="0"/>
              <w:contextualSpacing w:val="0"/>
              <w:jc w:val="left"/>
              <w:rPr>
                <w:rFonts w:cs="Sylfaen"/>
                <w:b w:val="0"/>
                <w:sz w:val="20"/>
                <w:szCs w:val="20"/>
                <w:lang w:val="hy-AM" w:eastAsia="en-US"/>
              </w:rPr>
            </w:pPr>
            <w:r w:rsidRPr="00961B35">
              <w:rPr>
                <w:rFonts w:cs="Sylfaen"/>
                <w:b w:val="0"/>
                <w:sz w:val="20"/>
                <w:szCs w:val="20"/>
                <w:lang w:val="hy-AM" w:eastAsia="en-US"/>
              </w:rPr>
              <w:t>Անվանական ՀՆԱ, մլրդ դրամ</w:t>
            </w:r>
          </w:p>
        </w:tc>
        <w:tc>
          <w:tcPr>
            <w:tcW w:w="487"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5,067.3</w:t>
            </w:r>
          </w:p>
        </w:tc>
        <w:tc>
          <w:tcPr>
            <w:tcW w:w="523"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5,564.5</w:t>
            </w:r>
          </w:p>
        </w:tc>
        <w:tc>
          <w:tcPr>
            <w:tcW w:w="490"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6,005.1</w:t>
            </w:r>
          </w:p>
        </w:tc>
        <w:tc>
          <w:tcPr>
            <w:tcW w:w="527"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6,566.5</w:t>
            </w:r>
          </w:p>
        </w:tc>
        <w:tc>
          <w:tcPr>
            <w:tcW w:w="514"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7,095.1</w:t>
            </w:r>
          </w:p>
        </w:tc>
      </w:tr>
      <w:tr w:rsidR="00961B35" w:rsidRPr="00961B35" w:rsidTr="00E52D4A">
        <w:trPr>
          <w:trHeight w:val="258"/>
        </w:trPr>
        <w:tc>
          <w:tcPr>
            <w:tcW w:w="2459" w:type="pct"/>
            <w:noWrap/>
          </w:tcPr>
          <w:p w:rsidR="00961B35" w:rsidRPr="00961B35" w:rsidRDefault="00961B35" w:rsidP="00961B35">
            <w:pPr>
              <w:spacing w:before="0"/>
              <w:ind w:firstLine="0"/>
              <w:contextualSpacing w:val="0"/>
              <w:jc w:val="left"/>
              <w:rPr>
                <w:rFonts w:cs="Sylfaen"/>
                <w:b w:val="0"/>
                <w:sz w:val="20"/>
                <w:szCs w:val="20"/>
                <w:lang w:val="hy-AM" w:eastAsia="en-US"/>
              </w:rPr>
            </w:pPr>
            <w:r w:rsidRPr="00961B35">
              <w:rPr>
                <w:rFonts w:cs="Sylfaen"/>
                <w:b w:val="0"/>
                <w:sz w:val="20"/>
                <w:szCs w:val="20"/>
                <w:lang w:val="hy-AM" w:eastAsia="en-US"/>
              </w:rPr>
              <w:t>Իրական ՀՆԱ ինդեքս</w:t>
            </w:r>
          </w:p>
        </w:tc>
        <w:tc>
          <w:tcPr>
            <w:tcW w:w="487"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100.2</w:t>
            </w:r>
          </w:p>
        </w:tc>
        <w:tc>
          <w:tcPr>
            <w:tcW w:w="523"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107.5</w:t>
            </w:r>
          </w:p>
        </w:tc>
        <w:tc>
          <w:tcPr>
            <w:tcW w:w="490"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105.2</w:t>
            </w:r>
          </w:p>
        </w:tc>
        <w:tc>
          <w:tcPr>
            <w:tcW w:w="527"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106.3</w:t>
            </w:r>
          </w:p>
        </w:tc>
        <w:tc>
          <w:tcPr>
            <w:tcW w:w="514"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104.9</w:t>
            </w:r>
          </w:p>
        </w:tc>
      </w:tr>
      <w:tr w:rsidR="00961B35" w:rsidRPr="00961B35" w:rsidTr="00E52D4A">
        <w:trPr>
          <w:trHeight w:val="258"/>
        </w:trPr>
        <w:tc>
          <w:tcPr>
            <w:tcW w:w="2459" w:type="pct"/>
            <w:noWrap/>
          </w:tcPr>
          <w:p w:rsidR="00961B35" w:rsidRPr="00961B35" w:rsidRDefault="00961B35" w:rsidP="00961B35">
            <w:pPr>
              <w:spacing w:before="0"/>
              <w:ind w:firstLine="0"/>
              <w:contextualSpacing w:val="0"/>
              <w:jc w:val="left"/>
              <w:rPr>
                <w:rFonts w:cs="Sylfaen"/>
                <w:b w:val="0"/>
                <w:sz w:val="20"/>
                <w:szCs w:val="20"/>
                <w:lang w:val="hy-AM" w:eastAsia="en-US"/>
              </w:rPr>
            </w:pPr>
            <w:r w:rsidRPr="00961B35">
              <w:rPr>
                <w:rFonts w:cs="Sylfaen"/>
                <w:b w:val="0"/>
                <w:sz w:val="20"/>
                <w:szCs w:val="20"/>
                <w:lang w:val="hy-AM" w:eastAsia="en-US"/>
              </w:rPr>
              <w:t xml:space="preserve">ՀՆԱ դեֆլյատոր </w:t>
            </w:r>
          </w:p>
        </w:tc>
        <w:tc>
          <w:tcPr>
            <w:tcW w:w="487"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100.3</w:t>
            </w:r>
          </w:p>
        </w:tc>
        <w:tc>
          <w:tcPr>
            <w:tcW w:w="523"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102.1</w:t>
            </w:r>
          </w:p>
        </w:tc>
        <w:tc>
          <w:tcPr>
            <w:tcW w:w="490"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102.5</w:t>
            </w:r>
          </w:p>
        </w:tc>
        <w:tc>
          <w:tcPr>
            <w:tcW w:w="527"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102.9</w:t>
            </w:r>
          </w:p>
        </w:tc>
        <w:tc>
          <w:tcPr>
            <w:tcW w:w="514"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103.0</w:t>
            </w:r>
          </w:p>
        </w:tc>
      </w:tr>
      <w:tr w:rsidR="00961B35" w:rsidRPr="00961B35" w:rsidTr="00E52D4A">
        <w:trPr>
          <w:trHeight w:val="258"/>
        </w:trPr>
        <w:tc>
          <w:tcPr>
            <w:tcW w:w="2459" w:type="pct"/>
            <w:noWrap/>
          </w:tcPr>
          <w:p w:rsidR="00961B35" w:rsidRPr="00961B35" w:rsidRDefault="00961B35" w:rsidP="00961B35">
            <w:pPr>
              <w:spacing w:before="0"/>
              <w:ind w:firstLine="0"/>
              <w:contextualSpacing w:val="0"/>
              <w:jc w:val="left"/>
              <w:rPr>
                <w:rFonts w:cs="Sylfaen"/>
                <w:b w:val="0"/>
                <w:sz w:val="20"/>
                <w:szCs w:val="20"/>
                <w:lang w:val="hy-AM" w:eastAsia="en-US"/>
              </w:rPr>
            </w:pPr>
            <w:r w:rsidRPr="00961B35">
              <w:rPr>
                <w:rFonts w:cs="Sylfaen"/>
                <w:b w:val="0"/>
                <w:sz w:val="20"/>
                <w:szCs w:val="20"/>
                <w:lang w:val="hy-AM" w:eastAsia="en-US"/>
              </w:rPr>
              <w:t>Գնաճ (</w:t>
            </w:r>
            <w:r w:rsidRPr="00961B35">
              <w:rPr>
                <w:rFonts w:cs="Sylfaen"/>
                <w:b w:val="0"/>
                <w:sz w:val="20"/>
                <w:szCs w:val="20"/>
                <w:lang w:val="en-US" w:eastAsia="en-US"/>
              </w:rPr>
              <w:t>12-ամսյա</w:t>
            </w:r>
            <w:r w:rsidRPr="00961B35">
              <w:rPr>
                <w:rFonts w:cs="Sylfaen"/>
                <w:b w:val="0"/>
                <w:sz w:val="20"/>
                <w:szCs w:val="20"/>
                <w:lang w:val="hy-AM" w:eastAsia="en-US"/>
              </w:rPr>
              <w:t>) %</w:t>
            </w:r>
          </w:p>
        </w:tc>
        <w:tc>
          <w:tcPr>
            <w:tcW w:w="487"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-1.1</w:t>
            </w:r>
          </w:p>
        </w:tc>
        <w:tc>
          <w:tcPr>
            <w:tcW w:w="523"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2.6</w:t>
            </w:r>
          </w:p>
        </w:tc>
        <w:tc>
          <w:tcPr>
            <w:tcW w:w="490"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1.8</w:t>
            </w:r>
          </w:p>
        </w:tc>
        <w:tc>
          <w:tcPr>
            <w:tcW w:w="527"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2.0</w:t>
            </w:r>
          </w:p>
        </w:tc>
        <w:tc>
          <w:tcPr>
            <w:tcW w:w="514"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2.5</w:t>
            </w:r>
          </w:p>
        </w:tc>
      </w:tr>
      <w:tr w:rsidR="00961B35" w:rsidRPr="00961B35" w:rsidTr="00E52D4A">
        <w:trPr>
          <w:trHeight w:val="516"/>
        </w:trPr>
        <w:tc>
          <w:tcPr>
            <w:tcW w:w="2459" w:type="pct"/>
          </w:tcPr>
          <w:p w:rsidR="00961B35" w:rsidRPr="00961B35" w:rsidRDefault="00961B35" w:rsidP="00961B35">
            <w:pPr>
              <w:spacing w:before="0"/>
              <w:ind w:firstLine="0"/>
              <w:contextualSpacing w:val="0"/>
              <w:jc w:val="left"/>
              <w:rPr>
                <w:rFonts w:cs="Sylfaen"/>
                <w:b w:val="0"/>
                <w:sz w:val="20"/>
                <w:szCs w:val="20"/>
                <w:lang w:val="hy-AM" w:eastAsia="en-US"/>
              </w:rPr>
            </w:pPr>
            <w:r w:rsidRPr="00961B35">
              <w:rPr>
                <w:rFonts w:cs="Sylfaen"/>
                <w:b w:val="0"/>
                <w:sz w:val="20"/>
                <w:szCs w:val="20"/>
                <w:lang w:val="hy-AM" w:eastAsia="en-US"/>
              </w:rPr>
              <w:t xml:space="preserve">Գնաճ (միջին, նախորդ տարվա նույն </w:t>
            </w:r>
            <w:r w:rsidRPr="00B971C5">
              <w:rPr>
                <w:rFonts w:cs="Sylfaen"/>
                <w:b w:val="0"/>
                <w:sz w:val="20"/>
                <w:szCs w:val="20"/>
                <w:lang w:eastAsia="en-US"/>
              </w:rPr>
              <w:t xml:space="preserve">  </w:t>
            </w:r>
            <w:r w:rsidRPr="00961B35">
              <w:rPr>
                <w:rFonts w:cs="Sylfaen"/>
                <w:b w:val="0"/>
                <w:sz w:val="20"/>
                <w:szCs w:val="20"/>
                <w:lang w:val="hy-AM" w:eastAsia="en-US"/>
              </w:rPr>
              <w:t>ժամանակահատվածի նկատմամբ) %</w:t>
            </w:r>
          </w:p>
        </w:tc>
        <w:tc>
          <w:tcPr>
            <w:tcW w:w="487"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-1.4</w:t>
            </w:r>
          </w:p>
        </w:tc>
        <w:tc>
          <w:tcPr>
            <w:tcW w:w="523"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1.0</w:t>
            </w:r>
          </w:p>
        </w:tc>
        <w:tc>
          <w:tcPr>
            <w:tcW w:w="490"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2.5</w:t>
            </w:r>
          </w:p>
        </w:tc>
        <w:tc>
          <w:tcPr>
            <w:tcW w:w="527"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1.7</w:t>
            </w:r>
          </w:p>
        </w:tc>
        <w:tc>
          <w:tcPr>
            <w:tcW w:w="514"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2.1</w:t>
            </w:r>
          </w:p>
        </w:tc>
      </w:tr>
      <w:tr w:rsidR="00961B35" w:rsidRPr="00961B35" w:rsidTr="00E52D4A">
        <w:trPr>
          <w:trHeight w:val="258"/>
        </w:trPr>
        <w:tc>
          <w:tcPr>
            <w:tcW w:w="2459" w:type="pct"/>
            <w:noWrap/>
          </w:tcPr>
          <w:p w:rsidR="00961B35" w:rsidRPr="00961B35" w:rsidRDefault="00961B35" w:rsidP="00961B35">
            <w:pPr>
              <w:spacing w:before="0"/>
              <w:ind w:firstLine="0"/>
              <w:contextualSpacing w:val="0"/>
              <w:jc w:val="left"/>
              <w:rPr>
                <w:rFonts w:cs="Sylfaen"/>
                <w:b w:val="0"/>
                <w:i/>
                <w:sz w:val="20"/>
                <w:szCs w:val="20"/>
                <w:u w:val="single"/>
                <w:lang w:val="hy-AM" w:eastAsia="en-US"/>
              </w:rPr>
            </w:pPr>
            <w:r w:rsidRPr="00961B35">
              <w:rPr>
                <w:rFonts w:cs="Sylfaen"/>
                <w:b w:val="0"/>
                <w:i/>
                <w:sz w:val="20"/>
                <w:szCs w:val="20"/>
                <w:u w:val="single"/>
                <w:lang w:val="hy-AM" w:eastAsia="en-US"/>
              </w:rPr>
              <w:t>ՀՆԱ իրական աճն ըստ ճյուղերի ավելացված արժեքների</w:t>
            </w:r>
          </w:p>
        </w:tc>
        <w:tc>
          <w:tcPr>
            <w:tcW w:w="487" w:type="pct"/>
            <w:vAlign w:val="center"/>
          </w:tcPr>
          <w:p w:rsidR="00961B35" w:rsidRPr="00961B35" w:rsidRDefault="00961B35" w:rsidP="00961B35">
            <w:pPr>
              <w:spacing w:before="0"/>
              <w:ind w:firstLine="450"/>
              <w:contextualSpacing w:val="0"/>
              <w:jc w:val="center"/>
              <w:rPr>
                <w:rFonts w:cs="Sylfaen"/>
                <w:b w:val="0"/>
                <w:sz w:val="20"/>
                <w:szCs w:val="20"/>
                <w:highlight w:val="yellow"/>
                <w:lang w:val="hy-AM" w:eastAsia="en-US"/>
              </w:rPr>
            </w:pPr>
          </w:p>
        </w:tc>
        <w:tc>
          <w:tcPr>
            <w:tcW w:w="523" w:type="pct"/>
            <w:vAlign w:val="center"/>
          </w:tcPr>
          <w:p w:rsidR="00961B35" w:rsidRPr="00961B35" w:rsidRDefault="00961B35" w:rsidP="00961B35">
            <w:pPr>
              <w:spacing w:before="0"/>
              <w:ind w:firstLine="450"/>
              <w:contextualSpacing w:val="0"/>
              <w:jc w:val="center"/>
              <w:rPr>
                <w:rFonts w:cs="Sylfaen"/>
                <w:b w:val="0"/>
                <w:sz w:val="20"/>
                <w:szCs w:val="20"/>
                <w:highlight w:val="yellow"/>
                <w:lang w:val="hy-AM" w:eastAsia="en-US"/>
              </w:rPr>
            </w:pPr>
          </w:p>
        </w:tc>
        <w:tc>
          <w:tcPr>
            <w:tcW w:w="490" w:type="pct"/>
            <w:vAlign w:val="center"/>
          </w:tcPr>
          <w:p w:rsidR="00961B35" w:rsidRPr="00961B35" w:rsidRDefault="00961B35" w:rsidP="00961B35">
            <w:pPr>
              <w:spacing w:before="0"/>
              <w:ind w:firstLine="450"/>
              <w:contextualSpacing w:val="0"/>
              <w:jc w:val="center"/>
              <w:rPr>
                <w:rFonts w:cs="Sylfaen"/>
                <w:b w:val="0"/>
                <w:sz w:val="20"/>
                <w:szCs w:val="20"/>
                <w:highlight w:val="yellow"/>
                <w:lang w:val="hy-AM" w:eastAsia="en-US"/>
              </w:rPr>
            </w:pPr>
          </w:p>
        </w:tc>
        <w:tc>
          <w:tcPr>
            <w:tcW w:w="527" w:type="pct"/>
            <w:vAlign w:val="center"/>
          </w:tcPr>
          <w:p w:rsidR="00961B35" w:rsidRPr="00961B35" w:rsidRDefault="00961B35" w:rsidP="00961B35">
            <w:pPr>
              <w:spacing w:before="0"/>
              <w:ind w:firstLine="450"/>
              <w:contextualSpacing w:val="0"/>
              <w:jc w:val="center"/>
              <w:rPr>
                <w:rFonts w:cs="Sylfaen"/>
                <w:b w:val="0"/>
                <w:sz w:val="20"/>
                <w:szCs w:val="20"/>
                <w:highlight w:val="yellow"/>
                <w:lang w:val="hy-AM" w:eastAsia="en-US"/>
              </w:rPr>
            </w:pPr>
          </w:p>
        </w:tc>
        <w:tc>
          <w:tcPr>
            <w:tcW w:w="514" w:type="pct"/>
            <w:vAlign w:val="center"/>
          </w:tcPr>
          <w:p w:rsidR="00961B35" w:rsidRPr="00961B35" w:rsidRDefault="00961B35" w:rsidP="00961B35">
            <w:pPr>
              <w:spacing w:before="0"/>
              <w:ind w:firstLine="450"/>
              <w:contextualSpacing w:val="0"/>
              <w:jc w:val="center"/>
              <w:rPr>
                <w:rFonts w:cs="Sylfaen"/>
                <w:b w:val="0"/>
                <w:sz w:val="20"/>
                <w:szCs w:val="20"/>
                <w:highlight w:val="yellow"/>
                <w:lang w:val="hy-AM" w:eastAsia="en-US"/>
              </w:rPr>
            </w:pPr>
          </w:p>
        </w:tc>
      </w:tr>
      <w:tr w:rsidR="00961B35" w:rsidRPr="00961B35" w:rsidTr="00E52D4A">
        <w:trPr>
          <w:trHeight w:val="258"/>
        </w:trPr>
        <w:tc>
          <w:tcPr>
            <w:tcW w:w="2459" w:type="pct"/>
            <w:noWrap/>
          </w:tcPr>
          <w:p w:rsidR="00961B35" w:rsidRPr="00961B35" w:rsidRDefault="00961B35" w:rsidP="00961B35">
            <w:pPr>
              <w:spacing w:before="0"/>
              <w:ind w:firstLine="0"/>
              <w:contextualSpacing w:val="0"/>
              <w:jc w:val="left"/>
              <w:rPr>
                <w:rFonts w:cs="Sylfaen"/>
                <w:b w:val="0"/>
                <w:sz w:val="20"/>
                <w:szCs w:val="20"/>
                <w:lang w:val="hy-AM" w:eastAsia="en-US"/>
              </w:rPr>
            </w:pPr>
            <w:r w:rsidRPr="00961B35">
              <w:rPr>
                <w:rFonts w:cs="Sylfaen"/>
                <w:b w:val="0"/>
                <w:sz w:val="20"/>
                <w:szCs w:val="20"/>
                <w:lang w:val="hy-AM" w:eastAsia="en-US"/>
              </w:rPr>
              <w:t>ՀՆԱ</w:t>
            </w:r>
          </w:p>
        </w:tc>
        <w:tc>
          <w:tcPr>
            <w:tcW w:w="487"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0.2</w:t>
            </w:r>
          </w:p>
        </w:tc>
        <w:tc>
          <w:tcPr>
            <w:tcW w:w="523"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7.5</w:t>
            </w:r>
          </w:p>
        </w:tc>
        <w:tc>
          <w:tcPr>
            <w:tcW w:w="490"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5.2</w:t>
            </w:r>
          </w:p>
        </w:tc>
        <w:tc>
          <w:tcPr>
            <w:tcW w:w="527"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6.3</w:t>
            </w:r>
          </w:p>
        </w:tc>
        <w:tc>
          <w:tcPr>
            <w:tcW w:w="514"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4.9</w:t>
            </w:r>
          </w:p>
        </w:tc>
      </w:tr>
      <w:tr w:rsidR="00961B35" w:rsidRPr="00961B35" w:rsidTr="00E52D4A">
        <w:trPr>
          <w:trHeight w:val="258"/>
        </w:trPr>
        <w:tc>
          <w:tcPr>
            <w:tcW w:w="2459" w:type="pct"/>
            <w:noWrap/>
          </w:tcPr>
          <w:p w:rsidR="00961B35" w:rsidRPr="00961B35" w:rsidRDefault="00961B35" w:rsidP="00961B35">
            <w:pPr>
              <w:spacing w:before="0"/>
              <w:ind w:firstLine="450"/>
              <w:contextualSpacing w:val="0"/>
              <w:jc w:val="left"/>
              <w:rPr>
                <w:rFonts w:cs="Sylfaen"/>
                <w:b w:val="0"/>
                <w:sz w:val="20"/>
                <w:szCs w:val="20"/>
                <w:lang w:val="hy-AM" w:eastAsia="en-US"/>
              </w:rPr>
            </w:pPr>
            <w:r w:rsidRPr="00961B35">
              <w:rPr>
                <w:rFonts w:cs="Sylfaen"/>
                <w:b w:val="0"/>
                <w:sz w:val="20"/>
                <w:szCs w:val="20"/>
                <w:lang w:val="hy-AM" w:eastAsia="en-US"/>
              </w:rPr>
              <w:t>Արդյունաբերություն</w:t>
            </w:r>
          </w:p>
        </w:tc>
        <w:tc>
          <w:tcPr>
            <w:tcW w:w="487"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7.6</w:t>
            </w:r>
          </w:p>
        </w:tc>
        <w:tc>
          <w:tcPr>
            <w:tcW w:w="523"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11.8</w:t>
            </w:r>
          </w:p>
        </w:tc>
        <w:tc>
          <w:tcPr>
            <w:tcW w:w="490"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5.8</w:t>
            </w:r>
          </w:p>
        </w:tc>
        <w:tc>
          <w:tcPr>
            <w:tcW w:w="527"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6.5</w:t>
            </w:r>
          </w:p>
        </w:tc>
        <w:tc>
          <w:tcPr>
            <w:tcW w:w="514"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5.0</w:t>
            </w:r>
          </w:p>
        </w:tc>
      </w:tr>
      <w:tr w:rsidR="00961B35" w:rsidRPr="00961B35" w:rsidTr="00E52D4A">
        <w:trPr>
          <w:trHeight w:val="258"/>
        </w:trPr>
        <w:tc>
          <w:tcPr>
            <w:tcW w:w="2459" w:type="pct"/>
          </w:tcPr>
          <w:p w:rsidR="00961B35" w:rsidRPr="00961B35" w:rsidRDefault="00961B35" w:rsidP="00961B35">
            <w:pPr>
              <w:spacing w:before="0"/>
              <w:ind w:firstLine="450"/>
              <w:contextualSpacing w:val="0"/>
              <w:jc w:val="left"/>
              <w:rPr>
                <w:rFonts w:cs="Sylfaen"/>
                <w:b w:val="0"/>
                <w:sz w:val="20"/>
                <w:szCs w:val="20"/>
                <w:lang w:val="hy-AM" w:eastAsia="en-US"/>
              </w:rPr>
            </w:pPr>
            <w:r w:rsidRPr="00961B35">
              <w:rPr>
                <w:rFonts w:cs="Sylfaen"/>
                <w:b w:val="0"/>
                <w:sz w:val="20"/>
                <w:szCs w:val="20"/>
                <w:lang w:val="hy-AM" w:eastAsia="en-US"/>
              </w:rPr>
              <w:t xml:space="preserve">Գյուղատնտեսություն  </w:t>
            </w:r>
          </w:p>
        </w:tc>
        <w:tc>
          <w:tcPr>
            <w:tcW w:w="487"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-5.0</w:t>
            </w:r>
          </w:p>
        </w:tc>
        <w:tc>
          <w:tcPr>
            <w:tcW w:w="523"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-5.1</w:t>
            </w:r>
          </w:p>
        </w:tc>
        <w:tc>
          <w:tcPr>
            <w:tcW w:w="490"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-8.5</w:t>
            </w:r>
          </w:p>
        </w:tc>
        <w:tc>
          <w:tcPr>
            <w:tcW w:w="527"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0.2</w:t>
            </w:r>
          </w:p>
        </w:tc>
        <w:tc>
          <w:tcPr>
            <w:tcW w:w="514"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0.5</w:t>
            </w:r>
          </w:p>
        </w:tc>
      </w:tr>
      <w:tr w:rsidR="00961B35" w:rsidRPr="00961B35" w:rsidTr="00E52D4A">
        <w:trPr>
          <w:trHeight w:val="258"/>
        </w:trPr>
        <w:tc>
          <w:tcPr>
            <w:tcW w:w="2459" w:type="pct"/>
            <w:noWrap/>
          </w:tcPr>
          <w:p w:rsidR="00961B35" w:rsidRPr="00961B35" w:rsidRDefault="00961B35" w:rsidP="00961B35">
            <w:pPr>
              <w:spacing w:before="0"/>
              <w:ind w:firstLine="450"/>
              <w:contextualSpacing w:val="0"/>
              <w:jc w:val="left"/>
              <w:rPr>
                <w:rFonts w:cs="Sylfaen"/>
                <w:b w:val="0"/>
                <w:sz w:val="20"/>
                <w:szCs w:val="20"/>
                <w:lang w:val="hy-AM" w:eastAsia="en-US"/>
              </w:rPr>
            </w:pPr>
            <w:r w:rsidRPr="00961B35">
              <w:rPr>
                <w:rFonts w:cs="Sylfaen"/>
                <w:b w:val="0"/>
                <w:sz w:val="20"/>
                <w:szCs w:val="20"/>
                <w:lang w:val="hy-AM" w:eastAsia="en-US"/>
              </w:rPr>
              <w:t xml:space="preserve">Շինարարություն </w:t>
            </w:r>
          </w:p>
        </w:tc>
        <w:tc>
          <w:tcPr>
            <w:tcW w:w="487"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-14.1</w:t>
            </w:r>
          </w:p>
        </w:tc>
        <w:tc>
          <w:tcPr>
            <w:tcW w:w="523"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2.8</w:t>
            </w:r>
          </w:p>
        </w:tc>
        <w:tc>
          <w:tcPr>
            <w:tcW w:w="490"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0.8</w:t>
            </w:r>
          </w:p>
        </w:tc>
        <w:tc>
          <w:tcPr>
            <w:tcW w:w="527"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4.0</w:t>
            </w:r>
          </w:p>
        </w:tc>
        <w:tc>
          <w:tcPr>
            <w:tcW w:w="514"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4.0</w:t>
            </w:r>
          </w:p>
        </w:tc>
      </w:tr>
      <w:tr w:rsidR="00961B35" w:rsidRPr="00961B35" w:rsidTr="00E52D4A">
        <w:trPr>
          <w:trHeight w:val="258"/>
        </w:trPr>
        <w:tc>
          <w:tcPr>
            <w:tcW w:w="2459" w:type="pct"/>
            <w:noWrap/>
          </w:tcPr>
          <w:p w:rsidR="00961B35" w:rsidRPr="00961B35" w:rsidRDefault="00961B35" w:rsidP="00961B35">
            <w:pPr>
              <w:spacing w:before="0"/>
              <w:ind w:firstLine="450"/>
              <w:contextualSpacing w:val="0"/>
              <w:jc w:val="left"/>
              <w:rPr>
                <w:rFonts w:cs="Sylfaen"/>
                <w:b w:val="0"/>
                <w:sz w:val="20"/>
                <w:szCs w:val="20"/>
                <w:lang w:val="hy-AM" w:eastAsia="en-US"/>
              </w:rPr>
            </w:pPr>
            <w:r w:rsidRPr="00961B35">
              <w:rPr>
                <w:rFonts w:cs="Sylfaen"/>
                <w:b w:val="0"/>
                <w:sz w:val="20"/>
                <w:szCs w:val="20"/>
                <w:lang w:val="hy-AM" w:eastAsia="en-US"/>
              </w:rPr>
              <w:t>Ծառայություններ</w:t>
            </w:r>
          </w:p>
        </w:tc>
        <w:tc>
          <w:tcPr>
            <w:tcW w:w="487"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3.2</w:t>
            </w:r>
          </w:p>
        </w:tc>
        <w:tc>
          <w:tcPr>
            <w:tcW w:w="523"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10.6</w:t>
            </w:r>
          </w:p>
        </w:tc>
        <w:tc>
          <w:tcPr>
            <w:tcW w:w="490"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9.3</w:t>
            </w:r>
          </w:p>
        </w:tc>
        <w:tc>
          <w:tcPr>
            <w:tcW w:w="527"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8.1</w:t>
            </w:r>
          </w:p>
        </w:tc>
        <w:tc>
          <w:tcPr>
            <w:tcW w:w="514"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6.0</w:t>
            </w:r>
          </w:p>
        </w:tc>
      </w:tr>
      <w:tr w:rsidR="00961B35" w:rsidRPr="00961B35" w:rsidTr="00E52D4A">
        <w:trPr>
          <w:trHeight w:val="258"/>
        </w:trPr>
        <w:tc>
          <w:tcPr>
            <w:tcW w:w="2459" w:type="pct"/>
            <w:noWrap/>
          </w:tcPr>
          <w:p w:rsidR="00961B35" w:rsidRPr="00961B35" w:rsidRDefault="00961B35" w:rsidP="00961B35">
            <w:pPr>
              <w:spacing w:before="0"/>
              <w:ind w:firstLine="450"/>
              <w:contextualSpacing w:val="0"/>
              <w:jc w:val="left"/>
              <w:rPr>
                <w:rFonts w:cs="Sylfaen"/>
                <w:b w:val="0"/>
                <w:sz w:val="20"/>
                <w:szCs w:val="20"/>
                <w:lang w:val="hy-AM" w:eastAsia="en-US"/>
              </w:rPr>
            </w:pPr>
            <w:r w:rsidRPr="00961B35">
              <w:rPr>
                <w:rFonts w:cs="Sylfaen"/>
                <w:b w:val="0"/>
                <w:sz w:val="20"/>
                <w:szCs w:val="20"/>
                <w:lang w:val="hy-AM" w:eastAsia="en-US"/>
              </w:rPr>
              <w:t>Զուտ հարկեր</w:t>
            </w:r>
          </w:p>
        </w:tc>
        <w:tc>
          <w:tcPr>
            <w:tcW w:w="487"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-3.7</w:t>
            </w:r>
          </w:p>
        </w:tc>
        <w:tc>
          <w:tcPr>
            <w:tcW w:w="523"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9.7</w:t>
            </w:r>
          </w:p>
        </w:tc>
        <w:tc>
          <w:tcPr>
            <w:tcW w:w="490"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8.0</w:t>
            </w:r>
          </w:p>
        </w:tc>
        <w:tc>
          <w:tcPr>
            <w:tcW w:w="527"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6.6</w:t>
            </w:r>
          </w:p>
        </w:tc>
        <w:tc>
          <w:tcPr>
            <w:tcW w:w="514"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5.3</w:t>
            </w:r>
          </w:p>
        </w:tc>
      </w:tr>
      <w:tr w:rsidR="00961B35" w:rsidRPr="00961B35" w:rsidTr="00E52D4A">
        <w:trPr>
          <w:trHeight w:val="258"/>
        </w:trPr>
        <w:tc>
          <w:tcPr>
            <w:tcW w:w="2459" w:type="pct"/>
            <w:noWrap/>
          </w:tcPr>
          <w:p w:rsidR="00961B35" w:rsidRPr="00961B35" w:rsidRDefault="00961B35" w:rsidP="00961B35">
            <w:pPr>
              <w:spacing w:before="0"/>
              <w:ind w:firstLine="0"/>
              <w:contextualSpacing w:val="0"/>
              <w:jc w:val="left"/>
              <w:rPr>
                <w:rFonts w:cs="Sylfaen"/>
                <w:b w:val="0"/>
                <w:i/>
                <w:sz w:val="20"/>
                <w:szCs w:val="20"/>
                <w:u w:val="single"/>
                <w:lang w:val="hy-AM" w:eastAsia="en-US"/>
              </w:rPr>
            </w:pPr>
            <w:r w:rsidRPr="00961B35">
              <w:rPr>
                <w:rFonts w:cs="Sylfaen"/>
                <w:b w:val="0"/>
                <w:i/>
                <w:sz w:val="20"/>
                <w:szCs w:val="20"/>
                <w:u w:val="single"/>
                <w:lang w:val="hy-AM" w:eastAsia="en-US"/>
              </w:rPr>
              <w:t>ՀՆԱ ծախսային կոմպոնենտների իրական աճերը</w:t>
            </w:r>
          </w:p>
        </w:tc>
        <w:tc>
          <w:tcPr>
            <w:tcW w:w="487" w:type="pct"/>
            <w:vAlign w:val="center"/>
          </w:tcPr>
          <w:p w:rsidR="00961B35" w:rsidRPr="00961B35" w:rsidRDefault="00961B35" w:rsidP="00961B35">
            <w:pPr>
              <w:spacing w:before="0"/>
              <w:ind w:firstLine="450"/>
              <w:contextualSpacing w:val="0"/>
              <w:jc w:val="center"/>
              <w:rPr>
                <w:rFonts w:cs="Sylfaen"/>
                <w:b w:val="0"/>
                <w:sz w:val="20"/>
                <w:szCs w:val="20"/>
                <w:highlight w:val="yellow"/>
                <w:lang w:val="hy-AM" w:eastAsia="en-US"/>
              </w:rPr>
            </w:pPr>
          </w:p>
        </w:tc>
        <w:tc>
          <w:tcPr>
            <w:tcW w:w="523" w:type="pct"/>
            <w:vAlign w:val="center"/>
          </w:tcPr>
          <w:p w:rsidR="00961B35" w:rsidRPr="00961B35" w:rsidRDefault="00961B35" w:rsidP="00961B35">
            <w:pPr>
              <w:spacing w:before="0"/>
              <w:ind w:firstLine="450"/>
              <w:contextualSpacing w:val="0"/>
              <w:jc w:val="center"/>
              <w:rPr>
                <w:rFonts w:cs="Sylfaen"/>
                <w:b w:val="0"/>
                <w:sz w:val="20"/>
                <w:szCs w:val="20"/>
                <w:highlight w:val="yellow"/>
                <w:lang w:val="hy-AM" w:eastAsia="en-US"/>
              </w:rPr>
            </w:pPr>
          </w:p>
        </w:tc>
        <w:tc>
          <w:tcPr>
            <w:tcW w:w="490" w:type="pct"/>
            <w:vAlign w:val="center"/>
          </w:tcPr>
          <w:p w:rsidR="00961B35" w:rsidRPr="00961B35" w:rsidRDefault="00961B35" w:rsidP="00961B35">
            <w:pPr>
              <w:spacing w:before="0"/>
              <w:ind w:firstLine="450"/>
              <w:contextualSpacing w:val="0"/>
              <w:jc w:val="center"/>
              <w:rPr>
                <w:rFonts w:cs="Sylfaen"/>
                <w:b w:val="0"/>
                <w:sz w:val="20"/>
                <w:szCs w:val="20"/>
                <w:highlight w:val="yellow"/>
                <w:lang w:val="hy-AM" w:eastAsia="en-US"/>
              </w:rPr>
            </w:pPr>
          </w:p>
        </w:tc>
        <w:tc>
          <w:tcPr>
            <w:tcW w:w="527" w:type="pct"/>
            <w:vAlign w:val="center"/>
          </w:tcPr>
          <w:p w:rsidR="00961B35" w:rsidRPr="00961B35" w:rsidRDefault="00961B35" w:rsidP="00961B35">
            <w:pPr>
              <w:spacing w:before="0"/>
              <w:ind w:firstLine="450"/>
              <w:contextualSpacing w:val="0"/>
              <w:jc w:val="center"/>
              <w:rPr>
                <w:rFonts w:cs="Sylfaen"/>
                <w:b w:val="0"/>
                <w:sz w:val="20"/>
                <w:szCs w:val="20"/>
                <w:highlight w:val="yellow"/>
                <w:lang w:val="hy-AM" w:eastAsia="en-US"/>
              </w:rPr>
            </w:pPr>
          </w:p>
        </w:tc>
        <w:tc>
          <w:tcPr>
            <w:tcW w:w="514" w:type="pct"/>
            <w:vAlign w:val="center"/>
          </w:tcPr>
          <w:p w:rsidR="00961B35" w:rsidRPr="00961B35" w:rsidRDefault="00961B35" w:rsidP="00961B35">
            <w:pPr>
              <w:spacing w:before="0"/>
              <w:ind w:firstLine="450"/>
              <w:contextualSpacing w:val="0"/>
              <w:jc w:val="center"/>
              <w:rPr>
                <w:rFonts w:cs="Sylfaen"/>
                <w:b w:val="0"/>
                <w:sz w:val="20"/>
                <w:szCs w:val="20"/>
                <w:highlight w:val="yellow"/>
                <w:lang w:val="hy-AM" w:eastAsia="en-US"/>
              </w:rPr>
            </w:pPr>
          </w:p>
        </w:tc>
      </w:tr>
      <w:tr w:rsidR="00961B35" w:rsidRPr="00961B35" w:rsidTr="00E52D4A">
        <w:trPr>
          <w:trHeight w:val="258"/>
        </w:trPr>
        <w:tc>
          <w:tcPr>
            <w:tcW w:w="2459" w:type="pct"/>
          </w:tcPr>
          <w:p w:rsidR="00961B35" w:rsidRPr="00961B35" w:rsidRDefault="00961B35" w:rsidP="00961B35">
            <w:pPr>
              <w:spacing w:before="0"/>
              <w:ind w:firstLine="450"/>
              <w:contextualSpacing w:val="0"/>
              <w:jc w:val="left"/>
              <w:rPr>
                <w:rFonts w:cs="Sylfaen"/>
                <w:b w:val="0"/>
                <w:sz w:val="20"/>
                <w:szCs w:val="20"/>
                <w:lang w:val="hy-AM" w:eastAsia="en-US"/>
              </w:rPr>
            </w:pPr>
            <w:r w:rsidRPr="00961B35">
              <w:rPr>
                <w:rFonts w:cs="Sylfaen"/>
                <w:b w:val="0"/>
                <w:sz w:val="20"/>
                <w:szCs w:val="20"/>
                <w:lang w:val="hy-AM" w:eastAsia="en-US"/>
              </w:rPr>
              <w:t>Վերջնական սպառում</w:t>
            </w:r>
          </w:p>
        </w:tc>
        <w:tc>
          <w:tcPr>
            <w:tcW w:w="487"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-1.2</w:t>
            </w:r>
          </w:p>
        </w:tc>
        <w:tc>
          <w:tcPr>
            <w:tcW w:w="523"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10.5</w:t>
            </w:r>
          </w:p>
        </w:tc>
        <w:tc>
          <w:tcPr>
            <w:tcW w:w="490"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5.1</w:t>
            </w:r>
          </w:p>
        </w:tc>
        <w:tc>
          <w:tcPr>
            <w:tcW w:w="527"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7.6</w:t>
            </w:r>
          </w:p>
        </w:tc>
        <w:tc>
          <w:tcPr>
            <w:tcW w:w="514"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4.8</w:t>
            </w:r>
          </w:p>
        </w:tc>
      </w:tr>
      <w:tr w:rsidR="00961B35" w:rsidRPr="00961B35" w:rsidTr="00E52D4A">
        <w:trPr>
          <w:trHeight w:val="258"/>
        </w:trPr>
        <w:tc>
          <w:tcPr>
            <w:tcW w:w="2459" w:type="pct"/>
          </w:tcPr>
          <w:p w:rsidR="00961B35" w:rsidRPr="00961B35" w:rsidRDefault="00961B35" w:rsidP="00961B35">
            <w:pPr>
              <w:spacing w:before="0"/>
              <w:ind w:firstLine="450"/>
              <w:contextualSpacing w:val="0"/>
              <w:jc w:val="left"/>
              <w:rPr>
                <w:rFonts w:cs="Sylfaen"/>
                <w:b w:val="0"/>
                <w:sz w:val="20"/>
                <w:szCs w:val="20"/>
                <w:lang w:val="hy-AM" w:eastAsia="en-US"/>
              </w:rPr>
            </w:pPr>
            <w:r w:rsidRPr="00961B35">
              <w:rPr>
                <w:rFonts w:cs="Sylfaen"/>
                <w:b w:val="0"/>
                <w:sz w:val="20"/>
                <w:szCs w:val="20"/>
                <w:lang w:val="hy-AM" w:eastAsia="en-US"/>
              </w:rPr>
              <w:t>Կապիտալի համախառն կուտակում</w:t>
            </w:r>
          </w:p>
        </w:tc>
        <w:tc>
          <w:tcPr>
            <w:tcW w:w="487"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-8.7</w:t>
            </w:r>
          </w:p>
        </w:tc>
        <w:tc>
          <w:tcPr>
            <w:tcW w:w="523"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15.4</w:t>
            </w:r>
          </w:p>
        </w:tc>
        <w:tc>
          <w:tcPr>
            <w:tcW w:w="490"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26.8</w:t>
            </w:r>
          </w:p>
        </w:tc>
        <w:tc>
          <w:tcPr>
            <w:tcW w:w="527"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6.8</w:t>
            </w:r>
          </w:p>
        </w:tc>
        <w:tc>
          <w:tcPr>
            <w:tcW w:w="514" w:type="pct"/>
          </w:tcPr>
          <w:p w:rsidR="00961B35" w:rsidRPr="00961B35" w:rsidRDefault="00961B35" w:rsidP="00961B35">
            <w:pPr>
              <w:spacing w:before="0" w:line="240" w:lineRule="auto"/>
              <w:ind w:firstLine="0"/>
              <w:contextualSpacing w:val="0"/>
              <w:jc w:val="center"/>
              <w:rPr>
                <w:b w:val="0"/>
                <w:sz w:val="20"/>
                <w:szCs w:val="20"/>
                <w:lang w:val="hy-AM" w:eastAsia="en-US"/>
              </w:rPr>
            </w:pPr>
            <w:r w:rsidRPr="00961B35">
              <w:rPr>
                <w:b w:val="0"/>
                <w:sz w:val="20"/>
                <w:szCs w:val="20"/>
                <w:lang w:val="en-US" w:eastAsia="en-US"/>
              </w:rPr>
              <w:t>6.</w:t>
            </w:r>
            <w:r w:rsidRPr="00961B35">
              <w:rPr>
                <w:b w:val="0"/>
                <w:sz w:val="20"/>
                <w:szCs w:val="20"/>
                <w:lang w:val="hy-AM" w:eastAsia="en-US"/>
              </w:rPr>
              <w:t>2</w:t>
            </w:r>
          </w:p>
        </w:tc>
      </w:tr>
      <w:tr w:rsidR="00961B35" w:rsidRPr="00961B35" w:rsidTr="00E52D4A">
        <w:trPr>
          <w:trHeight w:val="258"/>
        </w:trPr>
        <w:tc>
          <w:tcPr>
            <w:tcW w:w="2459" w:type="pct"/>
          </w:tcPr>
          <w:p w:rsidR="00961B35" w:rsidRPr="00961B35" w:rsidRDefault="00961B35" w:rsidP="00961B35">
            <w:pPr>
              <w:spacing w:before="0"/>
              <w:ind w:firstLine="450"/>
              <w:contextualSpacing w:val="0"/>
              <w:jc w:val="left"/>
              <w:rPr>
                <w:rFonts w:cs="Sylfaen"/>
                <w:b w:val="0"/>
                <w:sz w:val="20"/>
                <w:szCs w:val="20"/>
                <w:lang w:val="hy-AM" w:eastAsia="en-US"/>
              </w:rPr>
            </w:pPr>
            <w:r w:rsidRPr="00961B35">
              <w:rPr>
                <w:rFonts w:cs="Sylfaen"/>
                <w:b w:val="0"/>
                <w:sz w:val="20"/>
                <w:szCs w:val="20"/>
                <w:lang w:val="hy-AM" w:eastAsia="en-US"/>
              </w:rPr>
              <w:t xml:space="preserve">Ապրանքների և ծառայությունների արտահանում </w:t>
            </w:r>
          </w:p>
        </w:tc>
        <w:tc>
          <w:tcPr>
            <w:tcW w:w="487"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19.1</w:t>
            </w:r>
          </w:p>
        </w:tc>
        <w:tc>
          <w:tcPr>
            <w:tcW w:w="523"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18.7</w:t>
            </w:r>
          </w:p>
        </w:tc>
        <w:tc>
          <w:tcPr>
            <w:tcW w:w="490"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4.6</w:t>
            </w:r>
          </w:p>
        </w:tc>
        <w:tc>
          <w:tcPr>
            <w:tcW w:w="527"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7.1</w:t>
            </w:r>
          </w:p>
        </w:tc>
        <w:tc>
          <w:tcPr>
            <w:tcW w:w="514"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8.9</w:t>
            </w:r>
          </w:p>
        </w:tc>
      </w:tr>
      <w:tr w:rsidR="00961B35" w:rsidRPr="00961B35" w:rsidTr="00E52D4A">
        <w:trPr>
          <w:trHeight w:val="272"/>
        </w:trPr>
        <w:tc>
          <w:tcPr>
            <w:tcW w:w="2459" w:type="pct"/>
          </w:tcPr>
          <w:p w:rsidR="00961B35" w:rsidRPr="00961B35" w:rsidRDefault="00961B35" w:rsidP="00961B35">
            <w:pPr>
              <w:spacing w:before="0"/>
              <w:ind w:firstLine="450"/>
              <w:contextualSpacing w:val="0"/>
              <w:jc w:val="left"/>
              <w:rPr>
                <w:rFonts w:cs="Sylfaen"/>
                <w:b w:val="0"/>
                <w:sz w:val="20"/>
                <w:szCs w:val="20"/>
                <w:lang w:val="hy-AM" w:eastAsia="en-US"/>
              </w:rPr>
            </w:pPr>
            <w:r w:rsidRPr="00961B35">
              <w:rPr>
                <w:rFonts w:cs="Sylfaen"/>
                <w:b w:val="0"/>
                <w:sz w:val="20"/>
                <w:szCs w:val="20"/>
                <w:lang w:val="hy-AM" w:eastAsia="en-US"/>
              </w:rPr>
              <w:t xml:space="preserve">Ապրանքների և ծառայությունների ներմուծում </w:t>
            </w:r>
          </w:p>
        </w:tc>
        <w:tc>
          <w:tcPr>
            <w:tcW w:w="487"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7.6</w:t>
            </w:r>
          </w:p>
        </w:tc>
        <w:tc>
          <w:tcPr>
            <w:tcW w:w="523"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24.6</w:t>
            </w:r>
          </w:p>
        </w:tc>
        <w:tc>
          <w:tcPr>
            <w:tcW w:w="490"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12.7</w:t>
            </w:r>
          </w:p>
        </w:tc>
        <w:tc>
          <w:tcPr>
            <w:tcW w:w="527"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5.5</w:t>
            </w:r>
          </w:p>
        </w:tc>
        <w:tc>
          <w:tcPr>
            <w:tcW w:w="514"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5.2</w:t>
            </w:r>
          </w:p>
        </w:tc>
      </w:tr>
      <w:tr w:rsidR="00961B35" w:rsidRPr="00961B35" w:rsidTr="00E52D4A">
        <w:trPr>
          <w:trHeight w:val="258"/>
        </w:trPr>
        <w:tc>
          <w:tcPr>
            <w:tcW w:w="2459" w:type="pct"/>
            <w:noWrap/>
          </w:tcPr>
          <w:p w:rsidR="00961B35" w:rsidRPr="00961B35" w:rsidRDefault="00961B35" w:rsidP="00961B35">
            <w:pPr>
              <w:spacing w:before="0"/>
              <w:ind w:firstLine="0"/>
              <w:contextualSpacing w:val="0"/>
              <w:jc w:val="left"/>
              <w:rPr>
                <w:rFonts w:cs="Sylfaen"/>
                <w:b w:val="0"/>
                <w:i/>
                <w:sz w:val="20"/>
                <w:szCs w:val="20"/>
                <w:u w:val="single"/>
                <w:lang w:val="hy-AM" w:eastAsia="en-US"/>
              </w:rPr>
            </w:pPr>
            <w:r w:rsidRPr="00961B35">
              <w:rPr>
                <w:rFonts w:cs="Sylfaen"/>
                <w:b w:val="0"/>
                <w:i/>
                <w:sz w:val="20"/>
                <w:szCs w:val="20"/>
                <w:u w:val="single"/>
                <w:lang w:val="hy-AM" w:eastAsia="en-US"/>
              </w:rPr>
              <w:t xml:space="preserve">Արտաքին հատված, մլն. ԱՄՆ դոլար </w:t>
            </w:r>
          </w:p>
        </w:tc>
        <w:tc>
          <w:tcPr>
            <w:tcW w:w="487" w:type="pct"/>
            <w:vAlign w:val="center"/>
          </w:tcPr>
          <w:p w:rsidR="00961B35" w:rsidRPr="00B971C5" w:rsidRDefault="00961B35" w:rsidP="00961B35">
            <w:pPr>
              <w:spacing w:before="0" w:line="240" w:lineRule="auto"/>
              <w:ind w:firstLine="450"/>
              <w:contextualSpacing w:val="0"/>
              <w:jc w:val="center"/>
              <w:rPr>
                <w:b w:val="0"/>
                <w:sz w:val="20"/>
                <w:szCs w:val="20"/>
                <w:lang w:eastAsia="en-US"/>
              </w:rPr>
            </w:pPr>
          </w:p>
        </w:tc>
        <w:tc>
          <w:tcPr>
            <w:tcW w:w="523" w:type="pct"/>
            <w:vAlign w:val="center"/>
          </w:tcPr>
          <w:p w:rsidR="00961B35" w:rsidRPr="00B971C5" w:rsidRDefault="00961B35" w:rsidP="00961B35">
            <w:pPr>
              <w:spacing w:before="0" w:line="240" w:lineRule="auto"/>
              <w:ind w:firstLine="450"/>
              <w:contextualSpacing w:val="0"/>
              <w:jc w:val="center"/>
              <w:rPr>
                <w:b w:val="0"/>
                <w:sz w:val="20"/>
                <w:szCs w:val="20"/>
                <w:lang w:eastAsia="en-US"/>
              </w:rPr>
            </w:pPr>
          </w:p>
        </w:tc>
        <w:tc>
          <w:tcPr>
            <w:tcW w:w="490" w:type="pct"/>
            <w:vAlign w:val="center"/>
          </w:tcPr>
          <w:p w:rsidR="00961B35" w:rsidRPr="00B971C5" w:rsidRDefault="00961B35" w:rsidP="00961B35">
            <w:pPr>
              <w:spacing w:before="0" w:line="240" w:lineRule="auto"/>
              <w:ind w:firstLine="450"/>
              <w:contextualSpacing w:val="0"/>
              <w:jc w:val="center"/>
              <w:rPr>
                <w:b w:val="0"/>
                <w:sz w:val="20"/>
                <w:szCs w:val="20"/>
                <w:lang w:eastAsia="en-US"/>
              </w:rPr>
            </w:pPr>
          </w:p>
        </w:tc>
        <w:tc>
          <w:tcPr>
            <w:tcW w:w="527" w:type="pct"/>
            <w:vAlign w:val="center"/>
          </w:tcPr>
          <w:p w:rsidR="00961B35" w:rsidRPr="00B971C5" w:rsidRDefault="00961B35" w:rsidP="00961B35">
            <w:pPr>
              <w:spacing w:before="0" w:line="240" w:lineRule="auto"/>
              <w:ind w:firstLine="450"/>
              <w:contextualSpacing w:val="0"/>
              <w:jc w:val="center"/>
              <w:rPr>
                <w:b w:val="0"/>
                <w:sz w:val="20"/>
                <w:szCs w:val="20"/>
                <w:lang w:eastAsia="en-US"/>
              </w:rPr>
            </w:pPr>
          </w:p>
        </w:tc>
        <w:tc>
          <w:tcPr>
            <w:tcW w:w="514" w:type="pct"/>
            <w:vAlign w:val="center"/>
          </w:tcPr>
          <w:p w:rsidR="00961B35" w:rsidRPr="00961B35" w:rsidRDefault="00961B35" w:rsidP="00961B35">
            <w:pPr>
              <w:spacing w:before="0"/>
              <w:ind w:firstLine="450"/>
              <w:contextualSpacing w:val="0"/>
              <w:jc w:val="center"/>
              <w:rPr>
                <w:rFonts w:cs="Sylfaen"/>
                <w:b w:val="0"/>
                <w:sz w:val="20"/>
                <w:szCs w:val="20"/>
                <w:highlight w:val="yellow"/>
                <w:lang w:val="hy-AM" w:eastAsia="en-US"/>
              </w:rPr>
            </w:pPr>
          </w:p>
        </w:tc>
      </w:tr>
      <w:tr w:rsidR="00961B35" w:rsidRPr="00961B35" w:rsidTr="00E52D4A">
        <w:trPr>
          <w:trHeight w:val="258"/>
        </w:trPr>
        <w:tc>
          <w:tcPr>
            <w:tcW w:w="2459" w:type="pct"/>
          </w:tcPr>
          <w:p w:rsidR="00961B35" w:rsidRPr="00961B35" w:rsidRDefault="00961B35" w:rsidP="00961B35">
            <w:pPr>
              <w:spacing w:before="0"/>
              <w:ind w:firstLine="450"/>
              <w:contextualSpacing w:val="0"/>
              <w:jc w:val="left"/>
              <w:rPr>
                <w:rFonts w:cs="Sylfaen"/>
                <w:b w:val="0"/>
                <w:sz w:val="20"/>
                <w:szCs w:val="20"/>
                <w:lang w:val="hy-AM" w:eastAsia="en-US"/>
              </w:rPr>
            </w:pPr>
            <w:r w:rsidRPr="00961B35">
              <w:rPr>
                <w:rFonts w:cs="Sylfaen"/>
                <w:b w:val="0"/>
                <w:sz w:val="20"/>
                <w:szCs w:val="20"/>
                <w:lang w:val="hy-AM" w:eastAsia="en-US"/>
              </w:rPr>
              <w:t>Ընթացիկ հաշիվ</w:t>
            </w:r>
          </w:p>
        </w:tc>
        <w:tc>
          <w:tcPr>
            <w:tcW w:w="487"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-217.4</w:t>
            </w:r>
          </w:p>
        </w:tc>
        <w:tc>
          <w:tcPr>
            <w:tcW w:w="523"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-344.4</w:t>
            </w:r>
          </w:p>
        </w:tc>
        <w:tc>
          <w:tcPr>
            <w:tcW w:w="490"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-1,165.3</w:t>
            </w:r>
          </w:p>
        </w:tc>
        <w:tc>
          <w:tcPr>
            <w:tcW w:w="527" w:type="pct"/>
            <w:vAlign w:val="center"/>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-943.9</w:t>
            </w:r>
          </w:p>
        </w:tc>
        <w:tc>
          <w:tcPr>
            <w:tcW w:w="514" w:type="pct"/>
            <w:vAlign w:val="center"/>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-862.5</w:t>
            </w:r>
          </w:p>
        </w:tc>
      </w:tr>
      <w:tr w:rsidR="00961B35" w:rsidRPr="00961B35" w:rsidTr="00E52D4A">
        <w:trPr>
          <w:trHeight w:val="258"/>
        </w:trPr>
        <w:tc>
          <w:tcPr>
            <w:tcW w:w="2459" w:type="pct"/>
          </w:tcPr>
          <w:p w:rsidR="00961B35" w:rsidRPr="00961B35" w:rsidRDefault="00961B35" w:rsidP="00961B35">
            <w:pPr>
              <w:spacing w:before="0"/>
              <w:ind w:firstLine="450"/>
              <w:contextualSpacing w:val="0"/>
              <w:jc w:val="left"/>
              <w:rPr>
                <w:rFonts w:cs="Sylfaen"/>
                <w:b w:val="0"/>
                <w:sz w:val="20"/>
                <w:szCs w:val="20"/>
                <w:lang w:val="en-US" w:eastAsia="en-US"/>
              </w:rPr>
            </w:pPr>
            <w:r w:rsidRPr="00961B35">
              <w:rPr>
                <w:rFonts w:cs="Sylfaen"/>
                <w:b w:val="0"/>
                <w:sz w:val="20"/>
                <w:szCs w:val="20"/>
                <w:lang w:val="hy-AM" w:eastAsia="en-US"/>
              </w:rPr>
              <w:t>Ապրանքների և ծառայությունների արտահանում</w:t>
            </w:r>
          </w:p>
        </w:tc>
        <w:tc>
          <w:tcPr>
            <w:tcW w:w="487"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3,500.8</w:t>
            </w:r>
          </w:p>
        </w:tc>
        <w:tc>
          <w:tcPr>
            <w:tcW w:w="523"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4,311.6</w:t>
            </w:r>
          </w:p>
        </w:tc>
        <w:tc>
          <w:tcPr>
            <w:tcW w:w="490"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4,700.3</w:t>
            </w:r>
          </w:p>
        </w:tc>
        <w:tc>
          <w:tcPr>
            <w:tcW w:w="527"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5,038.2</w:t>
            </w:r>
          </w:p>
        </w:tc>
        <w:tc>
          <w:tcPr>
            <w:tcW w:w="514"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5,585.4</w:t>
            </w:r>
          </w:p>
        </w:tc>
      </w:tr>
      <w:tr w:rsidR="00961B35" w:rsidRPr="00961B35" w:rsidTr="00E52D4A">
        <w:trPr>
          <w:trHeight w:val="258"/>
        </w:trPr>
        <w:tc>
          <w:tcPr>
            <w:tcW w:w="2459" w:type="pct"/>
          </w:tcPr>
          <w:p w:rsidR="00961B35" w:rsidRPr="00961B35" w:rsidRDefault="00961B35" w:rsidP="00961B35">
            <w:pPr>
              <w:spacing w:before="0"/>
              <w:ind w:firstLine="450"/>
              <w:contextualSpacing w:val="0"/>
              <w:jc w:val="left"/>
              <w:rPr>
                <w:rFonts w:cs="Sylfaen"/>
                <w:b w:val="0"/>
                <w:sz w:val="20"/>
                <w:szCs w:val="20"/>
                <w:lang w:val="hy-AM" w:eastAsia="en-US"/>
              </w:rPr>
            </w:pPr>
            <w:r w:rsidRPr="00961B35">
              <w:rPr>
                <w:rFonts w:cs="Sylfaen"/>
                <w:b w:val="0"/>
                <w:sz w:val="20"/>
                <w:szCs w:val="20"/>
                <w:lang w:val="hy-AM" w:eastAsia="en-US"/>
              </w:rPr>
              <w:t>Ապրանքների և ծառայությունների ներմուծում</w:t>
            </w:r>
          </w:p>
        </w:tc>
        <w:tc>
          <w:tcPr>
            <w:tcW w:w="487"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4,516.7</w:t>
            </w:r>
          </w:p>
        </w:tc>
        <w:tc>
          <w:tcPr>
            <w:tcW w:w="523"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5,723.2</w:t>
            </w:r>
          </w:p>
        </w:tc>
        <w:tc>
          <w:tcPr>
            <w:tcW w:w="490"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6,647.3</w:t>
            </w:r>
          </w:p>
        </w:tc>
        <w:tc>
          <w:tcPr>
            <w:tcW w:w="527"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7,004.0</w:t>
            </w:r>
          </w:p>
        </w:tc>
        <w:tc>
          <w:tcPr>
            <w:tcW w:w="514"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7,480.7</w:t>
            </w:r>
          </w:p>
        </w:tc>
      </w:tr>
      <w:tr w:rsidR="00961B35" w:rsidRPr="00961B35" w:rsidTr="00E52D4A">
        <w:trPr>
          <w:trHeight w:val="258"/>
        </w:trPr>
        <w:tc>
          <w:tcPr>
            <w:tcW w:w="2459" w:type="pct"/>
          </w:tcPr>
          <w:p w:rsidR="00961B35" w:rsidRPr="00961B35" w:rsidRDefault="00961B35" w:rsidP="00961B35">
            <w:pPr>
              <w:spacing w:before="0"/>
              <w:ind w:firstLine="450"/>
              <w:contextualSpacing w:val="0"/>
              <w:jc w:val="left"/>
              <w:rPr>
                <w:rFonts w:cs="Sylfaen"/>
                <w:b w:val="0"/>
                <w:sz w:val="20"/>
                <w:szCs w:val="20"/>
                <w:lang w:val="hy-AM" w:eastAsia="en-US"/>
              </w:rPr>
            </w:pPr>
            <w:r w:rsidRPr="00961B35">
              <w:rPr>
                <w:rFonts w:cs="Sylfaen"/>
                <w:b w:val="0"/>
                <w:sz w:val="20"/>
                <w:szCs w:val="20"/>
                <w:lang w:val="hy-AM" w:eastAsia="en-US"/>
              </w:rPr>
              <w:t>Ապրանքների արտահանում</w:t>
            </w:r>
          </w:p>
        </w:tc>
        <w:tc>
          <w:tcPr>
            <w:tcW w:w="487"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1,890.7</w:t>
            </w:r>
          </w:p>
        </w:tc>
        <w:tc>
          <w:tcPr>
            <w:tcW w:w="523"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2,385.2</w:t>
            </w:r>
          </w:p>
        </w:tc>
        <w:tc>
          <w:tcPr>
            <w:tcW w:w="490"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2,630.4</w:t>
            </w:r>
          </w:p>
        </w:tc>
        <w:tc>
          <w:tcPr>
            <w:tcW w:w="527"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2,817.2</w:t>
            </w:r>
          </w:p>
        </w:tc>
        <w:tc>
          <w:tcPr>
            <w:tcW w:w="514"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3,104.6</w:t>
            </w:r>
          </w:p>
        </w:tc>
      </w:tr>
      <w:tr w:rsidR="00961B35" w:rsidRPr="00961B35" w:rsidTr="00E52D4A">
        <w:trPr>
          <w:trHeight w:val="258"/>
        </w:trPr>
        <w:tc>
          <w:tcPr>
            <w:tcW w:w="2459" w:type="pct"/>
            <w:noWrap/>
          </w:tcPr>
          <w:p w:rsidR="00961B35" w:rsidRPr="00961B35" w:rsidRDefault="00961B35" w:rsidP="00961B35">
            <w:pPr>
              <w:spacing w:before="0"/>
              <w:ind w:firstLine="450"/>
              <w:contextualSpacing w:val="0"/>
              <w:jc w:val="left"/>
              <w:rPr>
                <w:rFonts w:cs="Sylfaen"/>
                <w:b w:val="0"/>
                <w:sz w:val="20"/>
                <w:szCs w:val="20"/>
                <w:lang w:val="hy-AM" w:eastAsia="en-US"/>
              </w:rPr>
            </w:pPr>
            <w:r w:rsidRPr="00961B35">
              <w:rPr>
                <w:rFonts w:cs="Sylfaen"/>
                <w:b w:val="0"/>
                <w:sz w:val="20"/>
                <w:szCs w:val="20"/>
                <w:lang w:val="hy-AM" w:eastAsia="en-US"/>
              </w:rPr>
              <w:t>Ապրանքների ներմուծում</w:t>
            </w:r>
          </w:p>
        </w:tc>
        <w:tc>
          <w:tcPr>
            <w:tcW w:w="487"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2,835.6</w:t>
            </w:r>
          </w:p>
        </w:tc>
        <w:tc>
          <w:tcPr>
            <w:tcW w:w="523"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3,761.3</w:t>
            </w:r>
          </w:p>
        </w:tc>
        <w:tc>
          <w:tcPr>
            <w:tcW w:w="490"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4,419.5</w:t>
            </w:r>
          </w:p>
        </w:tc>
        <w:tc>
          <w:tcPr>
            <w:tcW w:w="527"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4,653.8</w:t>
            </w:r>
          </w:p>
        </w:tc>
        <w:tc>
          <w:tcPr>
            <w:tcW w:w="514"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4,933.0</w:t>
            </w:r>
          </w:p>
        </w:tc>
      </w:tr>
      <w:tr w:rsidR="00961B35" w:rsidRPr="00961B35" w:rsidTr="00E52D4A">
        <w:trPr>
          <w:trHeight w:val="258"/>
        </w:trPr>
        <w:tc>
          <w:tcPr>
            <w:tcW w:w="2459" w:type="pct"/>
            <w:noWrap/>
          </w:tcPr>
          <w:p w:rsidR="00961B35" w:rsidRPr="00961B35" w:rsidRDefault="00961B35" w:rsidP="00961B35">
            <w:pPr>
              <w:spacing w:before="0"/>
              <w:ind w:firstLine="450"/>
              <w:contextualSpacing w:val="0"/>
              <w:jc w:val="left"/>
              <w:rPr>
                <w:rFonts w:cs="Sylfaen"/>
                <w:b w:val="0"/>
                <w:sz w:val="20"/>
                <w:szCs w:val="20"/>
                <w:lang w:val="hy-AM" w:eastAsia="en-US"/>
              </w:rPr>
            </w:pPr>
            <w:r w:rsidRPr="00961B35">
              <w:rPr>
                <w:rFonts w:cs="Sylfaen"/>
                <w:b w:val="0"/>
                <w:sz w:val="20"/>
                <w:szCs w:val="20"/>
                <w:lang w:val="hy-AM" w:eastAsia="en-US"/>
              </w:rPr>
              <w:t>Ապրանքների արտահանման աճ, %</w:t>
            </w:r>
          </w:p>
        </w:tc>
        <w:tc>
          <w:tcPr>
            <w:tcW w:w="487"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16.4</w:t>
            </w:r>
          </w:p>
        </w:tc>
        <w:tc>
          <w:tcPr>
            <w:tcW w:w="523"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26.2</w:t>
            </w:r>
          </w:p>
        </w:tc>
        <w:tc>
          <w:tcPr>
            <w:tcW w:w="490"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10.3</w:t>
            </w:r>
          </w:p>
        </w:tc>
        <w:tc>
          <w:tcPr>
            <w:tcW w:w="527"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7.1</w:t>
            </w:r>
          </w:p>
        </w:tc>
        <w:tc>
          <w:tcPr>
            <w:tcW w:w="514"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10.2</w:t>
            </w:r>
          </w:p>
        </w:tc>
      </w:tr>
      <w:tr w:rsidR="00961B35" w:rsidRPr="00961B35" w:rsidTr="00E52D4A">
        <w:trPr>
          <w:trHeight w:val="258"/>
        </w:trPr>
        <w:tc>
          <w:tcPr>
            <w:tcW w:w="2459" w:type="pct"/>
            <w:noWrap/>
          </w:tcPr>
          <w:p w:rsidR="00961B35" w:rsidRPr="00961B35" w:rsidRDefault="00961B35" w:rsidP="00961B35">
            <w:pPr>
              <w:spacing w:before="0"/>
              <w:ind w:firstLine="450"/>
              <w:contextualSpacing w:val="0"/>
              <w:jc w:val="left"/>
              <w:rPr>
                <w:rFonts w:cs="Sylfaen"/>
                <w:b w:val="0"/>
                <w:sz w:val="20"/>
                <w:szCs w:val="20"/>
                <w:lang w:val="hy-AM" w:eastAsia="en-US"/>
              </w:rPr>
            </w:pPr>
            <w:r w:rsidRPr="00961B35">
              <w:rPr>
                <w:rFonts w:cs="Sylfaen"/>
                <w:b w:val="0"/>
                <w:sz w:val="20"/>
                <w:szCs w:val="20"/>
                <w:lang w:val="hy-AM" w:eastAsia="en-US"/>
              </w:rPr>
              <w:t>Ապրանքների ներմուծման աճ, %</w:t>
            </w:r>
          </w:p>
        </w:tc>
        <w:tc>
          <w:tcPr>
            <w:tcW w:w="487"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0.9</w:t>
            </w:r>
          </w:p>
        </w:tc>
        <w:tc>
          <w:tcPr>
            <w:tcW w:w="523"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32.6</w:t>
            </w:r>
          </w:p>
        </w:tc>
        <w:tc>
          <w:tcPr>
            <w:tcW w:w="490"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17.5</w:t>
            </w:r>
          </w:p>
        </w:tc>
        <w:tc>
          <w:tcPr>
            <w:tcW w:w="527"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5.3</w:t>
            </w:r>
          </w:p>
        </w:tc>
        <w:tc>
          <w:tcPr>
            <w:tcW w:w="514"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6.0</w:t>
            </w:r>
          </w:p>
        </w:tc>
      </w:tr>
      <w:tr w:rsidR="00961B35" w:rsidRPr="00961B35" w:rsidTr="00E52D4A">
        <w:trPr>
          <w:trHeight w:val="258"/>
        </w:trPr>
        <w:tc>
          <w:tcPr>
            <w:tcW w:w="2459" w:type="pct"/>
            <w:noWrap/>
          </w:tcPr>
          <w:p w:rsidR="00961B35" w:rsidRPr="00961B35" w:rsidRDefault="00961B35" w:rsidP="00961B35">
            <w:pPr>
              <w:spacing w:before="0"/>
              <w:ind w:firstLine="0"/>
              <w:contextualSpacing w:val="0"/>
              <w:jc w:val="left"/>
              <w:rPr>
                <w:rFonts w:cs="Sylfaen"/>
                <w:b w:val="0"/>
                <w:i/>
                <w:sz w:val="20"/>
                <w:szCs w:val="20"/>
                <w:u w:val="single"/>
                <w:lang w:val="hy-AM" w:eastAsia="en-US"/>
              </w:rPr>
            </w:pPr>
            <w:r w:rsidRPr="00961B35">
              <w:rPr>
                <w:rFonts w:cs="Sylfaen"/>
                <w:b w:val="0"/>
                <w:i/>
                <w:sz w:val="20"/>
                <w:szCs w:val="20"/>
                <w:u w:val="single"/>
                <w:lang w:val="hy-AM" w:eastAsia="en-US"/>
              </w:rPr>
              <w:t>ՀՆԱ-ի նկատմամբ տոկոս</w:t>
            </w:r>
          </w:p>
        </w:tc>
        <w:tc>
          <w:tcPr>
            <w:tcW w:w="487" w:type="pct"/>
            <w:vAlign w:val="center"/>
          </w:tcPr>
          <w:p w:rsidR="00961B35" w:rsidRPr="00961B35" w:rsidRDefault="00961B35" w:rsidP="00961B35">
            <w:pPr>
              <w:spacing w:before="0" w:line="240" w:lineRule="auto"/>
              <w:ind w:firstLine="0"/>
              <w:contextualSpacing w:val="0"/>
              <w:jc w:val="center"/>
              <w:rPr>
                <w:b w:val="0"/>
                <w:sz w:val="20"/>
                <w:szCs w:val="20"/>
                <w:lang w:val="en-US" w:eastAsia="en-US"/>
              </w:rPr>
            </w:pPr>
          </w:p>
        </w:tc>
        <w:tc>
          <w:tcPr>
            <w:tcW w:w="523" w:type="pct"/>
            <w:vAlign w:val="center"/>
          </w:tcPr>
          <w:p w:rsidR="00961B35" w:rsidRPr="00961B35" w:rsidRDefault="00961B35" w:rsidP="00961B35">
            <w:pPr>
              <w:spacing w:before="0" w:line="240" w:lineRule="auto"/>
              <w:ind w:firstLine="0"/>
              <w:contextualSpacing w:val="0"/>
              <w:jc w:val="center"/>
              <w:rPr>
                <w:b w:val="0"/>
                <w:sz w:val="20"/>
                <w:szCs w:val="20"/>
                <w:lang w:val="en-US" w:eastAsia="en-US"/>
              </w:rPr>
            </w:pPr>
          </w:p>
        </w:tc>
        <w:tc>
          <w:tcPr>
            <w:tcW w:w="490" w:type="pct"/>
            <w:vAlign w:val="center"/>
          </w:tcPr>
          <w:p w:rsidR="00961B35" w:rsidRPr="00961B35" w:rsidRDefault="00961B35" w:rsidP="00961B35">
            <w:pPr>
              <w:spacing w:before="0" w:line="240" w:lineRule="auto"/>
              <w:ind w:firstLine="0"/>
              <w:contextualSpacing w:val="0"/>
              <w:jc w:val="center"/>
              <w:rPr>
                <w:b w:val="0"/>
                <w:sz w:val="20"/>
                <w:szCs w:val="20"/>
                <w:lang w:val="en-US" w:eastAsia="en-US"/>
              </w:rPr>
            </w:pPr>
          </w:p>
        </w:tc>
        <w:tc>
          <w:tcPr>
            <w:tcW w:w="527" w:type="pct"/>
            <w:vAlign w:val="center"/>
          </w:tcPr>
          <w:p w:rsidR="00961B35" w:rsidRPr="00961B35" w:rsidRDefault="00961B35" w:rsidP="00961B35">
            <w:pPr>
              <w:spacing w:before="0" w:line="240" w:lineRule="auto"/>
              <w:ind w:firstLine="0"/>
              <w:contextualSpacing w:val="0"/>
              <w:jc w:val="center"/>
              <w:rPr>
                <w:b w:val="0"/>
                <w:sz w:val="20"/>
                <w:szCs w:val="20"/>
                <w:lang w:val="en-US" w:eastAsia="en-US"/>
              </w:rPr>
            </w:pPr>
          </w:p>
        </w:tc>
        <w:tc>
          <w:tcPr>
            <w:tcW w:w="514" w:type="pct"/>
            <w:vAlign w:val="center"/>
          </w:tcPr>
          <w:p w:rsidR="00961B35" w:rsidRPr="00961B35" w:rsidRDefault="00961B35" w:rsidP="00961B35">
            <w:pPr>
              <w:spacing w:before="0"/>
              <w:ind w:firstLine="0"/>
              <w:contextualSpacing w:val="0"/>
              <w:jc w:val="center"/>
              <w:rPr>
                <w:b w:val="0"/>
                <w:sz w:val="20"/>
                <w:szCs w:val="20"/>
                <w:lang w:val="en-US" w:eastAsia="en-US"/>
              </w:rPr>
            </w:pPr>
          </w:p>
        </w:tc>
      </w:tr>
      <w:tr w:rsidR="00961B35" w:rsidRPr="00961B35" w:rsidTr="00E52D4A">
        <w:trPr>
          <w:trHeight w:val="258"/>
        </w:trPr>
        <w:tc>
          <w:tcPr>
            <w:tcW w:w="2459" w:type="pct"/>
          </w:tcPr>
          <w:p w:rsidR="00961B35" w:rsidRPr="00961B35" w:rsidRDefault="00961B35" w:rsidP="00961B35">
            <w:pPr>
              <w:spacing w:before="0"/>
              <w:ind w:firstLine="450"/>
              <w:contextualSpacing w:val="0"/>
              <w:jc w:val="left"/>
              <w:rPr>
                <w:rFonts w:cs="Sylfaen"/>
                <w:b w:val="0"/>
                <w:sz w:val="20"/>
                <w:szCs w:val="20"/>
                <w:lang w:val="hy-AM" w:eastAsia="en-US"/>
              </w:rPr>
            </w:pPr>
            <w:r w:rsidRPr="00961B35">
              <w:rPr>
                <w:rFonts w:cs="Sylfaen"/>
                <w:b w:val="0"/>
                <w:sz w:val="20"/>
                <w:szCs w:val="20"/>
                <w:lang w:val="hy-AM" w:eastAsia="en-US"/>
              </w:rPr>
              <w:t xml:space="preserve">Ընթացիկ հաշիվ </w:t>
            </w:r>
          </w:p>
        </w:tc>
        <w:tc>
          <w:tcPr>
            <w:tcW w:w="487"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-2.1</w:t>
            </w:r>
          </w:p>
        </w:tc>
        <w:tc>
          <w:tcPr>
            <w:tcW w:w="523"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-3.0</w:t>
            </w:r>
          </w:p>
        </w:tc>
        <w:tc>
          <w:tcPr>
            <w:tcW w:w="490"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-9.4</w:t>
            </w:r>
          </w:p>
        </w:tc>
        <w:tc>
          <w:tcPr>
            <w:tcW w:w="527"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-7.0</w:t>
            </w:r>
          </w:p>
        </w:tc>
        <w:tc>
          <w:tcPr>
            <w:tcW w:w="514"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-6.0</w:t>
            </w:r>
          </w:p>
        </w:tc>
      </w:tr>
      <w:tr w:rsidR="00961B35" w:rsidRPr="00961B35" w:rsidTr="00E52D4A">
        <w:trPr>
          <w:trHeight w:val="258"/>
        </w:trPr>
        <w:tc>
          <w:tcPr>
            <w:tcW w:w="2459" w:type="pct"/>
          </w:tcPr>
          <w:p w:rsidR="00961B35" w:rsidRPr="00961B35" w:rsidRDefault="00961B35" w:rsidP="00961B35">
            <w:pPr>
              <w:spacing w:before="0"/>
              <w:ind w:firstLine="450"/>
              <w:contextualSpacing w:val="0"/>
              <w:jc w:val="left"/>
              <w:rPr>
                <w:rFonts w:cs="Arial"/>
                <w:b w:val="0"/>
                <w:sz w:val="20"/>
                <w:szCs w:val="20"/>
                <w:lang w:val="hy-AM" w:eastAsia="en-US"/>
              </w:rPr>
            </w:pPr>
            <w:r w:rsidRPr="00961B35">
              <w:rPr>
                <w:rFonts w:cs="Sylfaen"/>
                <w:b w:val="0"/>
                <w:sz w:val="20"/>
                <w:szCs w:val="20"/>
                <w:lang w:val="hy-AM" w:eastAsia="en-US"/>
              </w:rPr>
              <w:lastRenderedPageBreak/>
              <w:t>Ապրանքների և ծառայությունների հաշվեկշիռ</w:t>
            </w:r>
          </w:p>
        </w:tc>
        <w:tc>
          <w:tcPr>
            <w:tcW w:w="487"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-9.6</w:t>
            </w:r>
          </w:p>
        </w:tc>
        <w:tc>
          <w:tcPr>
            <w:tcW w:w="523"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-12.2</w:t>
            </w:r>
          </w:p>
        </w:tc>
        <w:tc>
          <w:tcPr>
            <w:tcW w:w="490"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-15.7</w:t>
            </w:r>
          </w:p>
        </w:tc>
        <w:tc>
          <w:tcPr>
            <w:tcW w:w="527"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-14.6</w:t>
            </w:r>
          </w:p>
        </w:tc>
        <w:tc>
          <w:tcPr>
            <w:tcW w:w="514"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-13.3</w:t>
            </w:r>
          </w:p>
        </w:tc>
      </w:tr>
      <w:tr w:rsidR="00961B35" w:rsidRPr="00961B35" w:rsidTr="00E52D4A">
        <w:trPr>
          <w:trHeight w:val="258"/>
        </w:trPr>
        <w:tc>
          <w:tcPr>
            <w:tcW w:w="2459" w:type="pct"/>
          </w:tcPr>
          <w:p w:rsidR="00961B35" w:rsidRPr="00961B35" w:rsidRDefault="00961B35" w:rsidP="00961B35">
            <w:pPr>
              <w:spacing w:before="0"/>
              <w:ind w:firstLine="450"/>
              <w:contextualSpacing w:val="0"/>
              <w:jc w:val="left"/>
              <w:rPr>
                <w:rFonts w:cs="Sylfaen"/>
                <w:b w:val="0"/>
                <w:sz w:val="20"/>
                <w:szCs w:val="20"/>
                <w:lang w:val="hy-AM" w:eastAsia="en-US"/>
              </w:rPr>
            </w:pPr>
            <w:r w:rsidRPr="00961B35">
              <w:rPr>
                <w:rFonts w:cs="Sylfaen"/>
                <w:b w:val="0"/>
                <w:sz w:val="20"/>
                <w:szCs w:val="20"/>
                <w:lang w:val="hy-AM" w:eastAsia="en-US"/>
              </w:rPr>
              <w:t>Ապրանքների և ծառայությունների</w:t>
            </w:r>
            <w:r w:rsidRPr="00961B35">
              <w:rPr>
                <w:rFonts w:cs="Arial"/>
                <w:b w:val="0"/>
                <w:sz w:val="20"/>
                <w:szCs w:val="20"/>
                <w:lang w:val="hy-AM" w:eastAsia="en-US"/>
              </w:rPr>
              <w:t xml:space="preserve"> </w:t>
            </w:r>
            <w:r w:rsidRPr="00961B35">
              <w:rPr>
                <w:rFonts w:cs="Sylfaen"/>
                <w:b w:val="0"/>
                <w:sz w:val="20"/>
                <w:szCs w:val="20"/>
                <w:lang w:val="hy-AM" w:eastAsia="en-US"/>
              </w:rPr>
              <w:t>արտահանում</w:t>
            </w:r>
          </w:p>
        </w:tc>
        <w:tc>
          <w:tcPr>
            <w:tcW w:w="487"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33.2</w:t>
            </w:r>
          </w:p>
        </w:tc>
        <w:tc>
          <w:tcPr>
            <w:tcW w:w="523"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37.4</w:t>
            </w:r>
          </w:p>
        </w:tc>
        <w:tc>
          <w:tcPr>
            <w:tcW w:w="490"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37.8</w:t>
            </w:r>
          </w:p>
        </w:tc>
        <w:tc>
          <w:tcPr>
            <w:tcW w:w="527"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37.5</w:t>
            </w:r>
          </w:p>
        </w:tc>
        <w:tc>
          <w:tcPr>
            <w:tcW w:w="514"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39.2</w:t>
            </w:r>
          </w:p>
        </w:tc>
      </w:tr>
      <w:tr w:rsidR="00961B35" w:rsidRPr="00961B35" w:rsidTr="00E52D4A">
        <w:trPr>
          <w:trHeight w:val="258"/>
        </w:trPr>
        <w:tc>
          <w:tcPr>
            <w:tcW w:w="2459" w:type="pct"/>
          </w:tcPr>
          <w:p w:rsidR="00961B35" w:rsidRPr="00961B35" w:rsidRDefault="00961B35" w:rsidP="00961B35">
            <w:pPr>
              <w:spacing w:before="0"/>
              <w:ind w:firstLine="450"/>
              <w:contextualSpacing w:val="0"/>
              <w:jc w:val="left"/>
              <w:rPr>
                <w:rFonts w:cs="Sylfaen"/>
                <w:b w:val="0"/>
                <w:sz w:val="20"/>
                <w:szCs w:val="20"/>
                <w:lang w:val="hy-AM" w:eastAsia="en-US"/>
              </w:rPr>
            </w:pPr>
            <w:r w:rsidRPr="00961B35">
              <w:rPr>
                <w:rFonts w:cs="Sylfaen"/>
                <w:b w:val="0"/>
                <w:sz w:val="20"/>
                <w:szCs w:val="20"/>
                <w:lang w:val="hy-AM" w:eastAsia="en-US"/>
              </w:rPr>
              <w:t>Ապրանքների և ծառայությունների ներմուծում</w:t>
            </w:r>
          </w:p>
        </w:tc>
        <w:tc>
          <w:tcPr>
            <w:tcW w:w="487"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42.8</w:t>
            </w:r>
          </w:p>
        </w:tc>
        <w:tc>
          <w:tcPr>
            <w:tcW w:w="523"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49.6</w:t>
            </w:r>
          </w:p>
        </w:tc>
        <w:tc>
          <w:tcPr>
            <w:tcW w:w="490"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53.5</w:t>
            </w:r>
          </w:p>
        </w:tc>
        <w:tc>
          <w:tcPr>
            <w:tcW w:w="527"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52.1</w:t>
            </w:r>
          </w:p>
        </w:tc>
        <w:tc>
          <w:tcPr>
            <w:tcW w:w="514"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52.5</w:t>
            </w:r>
          </w:p>
        </w:tc>
      </w:tr>
      <w:tr w:rsidR="00961B35" w:rsidRPr="00961B35" w:rsidTr="00E52D4A">
        <w:trPr>
          <w:trHeight w:val="258"/>
        </w:trPr>
        <w:tc>
          <w:tcPr>
            <w:tcW w:w="2459" w:type="pct"/>
          </w:tcPr>
          <w:p w:rsidR="00961B35" w:rsidRPr="00961B35" w:rsidRDefault="00961B35" w:rsidP="00961B35">
            <w:pPr>
              <w:spacing w:before="0"/>
              <w:ind w:firstLine="450"/>
              <w:contextualSpacing w:val="0"/>
              <w:jc w:val="left"/>
              <w:rPr>
                <w:rFonts w:cs="Sylfaen"/>
                <w:b w:val="0"/>
                <w:sz w:val="20"/>
                <w:szCs w:val="20"/>
                <w:lang w:val="hy-AM" w:eastAsia="en-US"/>
              </w:rPr>
            </w:pPr>
            <w:r w:rsidRPr="00961B35">
              <w:rPr>
                <w:rFonts w:cs="Sylfaen"/>
                <w:b w:val="0"/>
                <w:sz w:val="20"/>
                <w:szCs w:val="20"/>
                <w:lang w:val="hy-AM" w:eastAsia="en-US"/>
              </w:rPr>
              <w:t>Առևտրային հաշիվ</w:t>
            </w:r>
          </w:p>
        </w:tc>
        <w:tc>
          <w:tcPr>
            <w:tcW w:w="487"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-9.0</w:t>
            </w:r>
          </w:p>
        </w:tc>
        <w:tc>
          <w:tcPr>
            <w:tcW w:w="523"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-11.9</w:t>
            </w:r>
          </w:p>
        </w:tc>
        <w:tc>
          <w:tcPr>
            <w:tcW w:w="490"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-14.4</w:t>
            </w:r>
          </w:p>
        </w:tc>
        <w:tc>
          <w:tcPr>
            <w:tcW w:w="527"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-13.7</w:t>
            </w:r>
          </w:p>
        </w:tc>
        <w:tc>
          <w:tcPr>
            <w:tcW w:w="514" w:type="pct"/>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-12.8</w:t>
            </w:r>
          </w:p>
        </w:tc>
      </w:tr>
      <w:tr w:rsidR="00961B35" w:rsidRPr="00961B35" w:rsidTr="00E52D4A">
        <w:trPr>
          <w:trHeight w:val="258"/>
        </w:trPr>
        <w:tc>
          <w:tcPr>
            <w:tcW w:w="2459" w:type="pct"/>
            <w:noWrap/>
          </w:tcPr>
          <w:p w:rsidR="00961B35" w:rsidRPr="00961B35" w:rsidRDefault="00961B35" w:rsidP="00961B35">
            <w:pPr>
              <w:spacing w:before="0"/>
              <w:ind w:firstLine="450"/>
              <w:contextualSpacing w:val="0"/>
              <w:jc w:val="left"/>
              <w:rPr>
                <w:rFonts w:cs="Sylfaen"/>
                <w:b w:val="0"/>
                <w:sz w:val="20"/>
                <w:szCs w:val="20"/>
                <w:lang w:val="hy-AM" w:eastAsia="en-US"/>
              </w:rPr>
            </w:pPr>
            <w:r w:rsidRPr="00961B35">
              <w:rPr>
                <w:rFonts w:cs="Sylfaen"/>
                <w:b w:val="0"/>
                <w:sz w:val="20"/>
                <w:szCs w:val="20"/>
                <w:lang w:val="hy-AM" w:eastAsia="en-US"/>
              </w:rPr>
              <w:t>Ներմուծման ծածկույթը (ամիսներով)</w:t>
            </w:r>
          </w:p>
        </w:tc>
        <w:tc>
          <w:tcPr>
            <w:tcW w:w="487" w:type="pct"/>
            <w:vAlign w:val="center"/>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4.6</w:t>
            </w:r>
          </w:p>
        </w:tc>
        <w:tc>
          <w:tcPr>
            <w:tcW w:w="523" w:type="pct"/>
            <w:vAlign w:val="center"/>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4.2</w:t>
            </w:r>
          </w:p>
        </w:tc>
        <w:tc>
          <w:tcPr>
            <w:tcW w:w="490" w:type="pct"/>
            <w:vAlign w:val="center"/>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3.9</w:t>
            </w:r>
          </w:p>
        </w:tc>
        <w:tc>
          <w:tcPr>
            <w:tcW w:w="527" w:type="pct"/>
            <w:vAlign w:val="center"/>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3.7</w:t>
            </w:r>
          </w:p>
        </w:tc>
        <w:tc>
          <w:tcPr>
            <w:tcW w:w="514" w:type="pct"/>
            <w:vAlign w:val="center"/>
          </w:tcPr>
          <w:p w:rsidR="00961B35" w:rsidRPr="00961B35" w:rsidRDefault="00961B35" w:rsidP="00961B35">
            <w:pPr>
              <w:spacing w:before="0" w:line="240" w:lineRule="auto"/>
              <w:ind w:firstLine="0"/>
              <w:contextualSpacing w:val="0"/>
              <w:jc w:val="center"/>
              <w:rPr>
                <w:b w:val="0"/>
                <w:sz w:val="20"/>
                <w:szCs w:val="20"/>
                <w:lang w:val="en-US" w:eastAsia="en-US"/>
              </w:rPr>
            </w:pPr>
            <w:r w:rsidRPr="00961B35">
              <w:rPr>
                <w:b w:val="0"/>
                <w:sz w:val="20"/>
                <w:szCs w:val="20"/>
                <w:lang w:val="en-US" w:eastAsia="en-US"/>
              </w:rPr>
              <w:t>3.5</w:t>
            </w:r>
          </w:p>
        </w:tc>
      </w:tr>
    </w:tbl>
    <w:p w:rsidR="00961B35" w:rsidRPr="00961B35" w:rsidRDefault="00961B35" w:rsidP="00961B35">
      <w:pPr>
        <w:spacing w:before="0"/>
        <w:ind w:firstLine="450"/>
        <w:contextualSpacing w:val="0"/>
        <w:jc w:val="center"/>
        <w:rPr>
          <w:rFonts w:cs="Sylfaen"/>
          <w:b w:val="0"/>
          <w:szCs w:val="22"/>
          <w:lang w:val="sk-SK" w:eastAsia="en-US"/>
        </w:rPr>
      </w:pPr>
    </w:p>
    <w:p w:rsidR="00961B35" w:rsidRPr="00961B35" w:rsidRDefault="00961B35" w:rsidP="00961B35">
      <w:pPr>
        <w:spacing w:before="0"/>
        <w:ind w:firstLine="450"/>
        <w:contextualSpacing w:val="0"/>
        <w:jc w:val="center"/>
        <w:rPr>
          <w:rFonts w:cs="Sylfaen"/>
          <w:b w:val="0"/>
          <w:szCs w:val="22"/>
          <w:lang w:val="sk-SK" w:eastAsia="en-US"/>
        </w:rPr>
      </w:pPr>
    </w:p>
    <w:p w:rsidR="00961B35" w:rsidRPr="00961B35" w:rsidRDefault="00961B35" w:rsidP="00961B35">
      <w:pPr>
        <w:spacing w:before="0" w:line="240" w:lineRule="auto"/>
        <w:ind w:firstLine="0"/>
        <w:contextualSpacing w:val="0"/>
        <w:jc w:val="left"/>
        <w:rPr>
          <w:rFonts w:cs="Sylfaen"/>
          <w:szCs w:val="22"/>
          <w:lang w:val="sk-SK" w:eastAsia="en-US"/>
        </w:rPr>
      </w:pPr>
    </w:p>
    <w:sectPr w:rsidR="00961B35" w:rsidRPr="00961B35" w:rsidSect="00917B21">
      <w:footerReference w:type="default" r:id="rId20"/>
      <w:pgSz w:w="11906" w:h="16838" w:code="9"/>
      <w:pgMar w:top="1134" w:right="1106" w:bottom="426" w:left="1134" w:header="720" w:footer="10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A0B" w:rsidRDefault="00825A0B" w:rsidP="00F52B25">
      <w:r>
        <w:separator/>
      </w:r>
    </w:p>
  </w:endnote>
  <w:endnote w:type="continuationSeparator" w:id="0">
    <w:p w:rsidR="00825A0B" w:rsidRDefault="00825A0B" w:rsidP="00F52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Armenian">
    <w:charset w:val="00"/>
    <w:family w:val="swiss"/>
    <w:pitch w:val="variable"/>
    <w:sig w:usb0="00000003" w:usb1="00000000" w:usb2="00000000" w:usb3="00000000" w:csb0="00000001" w:csb1="00000000"/>
  </w:font>
  <w:font w:name="Calibri">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HEA Grapalat">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imes Armeni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LatArm">
    <w:charset w:val="00"/>
    <w:family w:val="auto"/>
    <w:pitch w:val="variable"/>
    <w:sig w:usb0="00000003" w:usb1="00000000" w:usb2="00000000" w:usb3="00000000" w:csb0="00000001" w:csb1="00000000"/>
  </w:font>
  <w:font w:name="Arial Black">
    <w:charset w:val="00"/>
    <w:family w:val="swiss"/>
    <w:pitch w:val="variable"/>
    <w:sig w:usb0="00000287" w:usb1="00000000" w:usb2="00000000" w:usb3="00000000" w:csb0="0000009F" w:csb1="00000000"/>
  </w:font>
  <w:font w:name="Garamond">
    <w:charset w:val="00"/>
    <w:family w:val="roman"/>
    <w:pitch w:val="variable"/>
    <w:sig w:usb0="00000287" w:usb1="00000000" w:usb2="00000000" w:usb3="00000000" w:csb0="0000009F" w:csb1="00000000"/>
  </w:font>
  <w:font w:name="Tahoma">
    <w:charset w:val="00"/>
    <w:family w:val="swiss"/>
    <w:pitch w:val="variable"/>
    <w:sig w:usb0="E1002EFF" w:usb1="C000605B" w:usb2="00000029" w:usb3="00000000" w:csb0="000101FF" w:csb1="00000000"/>
  </w:font>
  <w:font w:name="Arial AMU">
    <w:charset w:val="00"/>
    <w:family w:val="swiss"/>
    <w:pitch w:val="variable"/>
    <w:sig w:usb0="800006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AM">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charset w:val="00"/>
    <w:family w:val="roman"/>
    <w:pitch w:val="variable"/>
    <w:sig w:usb0="E00002FF" w:usb1="400004FF" w:usb2="00000000" w:usb3="00000000" w:csb0="0000019F" w:csb1="00000000"/>
  </w:font>
  <w:font w:name="Verdana">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LatArm">
    <w:charset w:val="00"/>
    <w:family w:val="swiss"/>
    <w:pitch w:val="variable"/>
    <w:sig w:usb0="00000003" w:usb1="00000000" w:usb2="00000000" w:usb3="00000000" w:csb0="00000001" w:csb1="00000000"/>
  </w:font>
  <w:font w:name="Bookman Old Style">
    <w:charset w:val="00"/>
    <w:family w:val="roman"/>
    <w:pitch w:val="variable"/>
    <w:sig w:usb0="00000287" w:usb1="00000000" w:usb2="00000000" w:usb3="00000000" w:csb0="0000009F" w:csb1="00000000"/>
  </w:font>
  <w:font w:name="Gill Sans">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Baltica">
    <w:charset w:val="00"/>
    <w:family w:val="auto"/>
    <w:pitch w:val="variable"/>
    <w:sig w:usb0="00000003" w:usb1="00000000" w:usb2="00000000" w:usb3="00000000" w:csb0="00000001" w:csb1="00000000"/>
  </w:font>
  <w:font w:name="Univers">
    <w:charset w:val="00"/>
    <w:family w:val="swiss"/>
    <w:pitch w:val="variable"/>
    <w:sig w:usb0="80000287" w:usb1="00000000" w:usb2="00000000" w:usb3="00000000" w:csb0="0000009F" w:csb1="00000000"/>
  </w:font>
  <w:font w:name="Russian Baltica">
    <w:charset w:val="00"/>
    <w:family w:val="roman"/>
    <w:pitch w:val="variable"/>
    <w:sig w:usb0="00000003" w:usb1="00000000" w:usb2="00000000" w:usb3="00000000" w:csb0="00000001" w:csb1="00000000"/>
  </w:font>
  <w:font w:name="Dallak Helv">
    <w:charset w:val="00"/>
    <w:family w:val="swiss"/>
    <w:pitch w:val="variable"/>
    <w:sig w:usb0="000000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GHEA Mariam">
    <w:charset w:val="00"/>
    <w:family w:val="modern"/>
    <w:notTrueType/>
    <w:pitch w:val="variable"/>
    <w:sig w:usb0="A00006AF" w:usb1="5000204B" w:usb2="00000000" w:usb3="00000000" w:csb0="0000009F" w:csb1="00000000"/>
  </w:font>
  <w:font w:name="Liberation Sans">
    <w:altName w:val="Arial"/>
    <w:panose1 w:val="00000000000000000000"/>
    <w:charset w:val="CC"/>
    <w:family w:val="swiss"/>
    <w:notTrueType/>
    <w:pitch w:val="variable"/>
    <w:sig w:usb0="00000201" w:usb1="00000000" w:usb2="00000000" w:usb3="00000000" w:csb0="00000004" w:csb1="00000000"/>
  </w:font>
  <w:font w:name="ヒラギノ角ゴ Pro W3">
    <w:altName w:val="Arial Unicode MS"/>
    <w:panose1 w:val="00000000000000000000"/>
    <w:charset w:val="80"/>
    <w:family w:val="auto"/>
    <w:notTrueType/>
    <w:pitch w:val="variable"/>
    <w:sig w:usb0="00000000" w:usb1="08070000" w:usb2="00000010" w:usb3="00000000" w:csb0="00020000" w:csb1="00000000"/>
  </w:font>
  <w:font w:name="Segoe UI">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mbria Math">
    <w:panose1 w:val="00000000000000000000"/>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ABD" w:rsidRDefault="00A04ABD">
    <w:pPr>
      <w:pStyle w:val="Footer"/>
      <w:jc w:val="center"/>
    </w:pPr>
    <w:r>
      <w:fldChar w:fldCharType="begin"/>
    </w:r>
    <w:r>
      <w:instrText xml:space="preserve"> PAGE   \* MERGEFORMAT </w:instrText>
    </w:r>
    <w:r>
      <w:fldChar w:fldCharType="separate"/>
    </w:r>
    <w:r w:rsidR="00E97E12">
      <w:rPr>
        <w:noProof/>
      </w:rPr>
      <w:t>34</w:t>
    </w:r>
    <w:r>
      <w:rPr>
        <w:noProof/>
      </w:rPr>
      <w:fldChar w:fldCharType="end"/>
    </w:r>
  </w:p>
  <w:p w:rsidR="00A04ABD" w:rsidRDefault="00A04A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A0B" w:rsidRDefault="00825A0B" w:rsidP="00F52B25">
      <w:r>
        <w:separator/>
      </w:r>
    </w:p>
  </w:footnote>
  <w:footnote w:type="continuationSeparator" w:id="0">
    <w:p w:rsidR="00825A0B" w:rsidRDefault="00825A0B" w:rsidP="00F52B25">
      <w:r>
        <w:continuationSeparator/>
      </w:r>
    </w:p>
  </w:footnote>
  <w:footnote w:id="1">
    <w:p w:rsidR="00A04ABD" w:rsidRPr="001B232B" w:rsidRDefault="00A04ABD" w:rsidP="00961B35">
      <w:pPr>
        <w:pStyle w:val="FootnoteText"/>
        <w:rPr>
          <w:szCs w:val="20"/>
        </w:rPr>
      </w:pPr>
      <w:r w:rsidRPr="001B232B">
        <w:rPr>
          <w:rStyle w:val="FootnoteReference"/>
        </w:rPr>
        <w:footnoteRef/>
      </w:r>
      <w:r w:rsidRPr="001B232B">
        <w:t>ՀՆԱ-ի իրական աճ ասելով հասկանում ենք տնտեսությունում ստեղծված ՀՆԱ-ի ծավալային աճը` առանց գնային փոփոխության:</w:t>
      </w:r>
    </w:p>
  </w:footnote>
  <w:footnote w:id="2">
    <w:p w:rsidR="00A04ABD" w:rsidRDefault="00A04ABD" w:rsidP="00961B35">
      <w:pPr>
        <w:pStyle w:val="FootnoteText"/>
      </w:pPr>
      <w:r w:rsidRPr="001B232B">
        <w:rPr>
          <w:rStyle w:val="FootnoteReference"/>
        </w:rPr>
        <w:footnoteRef/>
      </w:r>
      <w:r w:rsidRPr="001B232B">
        <w:rPr>
          <w:lang w:val="en-US"/>
        </w:rPr>
        <w:t xml:space="preserve"> </w:t>
      </w:r>
      <w:r w:rsidRPr="001B232B">
        <w:t>Նշված պարբերության ցուցանիշները վերաբերում են տնտեսության ճյուղերում ստեղծված ավելացված արժեքին:</w:t>
      </w:r>
    </w:p>
  </w:footnote>
  <w:footnote w:id="3">
    <w:p w:rsidR="00A04ABD" w:rsidRPr="001B232B" w:rsidRDefault="00A04ABD" w:rsidP="00961B35">
      <w:pPr>
        <w:pStyle w:val="FootnoteText"/>
      </w:pPr>
      <w:r w:rsidRPr="001B232B">
        <w:rPr>
          <w:rStyle w:val="FootnoteReference"/>
        </w:rPr>
        <w:footnoteRef/>
      </w:r>
      <w:r w:rsidRPr="001B232B">
        <w:t xml:space="preserve"> 2011 թվականից ՀՀ Ազգային վիճակագրական ծառայությունը ամսական ՀՆԱ-ից անցում է կատարել ՏԱՑ-ի հաշվարկմանը: Ի տարբերություն Ազգային հաշիվների մեթոդաբանությամբ հաշվարկվող ՀՆԱ ցուցանիշի (որն ունի եռամսյակային և տարեկան պարբերականություն) ամսական ՏԱՑ-ը բնութագրում է տնտեսությունում ապրանքների և ծառայությունների թողարկման ծավալների փոփոխությունը, այլ ոչ թե ավելացված արժեքի փոփոխությունը: Բացի այդ, ամսական ՏԱՑ-ը չի ընդգրկում արտադրանքի զուտ հարկերը և ֆինանսական միջնորդության անուղղակիորեն չափվող ծառայությունները (ՖՄԱՉԾ), որոնք ներառվում են եռամսյակային և տարեկան ՀՆԱ-ի արտադրական եղանակով հաշվարկներում:</w:t>
      </w:r>
    </w:p>
  </w:footnote>
  <w:footnote w:id="4">
    <w:p w:rsidR="00A04ABD" w:rsidRPr="0044398A" w:rsidRDefault="00A04ABD" w:rsidP="00961B35">
      <w:pPr>
        <w:pStyle w:val="FootnoteText"/>
        <w:rPr>
          <w:lang w:val="hy-AM"/>
        </w:rPr>
      </w:pPr>
      <w:r>
        <w:rPr>
          <w:rStyle w:val="FootnoteReference"/>
        </w:rPr>
        <w:footnoteRef/>
      </w:r>
      <w:r>
        <w:t xml:space="preserve"> </w:t>
      </w:r>
      <w:r>
        <w:rPr>
          <w:lang w:val="hy-AM"/>
        </w:rPr>
        <w:t xml:space="preserve">Այսուհետ՝ «*» նշանակում է </w:t>
      </w:r>
      <w:r>
        <w:t>2018</w:t>
      </w:r>
      <w:r>
        <w:rPr>
          <w:lang w:val="hy-AM"/>
        </w:rPr>
        <w:t xml:space="preserve"> </w:t>
      </w:r>
      <w:r>
        <w:t>թ</w:t>
      </w:r>
      <w:r>
        <w:rPr>
          <w:lang w:val="hy-AM"/>
        </w:rPr>
        <w:t>վականի</w:t>
      </w:r>
      <w:r>
        <w:t xml:space="preserve"> սպաս</w:t>
      </w:r>
      <w:r>
        <w:rPr>
          <w:lang w:val="hy-AM"/>
        </w:rPr>
        <w:t>ողական և</w:t>
      </w:r>
      <w:r>
        <w:t xml:space="preserve"> 2019</w:t>
      </w:r>
      <w:r>
        <w:rPr>
          <w:lang w:val="hy-AM"/>
        </w:rPr>
        <w:t xml:space="preserve"> </w:t>
      </w:r>
      <w:r>
        <w:t>թ</w:t>
      </w:r>
      <w:r>
        <w:rPr>
          <w:lang w:val="hy-AM"/>
        </w:rPr>
        <w:t>վականի</w:t>
      </w:r>
      <w:r>
        <w:t xml:space="preserve"> կանխատես</w:t>
      </w:r>
      <w:r>
        <w:rPr>
          <w:lang w:val="hy-AM"/>
        </w:rPr>
        <w:t>վող ցուցանիշ։</w:t>
      </w:r>
    </w:p>
  </w:footnote>
  <w:footnote w:id="5">
    <w:p w:rsidR="00A04ABD" w:rsidRPr="0044398A" w:rsidRDefault="00A04ABD" w:rsidP="00961B35">
      <w:pPr>
        <w:pStyle w:val="FootnoteText"/>
        <w:rPr>
          <w:lang w:val="hy-AM"/>
        </w:rPr>
      </w:pPr>
    </w:p>
  </w:footnote>
  <w:footnote w:id="6">
    <w:p w:rsidR="00A04ABD" w:rsidRPr="0044398A" w:rsidRDefault="00A04ABD" w:rsidP="00961B35">
      <w:pPr>
        <w:pStyle w:val="FootnoteText"/>
        <w:rPr>
          <w:lang w:val="hy-AM"/>
        </w:rPr>
      </w:pPr>
      <w:r w:rsidRPr="001B232B">
        <w:rPr>
          <w:rStyle w:val="FootnoteReference"/>
        </w:rPr>
        <w:footnoteRef/>
      </w:r>
      <w:r w:rsidRPr="0044398A">
        <w:rPr>
          <w:lang w:val="hy-AM"/>
        </w:rPr>
        <w:t xml:space="preserve"> Այսուհետ ներկայացված են ճյուղերի համախառն թողարկումների ցուցանիշները:</w:t>
      </w:r>
    </w:p>
  </w:footnote>
  <w:footnote w:id="7">
    <w:p w:rsidR="00A04ABD" w:rsidRPr="004E224C" w:rsidRDefault="00A04ABD" w:rsidP="00961B35">
      <w:pPr>
        <w:pStyle w:val="FootnoteText"/>
        <w:rPr>
          <w:lang w:val="hy-AM"/>
        </w:rPr>
      </w:pPr>
      <w:r>
        <w:rPr>
          <w:rStyle w:val="FootnoteReference"/>
        </w:rPr>
        <w:footnoteRef/>
      </w:r>
      <w:r w:rsidRPr="004E224C">
        <w:rPr>
          <w:lang w:val="hy-AM"/>
        </w:rPr>
        <w:t xml:space="preserve"> </w:t>
      </w:r>
      <w:r>
        <w:rPr>
          <w:lang w:val="hy-AM"/>
        </w:rPr>
        <w:t>2019 թվականից ՀՀ ՎԿ-ի կողմից գ</w:t>
      </w:r>
      <w:r w:rsidRPr="001D3D67">
        <w:rPr>
          <w:lang w:val="hy-AM"/>
        </w:rPr>
        <w:t>յուղատնտեսության ցուցանիշ</w:t>
      </w:r>
      <w:r>
        <w:rPr>
          <w:lang w:val="hy-AM"/>
        </w:rPr>
        <w:t>ը</w:t>
      </w:r>
      <w:r w:rsidRPr="001D3D67">
        <w:rPr>
          <w:lang w:val="hy-AM"/>
        </w:rPr>
        <w:t xml:space="preserve"> </w:t>
      </w:r>
      <w:r>
        <w:rPr>
          <w:lang w:val="hy-AM"/>
        </w:rPr>
        <w:t>հրապարակվում</w:t>
      </w:r>
      <w:r w:rsidRPr="001D3D67">
        <w:rPr>
          <w:lang w:val="hy-AM"/>
        </w:rPr>
        <w:t xml:space="preserve"> է </w:t>
      </w:r>
      <w:r>
        <w:rPr>
          <w:lang w:val="hy-AM"/>
        </w:rPr>
        <w:t xml:space="preserve">միայն </w:t>
      </w:r>
      <w:r w:rsidRPr="001D3D67">
        <w:rPr>
          <w:lang w:val="hy-AM"/>
        </w:rPr>
        <w:t>եռամսյակային պարբերականությամբ՝ պայմանավորված գյուղատնտեսության սեզոնայնությամբ և բնակլիմայական ոչ կայուն պայմաններից կախված ամսական արտադրության տատանողականության հարթեցման անհրաժեշտությամբ:</w:t>
      </w:r>
    </w:p>
  </w:footnote>
  <w:footnote w:id="8">
    <w:p w:rsidR="00A04ABD" w:rsidRPr="0044398A" w:rsidRDefault="00A04ABD" w:rsidP="00961B35">
      <w:pPr>
        <w:pStyle w:val="FootnoteText"/>
        <w:rPr>
          <w:szCs w:val="20"/>
          <w:lang w:val="hy-AM"/>
        </w:rPr>
      </w:pPr>
      <w:r w:rsidRPr="001B232B">
        <w:rPr>
          <w:rStyle w:val="FootnoteReference"/>
          <w:szCs w:val="18"/>
        </w:rPr>
        <w:footnoteRef/>
      </w:r>
      <w:r w:rsidRPr="0044398A">
        <w:rPr>
          <w:lang w:val="hy-AM"/>
        </w:rPr>
        <w:t xml:space="preserve">Ենթաճյուղերի նպաստումների ցուցանիշները այս և հաջորդ ճյուղերի համար հաշվարկվել են ՀՀ ֆինանսների նախարարության կողմից` ՀՀ </w:t>
      </w:r>
      <w:r>
        <w:rPr>
          <w:lang w:val="hy-AM"/>
        </w:rPr>
        <w:t>ՎԿ</w:t>
      </w:r>
      <w:r w:rsidRPr="0044398A">
        <w:rPr>
          <w:lang w:val="hy-AM"/>
        </w:rPr>
        <w:t xml:space="preserve"> ամսական ցուցանիշների պաշտոնական հրապարակումների հիման վրա:</w:t>
      </w:r>
    </w:p>
  </w:footnote>
  <w:footnote w:id="9">
    <w:p w:rsidR="00A04ABD" w:rsidRPr="0044398A" w:rsidRDefault="00A04ABD" w:rsidP="00961B35">
      <w:pPr>
        <w:pStyle w:val="FootnoteText"/>
        <w:rPr>
          <w:lang w:val="hy-AM"/>
        </w:rPr>
      </w:pPr>
      <w:r w:rsidRPr="001B232B">
        <w:rPr>
          <w:rStyle w:val="FootnoteReference"/>
        </w:rPr>
        <w:footnoteRef/>
      </w:r>
      <w:r w:rsidRPr="0044398A">
        <w:rPr>
          <w:lang w:val="hy-AM"/>
        </w:rPr>
        <w:t xml:space="preserve"> Հացահատիկային</w:t>
      </w:r>
      <w:r w:rsidRPr="008710D3">
        <w:rPr>
          <w:lang w:val="hy-AM"/>
        </w:rPr>
        <w:t xml:space="preserve"> </w:t>
      </w:r>
      <w:r w:rsidRPr="0044398A">
        <w:rPr>
          <w:lang w:val="hy-AM"/>
        </w:rPr>
        <w:t>մշակաբույսերի նվազումը կազմել է</w:t>
      </w:r>
      <w:r w:rsidRPr="008710D3">
        <w:rPr>
          <w:lang w:val="hy-AM"/>
        </w:rPr>
        <w:t xml:space="preserve"> 6.7</w:t>
      </w:r>
      <w:r w:rsidRPr="0044398A">
        <w:rPr>
          <w:lang w:val="hy-AM"/>
        </w:rPr>
        <w:t xml:space="preserve">%, </w:t>
      </w:r>
      <w:r w:rsidRPr="008710D3">
        <w:rPr>
          <w:lang w:val="hy-AM"/>
        </w:rPr>
        <w:t>կ</w:t>
      </w:r>
      <w:r w:rsidRPr="0044398A">
        <w:rPr>
          <w:lang w:val="hy-AM"/>
        </w:rPr>
        <w:t>երային</w:t>
      </w:r>
      <w:r w:rsidRPr="008710D3">
        <w:rPr>
          <w:lang w:val="hy-AM"/>
        </w:rPr>
        <w:t>ը՝</w:t>
      </w:r>
      <w:r w:rsidRPr="00BE61A2">
        <w:rPr>
          <w:lang w:val="hy-AM"/>
        </w:rPr>
        <w:t xml:space="preserve"> 7</w:t>
      </w:r>
      <w:r w:rsidRPr="0044398A">
        <w:rPr>
          <w:lang w:val="hy-AM"/>
        </w:rPr>
        <w:t>.</w:t>
      </w:r>
      <w:r w:rsidRPr="00BE61A2">
        <w:rPr>
          <w:lang w:val="hy-AM"/>
        </w:rPr>
        <w:t>0</w:t>
      </w:r>
      <w:r w:rsidRPr="0044398A">
        <w:rPr>
          <w:lang w:val="hy-AM"/>
        </w:rPr>
        <w:t xml:space="preserve">%, բոստանային մշակաբույսերինը՝ </w:t>
      </w:r>
      <w:r w:rsidRPr="00234ABA">
        <w:rPr>
          <w:lang w:val="hy-AM"/>
        </w:rPr>
        <w:t>6</w:t>
      </w:r>
      <w:r w:rsidRPr="0044398A">
        <w:rPr>
          <w:lang w:val="hy-AM"/>
        </w:rPr>
        <w:t>.</w:t>
      </w:r>
      <w:r w:rsidRPr="00223BA1">
        <w:rPr>
          <w:lang w:val="hy-AM"/>
        </w:rPr>
        <w:t>2</w:t>
      </w:r>
      <w:r w:rsidRPr="0044398A">
        <w:rPr>
          <w:lang w:val="hy-AM"/>
        </w:rPr>
        <w:t xml:space="preserve">%, բանջարանոցայինը՝ </w:t>
      </w:r>
      <w:r w:rsidRPr="008710D3">
        <w:rPr>
          <w:lang w:val="hy-AM"/>
        </w:rPr>
        <w:t>4.3</w:t>
      </w:r>
      <w:r w:rsidRPr="0044398A">
        <w:rPr>
          <w:lang w:val="hy-AM"/>
        </w:rPr>
        <w:t xml:space="preserve">%, կարտոֆիլը՝ </w:t>
      </w:r>
      <w:r w:rsidRPr="008710D3">
        <w:rPr>
          <w:lang w:val="hy-AM"/>
        </w:rPr>
        <w:t>7</w:t>
      </w:r>
      <w:r w:rsidRPr="0044398A">
        <w:rPr>
          <w:lang w:val="hy-AM"/>
        </w:rPr>
        <w:t>.</w:t>
      </w:r>
      <w:r w:rsidRPr="008710D3">
        <w:rPr>
          <w:lang w:val="hy-AM"/>
        </w:rPr>
        <w:t>5</w:t>
      </w:r>
      <w:r w:rsidRPr="0044398A">
        <w:rPr>
          <w:lang w:val="hy-AM"/>
        </w:rPr>
        <w:t>%,</w:t>
      </w:r>
      <w:r>
        <w:rPr>
          <w:lang w:val="hy-AM"/>
        </w:rPr>
        <w:t xml:space="preserve"> տեխնիկական մշակաբույսերը 1</w:t>
      </w:r>
      <w:r w:rsidRPr="008710D3">
        <w:rPr>
          <w:lang w:val="hy-AM"/>
        </w:rPr>
        <w:t>4</w:t>
      </w:r>
      <w:r>
        <w:rPr>
          <w:lang w:val="hy-AM"/>
        </w:rPr>
        <w:t>.</w:t>
      </w:r>
      <w:r w:rsidRPr="00234ABA">
        <w:rPr>
          <w:lang w:val="hy-AM"/>
        </w:rPr>
        <w:t>4</w:t>
      </w:r>
      <w:r>
        <w:rPr>
          <w:lang w:val="hy-AM"/>
        </w:rPr>
        <w:t>%</w:t>
      </w:r>
      <w:r w:rsidRPr="0044398A">
        <w:rPr>
          <w:lang w:val="hy-AM"/>
        </w:rPr>
        <w:t>:</w:t>
      </w:r>
    </w:p>
  </w:footnote>
  <w:footnote w:id="10">
    <w:p w:rsidR="00A04ABD" w:rsidRPr="00D22067" w:rsidRDefault="00A04ABD" w:rsidP="00961B35">
      <w:pPr>
        <w:pStyle w:val="FootnoteText"/>
        <w:rPr>
          <w:lang w:val="hy-AM"/>
        </w:rPr>
      </w:pPr>
      <w:r w:rsidRPr="001B232B">
        <w:rPr>
          <w:rStyle w:val="FootnoteReference"/>
        </w:rPr>
        <w:footnoteRef/>
      </w:r>
      <w:r>
        <w:rPr>
          <w:lang w:val="hy-AM"/>
        </w:rPr>
        <w:t xml:space="preserve"> Ռ</w:t>
      </w:r>
      <w:r w:rsidRPr="0044398A">
        <w:rPr>
          <w:lang w:val="hy-AM"/>
        </w:rPr>
        <w:t>եսուրսային ներուժի օգտագործման մակարդակի բարձրացման, սերմնաբուծության և տոհմային գործի համակարգի ամրապնդման, բույսերի առավել վտանգավոր հիվանդությունների դեմ պայքարի, հողային ռեսուրսների օգտագործման արդյունավետության բարձրացման և անասնաբուժական հակահամաճարակային միջոցառումների իրականացման, վարկերի, ինչպես նաև գյուղատնտեսության մեջ օգտագործվող կարևորագույն  նյութական ռեսուրսների մատչելիության, արդիական տեխնոլոգիաների ներդրման, մասնավորապես գյուղատնտեսական և ագրոպարենային ոլորտում այլ տեխնիկայի լիզինգային մեխանիզմներով մատակարարման, ինտենսիվ այգեգործության խթանման, ոռոգման արդիական տեխնոլոգիաների ու կարկտապաշտպան ցանցերի ներդրման, գյուղատնտեսական կոոպերացիայի խթանման, ոլորտի խորհրդատվական համակարգի զարգացման և այլ</w:t>
      </w:r>
      <w:r>
        <w:rPr>
          <w:lang w:val="hy-AM"/>
        </w:rPr>
        <w:t xml:space="preserve"> ծրագրեր։</w:t>
      </w:r>
    </w:p>
  </w:footnote>
  <w:footnote w:id="11">
    <w:p w:rsidR="00A04ABD" w:rsidRPr="004327A8" w:rsidRDefault="00A04ABD" w:rsidP="00961B35">
      <w:pPr>
        <w:pStyle w:val="FootnoteText"/>
        <w:rPr>
          <w:lang w:val="hy-AM"/>
        </w:rPr>
      </w:pPr>
      <w:r>
        <w:rPr>
          <w:rStyle w:val="FootnoteReference"/>
        </w:rPr>
        <w:footnoteRef/>
      </w:r>
      <w:r w:rsidRPr="00D22067">
        <w:rPr>
          <w:lang w:val="hy-AM"/>
        </w:rPr>
        <w:t xml:space="preserve"> Նոր մեթոդաբանությամբ զբաղվածությունը համարվում է աշխատանքի հինգ ձևերից միակը, որն իրականացվում է այլոց համար՝ վարձատրության կամ եկամտի դիմաց: Նախկին սահմանման համեմատ զբաղվածների թվաքանակից բացառվել են նրանք, ովքեր հետազոտվող շաբաթում իրենց տնտեսությունում զբաղվել են ապրանքների արտադրությամբ՝ սեփական վերջնական սպառման համար, եթե արտադրված արտադրանքը նշանակալի մասնաբաժին է ունեցել տնային տնտեսության սպառման մեջ: (Նոր մեթոդաբանությունն առավել մանրամասն տե՛ս ՀՀ ՎԿ կայքէջում </w:t>
      </w:r>
      <w:hyperlink r:id="rId1" w:history="1">
        <w:r w:rsidRPr="00D22067">
          <w:rPr>
            <w:rStyle w:val="Hyperlink"/>
            <w:lang w:val="hy-AM"/>
          </w:rPr>
          <w:t>http://armstat.am/file/article/sv_06_18a_141.pdf</w:t>
        </w:r>
      </w:hyperlink>
      <w:r w:rsidRPr="00D22067">
        <w:rPr>
          <w:lang w:val="hy-AM"/>
        </w:rPr>
        <w:t xml:space="preserve">): </w:t>
      </w:r>
    </w:p>
  </w:footnote>
  <w:footnote w:id="12">
    <w:p w:rsidR="00A04ABD" w:rsidRPr="009211F8" w:rsidRDefault="00A04ABD" w:rsidP="00961B35">
      <w:pPr>
        <w:pStyle w:val="FootnoteText"/>
        <w:rPr>
          <w:lang w:val="hy-AM"/>
        </w:rPr>
      </w:pPr>
      <w:r>
        <w:rPr>
          <w:rStyle w:val="FootnoteReference"/>
        </w:rPr>
        <w:footnoteRef/>
      </w:r>
      <w:r w:rsidRPr="009211F8">
        <w:rPr>
          <w:lang w:val="hy-AM"/>
        </w:rPr>
        <w:t xml:space="preserve"> </w:t>
      </w:r>
      <w:r w:rsidRPr="007A1739">
        <w:rPr>
          <w:lang w:val="hy-AM"/>
        </w:rPr>
        <w:t xml:space="preserve">2019թ. ցուցանիշները ներկայացված են նոր մեթոդաբանությամբ, քանի որ գործազրկության </w:t>
      </w:r>
      <w:r>
        <w:rPr>
          <w:lang w:val="hy-AM"/>
        </w:rPr>
        <w:t>մակարդակը</w:t>
      </w:r>
      <w:r w:rsidRPr="007A1739">
        <w:rPr>
          <w:lang w:val="hy-AM"/>
        </w:rPr>
        <w:t xml:space="preserve"> նախկին մեթոդաբանությամբ</w:t>
      </w:r>
      <w:r w:rsidRPr="00B37060">
        <w:rPr>
          <w:lang w:val="hy-AM"/>
        </w:rPr>
        <w:t xml:space="preserve"> </w:t>
      </w:r>
      <w:r w:rsidRPr="007A1739">
        <w:rPr>
          <w:lang w:val="hy-AM"/>
        </w:rPr>
        <w:t>այլևս չի հաշվարկվում:</w:t>
      </w:r>
    </w:p>
  </w:footnote>
  <w:footnote w:id="13">
    <w:p w:rsidR="00A04ABD" w:rsidRPr="004327A8" w:rsidRDefault="00A04ABD" w:rsidP="00961B35">
      <w:pPr>
        <w:pStyle w:val="FootnoteText"/>
        <w:rPr>
          <w:lang w:val="hy-AM"/>
        </w:rPr>
      </w:pPr>
      <w:r w:rsidRPr="00B27A16">
        <w:rPr>
          <w:rStyle w:val="FootnoteReference"/>
        </w:rPr>
        <w:footnoteRef/>
      </w:r>
      <w:r w:rsidRPr="00D22067">
        <w:rPr>
          <w:lang w:val="hy-AM"/>
        </w:rPr>
        <w:t xml:space="preserve"> </w:t>
      </w:r>
      <w:r>
        <w:rPr>
          <w:lang w:val="hy-AM"/>
        </w:rPr>
        <w:t>Ա</w:t>
      </w:r>
      <w:r w:rsidRPr="00D22067">
        <w:rPr>
          <w:lang w:val="hy-AM"/>
        </w:rPr>
        <w:t>շխատավարձի վերաբերյալ ց</w:t>
      </w:r>
      <w:r w:rsidRPr="00D22067">
        <w:rPr>
          <w:rFonts w:cs="Sylfaen"/>
          <w:lang w:val="hy-AM"/>
        </w:rPr>
        <w:t>ուցանիշները</w:t>
      </w:r>
      <w:r w:rsidRPr="00D22067">
        <w:rPr>
          <w:lang w:val="hy-AM"/>
        </w:rPr>
        <w:t xml:space="preserve"> </w:t>
      </w:r>
      <w:r>
        <w:rPr>
          <w:rFonts w:cs="Sylfaen"/>
          <w:lang w:val="hy-AM"/>
        </w:rPr>
        <w:t>ներկայացված</w:t>
      </w:r>
      <w:r w:rsidRPr="00D22067">
        <w:rPr>
          <w:rFonts w:cs="Sylfaen"/>
          <w:lang w:val="hy-AM"/>
        </w:rPr>
        <w:t xml:space="preserve"> են 1 և ավելի աշխատող ունեցո</w:t>
      </w:r>
      <w:r>
        <w:rPr>
          <w:rFonts w:cs="Sylfaen"/>
          <w:lang w:val="hy-AM"/>
        </w:rPr>
        <w:t>ղ կազմակերպությունների տվյալներով</w:t>
      </w:r>
      <w:r w:rsidRPr="00D22067">
        <w:rPr>
          <w:rFonts w:cs="Sylfaen"/>
          <w:lang w:val="hy-AM"/>
        </w:rPr>
        <w:t>:</w:t>
      </w:r>
    </w:p>
  </w:footnote>
  <w:footnote w:id="14">
    <w:p w:rsidR="00A04ABD" w:rsidRPr="004327A8" w:rsidRDefault="00A04ABD" w:rsidP="00961B35">
      <w:pPr>
        <w:pStyle w:val="FootnoteText"/>
        <w:rPr>
          <w:lang w:val="hy-AM"/>
        </w:rPr>
      </w:pPr>
      <w:r w:rsidRPr="0028287A">
        <w:rPr>
          <w:rStyle w:val="FootnoteReference"/>
        </w:rPr>
        <w:footnoteRef/>
      </w:r>
      <w:r w:rsidRPr="004327A8">
        <w:rPr>
          <w:lang w:val="hy-AM"/>
        </w:rPr>
        <w:t xml:space="preserve"> Այս բաժնում ներկայացված են արտահանման և ներմուծման իրական աճի ցուցանիշները:</w:t>
      </w:r>
    </w:p>
  </w:footnote>
  <w:footnote w:id="15">
    <w:p w:rsidR="00A04ABD" w:rsidRPr="004327A8" w:rsidRDefault="00A04ABD" w:rsidP="00961B35">
      <w:pPr>
        <w:pStyle w:val="FootnoteText"/>
        <w:rPr>
          <w:lang w:val="hy-AM"/>
        </w:rPr>
      </w:pPr>
      <w:r w:rsidRPr="00B27A16">
        <w:rPr>
          <w:rStyle w:val="FootnoteReference"/>
        </w:rPr>
        <w:footnoteRef/>
      </w:r>
      <w:r w:rsidRPr="004327A8">
        <w:rPr>
          <w:lang w:val="hy-AM"/>
        </w:rPr>
        <w:t xml:space="preserve"> Ներառված են նաև ծառայությունները:</w:t>
      </w:r>
    </w:p>
  </w:footnote>
  <w:footnote w:id="16">
    <w:p w:rsidR="00A04ABD" w:rsidRPr="004327A8" w:rsidRDefault="00A04ABD" w:rsidP="00961B35">
      <w:pPr>
        <w:pStyle w:val="FootnoteText"/>
        <w:rPr>
          <w:lang w:val="hy-AM"/>
        </w:rPr>
      </w:pPr>
      <w:r>
        <w:rPr>
          <w:rStyle w:val="FootnoteReference"/>
        </w:rPr>
        <w:footnoteRef/>
      </w:r>
      <w:r w:rsidRPr="004327A8">
        <w:rPr>
          <w:lang w:val="hy-AM"/>
        </w:rPr>
        <w:t xml:space="preserve"> Ավանդների և վարկերի մինչև մեկ տարի ժամկետայնությամբ, դրամով և արտարժույթով միջին կշռված տոկոսադրույքներ</w:t>
      </w:r>
    </w:p>
  </w:footnote>
  <w:footnote w:id="17">
    <w:p w:rsidR="00A04ABD" w:rsidRPr="004327A8" w:rsidRDefault="00A04ABD" w:rsidP="00961B35">
      <w:pPr>
        <w:pStyle w:val="FootnoteText"/>
        <w:rPr>
          <w:lang w:val="hy-AM"/>
        </w:rPr>
      </w:pPr>
      <w:r>
        <w:rPr>
          <w:rStyle w:val="FootnoteReference"/>
        </w:rPr>
        <w:footnoteRef/>
      </w:r>
      <w:r w:rsidRPr="004327A8">
        <w:rPr>
          <w:lang w:val="hy-AM"/>
        </w:rPr>
        <w:t xml:space="preserve"> </w:t>
      </w:r>
      <w:r w:rsidRPr="00121E8D">
        <w:rPr>
          <w:lang w:val="hy-AM"/>
        </w:rPr>
        <w:t>Մ</w:t>
      </w:r>
      <w:r w:rsidRPr="004327A8">
        <w:rPr>
          <w:lang w:val="hy-AM"/>
        </w:rPr>
        <w:t xml:space="preserve">ինչև 1 տարի ժամկետով </w:t>
      </w:r>
      <w:r w:rsidRPr="006736A0">
        <w:rPr>
          <w:lang w:val="hy-AM"/>
        </w:rPr>
        <w:t xml:space="preserve">վարկերի և ավանդների </w:t>
      </w:r>
      <w:r w:rsidRPr="004327A8">
        <w:rPr>
          <w:lang w:val="hy-AM"/>
        </w:rPr>
        <w:t>տոկոսադրույքների սպրեդը</w:t>
      </w:r>
    </w:p>
  </w:footnote>
  <w:footnote w:id="18">
    <w:p w:rsidR="00A04ABD" w:rsidRPr="004327A8" w:rsidRDefault="00A04ABD" w:rsidP="00961B35">
      <w:pPr>
        <w:pStyle w:val="FootnoteText"/>
        <w:rPr>
          <w:lang w:val="hy-AM"/>
        </w:rPr>
      </w:pPr>
      <w:r>
        <w:rPr>
          <w:rStyle w:val="FootnoteReference"/>
        </w:rPr>
        <w:footnoteRef/>
      </w:r>
      <w:r w:rsidRPr="004327A8">
        <w:rPr>
          <w:lang w:val="hy-AM"/>
        </w:rPr>
        <w:t xml:space="preserve"> Ըստ ՀՀ վճարային</w:t>
      </w:r>
      <w:r w:rsidRPr="00F93732">
        <w:rPr>
          <w:lang w:val="sk-SK"/>
        </w:rPr>
        <w:t xml:space="preserve"> </w:t>
      </w:r>
      <w:r w:rsidRPr="004327A8">
        <w:rPr>
          <w:lang w:val="hy-AM"/>
        </w:rPr>
        <w:t>հաշվեկշռի (արտահանումը և ներմուծումը ՖՕԲ գներով):</w:t>
      </w:r>
    </w:p>
  </w:footnote>
  <w:footnote w:id="19">
    <w:p w:rsidR="00A04ABD" w:rsidRPr="00A74AC6" w:rsidRDefault="00A04ABD" w:rsidP="00961B35">
      <w:pPr>
        <w:pStyle w:val="FootnoteText"/>
        <w:rPr>
          <w:lang w:val="hy-AM"/>
        </w:rPr>
      </w:pPr>
      <w:r>
        <w:rPr>
          <w:rStyle w:val="FootnoteReference"/>
        </w:rPr>
        <w:footnoteRef/>
      </w:r>
      <w:r w:rsidRPr="000F2FBC">
        <w:rPr>
          <w:lang w:val="hy-AM"/>
        </w:rPr>
        <w:t xml:space="preserve"> Այդուհանդերձ՝ ընթացիկ հաշվի խորացումը չի կարող համարվել անկայուն և պայմանավորված էր ներդրումային բնույթի ապրանքների ներմուծմամբ, շրջանառու միջոցների պաշարների կուտակմամբ, ինչպես նաև ներմուծված ավտոմեքենաների դեպի ԵԱՏՄ երկրներ չգրանցված արտահանման ժամանակավոր երևույթով։</w:t>
      </w:r>
      <w:r>
        <w:rPr>
          <w:lang w:val="hy-AM"/>
        </w:rPr>
        <w:t xml:space="preserve"> </w:t>
      </w:r>
    </w:p>
  </w:footnote>
  <w:footnote w:id="20">
    <w:p w:rsidR="00A04ABD" w:rsidRPr="00F93732" w:rsidRDefault="00A04ABD" w:rsidP="00961B35">
      <w:pPr>
        <w:pStyle w:val="FootnoteText"/>
        <w:rPr>
          <w:lang w:val="sk-SK"/>
        </w:rPr>
      </w:pPr>
      <w:r w:rsidRPr="00D9163A">
        <w:rPr>
          <w:rStyle w:val="FootnoteReference"/>
        </w:rPr>
        <w:footnoteRef/>
      </w:r>
      <w:r w:rsidRPr="00F93732">
        <w:rPr>
          <w:lang w:val="sk-SK"/>
        </w:rPr>
        <w:t xml:space="preserve"> </w:t>
      </w:r>
      <w:r w:rsidRPr="004327A8">
        <w:rPr>
          <w:lang w:val="hy-AM"/>
        </w:rPr>
        <w:t>Արտաքին առևտրի վիճակագրությունը ըստ բեռնամաքսային հայտարարագրերի (ներմուծում՝ ՍԻՖ գներով)</w:t>
      </w:r>
      <w:r w:rsidRPr="00490027">
        <w:rPr>
          <w:lang w:val="sk-SK"/>
        </w:rPr>
        <w:t>:</w:t>
      </w:r>
    </w:p>
  </w:footnote>
  <w:footnote w:id="21">
    <w:p w:rsidR="00A04ABD" w:rsidRPr="007B561C" w:rsidRDefault="00A04ABD" w:rsidP="00961B35">
      <w:pPr>
        <w:pStyle w:val="FootnoteText"/>
        <w:rPr>
          <w:lang w:val="sk-SK"/>
        </w:rPr>
      </w:pPr>
      <w:r w:rsidRPr="000757F6">
        <w:rPr>
          <w:rStyle w:val="FootnoteReference"/>
        </w:rPr>
        <w:footnoteRef/>
      </w:r>
      <w:r w:rsidRPr="001F03FA">
        <w:rPr>
          <w:lang w:val="sk-SK"/>
        </w:rPr>
        <w:t xml:space="preserve"> </w:t>
      </w:r>
      <w:r>
        <w:t>Ապրանքների</w:t>
      </w:r>
      <w:r w:rsidRPr="00CD0C0E">
        <w:rPr>
          <w:lang w:val="sk-SK"/>
        </w:rPr>
        <w:t xml:space="preserve"> </w:t>
      </w:r>
      <w:r>
        <w:t>լայն</w:t>
      </w:r>
      <w:r w:rsidRPr="00CD0C0E">
        <w:rPr>
          <w:lang w:val="sk-SK"/>
        </w:rPr>
        <w:t xml:space="preserve"> </w:t>
      </w:r>
      <w:r>
        <w:t>տնտեսական</w:t>
      </w:r>
      <w:r w:rsidRPr="00CD0C0E">
        <w:rPr>
          <w:lang w:val="sk-SK"/>
        </w:rPr>
        <w:t xml:space="preserve"> </w:t>
      </w:r>
      <w:r>
        <w:t>դասակարգմամբ</w:t>
      </w:r>
      <w:r w:rsidRPr="00CD0C0E">
        <w:rPr>
          <w:lang w:val="sk-SK"/>
        </w:rPr>
        <w:t xml:space="preserve"> (BEC)</w:t>
      </w:r>
      <w:r>
        <w:rPr>
          <w:lang w:val="sk-SK"/>
        </w:rPr>
        <w:t xml:space="preserve"> խմբավորումները`</w:t>
      </w:r>
      <w:r w:rsidRPr="001F03FA">
        <w:rPr>
          <w:lang w:val="sk-SK"/>
        </w:rPr>
        <w:t xml:space="preserve"> </w:t>
      </w:r>
      <w:r>
        <w:t>ՀՀ</w:t>
      </w:r>
      <w:r w:rsidRPr="00CD0C0E">
        <w:rPr>
          <w:lang w:val="sk-SK"/>
        </w:rPr>
        <w:t xml:space="preserve"> </w:t>
      </w:r>
      <w:r>
        <w:t>ֆինանսների</w:t>
      </w:r>
      <w:r w:rsidRPr="00CD0C0E">
        <w:rPr>
          <w:lang w:val="sk-SK"/>
        </w:rPr>
        <w:t xml:space="preserve"> </w:t>
      </w:r>
      <w:r>
        <w:t>նախարարության</w:t>
      </w:r>
      <w:r w:rsidRPr="00CD0C0E">
        <w:rPr>
          <w:lang w:val="sk-SK"/>
        </w:rPr>
        <w:t xml:space="preserve"> </w:t>
      </w:r>
      <w:r>
        <w:t>գնահատականներն</w:t>
      </w:r>
      <w:r w:rsidRPr="00CD0C0E">
        <w:rPr>
          <w:lang w:val="sk-SK"/>
        </w:rPr>
        <w:t xml:space="preserve"> </w:t>
      </w:r>
      <w:r>
        <w:t>են</w:t>
      </w:r>
      <w:r w:rsidRPr="007B561C">
        <w:rPr>
          <w:lang w:val="sk-SK"/>
        </w:rPr>
        <w:t>:</w:t>
      </w:r>
    </w:p>
  </w:footnote>
  <w:footnote w:id="22">
    <w:p w:rsidR="00A04ABD" w:rsidRPr="007D121E" w:rsidRDefault="00A04ABD" w:rsidP="00961B35">
      <w:pPr>
        <w:pStyle w:val="FootnoteText"/>
        <w:rPr>
          <w:lang w:val="hy-AM"/>
        </w:rPr>
      </w:pPr>
      <w:r>
        <w:rPr>
          <w:rStyle w:val="FootnoteReference"/>
        </w:rPr>
        <w:footnoteRef/>
      </w:r>
      <w:r w:rsidRPr="007D121E">
        <w:rPr>
          <w:lang w:val="sk-SK"/>
        </w:rPr>
        <w:t xml:space="preserve"> </w:t>
      </w:r>
      <w:r w:rsidRPr="007D121E">
        <w:rPr>
          <w:i/>
          <w:lang w:val="sk-SK"/>
        </w:rPr>
        <w:t>ԱՄՀ հուլիսի կանխատեումներ</w:t>
      </w:r>
      <w:r w:rsidRPr="007D121E">
        <w:rPr>
          <w:i/>
          <w:lang w:val="hy-AM"/>
        </w:rPr>
        <w:t>։</w:t>
      </w:r>
    </w:p>
  </w:footnote>
  <w:footnote w:id="23">
    <w:p w:rsidR="00A04ABD" w:rsidRPr="007D121E" w:rsidRDefault="00A04ABD" w:rsidP="00961B35">
      <w:pPr>
        <w:pStyle w:val="FootnoteText"/>
        <w:rPr>
          <w:lang w:val="hy-AM"/>
        </w:rPr>
      </w:pPr>
      <w:r>
        <w:rPr>
          <w:rStyle w:val="FootnoteReference"/>
        </w:rPr>
        <w:footnoteRef/>
      </w:r>
      <w:r w:rsidRPr="007D121E">
        <w:rPr>
          <w:lang w:val="sk-SK"/>
        </w:rPr>
        <w:t xml:space="preserve"> </w:t>
      </w:r>
      <w:r w:rsidRPr="007D121E">
        <w:rPr>
          <w:i/>
          <w:lang w:val="sk-SK"/>
        </w:rPr>
        <w:t>Համաշխարհային բանկի ապրիլյան կանխատեումներ</w:t>
      </w:r>
      <w:r w:rsidRPr="007D121E">
        <w:rPr>
          <w:i/>
          <w:lang w:val="hy-AM"/>
        </w:rPr>
        <w:t>։</w:t>
      </w:r>
    </w:p>
  </w:footnote>
  <w:footnote w:id="24">
    <w:p w:rsidR="00A04ABD" w:rsidRPr="00517ABA" w:rsidRDefault="00A04ABD" w:rsidP="00961B35">
      <w:pPr>
        <w:pStyle w:val="FootnoteText"/>
        <w:rPr>
          <w:i/>
          <w:lang w:val="sk-SK"/>
        </w:rPr>
      </w:pPr>
      <w:r w:rsidRPr="00733ACC">
        <w:rPr>
          <w:rStyle w:val="FootnoteReference"/>
          <w:iCs w:val="0"/>
        </w:rPr>
        <w:footnoteRef/>
      </w:r>
      <w:r w:rsidRPr="00517ABA">
        <w:rPr>
          <w:i/>
          <w:lang w:val="hy-AM"/>
        </w:rPr>
        <w:t>Արդյունավետ</w:t>
      </w:r>
      <w:r w:rsidRPr="00517ABA">
        <w:rPr>
          <w:i/>
          <w:lang w:val="sk-SK"/>
        </w:rPr>
        <w:t xml:space="preserve"> </w:t>
      </w:r>
      <w:r w:rsidRPr="00517ABA">
        <w:rPr>
          <w:i/>
          <w:lang w:val="hy-AM"/>
        </w:rPr>
        <w:t>փոխարժեքը</w:t>
      </w:r>
      <w:r w:rsidRPr="00517ABA">
        <w:rPr>
          <w:i/>
          <w:lang w:val="sk-SK"/>
        </w:rPr>
        <w:t xml:space="preserve"> </w:t>
      </w:r>
      <w:r w:rsidRPr="00517ABA">
        <w:rPr>
          <w:i/>
          <w:lang w:val="hy-AM"/>
        </w:rPr>
        <w:t>ցույց</w:t>
      </w:r>
      <w:r w:rsidRPr="00517ABA">
        <w:rPr>
          <w:i/>
          <w:lang w:val="sk-SK"/>
        </w:rPr>
        <w:t xml:space="preserve"> </w:t>
      </w:r>
      <w:r w:rsidRPr="00517ABA">
        <w:rPr>
          <w:i/>
          <w:lang w:val="hy-AM"/>
        </w:rPr>
        <w:t>է</w:t>
      </w:r>
      <w:r w:rsidRPr="00517ABA">
        <w:rPr>
          <w:i/>
          <w:lang w:val="sk-SK"/>
        </w:rPr>
        <w:t xml:space="preserve"> </w:t>
      </w:r>
      <w:r w:rsidRPr="00517ABA">
        <w:rPr>
          <w:i/>
          <w:lang w:val="hy-AM"/>
        </w:rPr>
        <w:t>տալիս</w:t>
      </w:r>
      <w:r w:rsidRPr="00517ABA">
        <w:rPr>
          <w:i/>
          <w:lang w:val="sk-SK"/>
        </w:rPr>
        <w:t xml:space="preserve"> </w:t>
      </w:r>
      <w:r w:rsidRPr="00517ABA">
        <w:rPr>
          <w:i/>
          <w:lang w:val="hy-AM"/>
        </w:rPr>
        <w:t>ազգային</w:t>
      </w:r>
      <w:r w:rsidRPr="00517ABA">
        <w:rPr>
          <w:i/>
          <w:lang w:val="sk-SK"/>
        </w:rPr>
        <w:t xml:space="preserve"> </w:t>
      </w:r>
      <w:r w:rsidRPr="00517ABA">
        <w:rPr>
          <w:i/>
          <w:lang w:val="hy-AM"/>
        </w:rPr>
        <w:t>արժույթի</w:t>
      </w:r>
      <w:r w:rsidRPr="00517ABA">
        <w:rPr>
          <w:i/>
          <w:lang w:val="sk-SK"/>
        </w:rPr>
        <w:t xml:space="preserve"> </w:t>
      </w:r>
      <w:r w:rsidRPr="00517ABA">
        <w:rPr>
          <w:i/>
          <w:lang w:val="hy-AM"/>
        </w:rPr>
        <w:t>փոխարժեքի</w:t>
      </w:r>
      <w:r w:rsidRPr="00517ABA">
        <w:rPr>
          <w:i/>
          <w:lang w:val="sk-SK"/>
        </w:rPr>
        <w:t xml:space="preserve"> </w:t>
      </w:r>
      <w:r w:rsidRPr="00517ABA">
        <w:rPr>
          <w:i/>
          <w:lang w:val="hy-AM"/>
        </w:rPr>
        <w:t>միջինացված</w:t>
      </w:r>
      <w:r w:rsidRPr="00517ABA">
        <w:rPr>
          <w:i/>
          <w:lang w:val="sk-SK"/>
        </w:rPr>
        <w:t xml:space="preserve"> </w:t>
      </w:r>
      <w:r w:rsidRPr="00517ABA">
        <w:rPr>
          <w:i/>
          <w:lang w:val="hy-AM"/>
        </w:rPr>
        <w:t>շարժընթացը</w:t>
      </w:r>
      <w:r w:rsidRPr="00517ABA">
        <w:rPr>
          <w:i/>
          <w:lang w:val="sk-SK"/>
        </w:rPr>
        <w:t xml:space="preserve"> </w:t>
      </w:r>
      <w:r w:rsidRPr="00517ABA">
        <w:rPr>
          <w:i/>
          <w:lang w:val="hy-AM"/>
        </w:rPr>
        <w:t>ոչ</w:t>
      </w:r>
      <w:r w:rsidRPr="00517ABA">
        <w:rPr>
          <w:i/>
          <w:lang w:val="sk-SK"/>
        </w:rPr>
        <w:t xml:space="preserve"> </w:t>
      </w:r>
      <w:r w:rsidRPr="00517ABA">
        <w:rPr>
          <w:i/>
          <w:lang w:val="hy-AM"/>
        </w:rPr>
        <w:t>թե</w:t>
      </w:r>
      <w:r w:rsidRPr="00517ABA">
        <w:rPr>
          <w:i/>
          <w:lang w:val="sk-SK"/>
        </w:rPr>
        <w:t xml:space="preserve"> </w:t>
      </w:r>
      <w:r w:rsidRPr="00517ABA">
        <w:rPr>
          <w:i/>
          <w:lang w:val="hy-AM"/>
        </w:rPr>
        <w:t>մեկ</w:t>
      </w:r>
      <w:r w:rsidRPr="00517ABA">
        <w:rPr>
          <w:i/>
          <w:lang w:val="sk-SK"/>
        </w:rPr>
        <w:t xml:space="preserve">, </w:t>
      </w:r>
      <w:r w:rsidRPr="00517ABA">
        <w:rPr>
          <w:i/>
          <w:lang w:val="hy-AM"/>
        </w:rPr>
        <w:t>այլ</w:t>
      </w:r>
      <w:r w:rsidRPr="00517ABA">
        <w:rPr>
          <w:i/>
          <w:lang w:val="sk-SK"/>
        </w:rPr>
        <w:t xml:space="preserve"> </w:t>
      </w:r>
      <w:r w:rsidRPr="00517ABA">
        <w:rPr>
          <w:i/>
          <w:lang w:val="hy-AM"/>
        </w:rPr>
        <w:t>մի</w:t>
      </w:r>
      <w:r w:rsidRPr="00517ABA">
        <w:rPr>
          <w:i/>
          <w:lang w:val="sk-SK"/>
        </w:rPr>
        <w:t xml:space="preserve"> </w:t>
      </w:r>
      <w:r w:rsidRPr="00517ABA">
        <w:rPr>
          <w:i/>
          <w:lang w:val="hy-AM"/>
        </w:rPr>
        <w:t>քանի</w:t>
      </w:r>
      <w:r w:rsidRPr="00517ABA">
        <w:rPr>
          <w:i/>
          <w:lang w:val="sk-SK"/>
        </w:rPr>
        <w:t xml:space="preserve">, </w:t>
      </w:r>
      <w:r w:rsidRPr="00517ABA">
        <w:rPr>
          <w:i/>
          <w:lang w:val="hy-AM"/>
        </w:rPr>
        <w:t>հանրապետության</w:t>
      </w:r>
      <w:r w:rsidRPr="00517ABA">
        <w:rPr>
          <w:i/>
          <w:lang w:val="sk-SK"/>
        </w:rPr>
        <w:t xml:space="preserve"> </w:t>
      </w:r>
      <w:r w:rsidRPr="00517ABA">
        <w:rPr>
          <w:i/>
          <w:lang w:val="hy-AM"/>
        </w:rPr>
        <w:t>համար</w:t>
      </w:r>
      <w:r w:rsidRPr="00517ABA">
        <w:rPr>
          <w:i/>
          <w:lang w:val="sk-SK"/>
        </w:rPr>
        <w:t xml:space="preserve"> </w:t>
      </w:r>
      <w:r w:rsidRPr="00517ABA">
        <w:rPr>
          <w:i/>
          <w:lang w:val="hy-AM"/>
        </w:rPr>
        <w:t>առավել</w:t>
      </w:r>
      <w:r w:rsidRPr="00517ABA">
        <w:rPr>
          <w:i/>
          <w:lang w:val="sk-SK"/>
        </w:rPr>
        <w:t xml:space="preserve"> </w:t>
      </w:r>
      <w:r w:rsidRPr="00517ABA">
        <w:rPr>
          <w:i/>
          <w:lang w:val="hy-AM"/>
        </w:rPr>
        <w:t>կարևոր</w:t>
      </w:r>
      <w:r w:rsidRPr="00517ABA">
        <w:rPr>
          <w:i/>
          <w:lang w:val="sk-SK"/>
        </w:rPr>
        <w:t xml:space="preserve"> </w:t>
      </w:r>
      <w:r w:rsidRPr="00517ABA">
        <w:rPr>
          <w:i/>
          <w:lang w:val="hy-AM"/>
        </w:rPr>
        <w:t>արժույթներից</w:t>
      </w:r>
      <w:r w:rsidRPr="00517ABA">
        <w:rPr>
          <w:i/>
          <w:lang w:val="sk-SK"/>
        </w:rPr>
        <w:t xml:space="preserve"> </w:t>
      </w:r>
      <w:r w:rsidRPr="00517ABA">
        <w:rPr>
          <w:i/>
          <w:lang w:val="hy-AM"/>
        </w:rPr>
        <w:t>բաղկացած</w:t>
      </w:r>
      <w:r w:rsidRPr="00517ABA">
        <w:rPr>
          <w:i/>
          <w:lang w:val="sk-SK"/>
        </w:rPr>
        <w:t xml:space="preserve"> “</w:t>
      </w:r>
      <w:r w:rsidRPr="00517ABA">
        <w:rPr>
          <w:i/>
          <w:lang w:val="hy-AM"/>
        </w:rPr>
        <w:t>զամբյուղի</w:t>
      </w:r>
      <w:r w:rsidRPr="00517ABA">
        <w:rPr>
          <w:i/>
          <w:lang w:val="sk-SK"/>
        </w:rPr>
        <w:t xml:space="preserve">” </w:t>
      </w:r>
      <w:r w:rsidRPr="00517ABA">
        <w:rPr>
          <w:i/>
          <w:lang w:val="hy-AM"/>
        </w:rPr>
        <w:t>նկատմամբ</w:t>
      </w:r>
      <w:r w:rsidRPr="00517ABA">
        <w:rPr>
          <w:i/>
          <w:lang w:val="sk-SK"/>
        </w:rPr>
        <w:t xml:space="preserve">: </w:t>
      </w:r>
      <w:r w:rsidRPr="00517ABA">
        <w:rPr>
          <w:i/>
          <w:lang w:val="hy-AM"/>
        </w:rPr>
        <w:t>Ընդ</w:t>
      </w:r>
      <w:r w:rsidRPr="00517ABA">
        <w:rPr>
          <w:i/>
          <w:lang w:val="sk-SK"/>
        </w:rPr>
        <w:t xml:space="preserve"> </w:t>
      </w:r>
      <w:r w:rsidRPr="00517ABA">
        <w:rPr>
          <w:i/>
          <w:lang w:val="hy-AM"/>
        </w:rPr>
        <w:t>որում</w:t>
      </w:r>
      <w:r w:rsidRPr="00517ABA">
        <w:rPr>
          <w:i/>
          <w:lang w:val="sk-SK"/>
        </w:rPr>
        <w:t xml:space="preserve">, </w:t>
      </w:r>
      <w:r w:rsidRPr="00517ABA">
        <w:rPr>
          <w:i/>
          <w:lang w:val="hy-AM"/>
        </w:rPr>
        <w:t>հաշվարկներում</w:t>
      </w:r>
      <w:r w:rsidRPr="00517ABA">
        <w:rPr>
          <w:i/>
          <w:lang w:val="sk-SK"/>
        </w:rPr>
        <w:t xml:space="preserve"> </w:t>
      </w:r>
      <w:r w:rsidRPr="00517ABA">
        <w:rPr>
          <w:i/>
          <w:lang w:val="hy-AM"/>
        </w:rPr>
        <w:t>զամբյուղը</w:t>
      </w:r>
      <w:r w:rsidRPr="00517ABA">
        <w:rPr>
          <w:i/>
          <w:lang w:val="sk-SK"/>
        </w:rPr>
        <w:t xml:space="preserve"> </w:t>
      </w:r>
      <w:r w:rsidRPr="00517ABA">
        <w:rPr>
          <w:i/>
          <w:lang w:val="hy-AM"/>
        </w:rPr>
        <w:t>կազմող</w:t>
      </w:r>
      <w:r w:rsidRPr="00517ABA">
        <w:rPr>
          <w:i/>
          <w:lang w:val="sk-SK"/>
        </w:rPr>
        <w:t xml:space="preserve"> </w:t>
      </w:r>
      <w:r w:rsidRPr="00517ABA">
        <w:rPr>
          <w:i/>
          <w:lang w:val="hy-AM"/>
        </w:rPr>
        <w:t>արժույթները</w:t>
      </w:r>
      <w:r w:rsidRPr="00517ABA">
        <w:rPr>
          <w:i/>
          <w:lang w:val="sk-SK"/>
        </w:rPr>
        <w:t xml:space="preserve"> </w:t>
      </w:r>
      <w:r w:rsidRPr="00517ABA">
        <w:rPr>
          <w:i/>
          <w:lang w:val="hy-AM"/>
        </w:rPr>
        <w:t>նախ</w:t>
      </w:r>
      <w:r w:rsidRPr="00517ABA">
        <w:rPr>
          <w:i/>
          <w:lang w:val="sk-SK"/>
        </w:rPr>
        <w:t xml:space="preserve"> </w:t>
      </w:r>
      <w:r w:rsidRPr="00517ABA">
        <w:rPr>
          <w:i/>
          <w:lang w:val="hy-AM"/>
        </w:rPr>
        <w:t>բերվում</w:t>
      </w:r>
      <w:r w:rsidRPr="00517ABA">
        <w:rPr>
          <w:i/>
          <w:lang w:val="sk-SK"/>
        </w:rPr>
        <w:t xml:space="preserve"> </w:t>
      </w:r>
      <w:r w:rsidRPr="00517ABA">
        <w:rPr>
          <w:i/>
          <w:lang w:val="hy-AM"/>
        </w:rPr>
        <w:t>են</w:t>
      </w:r>
      <w:r w:rsidRPr="00517ABA">
        <w:rPr>
          <w:i/>
          <w:lang w:val="sk-SK"/>
        </w:rPr>
        <w:t xml:space="preserve"> </w:t>
      </w:r>
      <w:r w:rsidRPr="00517ABA">
        <w:rPr>
          <w:i/>
          <w:lang w:val="hy-AM"/>
        </w:rPr>
        <w:t>դոլարային</w:t>
      </w:r>
      <w:r w:rsidRPr="00517ABA">
        <w:rPr>
          <w:i/>
          <w:lang w:val="sk-SK"/>
        </w:rPr>
        <w:t xml:space="preserve"> </w:t>
      </w:r>
      <w:r w:rsidRPr="00517ABA">
        <w:rPr>
          <w:i/>
          <w:lang w:val="hy-AM"/>
        </w:rPr>
        <w:t>արտահայտության</w:t>
      </w:r>
      <w:r w:rsidRPr="00517ABA">
        <w:rPr>
          <w:i/>
          <w:lang w:val="sk-SK"/>
        </w:rPr>
        <w:t xml:space="preserve">, </w:t>
      </w:r>
      <w:r w:rsidRPr="00517ABA">
        <w:rPr>
          <w:i/>
          <w:lang w:val="hy-AM"/>
        </w:rPr>
        <w:t>որից</w:t>
      </w:r>
      <w:r w:rsidRPr="00517ABA">
        <w:rPr>
          <w:i/>
          <w:lang w:val="sk-SK"/>
        </w:rPr>
        <w:t xml:space="preserve"> </w:t>
      </w:r>
      <w:r w:rsidRPr="00517ABA">
        <w:rPr>
          <w:i/>
          <w:lang w:val="hy-AM"/>
        </w:rPr>
        <w:t>հետո</w:t>
      </w:r>
      <w:r w:rsidRPr="00517ABA">
        <w:rPr>
          <w:i/>
          <w:lang w:val="sk-SK"/>
        </w:rPr>
        <w:t xml:space="preserve"> </w:t>
      </w:r>
      <w:r w:rsidRPr="00517ABA">
        <w:rPr>
          <w:i/>
          <w:lang w:val="hy-AM"/>
        </w:rPr>
        <w:t>ճշգրտվում</w:t>
      </w:r>
      <w:r w:rsidRPr="00517ABA">
        <w:rPr>
          <w:i/>
          <w:lang w:val="sk-SK"/>
        </w:rPr>
        <w:t xml:space="preserve"> </w:t>
      </w:r>
      <w:r w:rsidRPr="00517ABA">
        <w:rPr>
          <w:i/>
          <w:lang w:val="hy-AM"/>
        </w:rPr>
        <w:t>են</w:t>
      </w:r>
      <w:r w:rsidRPr="00517ABA">
        <w:rPr>
          <w:i/>
          <w:lang w:val="sk-SK"/>
        </w:rPr>
        <w:t xml:space="preserve"> </w:t>
      </w:r>
      <w:r w:rsidRPr="00517ABA">
        <w:rPr>
          <w:i/>
          <w:lang w:val="hy-AM"/>
        </w:rPr>
        <w:t>ԱՄՆ</w:t>
      </w:r>
      <w:r w:rsidRPr="00517ABA">
        <w:rPr>
          <w:i/>
          <w:lang w:val="sk-SK"/>
        </w:rPr>
        <w:t xml:space="preserve"> </w:t>
      </w:r>
      <w:r w:rsidRPr="00517ABA">
        <w:rPr>
          <w:i/>
          <w:lang w:val="hy-AM"/>
        </w:rPr>
        <w:t>դոլար</w:t>
      </w:r>
      <w:r w:rsidRPr="00517ABA">
        <w:rPr>
          <w:i/>
          <w:lang w:val="sk-SK"/>
        </w:rPr>
        <w:t>/</w:t>
      </w:r>
      <w:r w:rsidRPr="00517ABA">
        <w:rPr>
          <w:i/>
          <w:lang w:val="hy-AM"/>
        </w:rPr>
        <w:t>ՀՀ</w:t>
      </w:r>
      <w:r w:rsidRPr="00517ABA">
        <w:rPr>
          <w:i/>
          <w:lang w:val="sk-SK"/>
        </w:rPr>
        <w:t xml:space="preserve"> </w:t>
      </w:r>
      <w:r w:rsidRPr="00517ABA">
        <w:rPr>
          <w:i/>
          <w:lang w:val="hy-AM"/>
        </w:rPr>
        <w:t>դրամ</w:t>
      </w:r>
      <w:r w:rsidRPr="00517ABA">
        <w:rPr>
          <w:i/>
          <w:lang w:val="sk-SK"/>
        </w:rPr>
        <w:t xml:space="preserve"> </w:t>
      </w:r>
      <w:r w:rsidRPr="00517ABA">
        <w:rPr>
          <w:i/>
          <w:lang w:val="hy-AM"/>
        </w:rPr>
        <w:t>փոխարժեքով</w:t>
      </w:r>
      <w:r w:rsidRPr="00517ABA">
        <w:rPr>
          <w:i/>
          <w:lang w:val="sk-SK"/>
        </w:rPr>
        <w:t xml:space="preserve">, </w:t>
      </w:r>
      <w:r w:rsidRPr="00517ABA">
        <w:rPr>
          <w:i/>
          <w:lang w:val="hy-AM"/>
        </w:rPr>
        <w:t>այսինքն</w:t>
      </w:r>
      <w:r w:rsidRPr="00517ABA">
        <w:rPr>
          <w:i/>
          <w:lang w:val="sk-SK"/>
        </w:rPr>
        <w:t xml:space="preserve">` </w:t>
      </w:r>
      <w:r w:rsidRPr="00517ABA">
        <w:rPr>
          <w:i/>
          <w:lang w:val="hy-AM"/>
        </w:rPr>
        <w:t>հաշվարկվում</w:t>
      </w:r>
      <w:r w:rsidRPr="00517ABA">
        <w:rPr>
          <w:i/>
          <w:lang w:val="sk-SK"/>
        </w:rPr>
        <w:t xml:space="preserve"> </w:t>
      </w:r>
      <w:r w:rsidRPr="00517ABA">
        <w:rPr>
          <w:i/>
          <w:lang w:val="hy-AM"/>
        </w:rPr>
        <w:t>է</w:t>
      </w:r>
      <w:r w:rsidRPr="00517ABA">
        <w:rPr>
          <w:i/>
          <w:lang w:val="sk-SK"/>
        </w:rPr>
        <w:t xml:space="preserve"> </w:t>
      </w:r>
      <w:r w:rsidRPr="00517ABA">
        <w:rPr>
          <w:i/>
          <w:lang w:val="hy-AM"/>
        </w:rPr>
        <w:t>դրամի</w:t>
      </w:r>
      <w:r w:rsidRPr="00517ABA">
        <w:rPr>
          <w:i/>
          <w:lang w:val="sk-SK"/>
        </w:rPr>
        <w:t xml:space="preserve"> </w:t>
      </w:r>
      <w:r w:rsidRPr="00517ABA">
        <w:rPr>
          <w:i/>
          <w:lang w:val="hy-AM"/>
        </w:rPr>
        <w:t>կրոս</w:t>
      </w:r>
      <w:r w:rsidRPr="00517ABA">
        <w:rPr>
          <w:i/>
          <w:lang w:val="sk-SK"/>
        </w:rPr>
        <w:t xml:space="preserve"> </w:t>
      </w:r>
      <w:r w:rsidRPr="00517ABA">
        <w:rPr>
          <w:i/>
          <w:lang w:val="hy-AM"/>
        </w:rPr>
        <w:t>կուրսը</w:t>
      </w:r>
      <w:r w:rsidRPr="00517ABA">
        <w:rPr>
          <w:i/>
          <w:lang w:val="sk-SK"/>
        </w:rPr>
        <w:t xml:space="preserve">` </w:t>
      </w:r>
      <w:r w:rsidRPr="00517ABA">
        <w:rPr>
          <w:i/>
          <w:lang w:val="hy-AM"/>
        </w:rPr>
        <w:t>յուրաքանչյուր</w:t>
      </w:r>
      <w:r w:rsidRPr="00517ABA">
        <w:rPr>
          <w:i/>
          <w:lang w:val="sk-SK"/>
        </w:rPr>
        <w:t xml:space="preserve"> </w:t>
      </w:r>
      <w:r w:rsidRPr="00517ABA">
        <w:rPr>
          <w:i/>
          <w:lang w:val="hy-AM"/>
        </w:rPr>
        <w:t>տարադրամի</w:t>
      </w:r>
      <w:r w:rsidRPr="00517ABA">
        <w:rPr>
          <w:i/>
          <w:lang w:val="sk-SK"/>
        </w:rPr>
        <w:t xml:space="preserve"> 1 </w:t>
      </w:r>
      <w:r w:rsidRPr="00517ABA">
        <w:rPr>
          <w:i/>
          <w:lang w:val="hy-AM"/>
        </w:rPr>
        <w:t>միավորի</w:t>
      </w:r>
      <w:r w:rsidRPr="00517ABA">
        <w:rPr>
          <w:i/>
          <w:lang w:val="sk-SK"/>
        </w:rPr>
        <w:t xml:space="preserve"> </w:t>
      </w:r>
      <w:r w:rsidRPr="00517ABA">
        <w:rPr>
          <w:i/>
          <w:lang w:val="hy-AM"/>
        </w:rPr>
        <w:t>դիմաց</w:t>
      </w:r>
      <w:r w:rsidRPr="00517ABA">
        <w:rPr>
          <w:i/>
          <w:lang w:val="sk-SK"/>
        </w:rPr>
        <w:t xml:space="preserve"> (</w:t>
      </w:r>
      <w:r w:rsidRPr="00517ABA">
        <w:rPr>
          <w:i/>
          <w:lang w:val="hy-AM"/>
        </w:rPr>
        <w:t>դրամի</w:t>
      </w:r>
      <w:r w:rsidRPr="00517ABA">
        <w:rPr>
          <w:i/>
          <w:lang w:val="sk-SK"/>
        </w:rPr>
        <w:t xml:space="preserve"> </w:t>
      </w:r>
      <w:r w:rsidRPr="00517ABA">
        <w:rPr>
          <w:i/>
          <w:lang w:val="hy-AM"/>
        </w:rPr>
        <w:t>անուղղակի</w:t>
      </w:r>
      <w:r w:rsidRPr="00517ABA">
        <w:rPr>
          <w:i/>
          <w:lang w:val="sk-SK"/>
        </w:rPr>
        <w:t xml:space="preserve"> </w:t>
      </w:r>
      <w:r w:rsidRPr="00517ABA">
        <w:rPr>
          <w:i/>
          <w:lang w:val="hy-AM"/>
        </w:rPr>
        <w:t>գնանշում</w:t>
      </w:r>
      <w:r w:rsidRPr="00517ABA">
        <w:rPr>
          <w:i/>
          <w:lang w:val="sk-SK"/>
        </w:rPr>
        <w:t xml:space="preserve">): </w:t>
      </w:r>
      <w:r w:rsidRPr="00517ABA">
        <w:rPr>
          <w:i/>
          <w:lang w:val="hy-AM"/>
        </w:rPr>
        <w:t>Հաշվարկներում</w:t>
      </w:r>
      <w:r w:rsidRPr="00517ABA">
        <w:rPr>
          <w:i/>
          <w:lang w:val="sk-SK"/>
        </w:rPr>
        <w:t xml:space="preserve"> </w:t>
      </w:r>
      <w:r w:rsidRPr="00517ABA">
        <w:rPr>
          <w:i/>
          <w:lang w:val="hy-AM"/>
        </w:rPr>
        <w:t>օգտագործվել</w:t>
      </w:r>
      <w:r w:rsidRPr="00517ABA">
        <w:rPr>
          <w:i/>
          <w:lang w:val="sk-SK"/>
        </w:rPr>
        <w:t xml:space="preserve"> </w:t>
      </w:r>
      <w:r w:rsidRPr="00517ABA">
        <w:rPr>
          <w:i/>
          <w:lang w:val="hy-AM"/>
        </w:rPr>
        <w:t>են</w:t>
      </w:r>
      <w:r w:rsidRPr="00517ABA">
        <w:rPr>
          <w:i/>
          <w:lang w:val="sk-SK"/>
        </w:rPr>
        <w:t xml:space="preserve"> </w:t>
      </w:r>
      <w:r w:rsidRPr="00517ABA">
        <w:rPr>
          <w:i/>
          <w:lang w:val="hy-AM"/>
        </w:rPr>
        <w:t>ՀՀ</w:t>
      </w:r>
      <w:r w:rsidRPr="00517ABA">
        <w:rPr>
          <w:i/>
          <w:lang w:val="sk-SK"/>
        </w:rPr>
        <w:t xml:space="preserve"> </w:t>
      </w:r>
      <w:r w:rsidRPr="00517ABA">
        <w:rPr>
          <w:i/>
          <w:lang w:val="hy-AM"/>
        </w:rPr>
        <w:t>կենտրոնական</w:t>
      </w:r>
      <w:r w:rsidRPr="00517ABA">
        <w:rPr>
          <w:i/>
          <w:lang w:val="sk-SK"/>
        </w:rPr>
        <w:t xml:space="preserve"> </w:t>
      </w:r>
      <w:r w:rsidRPr="00517ABA">
        <w:rPr>
          <w:i/>
          <w:lang w:val="hy-AM"/>
        </w:rPr>
        <w:t>բանկի</w:t>
      </w:r>
      <w:r w:rsidRPr="00517ABA">
        <w:rPr>
          <w:i/>
          <w:lang w:val="sk-SK"/>
        </w:rPr>
        <w:t xml:space="preserve"> </w:t>
      </w:r>
      <w:r w:rsidRPr="00517ABA">
        <w:rPr>
          <w:i/>
          <w:lang w:val="hy-AM"/>
        </w:rPr>
        <w:t>պաշտոնական</w:t>
      </w:r>
      <w:r w:rsidRPr="00517ABA">
        <w:rPr>
          <w:i/>
          <w:lang w:val="sk-SK"/>
        </w:rPr>
        <w:t xml:space="preserve"> </w:t>
      </w:r>
      <w:r w:rsidRPr="00517ABA">
        <w:rPr>
          <w:i/>
          <w:lang w:val="hy-AM"/>
        </w:rPr>
        <w:t>կայքի</w:t>
      </w:r>
      <w:r w:rsidRPr="00517ABA">
        <w:rPr>
          <w:i/>
          <w:lang w:val="sk-SK"/>
        </w:rPr>
        <w:t xml:space="preserve"> 2019</w:t>
      </w:r>
      <w:r w:rsidRPr="00517ABA">
        <w:rPr>
          <w:i/>
          <w:lang w:val="hy-AM"/>
        </w:rPr>
        <w:t>թ</w:t>
      </w:r>
      <w:r w:rsidRPr="00517ABA">
        <w:rPr>
          <w:i/>
          <w:lang w:val="sk-SK"/>
        </w:rPr>
        <w:t xml:space="preserve">. </w:t>
      </w:r>
      <w:r w:rsidRPr="00517ABA">
        <w:rPr>
          <w:i/>
          <w:lang w:val="hy-AM"/>
        </w:rPr>
        <w:t>սեպտեմբերի</w:t>
      </w:r>
      <w:r w:rsidRPr="00517ABA">
        <w:rPr>
          <w:i/>
          <w:lang w:val="sk-SK"/>
        </w:rPr>
        <w:t xml:space="preserve"> 18-</w:t>
      </w:r>
      <w:r w:rsidRPr="00517ABA">
        <w:rPr>
          <w:i/>
          <w:lang w:val="hy-AM"/>
        </w:rPr>
        <w:t>ի</w:t>
      </w:r>
      <w:r w:rsidRPr="00517ABA">
        <w:rPr>
          <w:i/>
          <w:lang w:val="sk-SK"/>
        </w:rPr>
        <w:t xml:space="preserve"> </w:t>
      </w:r>
      <w:r w:rsidRPr="00517ABA">
        <w:rPr>
          <w:i/>
          <w:lang w:val="hy-AM"/>
        </w:rPr>
        <w:t>դրությամբ</w:t>
      </w:r>
      <w:r w:rsidRPr="00517ABA">
        <w:rPr>
          <w:i/>
          <w:lang w:val="sk-SK"/>
        </w:rPr>
        <w:t xml:space="preserve"> </w:t>
      </w:r>
      <w:r w:rsidRPr="00517ABA">
        <w:rPr>
          <w:i/>
          <w:lang w:val="hy-AM"/>
        </w:rPr>
        <w:t>տվյալները</w:t>
      </w:r>
      <w:r w:rsidRPr="00517ABA">
        <w:rPr>
          <w:i/>
          <w:lang w:val="sk-SK"/>
        </w:rPr>
        <w:t>:</w:t>
      </w:r>
    </w:p>
  </w:footnote>
  <w:footnote w:id="25">
    <w:p w:rsidR="00A04ABD" w:rsidRPr="00517ABA" w:rsidRDefault="00A04ABD" w:rsidP="00961B35">
      <w:pPr>
        <w:pStyle w:val="FootnoteText"/>
        <w:rPr>
          <w:i/>
          <w:lang w:val="hy-AM"/>
        </w:rPr>
      </w:pPr>
      <w:r w:rsidRPr="00517ABA">
        <w:rPr>
          <w:rStyle w:val="FootnoteReference"/>
          <w:i/>
        </w:rPr>
        <w:footnoteRef/>
      </w:r>
      <w:r w:rsidRPr="00517ABA">
        <w:rPr>
          <w:i/>
          <w:lang w:val="sk-SK"/>
        </w:rPr>
        <w:t xml:space="preserve"> </w:t>
      </w:r>
      <w:r>
        <w:rPr>
          <w:i/>
          <w:lang w:val="hy-AM"/>
        </w:rPr>
        <w:t>Վ</w:t>
      </w:r>
      <w:r w:rsidRPr="00517ABA">
        <w:rPr>
          <w:i/>
          <w:lang w:val="hy-AM"/>
        </w:rPr>
        <w:t xml:space="preserve">երոնշյալ «զամբյուղում» ընդգրկված Եվրոյի և Ռուսական ռուբլու ԱՄՆ դոլարի նկատմամբ </w:t>
      </w:r>
      <w:r w:rsidRPr="00DF6AFD">
        <w:rPr>
          <w:i/>
          <w:lang w:val="hy-AM"/>
        </w:rPr>
        <w:t>արժեզրկումներ</w:t>
      </w:r>
      <w:r>
        <w:rPr>
          <w:i/>
          <w:lang w:val="hy-AM"/>
        </w:rPr>
        <w:t>ը</w:t>
      </w:r>
      <w:r w:rsidRPr="001E7760">
        <w:rPr>
          <w:i/>
          <w:lang w:val="hy-AM"/>
        </w:rPr>
        <w:t xml:space="preserve"> </w:t>
      </w:r>
      <w:r w:rsidRPr="00517ABA">
        <w:rPr>
          <w:i/>
          <w:lang w:val="hy-AM"/>
        </w:rPr>
        <w:t xml:space="preserve">համապատասխանաբար </w:t>
      </w:r>
      <w:r>
        <w:rPr>
          <w:i/>
          <w:lang w:val="hy-AM"/>
        </w:rPr>
        <w:t xml:space="preserve">կազմել են </w:t>
      </w:r>
      <w:r w:rsidRPr="00517ABA">
        <w:rPr>
          <w:i/>
          <w:lang w:val="hy-AM"/>
        </w:rPr>
        <w:t>6.8% և 8.1%:</w:t>
      </w:r>
      <w:r w:rsidRPr="00517ABA">
        <w:rPr>
          <w:lang w:val="hy-AM"/>
        </w:rPr>
        <w:t xml:space="preserve">  </w:t>
      </w:r>
    </w:p>
  </w:footnote>
  <w:footnote w:id="26">
    <w:p w:rsidR="00A04ABD" w:rsidRPr="00775CEB" w:rsidRDefault="00A04ABD" w:rsidP="00961B35">
      <w:pPr>
        <w:pStyle w:val="FootnoteText"/>
        <w:rPr>
          <w:lang w:val="sk-SK"/>
        </w:rPr>
      </w:pPr>
      <w:r>
        <w:rPr>
          <w:rStyle w:val="FootnoteReference"/>
        </w:rPr>
        <w:footnoteRef/>
      </w:r>
      <w:r w:rsidRPr="00775CEB">
        <w:rPr>
          <w:lang w:val="sk-SK"/>
        </w:rPr>
        <w:t xml:space="preserve"> </w:t>
      </w:r>
      <w:r w:rsidRPr="00517ABA">
        <w:rPr>
          <w:lang w:val="hy-AM"/>
        </w:rPr>
        <w:t>Հարկային</w:t>
      </w:r>
      <w:r w:rsidRPr="004327A8">
        <w:rPr>
          <w:lang w:val="sk-SK"/>
        </w:rPr>
        <w:t xml:space="preserve"> </w:t>
      </w:r>
      <w:r w:rsidRPr="00517ABA">
        <w:rPr>
          <w:lang w:val="hy-AM"/>
        </w:rPr>
        <w:t>եկամուտների</w:t>
      </w:r>
      <w:r w:rsidRPr="004327A8">
        <w:rPr>
          <w:lang w:val="sk-SK"/>
        </w:rPr>
        <w:t xml:space="preserve"> </w:t>
      </w:r>
      <w:r w:rsidRPr="00517ABA">
        <w:rPr>
          <w:lang w:val="hy-AM"/>
        </w:rPr>
        <w:t>բարելավման</w:t>
      </w:r>
      <w:r w:rsidRPr="004327A8">
        <w:rPr>
          <w:lang w:val="sk-SK"/>
        </w:rPr>
        <w:t xml:space="preserve"> </w:t>
      </w:r>
      <w:r w:rsidRPr="00517ABA">
        <w:rPr>
          <w:lang w:val="hy-AM"/>
        </w:rPr>
        <w:t>միտումները</w:t>
      </w:r>
      <w:r w:rsidRPr="004327A8">
        <w:rPr>
          <w:lang w:val="sk-SK"/>
        </w:rPr>
        <w:t xml:space="preserve"> </w:t>
      </w:r>
      <w:r w:rsidRPr="00517ABA">
        <w:rPr>
          <w:lang w:val="hy-AM"/>
        </w:rPr>
        <w:t>հասկանալու</w:t>
      </w:r>
      <w:r w:rsidRPr="004327A8">
        <w:rPr>
          <w:lang w:val="sk-SK"/>
        </w:rPr>
        <w:t xml:space="preserve"> </w:t>
      </w:r>
      <w:r w:rsidRPr="00517ABA">
        <w:rPr>
          <w:lang w:val="hy-AM"/>
        </w:rPr>
        <w:t>համար</w:t>
      </w:r>
      <w:r w:rsidRPr="004327A8">
        <w:rPr>
          <w:lang w:val="sk-SK"/>
        </w:rPr>
        <w:t xml:space="preserve"> </w:t>
      </w:r>
      <w:r w:rsidRPr="00517ABA">
        <w:rPr>
          <w:lang w:val="hy-AM"/>
        </w:rPr>
        <w:t>առավել</w:t>
      </w:r>
      <w:r w:rsidRPr="004327A8">
        <w:rPr>
          <w:lang w:val="sk-SK"/>
        </w:rPr>
        <w:t xml:space="preserve"> </w:t>
      </w:r>
      <w:r w:rsidRPr="00517ABA">
        <w:rPr>
          <w:lang w:val="hy-AM"/>
        </w:rPr>
        <w:t>նպատակահարմար</w:t>
      </w:r>
      <w:r w:rsidRPr="004327A8">
        <w:rPr>
          <w:lang w:val="sk-SK"/>
        </w:rPr>
        <w:t xml:space="preserve"> </w:t>
      </w:r>
      <w:r w:rsidRPr="00517ABA">
        <w:rPr>
          <w:lang w:val="hy-AM"/>
        </w:rPr>
        <w:t>է</w:t>
      </w:r>
      <w:r w:rsidRPr="004327A8">
        <w:rPr>
          <w:lang w:val="sk-SK"/>
        </w:rPr>
        <w:t xml:space="preserve"> </w:t>
      </w:r>
      <w:r w:rsidRPr="00517ABA">
        <w:rPr>
          <w:lang w:val="hy-AM"/>
        </w:rPr>
        <w:t>քննարկել</w:t>
      </w:r>
      <w:r w:rsidRPr="004327A8">
        <w:rPr>
          <w:lang w:val="sk-SK"/>
        </w:rPr>
        <w:t xml:space="preserve"> </w:t>
      </w:r>
      <w:r w:rsidRPr="00517ABA">
        <w:rPr>
          <w:lang w:val="hy-AM"/>
        </w:rPr>
        <w:t>ճշգրտված</w:t>
      </w:r>
      <w:r w:rsidRPr="004327A8">
        <w:rPr>
          <w:lang w:val="sk-SK"/>
        </w:rPr>
        <w:t xml:space="preserve"> </w:t>
      </w:r>
      <w:r w:rsidRPr="00517ABA">
        <w:rPr>
          <w:lang w:val="hy-AM"/>
        </w:rPr>
        <w:t>հարկերի</w:t>
      </w:r>
      <w:r w:rsidRPr="004327A8">
        <w:rPr>
          <w:lang w:val="sk-SK"/>
        </w:rPr>
        <w:t xml:space="preserve"> </w:t>
      </w:r>
      <w:r w:rsidRPr="00517ABA">
        <w:rPr>
          <w:lang w:val="hy-AM"/>
        </w:rPr>
        <w:t>ցուցանիշը</w:t>
      </w:r>
      <w:r w:rsidRPr="004327A8">
        <w:rPr>
          <w:lang w:val="sk-SK"/>
        </w:rPr>
        <w:t xml:space="preserve"> (</w:t>
      </w:r>
      <w:r w:rsidRPr="00517ABA">
        <w:rPr>
          <w:lang w:val="hy-AM"/>
        </w:rPr>
        <w:t>հարկային</w:t>
      </w:r>
      <w:r w:rsidRPr="004327A8">
        <w:rPr>
          <w:lang w:val="sk-SK"/>
        </w:rPr>
        <w:t xml:space="preserve"> </w:t>
      </w:r>
      <w:r w:rsidRPr="00517ABA">
        <w:rPr>
          <w:lang w:val="hy-AM"/>
        </w:rPr>
        <w:t>եկամուտներից</w:t>
      </w:r>
      <w:r w:rsidRPr="004327A8">
        <w:rPr>
          <w:lang w:val="sk-SK"/>
        </w:rPr>
        <w:t xml:space="preserve"> </w:t>
      </w:r>
      <w:r w:rsidRPr="00517ABA">
        <w:rPr>
          <w:lang w:val="hy-AM"/>
        </w:rPr>
        <w:t>հանած</w:t>
      </w:r>
      <w:r w:rsidRPr="004327A8">
        <w:rPr>
          <w:lang w:val="sk-SK"/>
        </w:rPr>
        <w:t xml:space="preserve"> </w:t>
      </w:r>
      <w:r w:rsidRPr="00517ABA">
        <w:rPr>
          <w:lang w:val="hy-AM"/>
        </w:rPr>
        <w:t>ԱԱՀ</w:t>
      </w:r>
      <w:r w:rsidRPr="004327A8">
        <w:rPr>
          <w:lang w:val="sk-SK"/>
        </w:rPr>
        <w:t>-</w:t>
      </w:r>
      <w:r w:rsidRPr="00517ABA">
        <w:rPr>
          <w:lang w:val="hy-AM"/>
        </w:rPr>
        <w:t>ի</w:t>
      </w:r>
      <w:r w:rsidRPr="004327A8">
        <w:rPr>
          <w:lang w:val="sk-SK"/>
        </w:rPr>
        <w:t xml:space="preserve"> </w:t>
      </w:r>
      <w:r w:rsidRPr="00517ABA">
        <w:rPr>
          <w:lang w:val="hy-AM"/>
        </w:rPr>
        <w:t>վերադարձը</w:t>
      </w:r>
      <w:r w:rsidRPr="004327A8">
        <w:rPr>
          <w:lang w:val="sk-SK"/>
        </w:rPr>
        <w:t xml:space="preserve">), </w:t>
      </w:r>
      <w:r w:rsidRPr="00517ABA">
        <w:rPr>
          <w:lang w:val="hy-AM"/>
        </w:rPr>
        <w:t>որը</w:t>
      </w:r>
      <w:r w:rsidRPr="004327A8">
        <w:rPr>
          <w:lang w:val="sk-SK"/>
        </w:rPr>
        <w:t xml:space="preserve"> </w:t>
      </w:r>
      <w:r w:rsidRPr="00517ABA">
        <w:rPr>
          <w:lang w:val="hy-AM"/>
        </w:rPr>
        <w:t>առավել</w:t>
      </w:r>
      <w:r w:rsidRPr="004327A8">
        <w:rPr>
          <w:lang w:val="sk-SK"/>
        </w:rPr>
        <w:t xml:space="preserve"> </w:t>
      </w:r>
      <w:r w:rsidRPr="00517ABA">
        <w:rPr>
          <w:lang w:val="hy-AM"/>
        </w:rPr>
        <w:t>ամբողջական</w:t>
      </w:r>
      <w:r w:rsidRPr="004327A8">
        <w:rPr>
          <w:lang w:val="sk-SK"/>
        </w:rPr>
        <w:t xml:space="preserve"> </w:t>
      </w:r>
      <w:r w:rsidRPr="00517ABA">
        <w:rPr>
          <w:lang w:val="hy-AM"/>
        </w:rPr>
        <w:t>է</w:t>
      </w:r>
      <w:r w:rsidRPr="004327A8">
        <w:rPr>
          <w:lang w:val="sk-SK"/>
        </w:rPr>
        <w:t xml:space="preserve"> </w:t>
      </w:r>
      <w:r w:rsidRPr="00517ABA">
        <w:rPr>
          <w:lang w:val="hy-AM"/>
        </w:rPr>
        <w:t>արտացոլում</w:t>
      </w:r>
      <w:r w:rsidRPr="004327A8">
        <w:rPr>
          <w:lang w:val="sk-SK"/>
        </w:rPr>
        <w:t xml:space="preserve"> </w:t>
      </w:r>
      <w:r w:rsidRPr="00517ABA">
        <w:rPr>
          <w:lang w:val="hy-AM"/>
        </w:rPr>
        <w:t>տնտեսության</w:t>
      </w:r>
      <w:r w:rsidRPr="004327A8">
        <w:rPr>
          <w:lang w:val="sk-SK"/>
        </w:rPr>
        <w:t xml:space="preserve"> </w:t>
      </w:r>
      <w:r w:rsidRPr="00517ABA">
        <w:rPr>
          <w:lang w:val="hy-AM"/>
        </w:rPr>
        <w:t>զարգացումների</w:t>
      </w:r>
      <w:r w:rsidRPr="004327A8">
        <w:rPr>
          <w:lang w:val="sk-SK"/>
        </w:rPr>
        <w:t xml:space="preserve"> </w:t>
      </w:r>
      <w:r w:rsidRPr="00517ABA">
        <w:rPr>
          <w:lang w:val="hy-AM"/>
        </w:rPr>
        <w:t>հետ</w:t>
      </w:r>
      <w:r w:rsidRPr="004327A8">
        <w:rPr>
          <w:lang w:val="sk-SK"/>
        </w:rPr>
        <w:t xml:space="preserve"> </w:t>
      </w:r>
      <w:r w:rsidRPr="00517ABA">
        <w:rPr>
          <w:lang w:val="hy-AM"/>
        </w:rPr>
        <w:t>առնչությունը</w:t>
      </w:r>
      <w:r w:rsidRPr="004327A8">
        <w:rPr>
          <w:lang w:val="sk-SK"/>
        </w:rPr>
        <w:t>:</w:t>
      </w:r>
    </w:p>
  </w:footnote>
  <w:footnote w:id="27">
    <w:p w:rsidR="00A04ABD" w:rsidRPr="00FF5B39" w:rsidRDefault="00A04ABD" w:rsidP="00961B35">
      <w:pPr>
        <w:pStyle w:val="FootnoteText"/>
        <w:rPr>
          <w:lang w:val="sk-SK"/>
        </w:rPr>
      </w:pPr>
      <w:r w:rsidRPr="00507C30">
        <w:rPr>
          <w:rStyle w:val="FootnoteReference"/>
        </w:rPr>
        <w:footnoteRef/>
      </w:r>
      <w:r w:rsidRPr="00FF5B39">
        <w:rPr>
          <w:lang w:val="sk-SK"/>
        </w:rPr>
        <w:t xml:space="preserve"> </w:t>
      </w:r>
      <w:r w:rsidRPr="00507C30">
        <w:t>Առավել</w:t>
      </w:r>
      <w:r w:rsidRPr="00FF5B39">
        <w:rPr>
          <w:lang w:val="sk-SK"/>
        </w:rPr>
        <w:t xml:space="preserve"> </w:t>
      </w:r>
      <w:r w:rsidRPr="00507C30">
        <w:t>մանրամասն</w:t>
      </w:r>
      <w:r w:rsidRPr="00FF5B39">
        <w:rPr>
          <w:lang w:val="sk-SK"/>
        </w:rPr>
        <w:t xml:space="preserve"> </w:t>
      </w:r>
      <w:r w:rsidRPr="00507C30">
        <w:t>տե՛ս</w:t>
      </w:r>
      <w:r w:rsidRPr="00FF5B39">
        <w:rPr>
          <w:lang w:val="sk-SK"/>
        </w:rPr>
        <w:t xml:space="preserve"> 201</w:t>
      </w:r>
      <w:r>
        <w:rPr>
          <w:lang w:val="sk-SK"/>
        </w:rPr>
        <w:t>9</w:t>
      </w:r>
      <w:r>
        <w:rPr>
          <w:lang w:val="hy-AM"/>
        </w:rPr>
        <w:t xml:space="preserve"> </w:t>
      </w:r>
      <w:r>
        <w:t>թվականի</w:t>
      </w:r>
      <w:r w:rsidRPr="00FF5B39">
        <w:rPr>
          <w:lang w:val="sk-SK"/>
        </w:rPr>
        <w:t xml:space="preserve"> </w:t>
      </w:r>
      <w:r>
        <w:t>առաջին</w:t>
      </w:r>
      <w:r w:rsidRPr="00FF5B39">
        <w:rPr>
          <w:lang w:val="sk-SK"/>
        </w:rPr>
        <w:t xml:space="preserve"> </w:t>
      </w:r>
      <w:r>
        <w:t>կիսամյակի</w:t>
      </w:r>
      <w:r w:rsidRPr="00FF5B39">
        <w:rPr>
          <w:lang w:val="sk-SK"/>
        </w:rPr>
        <w:t xml:space="preserve"> </w:t>
      </w:r>
      <w:r>
        <w:t>բյուջեի</w:t>
      </w:r>
      <w:r w:rsidRPr="00FF5B39">
        <w:rPr>
          <w:lang w:val="sk-SK"/>
        </w:rPr>
        <w:t xml:space="preserve"> </w:t>
      </w:r>
      <w:r>
        <w:t>հաշվետվության՝</w:t>
      </w:r>
      <w:r w:rsidRPr="00FF5B39">
        <w:rPr>
          <w:lang w:val="sk-SK"/>
        </w:rPr>
        <w:t xml:space="preserve"> </w:t>
      </w:r>
      <w:r>
        <w:rPr>
          <w:lang w:val="hy-AM"/>
        </w:rPr>
        <w:t>«</w:t>
      </w:r>
      <w:r w:rsidRPr="00507C30">
        <w:t>Պետական</w:t>
      </w:r>
      <w:r w:rsidRPr="00FF5B39">
        <w:rPr>
          <w:lang w:val="sk-SK"/>
        </w:rPr>
        <w:t xml:space="preserve"> </w:t>
      </w:r>
      <w:r w:rsidRPr="00507C30">
        <w:t>բյուջեի</w:t>
      </w:r>
      <w:r w:rsidRPr="00FF5B39">
        <w:rPr>
          <w:lang w:val="sk-SK"/>
        </w:rPr>
        <w:t xml:space="preserve"> </w:t>
      </w:r>
      <w:r w:rsidRPr="00507C30">
        <w:t>եկամուտներ</w:t>
      </w:r>
      <w:r w:rsidRPr="00FF5B39">
        <w:rPr>
          <w:lang w:val="sk-SK"/>
        </w:rPr>
        <w:t xml:space="preserve">» </w:t>
      </w:r>
      <w:r w:rsidRPr="00507C30">
        <w:t>բաժնում</w:t>
      </w:r>
      <w:r w:rsidRPr="00FF5B39">
        <w:rPr>
          <w:lang w:val="sk-SK"/>
        </w:rPr>
        <w:t>:</w:t>
      </w:r>
    </w:p>
  </w:footnote>
  <w:footnote w:id="28">
    <w:p w:rsidR="00A04ABD" w:rsidRPr="00743BE4" w:rsidRDefault="00A04ABD" w:rsidP="00961B35">
      <w:pPr>
        <w:rPr>
          <w:iCs/>
          <w:sz w:val="16"/>
          <w:szCs w:val="16"/>
          <w:lang w:val="hy-AM"/>
        </w:rPr>
      </w:pPr>
      <w:r w:rsidRPr="005B4CFE">
        <w:rPr>
          <w:rStyle w:val="FootnoteReference"/>
          <w:lang w:val="en-GB"/>
        </w:rPr>
        <w:footnoteRef/>
      </w:r>
      <w:r w:rsidRPr="00743BE4">
        <w:rPr>
          <w:iCs/>
          <w:sz w:val="16"/>
          <w:szCs w:val="16"/>
          <w:lang w:val="hy-AM"/>
        </w:rPr>
        <w:t>Հարկաբյուջետային քաղաքականության ազդեցությունն ամբողջական պահանջարկի վրա գնահատելու համար օգտագործվել է հարկաբյուջետային ազդակի ցուցանիշը, որը բյուջեի եկամուտների ազդակի և ծախսերի ազդակի հանրագումարն է: Հաշվարկներն իրականացվել են եկամտային և ծախսային մասերից զտելով ԱԱՀ-ի վերադարձը, քանի որ 2017թ.-ի հունիսից այդ ցուցանիշը բացակայում է:</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9AC5A72"/>
    <w:lvl w:ilvl="0">
      <w:start w:val="1"/>
      <w:numFmt w:val="decimal"/>
      <w:pStyle w:val="ListNumber"/>
      <w:lvlText w:val="%1."/>
      <w:lvlJc w:val="left"/>
      <w:pPr>
        <w:tabs>
          <w:tab w:val="num" w:pos="540"/>
        </w:tabs>
        <w:ind w:left="540" w:hanging="360"/>
      </w:pPr>
    </w:lvl>
  </w:abstractNum>
  <w:abstractNum w:abstractNumId="1" w15:restartNumberingAfterBreak="0">
    <w:nsid w:val="008C2647"/>
    <w:multiLevelType w:val="multilevel"/>
    <w:tmpl w:val="7624B39E"/>
    <w:lvl w:ilvl="0">
      <w:start w:val="1"/>
      <w:numFmt w:val="decimal"/>
      <w:lvlText w:val="%1."/>
      <w:lvlJc w:val="left"/>
      <w:pPr>
        <w:ind w:left="720" w:hanging="360"/>
      </w:pPr>
      <w:rPr>
        <w:i w:val="0"/>
      </w:rPr>
    </w:lvl>
    <w:lvl w:ilvl="1">
      <w:start w:val="1"/>
      <w:numFmt w:val="decimal"/>
      <w:isLgl/>
      <w:lvlText w:val="%1.%2."/>
      <w:lvlJc w:val="left"/>
      <w:pPr>
        <w:ind w:left="1080" w:hanging="720"/>
      </w:pPr>
      <w:rPr>
        <w:rFonts w:cs="Arial Armenian" w:hint="default"/>
        <w:i/>
      </w:rPr>
    </w:lvl>
    <w:lvl w:ilvl="2">
      <w:start w:val="1"/>
      <w:numFmt w:val="decimal"/>
      <w:isLgl/>
      <w:lvlText w:val="%1.%2.%3."/>
      <w:lvlJc w:val="left"/>
      <w:pPr>
        <w:ind w:left="1080" w:hanging="720"/>
      </w:pPr>
      <w:rPr>
        <w:rFonts w:cs="Arial Armenian" w:hint="default"/>
      </w:rPr>
    </w:lvl>
    <w:lvl w:ilvl="3">
      <w:start w:val="1"/>
      <w:numFmt w:val="decimal"/>
      <w:isLgl/>
      <w:lvlText w:val="%1.%2.%3.%4."/>
      <w:lvlJc w:val="left"/>
      <w:pPr>
        <w:ind w:left="1440" w:hanging="1080"/>
      </w:pPr>
      <w:rPr>
        <w:rFonts w:cs="Arial Armenian" w:hint="default"/>
      </w:rPr>
    </w:lvl>
    <w:lvl w:ilvl="4">
      <w:start w:val="1"/>
      <w:numFmt w:val="decimal"/>
      <w:isLgl/>
      <w:lvlText w:val="%1.%2.%3.%4.%5."/>
      <w:lvlJc w:val="left"/>
      <w:pPr>
        <w:ind w:left="1440" w:hanging="1080"/>
      </w:pPr>
      <w:rPr>
        <w:rFonts w:cs="Arial Armenian" w:hint="default"/>
      </w:rPr>
    </w:lvl>
    <w:lvl w:ilvl="5">
      <w:start w:val="1"/>
      <w:numFmt w:val="decimal"/>
      <w:isLgl/>
      <w:lvlText w:val="%1.%2.%3.%4.%5.%6."/>
      <w:lvlJc w:val="left"/>
      <w:pPr>
        <w:ind w:left="1800" w:hanging="1440"/>
      </w:pPr>
      <w:rPr>
        <w:rFonts w:cs="Arial Armenian" w:hint="default"/>
      </w:rPr>
    </w:lvl>
    <w:lvl w:ilvl="6">
      <w:start w:val="1"/>
      <w:numFmt w:val="decimal"/>
      <w:isLgl/>
      <w:lvlText w:val="%1.%2.%3.%4.%5.%6.%7."/>
      <w:lvlJc w:val="left"/>
      <w:pPr>
        <w:ind w:left="1800" w:hanging="1440"/>
      </w:pPr>
      <w:rPr>
        <w:rFonts w:cs="Arial Armenian" w:hint="default"/>
      </w:rPr>
    </w:lvl>
    <w:lvl w:ilvl="7">
      <w:start w:val="1"/>
      <w:numFmt w:val="decimal"/>
      <w:isLgl/>
      <w:lvlText w:val="%1.%2.%3.%4.%5.%6.%7.%8."/>
      <w:lvlJc w:val="left"/>
      <w:pPr>
        <w:ind w:left="2160" w:hanging="1800"/>
      </w:pPr>
      <w:rPr>
        <w:rFonts w:cs="Arial Armenian" w:hint="default"/>
      </w:rPr>
    </w:lvl>
    <w:lvl w:ilvl="8">
      <w:start w:val="1"/>
      <w:numFmt w:val="decimal"/>
      <w:isLgl/>
      <w:lvlText w:val="%1.%2.%3.%4.%5.%6.%7.%8.%9."/>
      <w:lvlJc w:val="left"/>
      <w:pPr>
        <w:ind w:left="2160" w:hanging="1800"/>
      </w:pPr>
      <w:rPr>
        <w:rFonts w:cs="Arial Armenian" w:hint="default"/>
      </w:rPr>
    </w:lvl>
  </w:abstractNum>
  <w:abstractNum w:abstractNumId="2" w15:restartNumberingAfterBreak="0">
    <w:nsid w:val="00D51C03"/>
    <w:multiLevelType w:val="hybridMultilevel"/>
    <w:tmpl w:val="AB2AEE86"/>
    <w:lvl w:ilvl="0" w:tplc="C56688CE">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3F033D1"/>
    <w:multiLevelType w:val="hybridMultilevel"/>
    <w:tmpl w:val="28F0DDFE"/>
    <w:lvl w:ilvl="0" w:tplc="FFFFFFFF">
      <w:start w:val="1"/>
      <w:numFmt w:val="bullet"/>
      <w:pStyle w:val="num02"/>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D90F05"/>
    <w:multiLevelType w:val="hybridMultilevel"/>
    <w:tmpl w:val="17F67EEC"/>
    <w:lvl w:ilvl="0" w:tplc="21B43B6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0AEB788F"/>
    <w:multiLevelType w:val="hybridMultilevel"/>
    <w:tmpl w:val="4BBCC696"/>
    <w:lvl w:ilvl="0" w:tplc="C56688CE">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C70570C"/>
    <w:multiLevelType w:val="hybridMultilevel"/>
    <w:tmpl w:val="476EBE4A"/>
    <w:lvl w:ilvl="0" w:tplc="C56688C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3022BF"/>
    <w:multiLevelType w:val="hybridMultilevel"/>
    <w:tmpl w:val="0DFE46D2"/>
    <w:lvl w:ilvl="0" w:tplc="573AB0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09425E3"/>
    <w:multiLevelType w:val="hybridMultilevel"/>
    <w:tmpl w:val="4BF0ACE6"/>
    <w:lvl w:ilvl="0" w:tplc="C56688C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4243C"/>
    <w:multiLevelType w:val="hybridMultilevel"/>
    <w:tmpl w:val="8232398A"/>
    <w:lvl w:ilvl="0" w:tplc="B2E0EA00">
      <w:start w:val="1"/>
      <w:numFmt w:val="bullet"/>
      <w:lvlText w:val="-"/>
      <w:lvlJc w:val="left"/>
      <w:pPr>
        <w:ind w:left="720" w:hanging="360"/>
      </w:pPr>
      <w:rPr>
        <w:rFonts w:ascii="Calibri" w:eastAsia="Calibri" w:hAnsi="Calibri" w:cs="Times New Roman" w:hint="default"/>
        <w:lang w:val="hy-AM"/>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7E017A"/>
    <w:multiLevelType w:val="hybridMultilevel"/>
    <w:tmpl w:val="312CCF28"/>
    <w:lvl w:ilvl="0" w:tplc="D2824C80">
      <w:start w:val="9"/>
      <w:numFmt w:val="bullet"/>
      <w:lvlText w:val="-"/>
      <w:lvlJc w:val="left"/>
      <w:pPr>
        <w:ind w:left="927" w:hanging="360"/>
      </w:pPr>
      <w:rPr>
        <w:rFonts w:ascii="GHEA Grapalat" w:eastAsia="Times New Roman" w:hAnsi="GHEA Grapalat" w:cs="Sylfae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14105CA9"/>
    <w:multiLevelType w:val="hybridMultilevel"/>
    <w:tmpl w:val="14A42308"/>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5187AA5"/>
    <w:multiLevelType w:val="hybridMultilevel"/>
    <w:tmpl w:val="B4084EC8"/>
    <w:lvl w:ilvl="0" w:tplc="C56688C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1C5613"/>
    <w:multiLevelType w:val="hybridMultilevel"/>
    <w:tmpl w:val="BF5CD4DE"/>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178C0542"/>
    <w:multiLevelType w:val="hybridMultilevel"/>
    <w:tmpl w:val="B98CA59C"/>
    <w:lvl w:ilvl="0" w:tplc="C56688C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39127B"/>
    <w:multiLevelType w:val="hybridMultilevel"/>
    <w:tmpl w:val="402E912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1CBE6777"/>
    <w:multiLevelType w:val="hybridMultilevel"/>
    <w:tmpl w:val="209C4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BD1F22"/>
    <w:multiLevelType w:val="hybridMultilevel"/>
    <w:tmpl w:val="1944B91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790934"/>
    <w:multiLevelType w:val="hybridMultilevel"/>
    <w:tmpl w:val="8D26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0D3608"/>
    <w:multiLevelType w:val="hybridMultilevel"/>
    <w:tmpl w:val="5AD4D174"/>
    <w:lvl w:ilvl="0" w:tplc="C56688CE">
      <w:start w:val="1"/>
      <w:numFmt w:val="bullet"/>
      <w:lvlText w:val="-"/>
      <w:lvlJc w:val="left"/>
      <w:pPr>
        <w:ind w:left="1287" w:hanging="360"/>
      </w:pPr>
      <w:rPr>
        <w:rFonts w:ascii="Calibri" w:eastAsia="Calibri" w:hAnsi="Calibri" w:cs="Times New Roman"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26526458"/>
    <w:multiLevelType w:val="hybridMultilevel"/>
    <w:tmpl w:val="52029D9E"/>
    <w:lvl w:ilvl="0" w:tplc="0409000D">
      <w:start w:val="1"/>
      <w:numFmt w:val="bullet"/>
      <w:lvlText w:val=""/>
      <w:lvlJc w:val="left"/>
      <w:pPr>
        <w:ind w:left="1713" w:hanging="360"/>
      </w:pPr>
      <w:rPr>
        <w:rFonts w:ascii="Wingdings" w:hAnsi="Wingdings" w:hint="default"/>
      </w:rPr>
    </w:lvl>
    <w:lvl w:ilvl="1" w:tplc="04090003">
      <w:start w:val="1"/>
      <w:numFmt w:val="bullet"/>
      <w:lvlText w:val="o"/>
      <w:lvlJc w:val="left"/>
      <w:pPr>
        <w:ind w:left="2433" w:hanging="360"/>
      </w:pPr>
      <w:rPr>
        <w:rFonts w:ascii="Courier New" w:hAnsi="Courier New" w:cs="Courier New" w:hint="default"/>
      </w:rPr>
    </w:lvl>
    <w:lvl w:ilvl="2" w:tplc="04090005">
      <w:start w:val="1"/>
      <w:numFmt w:val="bullet"/>
      <w:lvlText w:val=""/>
      <w:lvlJc w:val="left"/>
      <w:pPr>
        <w:ind w:left="3153" w:hanging="360"/>
      </w:pPr>
      <w:rPr>
        <w:rFonts w:ascii="Wingdings" w:hAnsi="Wingdings" w:hint="default"/>
      </w:rPr>
    </w:lvl>
    <w:lvl w:ilvl="3" w:tplc="04090001">
      <w:start w:val="1"/>
      <w:numFmt w:val="bullet"/>
      <w:lvlText w:val=""/>
      <w:lvlJc w:val="left"/>
      <w:pPr>
        <w:ind w:left="3873" w:hanging="360"/>
      </w:pPr>
      <w:rPr>
        <w:rFonts w:ascii="Symbol" w:hAnsi="Symbol" w:hint="default"/>
      </w:rPr>
    </w:lvl>
    <w:lvl w:ilvl="4" w:tplc="04090003">
      <w:start w:val="1"/>
      <w:numFmt w:val="bullet"/>
      <w:lvlText w:val="o"/>
      <w:lvlJc w:val="left"/>
      <w:pPr>
        <w:ind w:left="4593" w:hanging="360"/>
      </w:pPr>
      <w:rPr>
        <w:rFonts w:ascii="Courier New" w:hAnsi="Courier New" w:cs="Courier New" w:hint="default"/>
      </w:rPr>
    </w:lvl>
    <w:lvl w:ilvl="5" w:tplc="04090005">
      <w:start w:val="1"/>
      <w:numFmt w:val="bullet"/>
      <w:lvlText w:val=""/>
      <w:lvlJc w:val="left"/>
      <w:pPr>
        <w:ind w:left="5313" w:hanging="360"/>
      </w:pPr>
      <w:rPr>
        <w:rFonts w:ascii="Wingdings" w:hAnsi="Wingdings" w:hint="default"/>
      </w:rPr>
    </w:lvl>
    <w:lvl w:ilvl="6" w:tplc="04090001">
      <w:start w:val="1"/>
      <w:numFmt w:val="bullet"/>
      <w:lvlText w:val=""/>
      <w:lvlJc w:val="left"/>
      <w:pPr>
        <w:ind w:left="6033" w:hanging="360"/>
      </w:pPr>
      <w:rPr>
        <w:rFonts w:ascii="Symbol" w:hAnsi="Symbol" w:hint="default"/>
      </w:rPr>
    </w:lvl>
    <w:lvl w:ilvl="7" w:tplc="04090003">
      <w:start w:val="1"/>
      <w:numFmt w:val="bullet"/>
      <w:lvlText w:val="o"/>
      <w:lvlJc w:val="left"/>
      <w:pPr>
        <w:ind w:left="6753" w:hanging="360"/>
      </w:pPr>
      <w:rPr>
        <w:rFonts w:ascii="Courier New" w:hAnsi="Courier New" w:cs="Courier New" w:hint="default"/>
      </w:rPr>
    </w:lvl>
    <w:lvl w:ilvl="8" w:tplc="04090005">
      <w:start w:val="1"/>
      <w:numFmt w:val="bullet"/>
      <w:lvlText w:val=""/>
      <w:lvlJc w:val="left"/>
      <w:pPr>
        <w:ind w:left="7473" w:hanging="360"/>
      </w:pPr>
      <w:rPr>
        <w:rFonts w:ascii="Wingdings" w:hAnsi="Wingdings" w:hint="default"/>
      </w:rPr>
    </w:lvl>
  </w:abstractNum>
  <w:abstractNum w:abstractNumId="21" w15:restartNumberingAfterBreak="0">
    <w:nsid w:val="26D75126"/>
    <w:multiLevelType w:val="hybridMultilevel"/>
    <w:tmpl w:val="5E682ED0"/>
    <w:lvl w:ilvl="0" w:tplc="0409000F">
      <w:start w:val="1"/>
      <w:numFmt w:val="decimal"/>
      <w:lvlText w:val="%1."/>
      <w:lvlJc w:val="left"/>
      <w:pPr>
        <w:ind w:left="1080" w:hanging="360"/>
      </w:pPr>
    </w:lvl>
    <w:lvl w:ilvl="1" w:tplc="E3F4882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E97908"/>
    <w:multiLevelType w:val="hybridMultilevel"/>
    <w:tmpl w:val="D8EC8384"/>
    <w:lvl w:ilvl="0" w:tplc="C56688CE">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77745F2"/>
    <w:multiLevelType w:val="hybridMultilevel"/>
    <w:tmpl w:val="19A2B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DF7B51"/>
    <w:multiLevelType w:val="hybridMultilevel"/>
    <w:tmpl w:val="35989AF0"/>
    <w:lvl w:ilvl="0" w:tplc="C56688C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CC70B1"/>
    <w:multiLevelType w:val="hybridMultilevel"/>
    <w:tmpl w:val="74E4B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0D17E8"/>
    <w:multiLevelType w:val="hybridMultilevel"/>
    <w:tmpl w:val="E8280606"/>
    <w:name w:val="WW8Num43"/>
    <w:lvl w:ilvl="0" w:tplc="FFFFFFFF">
      <w:start w:val="110"/>
      <w:numFmt w:val="bullet"/>
      <w:lvlText w:val="-"/>
      <w:lvlJc w:val="left"/>
      <w:pPr>
        <w:tabs>
          <w:tab w:val="num" w:pos="1575"/>
        </w:tabs>
        <w:ind w:left="1575" w:hanging="975"/>
      </w:pPr>
      <w:rPr>
        <w:rFonts w:ascii="Times Armenian" w:eastAsia="Times New Roman" w:hAnsi="Times Armenian" w:cs="Times New Roman" w:hint="default"/>
      </w:rPr>
    </w:lvl>
    <w:lvl w:ilvl="1" w:tplc="FFFFFFFF" w:tentative="1">
      <w:start w:val="1"/>
      <w:numFmt w:val="bullet"/>
      <w:lvlText w:val="o"/>
      <w:lvlJc w:val="left"/>
      <w:pPr>
        <w:tabs>
          <w:tab w:val="num" w:pos="1680"/>
        </w:tabs>
        <w:ind w:left="1680" w:hanging="360"/>
      </w:pPr>
      <w:rPr>
        <w:rFonts w:ascii="Courier New" w:hAnsi="Courier New" w:cs="Courier New" w:hint="default"/>
      </w:rPr>
    </w:lvl>
    <w:lvl w:ilvl="2" w:tplc="FFFFFFFF" w:tentative="1">
      <w:start w:val="1"/>
      <w:numFmt w:val="bullet"/>
      <w:lvlText w:val=""/>
      <w:lvlJc w:val="left"/>
      <w:pPr>
        <w:tabs>
          <w:tab w:val="num" w:pos="2400"/>
        </w:tabs>
        <w:ind w:left="2400" w:hanging="360"/>
      </w:pPr>
      <w:rPr>
        <w:rFonts w:ascii="Wingdings" w:hAnsi="Wingdings" w:hint="default"/>
      </w:rPr>
    </w:lvl>
    <w:lvl w:ilvl="3" w:tplc="FFFFFFFF" w:tentative="1">
      <w:start w:val="1"/>
      <w:numFmt w:val="bullet"/>
      <w:lvlText w:val=""/>
      <w:lvlJc w:val="left"/>
      <w:pPr>
        <w:tabs>
          <w:tab w:val="num" w:pos="3120"/>
        </w:tabs>
        <w:ind w:left="3120" w:hanging="360"/>
      </w:pPr>
      <w:rPr>
        <w:rFonts w:ascii="Symbol" w:hAnsi="Symbol" w:hint="default"/>
      </w:rPr>
    </w:lvl>
    <w:lvl w:ilvl="4" w:tplc="FFFFFFFF" w:tentative="1">
      <w:start w:val="1"/>
      <w:numFmt w:val="bullet"/>
      <w:lvlText w:val="o"/>
      <w:lvlJc w:val="left"/>
      <w:pPr>
        <w:tabs>
          <w:tab w:val="num" w:pos="3840"/>
        </w:tabs>
        <w:ind w:left="3840" w:hanging="360"/>
      </w:pPr>
      <w:rPr>
        <w:rFonts w:ascii="Courier New" w:hAnsi="Courier New" w:cs="Courier New" w:hint="default"/>
      </w:rPr>
    </w:lvl>
    <w:lvl w:ilvl="5" w:tplc="FFFFFFFF" w:tentative="1">
      <w:start w:val="1"/>
      <w:numFmt w:val="bullet"/>
      <w:lvlText w:val=""/>
      <w:lvlJc w:val="left"/>
      <w:pPr>
        <w:tabs>
          <w:tab w:val="num" w:pos="4560"/>
        </w:tabs>
        <w:ind w:left="4560" w:hanging="360"/>
      </w:pPr>
      <w:rPr>
        <w:rFonts w:ascii="Wingdings" w:hAnsi="Wingdings" w:hint="default"/>
      </w:rPr>
    </w:lvl>
    <w:lvl w:ilvl="6" w:tplc="FFFFFFFF" w:tentative="1">
      <w:start w:val="1"/>
      <w:numFmt w:val="bullet"/>
      <w:lvlText w:val=""/>
      <w:lvlJc w:val="left"/>
      <w:pPr>
        <w:tabs>
          <w:tab w:val="num" w:pos="5280"/>
        </w:tabs>
        <w:ind w:left="5280" w:hanging="360"/>
      </w:pPr>
      <w:rPr>
        <w:rFonts w:ascii="Symbol" w:hAnsi="Symbol" w:hint="default"/>
      </w:rPr>
    </w:lvl>
    <w:lvl w:ilvl="7" w:tplc="FFFFFFFF" w:tentative="1">
      <w:start w:val="1"/>
      <w:numFmt w:val="bullet"/>
      <w:lvlText w:val="o"/>
      <w:lvlJc w:val="left"/>
      <w:pPr>
        <w:tabs>
          <w:tab w:val="num" w:pos="6000"/>
        </w:tabs>
        <w:ind w:left="6000" w:hanging="360"/>
      </w:pPr>
      <w:rPr>
        <w:rFonts w:ascii="Courier New" w:hAnsi="Courier New" w:cs="Courier New" w:hint="default"/>
      </w:rPr>
    </w:lvl>
    <w:lvl w:ilvl="8" w:tplc="FFFFFFFF" w:tentative="1">
      <w:start w:val="1"/>
      <w:numFmt w:val="bullet"/>
      <w:lvlText w:val=""/>
      <w:lvlJc w:val="left"/>
      <w:pPr>
        <w:tabs>
          <w:tab w:val="num" w:pos="6720"/>
        </w:tabs>
        <w:ind w:left="6720" w:hanging="360"/>
      </w:pPr>
      <w:rPr>
        <w:rFonts w:ascii="Wingdings" w:hAnsi="Wingdings" w:hint="default"/>
      </w:rPr>
    </w:lvl>
  </w:abstractNum>
  <w:abstractNum w:abstractNumId="27" w15:restartNumberingAfterBreak="0">
    <w:nsid w:val="2CCF2A16"/>
    <w:multiLevelType w:val="hybridMultilevel"/>
    <w:tmpl w:val="ADC03A86"/>
    <w:lvl w:ilvl="0" w:tplc="C56688C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88523B"/>
    <w:multiLevelType w:val="hybridMultilevel"/>
    <w:tmpl w:val="8E48E442"/>
    <w:lvl w:ilvl="0" w:tplc="C56688C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D137BC"/>
    <w:multiLevelType w:val="hybridMultilevel"/>
    <w:tmpl w:val="57DE6BC0"/>
    <w:lvl w:ilvl="0" w:tplc="C56688CE">
      <w:start w:val="1"/>
      <w:numFmt w:val="bullet"/>
      <w:lvlText w:val="-"/>
      <w:lvlJc w:val="left"/>
      <w:pPr>
        <w:ind w:left="1429" w:hanging="360"/>
      </w:pPr>
      <w:rPr>
        <w:rFonts w:ascii="Calibri" w:eastAsia="Calibri" w:hAnsi="Calibri"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15:restartNumberingAfterBreak="0">
    <w:nsid w:val="30725536"/>
    <w:multiLevelType w:val="multilevel"/>
    <w:tmpl w:val="47FA97B4"/>
    <w:lvl w:ilvl="0">
      <w:start w:val="1"/>
      <w:numFmt w:val="decimal"/>
      <w:lvlText w:val="%1."/>
      <w:lvlJc w:val="left"/>
      <w:pPr>
        <w:ind w:left="720" w:hanging="360"/>
      </w:pPr>
      <w:rPr>
        <w:rFonts w:cs="Sylfaen" w:hint="default"/>
      </w:rPr>
    </w:lvl>
    <w:lvl w:ilvl="1">
      <w:start w:val="2"/>
      <w:numFmt w:val="decimal"/>
      <w:isLgl/>
      <w:lvlText w:val="%1.%2."/>
      <w:lvlJc w:val="left"/>
      <w:pPr>
        <w:ind w:left="1170" w:hanging="720"/>
      </w:pPr>
      <w:rPr>
        <w:rFonts w:hint="default"/>
      </w:rPr>
    </w:lvl>
    <w:lvl w:ilvl="2">
      <w:start w:val="3"/>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880" w:hanging="1800"/>
      </w:pPr>
      <w:rPr>
        <w:rFonts w:hint="default"/>
      </w:rPr>
    </w:lvl>
  </w:abstractNum>
  <w:abstractNum w:abstractNumId="31" w15:restartNumberingAfterBreak="0">
    <w:nsid w:val="30795E74"/>
    <w:multiLevelType w:val="hybridMultilevel"/>
    <w:tmpl w:val="BB52AED4"/>
    <w:lvl w:ilvl="0" w:tplc="C56688C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D320B2"/>
    <w:multiLevelType w:val="hybridMultilevel"/>
    <w:tmpl w:val="2EB64AE4"/>
    <w:lvl w:ilvl="0" w:tplc="C56688C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2397D2C"/>
    <w:multiLevelType w:val="hybridMultilevel"/>
    <w:tmpl w:val="AD5A02EE"/>
    <w:lvl w:ilvl="0" w:tplc="C56688C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3E230B4"/>
    <w:multiLevelType w:val="hybridMultilevel"/>
    <w:tmpl w:val="3386F8BC"/>
    <w:lvl w:ilvl="0" w:tplc="C56688CE">
      <w:start w:val="1"/>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59673E1"/>
    <w:multiLevelType w:val="hybridMultilevel"/>
    <w:tmpl w:val="CE1EFB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63056C"/>
    <w:multiLevelType w:val="hybridMultilevel"/>
    <w:tmpl w:val="611E4AC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15:restartNumberingAfterBreak="0">
    <w:nsid w:val="38B70647"/>
    <w:multiLevelType w:val="hybridMultilevel"/>
    <w:tmpl w:val="F044F36C"/>
    <w:lvl w:ilvl="0" w:tplc="79D8E8D2">
      <w:start w:val="1"/>
      <w:numFmt w:val="decimal"/>
      <w:pStyle w:val="StyleGHEAGrapalatJustifiedBefore12pt"/>
      <w:lvlText w:val="%1."/>
      <w:lvlJc w:val="left"/>
      <w:pPr>
        <w:ind w:left="720" w:hanging="360"/>
      </w:pPr>
    </w:lvl>
    <w:lvl w:ilvl="1" w:tplc="04090019">
      <w:start w:val="1"/>
      <w:numFmt w:val="lowerLetter"/>
      <w:pStyle w:val="KLegalHeading2"/>
      <w:lvlText w:val="%2."/>
      <w:lvlJc w:val="left"/>
      <w:pPr>
        <w:ind w:left="1440" w:hanging="360"/>
      </w:pPr>
    </w:lvl>
    <w:lvl w:ilvl="2" w:tplc="0409001B">
      <w:start w:val="1"/>
      <w:numFmt w:val="lowerRoman"/>
      <w:pStyle w:val="KLegalHeading3"/>
      <w:lvlText w:val="%3."/>
      <w:lvlJc w:val="right"/>
      <w:pPr>
        <w:ind w:left="2160" w:hanging="180"/>
      </w:pPr>
    </w:lvl>
    <w:lvl w:ilvl="3" w:tplc="0409000F">
      <w:start w:val="1"/>
      <w:numFmt w:val="decimal"/>
      <w:pStyle w:val="KLegalHeading4"/>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3A5F0185"/>
    <w:multiLevelType w:val="hybridMultilevel"/>
    <w:tmpl w:val="A4828E9A"/>
    <w:lvl w:ilvl="0" w:tplc="C56688CE">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3C721D99"/>
    <w:multiLevelType w:val="multilevel"/>
    <w:tmpl w:val="19F8AC6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0" w15:restartNumberingAfterBreak="0">
    <w:nsid w:val="3DCD1A98"/>
    <w:multiLevelType w:val="multilevel"/>
    <w:tmpl w:val="FE189BEC"/>
    <w:lvl w:ilvl="0">
      <w:start w:val="1"/>
      <w:numFmt w:val="decimal"/>
      <w:lvlText w:val="%1."/>
      <w:lvlJc w:val="left"/>
      <w:pPr>
        <w:ind w:left="720" w:hanging="360"/>
      </w:pPr>
      <w:rPr>
        <w:lang w:val="hy-AM"/>
      </w:rPr>
    </w:lvl>
    <w:lvl w:ilvl="1">
      <w:start w:val="1"/>
      <w:numFmt w:val="bullet"/>
      <w:lvlText w:val="-"/>
      <w:lvlJc w:val="left"/>
      <w:pPr>
        <w:ind w:left="1080" w:hanging="720"/>
      </w:pPr>
      <w:rPr>
        <w:rFonts w:ascii="Calibri" w:eastAsia="Calibri" w:hAnsi="Calibri" w:cs="Times New Roman" w:hint="default"/>
      </w:rPr>
    </w:lvl>
    <w:lvl w:ilvl="2">
      <w:start w:val="1"/>
      <w:numFmt w:val="decimal"/>
      <w:isLgl/>
      <w:lvlText w:val="%1.%2.%3."/>
      <w:lvlJc w:val="left"/>
      <w:pPr>
        <w:ind w:left="1080" w:hanging="720"/>
      </w:pPr>
      <w:rPr>
        <w:rFonts w:cs="Sylfaen" w:hint="default"/>
      </w:rPr>
    </w:lvl>
    <w:lvl w:ilvl="3">
      <w:start w:val="1"/>
      <w:numFmt w:val="decimal"/>
      <w:isLgl/>
      <w:lvlText w:val="%1.%2.%3.%4."/>
      <w:lvlJc w:val="left"/>
      <w:pPr>
        <w:ind w:left="1440" w:hanging="1080"/>
      </w:pPr>
      <w:rPr>
        <w:rFonts w:cs="Sylfaen" w:hint="default"/>
      </w:rPr>
    </w:lvl>
    <w:lvl w:ilvl="4">
      <w:start w:val="1"/>
      <w:numFmt w:val="decimal"/>
      <w:isLgl/>
      <w:lvlText w:val="%1.%2.%3.%4.%5."/>
      <w:lvlJc w:val="left"/>
      <w:pPr>
        <w:ind w:left="1440" w:hanging="1080"/>
      </w:pPr>
      <w:rPr>
        <w:rFonts w:cs="Sylfaen" w:hint="default"/>
      </w:rPr>
    </w:lvl>
    <w:lvl w:ilvl="5">
      <w:start w:val="1"/>
      <w:numFmt w:val="decimal"/>
      <w:isLgl/>
      <w:lvlText w:val="%1.%2.%3.%4.%5.%6."/>
      <w:lvlJc w:val="left"/>
      <w:pPr>
        <w:ind w:left="1800" w:hanging="1440"/>
      </w:pPr>
      <w:rPr>
        <w:rFonts w:cs="Sylfaen" w:hint="default"/>
      </w:rPr>
    </w:lvl>
    <w:lvl w:ilvl="6">
      <w:start w:val="1"/>
      <w:numFmt w:val="decimal"/>
      <w:isLgl/>
      <w:lvlText w:val="%1.%2.%3.%4.%5.%6.%7."/>
      <w:lvlJc w:val="left"/>
      <w:pPr>
        <w:ind w:left="1800" w:hanging="1440"/>
      </w:pPr>
      <w:rPr>
        <w:rFonts w:cs="Sylfaen" w:hint="default"/>
      </w:rPr>
    </w:lvl>
    <w:lvl w:ilvl="7">
      <w:start w:val="1"/>
      <w:numFmt w:val="decimal"/>
      <w:isLgl/>
      <w:lvlText w:val="%1.%2.%3.%4.%5.%6.%7.%8."/>
      <w:lvlJc w:val="left"/>
      <w:pPr>
        <w:ind w:left="2160" w:hanging="1800"/>
      </w:pPr>
      <w:rPr>
        <w:rFonts w:cs="Sylfaen" w:hint="default"/>
      </w:rPr>
    </w:lvl>
    <w:lvl w:ilvl="8">
      <w:start w:val="1"/>
      <w:numFmt w:val="decimal"/>
      <w:isLgl/>
      <w:lvlText w:val="%1.%2.%3.%4.%5.%6.%7.%8.%9."/>
      <w:lvlJc w:val="left"/>
      <w:pPr>
        <w:ind w:left="2160" w:hanging="1800"/>
      </w:pPr>
      <w:rPr>
        <w:rFonts w:cs="Sylfaen" w:hint="default"/>
      </w:rPr>
    </w:lvl>
  </w:abstractNum>
  <w:abstractNum w:abstractNumId="41" w15:restartNumberingAfterBreak="0">
    <w:nsid w:val="3E9E7A4D"/>
    <w:multiLevelType w:val="hybridMultilevel"/>
    <w:tmpl w:val="A3FA4F9E"/>
    <w:lvl w:ilvl="0" w:tplc="AF1A0216">
      <w:start w:val="1"/>
      <w:numFmt w:val="bullet"/>
      <w:lvlText w:val="-"/>
      <w:lvlJc w:val="left"/>
      <w:pPr>
        <w:tabs>
          <w:tab w:val="num" w:pos="735"/>
        </w:tabs>
        <w:ind w:left="735" w:hanging="360"/>
      </w:pPr>
      <w:rPr>
        <w:rFonts w:ascii="Calibri" w:eastAsia="Calibri" w:hAnsi="Calibri" w:cs="Times New Roman" w:hint="default"/>
        <w:b w:val="0"/>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42" w15:restartNumberingAfterBreak="0">
    <w:nsid w:val="3EED5724"/>
    <w:multiLevelType w:val="hybridMultilevel"/>
    <w:tmpl w:val="929AAA2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3" w15:restartNumberingAfterBreak="0">
    <w:nsid w:val="42A329F3"/>
    <w:multiLevelType w:val="hybridMultilevel"/>
    <w:tmpl w:val="789210FC"/>
    <w:lvl w:ilvl="0" w:tplc="7BF03C28">
      <w:start w:val="1"/>
      <w:numFmt w:val="decimal"/>
      <w:pStyle w:val="StyleGHEAGrapalatJustifiedAfter6ptLinespacingMultip"/>
      <w:lvlText w:val="%1)"/>
      <w:lvlJc w:val="left"/>
      <w:pPr>
        <w:ind w:left="1008" w:hanging="360"/>
      </w:pPr>
    </w:lvl>
    <w:lvl w:ilvl="1" w:tplc="EFE234DE">
      <w:start w:val="7"/>
      <w:numFmt w:val="decimal"/>
      <w:lvlText w:val="%2."/>
      <w:lvlJc w:val="left"/>
      <w:pPr>
        <w:tabs>
          <w:tab w:val="num" w:pos="1728"/>
        </w:tabs>
        <w:ind w:left="1728" w:hanging="360"/>
      </w:pPr>
      <w:rPr>
        <w:rFonts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4" w15:restartNumberingAfterBreak="0">
    <w:nsid w:val="42EB6BE2"/>
    <w:multiLevelType w:val="multilevel"/>
    <w:tmpl w:val="46C4263A"/>
    <w:lvl w:ilvl="0">
      <w:start w:val="1"/>
      <w:numFmt w:val="decimal"/>
      <w:lvlText w:val="%1."/>
      <w:lvlJc w:val="left"/>
      <w:pPr>
        <w:ind w:left="1287" w:hanging="360"/>
      </w:pPr>
    </w:lvl>
    <w:lvl w:ilvl="1">
      <w:start w:val="4"/>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45" w15:restartNumberingAfterBreak="0">
    <w:nsid w:val="43C765F3"/>
    <w:multiLevelType w:val="hybridMultilevel"/>
    <w:tmpl w:val="ED1E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7CB0709"/>
    <w:multiLevelType w:val="hybridMultilevel"/>
    <w:tmpl w:val="09B2632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A544E7C"/>
    <w:multiLevelType w:val="hybridMultilevel"/>
    <w:tmpl w:val="272E8F84"/>
    <w:lvl w:ilvl="0" w:tplc="CDCEED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AD57F19"/>
    <w:multiLevelType w:val="hybridMultilevel"/>
    <w:tmpl w:val="59E073A4"/>
    <w:lvl w:ilvl="0" w:tplc="C56688C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BF23765"/>
    <w:multiLevelType w:val="hybridMultilevel"/>
    <w:tmpl w:val="CF600E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CB0359D"/>
    <w:multiLevelType w:val="hybridMultilevel"/>
    <w:tmpl w:val="4E4AD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F360596"/>
    <w:multiLevelType w:val="hybridMultilevel"/>
    <w:tmpl w:val="71F2C140"/>
    <w:lvl w:ilvl="0" w:tplc="2898D622">
      <w:start w:val="1"/>
      <w:numFmt w:val="decimal"/>
      <w:lvlText w:val="%1."/>
      <w:lvlJc w:val="left"/>
      <w:pPr>
        <w:ind w:left="931" w:hanging="360"/>
      </w:pPr>
      <w:rPr>
        <w:rFonts w:hint="default"/>
      </w:rPr>
    </w:lvl>
    <w:lvl w:ilvl="1" w:tplc="04090019" w:tentative="1">
      <w:start w:val="1"/>
      <w:numFmt w:val="lowerLetter"/>
      <w:lvlText w:val="%2."/>
      <w:lvlJc w:val="left"/>
      <w:pPr>
        <w:ind w:left="1651" w:hanging="360"/>
      </w:pPr>
    </w:lvl>
    <w:lvl w:ilvl="2" w:tplc="0409001B" w:tentative="1">
      <w:start w:val="1"/>
      <w:numFmt w:val="lowerRoman"/>
      <w:lvlText w:val="%3."/>
      <w:lvlJc w:val="right"/>
      <w:pPr>
        <w:ind w:left="2371" w:hanging="180"/>
      </w:pPr>
    </w:lvl>
    <w:lvl w:ilvl="3" w:tplc="0409000F" w:tentative="1">
      <w:start w:val="1"/>
      <w:numFmt w:val="decimal"/>
      <w:lvlText w:val="%4."/>
      <w:lvlJc w:val="left"/>
      <w:pPr>
        <w:ind w:left="3091" w:hanging="360"/>
      </w:pPr>
    </w:lvl>
    <w:lvl w:ilvl="4" w:tplc="04090019" w:tentative="1">
      <w:start w:val="1"/>
      <w:numFmt w:val="lowerLetter"/>
      <w:lvlText w:val="%5."/>
      <w:lvlJc w:val="left"/>
      <w:pPr>
        <w:ind w:left="3811" w:hanging="360"/>
      </w:pPr>
    </w:lvl>
    <w:lvl w:ilvl="5" w:tplc="0409001B" w:tentative="1">
      <w:start w:val="1"/>
      <w:numFmt w:val="lowerRoman"/>
      <w:lvlText w:val="%6."/>
      <w:lvlJc w:val="right"/>
      <w:pPr>
        <w:ind w:left="4531" w:hanging="180"/>
      </w:pPr>
    </w:lvl>
    <w:lvl w:ilvl="6" w:tplc="0409000F" w:tentative="1">
      <w:start w:val="1"/>
      <w:numFmt w:val="decimal"/>
      <w:lvlText w:val="%7."/>
      <w:lvlJc w:val="left"/>
      <w:pPr>
        <w:ind w:left="5251" w:hanging="360"/>
      </w:pPr>
    </w:lvl>
    <w:lvl w:ilvl="7" w:tplc="04090019" w:tentative="1">
      <w:start w:val="1"/>
      <w:numFmt w:val="lowerLetter"/>
      <w:lvlText w:val="%8."/>
      <w:lvlJc w:val="left"/>
      <w:pPr>
        <w:ind w:left="5971" w:hanging="360"/>
      </w:pPr>
    </w:lvl>
    <w:lvl w:ilvl="8" w:tplc="0409001B" w:tentative="1">
      <w:start w:val="1"/>
      <w:numFmt w:val="lowerRoman"/>
      <w:lvlText w:val="%9."/>
      <w:lvlJc w:val="right"/>
      <w:pPr>
        <w:ind w:left="6691" w:hanging="180"/>
      </w:pPr>
    </w:lvl>
  </w:abstractNum>
  <w:abstractNum w:abstractNumId="52" w15:restartNumberingAfterBreak="0">
    <w:nsid w:val="4F3D0A70"/>
    <w:multiLevelType w:val="hybridMultilevel"/>
    <w:tmpl w:val="3984F492"/>
    <w:lvl w:ilvl="0" w:tplc="33047A92">
      <w:start w:val="1"/>
      <w:numFmt w:val="bullet"/>
      <w:pStyle w:val="Bullet1"/>
      <w:lvlText w:val=""/>
      <w:lvlJc w:val="left"/>
      <w:pPr>
        <w:ind w:left="1287" w:hanging="360"/>
      </w:pPr>
      <w:rPr>
        <w:rFonts w:ascii="Symbol" w:hAnsi="Symbol" w:hint="default"/>
      </w:rPr>
    </w:lvl>
    <w:lvl w:ilvl="1" w:tplc="F2682400">
      <w:numFmt w:val="bullet"/>
      <w:lvlText w:val="•"/>
      <w:lvlJc w:val="left"/>
      <w:pPr>
        <w:ind w:left="2007" w:hanging="360"/>
      </w:pPr>
      <w:rPr>
        <w:rFonts w:ascii="GHEA Grapalat" w:eastAsia="Times New Roman" w:hAnsi="GHEA Grapalat" w:cs="Aria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3" w15:restartNumberingAfterBreak="0">
    <w:nsid w:val="51154DB5"/>
    <w:multiLevelType w:val="hybridMultilevel"/>
    <w:tmpl w:val="2FC854C2"/>
    <w:lvl w:ilvl="0" w:tplc="16E6CDD0">
      <w:start w:val="1"/>
      <w:numFmt w:val="decimal"/>
      <w:pStyle w:val="Charts"/>
      <w:lvlText w:val="Գծապատկեր %1."/>
      <w:lvlJc w:val="left"/>
      <w:pPr>
        <w:ind w:left="1170" w:hanging="360"/>
      </w:pPr>
      <w:rPr>
        <w:rFonts w:ascii="GHEA Grapalat" w:hAnsi="GHEA Grapalat" w:hint="default"/>
        <w:sz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4" w15:restartNumberingAfterBreak="0">
    <w:nsid w:val="515F69EC"/>
    <w:multiLevelType w:val="hybridMultilevel"/>
    <w:tmpl w:val="064C1304"/>
    <w:lvl w:ilvl="0" w:tplc="243EDE2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18C3415"/>
    <w:multiLevelType w:val="hybridMultilevel"/>
    <w:tmpl w:val="E3E46468"/>
    <w:lvl w:ilvl="0" w:tplc="7EA641B4">
      <w:start w:val="2020"/>
      <w:numFmt w:val="decimal"/>
      <w:lvlText w:val="%1"/>
      <w:lvlJc w:val="left"/>
      <w:pPr>
        <w:ind w:left="1050" w:hanging="51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6" w15:restartNumberingAfterBreak="0">
    <w:nsid w:val="536E5E74"/>
    <w:multiLevelType w:val="hybridMultilevel"/>
    <w:tmpl w:val="9850D4EC"/>
    <w:lvl w:ilvl="0" w:tplc="C56688C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4CC6278"/>
    <w:multiLevelType w:val="hybridMultilevel"/>
    <w:tmpl w:val="CFBCF5D2"/>
    <w:lvl w:ilvl="0" w:tplc="C56688CE">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554E54D3"/>
    <w:multiLevelType w:val="hybridMultilevel"/>
    <w:tmpl w:val="65EECB12"/>
    <w:lvl w:ilvl="0" w:tplc="C56688CE">
      <w:start w:val="1"/>
      <w:numFmt w:val="bullet"/>
      <w:lvlText w:val="-"/>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6247228"/>
    <w:multiLevelType w:val="hybridMultilevel"/>
    <w:tmpl w:val="69C88C5A"/>
    <w:lvl w:ilvl="0" w:tplc="04190001">
      <w:numFmt w:val="bullet"/>
      <w:pStyle w:val="BodyText1"/>
      <w:lvlText w:val="-"/>
      <w:lvlJc w:val="left"/>
      <w:pPr>
        <w:tabs>
          <w:tab w:val="num" w:pos="360"/>
        </w:tabs>
        <w:ind w:left="0" w:firstLine="0"/>
      </w:pPr>
      <w:rPr>
        <w:rFonts w:ascii="Times Armenian" w:eastAsia="Times New Roman" w:hAnsi="Times Armeni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7187EFA"/>
    <w:multiLevelType w:val="hybridMultilevel"/>
    <w:tmpl w:val="060EC338"/>
    <w:lvl w:ilvl="0" w:tplc="5ED8FEF2">
      <w:start w:val="1"/>
      <w:numFmt w:val="bullet"/>
      <w:lvlText w:val="-"/>
      <w:lvlJc w:val="left"/>
      <w:pPr>
        <w:ind w:left="720" w:hanging="360"/>
      </w:pPr>
      <w:rPr>
        <w:rFonts w:ascii="Times Armenian" w:eastAsia="Times New Roman" w:hAnsi="Times Armeni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7A92C9B"/>
    <w:multiLevelType w:val="hybridMultilevel"/>
    <w:tmpl w:val="7B003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8981591"/>
    <w:multiLevelType w:val="hybridMultilevel"/>
    <w:tmpl w:val="09A43E3A"/>
    <w:lvl w:ilvl="0" w:tplc="04190001">
      <w:start w:val="1"/>
      <w:numFmt w:val="bullet"/>
      <w:pStyle w:val="ListDash"/>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A122468"/>
    <w:multiLevelType w:val="hybridMultilevel"/>
    <w:tmpl w:val="91DAC6B8"/>
    <w:lvl w:ilvl="0" w:tplc="992EE318">
      <w:numFmt w:val="bullet"/>
      <w:lvlText w:val="-"/>
      <w:lvlJc w:val="left"/>
      <w:pPr>
        <w:ind w:left="360" w:hanging="360"/>
      </w:pPr>
      <w:rPr>
        <w:rFonts w:ascii="GHEA Grapalat" w:eastAsia="Times New Roman" w:hAnsi="GHEA Grapala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B0F2997"/>
    <w:multiLevelType w:val="hybridMultilevel"/>
    <w:tmpl w:val="704E02BE"/>
    <w:lvl w:ilvl="0" w:tplc="8FC4D916">
      <w:start w:val="1"/>
      <w:numFmt w:val="bullet"/>
      <w:pStyle w:val="CM31"/>
      <w:lvlText w:val=""/>
      <w:lvlJc w:val="left"/>
      <w:pPr>
        <w:tabs>
          <w:tab w:val="num" w:pos="1429"/>
        </w:tabs>
        <w:ind w:left="1429" w:hanging="360"/>
      </w:pPr>
      <w:rPr>
        <w:rFonts w:ascii="Symbol" w:hAnsi="Symbol" w:hint="default"/>
      </w:rPr>
    </w:lvl>
    <w:lvl w:ilvl="1" w:tplc="04090019" w:tentative="1">
      <w:start w:val="1"/>
      <w:numFmt w:val="bullet"/>
      <w:lvlText w:val="o"/>
      <w:lvlJc w:val="left"/>
      <w:pPr>
        <w:tabs>
          <w:tab w:val="num" w:pos="2149"/>
        </w:tabs>
        <w:ind w:left="2149" w:hanging="360"/>
      </w:pPr>
      <w:rPr>
        <w:rFonts w:ascii="Courier New" w:hAnsi="Courier New" w:cs="Courier New" w:hint="default"/>
      </w:rPr>
    </w:lvl>
    <w:lvl w:ilvl="2" w:tplc="0409001B" w:tentative="1">
      <w:start w:val="1"/>
      <w:numFmt w:val="bullet"/>
      <w:lvlText w:val=""/>
      <w:lvlJc w:val="left"/>
      <w:pPr>
        <w:tabs>
          <w:tab w:val="num" w:pos="2869"/>
        </w:tabs>
        <w:ind w:left="2869" w:hanging="360"/>
      </w:pPr>
      <w:rPr>
        <w:rFonts w:ascii="Wingdings" w:hAnsi="Wingdings" w:hint="default"/>
      </w:rPr>
    </w:lvl>
    <w:lvl w:ilvl="3" w:tplc="0409000F" w:tentative="1">
      <w:start w:val="1"/>
      <w:numFmt w:val="bullet"/>
      <w:lvlText w:val=""/>
      <w:lvlJc w:val="left"/>
      <w:pPr>
        <w:tabs>
          <w:tab w:val="num" w:pos="3589"/>
        </w:tabs>
        <w:ind w:left="3589" w:hanging="360"/>
      </w:pPr>
      <w:rPr>
        <w:rFonts w:ascii="Symbol" w:hAnsi="Symbol" w:hint="default"/>
      </w:rPr>
    </w:lvl>
    <w:lvl w:ilvl="4" w:tplc="04090019" w:tentative="1">
      <w:start w:val="1"/>
      <w:numFmt w:val="bullet"/>
      <w:lvlText w:val="o"/>
      <w:lvlJc w:val="left"/>
      <w:pPr>
        <w:tabs>
          <w:tab w:val="num" w:pos="4309"/>
        </w:tabs>
        <w:ind w:left="4309" w:hanging="360"/>
      </w:pPr>
      <w:rPr>
        <w:rFonts w:ascii="Courier New" w:hAnsi="Courier New" w:cs="Courier New" w:hint="default"/>
      </w:rPr>
    </w:lvl>
    <w:lvl w:ilvl="5" w:tplc="0409001B" w:tentative="1">
      <w:start w:val="1"/>
      <w:numFmt w:val="bullet"/>
      <w:lvlText w:val=""/>
      <w:lvlJc w:val="left"/>
      <w:pPr>
        <w:tabs>
          <w:tab w:val="num" w:pos="5029"/>
        </w:tabs>
        <w:ind w:left="5029" w:hanging="360"/>
      </w:pPr>
      <w:rPr>
        <w:rFonts w:ascii="Wingdings" w:hAnsi="Wingdings" w:hint="default"/>
      </w:rPr>
    </w:lvl>
    <w:lvl w:ilvl="6" w:tplc="0409000F" w:tentative="1">
      <w:start w:val="1"/>
      <w:numFmt w:val="bullet"/>
      <w:lvlText w:val=""/>
      <w:lvlJc w:val="left"/>
      <w:pPr>
        <w:tabs>
          <w:tab w:val="num" w:pos="5749"/>
        </w:tabs>
        <w:ind w:left="5749" w:hanging="360"/>
      </w:pPr>
      <w:rPr>
        <w:rFonts w:ascii="Symbol" w:hAnsi="Symbol" w:hint="default"/>
      </w:rPr>
    </w:lvl>
    <w:lvl w:ilvl="7" w:tplc="04090019" w:tentative="1">
      <w:start w:val="1"/>
      <w:numFmt w:val="bullet"/>
      <w:lvlText w:val="o"/>
      <w:lvlJc w:val="left"/>
      <w:pPr>
        <w:tabs>
          <w:tab w:val="num" w:pos="6469"/>
        </w:tabs>
        <w:ind w:left="6469" w:hanging="360"/>
      </w:pPr>
      <w:rPr>
        <w:rFonts w:ascii="Courier New" w:hAnsi="Courier New" w:cs="Courier New" w:hint="default"/>
      </w:rPr>
    </w:lvl>
    <w:lvl w:ilvl="8" w:tplc="0409001B" w:tentative="1">
      <w:start w:val="1"/>
      <w:numFmt w:val="bullet"/>
      <w:lvlText w:val=""/>
      <w:lvlJc w:val="left"/>
      <w:pPr>
        <w:tabs>
          <w:tab w:val="num" w:pos="7189"/>
        </w:tabs>
        <w:ind w:left="7189" w:hanging="360"/>
      </w:pPr>
      <w:rPr>
        <w:rFonts w:ascii="Wingdings" w:hAnsi="Wingdings" w:hint="default"/>
      </w:rPr>
    </w:lvl>
  </w:abstractNum>
  <w:abstractNum w:abstractNumId="65" w15:restartNumberingAfterBreak="0">
    <w:nsid w:val="5B4A6EA8"/>
    <w:multiLevelType w:val="multilevel"/>
    <w:tmpl w:val="4BB02B4E"/>
    <w:lvl w:ilvl="0">
      <w:start w:val="1"/>
      <w:numFmt w:val="decimal"/>
      <w:pStyle w:val="Numberedtext"/>
      <w:lvlText w:val="%1."/>
      <w:lvlJc w:val="left"/>
      <w:pPr>
        <w:tabs>
          <w:tab w:val="num" w:pos="1004"/>
        </w:tabs>
        <w:ind w:left="1004" w:hanging="284"/>
      </w:pPr>
      <w:rPr>
        <w:rFonts w:cs="Times New Roman" w:hint="default"/>
      </w:rPr>
    </w:lvl>
    <w:lvl w:ilvl="1">
      <w:start w:val="1"/>
      <w:numFmt w:val="lowerLetter"/>
      <w:lvlText w:val="%2."/>
      <w:lvlJc w:val="left"/>
      <w:pPr>
        <w:tabs>
          <w:tab w:val="num" w:pos="1287"/>
        </w:tabs>
        <w:ind w:left="1287" w:hanging="283"/>
      </w:pPr>
      <w:rPr>
        <w:rFonts w:cs="Times New Roman" w:hint="default"/>
      </w:rPr>
    </w:lvl>
    <w:lvl w:ilvl="2">
      <w:start w:val="1"/>
      <w:numFmt w:val="lowerRoman"/>
      <w:lvlText w:val="%3."/>
      <w:lvlJc w:val="left"/>
      <w:pPr>
        <w:tabs>
          <w:tab w:val="num" w:pos="1571"/>
        </w:tabs>
        <w:ind w:left="1571" w:hanging="284"/>
      </w:pPr>
      <w:rPr>
        <w:rFonts w:cs="Times New Roman" w:hint="default"/>
      </w:rPr>
    </w:lvl>
    <w:lvl w:ilvl="3">
      <w:start w:val="1"/>
      <w:numFmt w:val="none"/>
      <w:lvlText w:val=""/>
      <w:lvlJc w:val="left"/>
      <w:pPr>
        <w:tabs>
          <w:tab w:val="num" w:pos="1571"/>
        </w:tabs>
        <w:ind w:left="1571"/>
      </w:pPr>
      <w:rPr>
        <w:rFonts w:cs="Times New Roman" w:hint="default"/>
      </w:rPr>
    </w:lvl>
    <w:lvl w:ilvl="4">
      <w:start w:val="1"/>
      <w:numFmt w:val="none"/>
      <w:lvlText w:val=""/>
      <w:lvlJc w:val="left"/>
      <w:pPr>
        <w:tabs>
          <w:tab w:val="num" w:pos="1571"/>
        </w:tabs>
        <w:ind w:left="1571"/>
      </w:pPr>
      <w:rPr>
        <w:rFonts w:cs="Times New Roman" w:hint="default"/>
      </w:rPr>
    </w:lvl>
    <w:lvl w:ilvl="5">
      <w:start w:val="1"/>
      <w:numFmt w:val="none"/>
      <w:lvlText w:val=""/>
      <w:lvlJc w:val="left"/>
      <w:pPr>
        <w:tabs>
          <w:tab w:val="num" w:pos="1571"/>
        </w:tabs>
        <w:ind w:left="1571"/>
      </w:pPr>
      <w:rPr>
        <w:rFonts w:cs="Times New Roman" w:hint="default"/>
      </w:rPr>
    </w:lvl>
    <w:lvl w:ilvl="6">
      <w:start w:val="1"/>
      <w:numFmt w:val="none"/>
      <w:lvlText w:val=""/>
      <w:lvlJc w:val="left"/>
      <w:pPr>
        <w:tabs>
          <w:tab w:val="num" w:pos="1571"/>
        </w:tabs>
        <w:ind w:left="1571"/>
      </w:pPr>
      <w:rPr>
        <w:rFonts w:cs="Times New Roman" w:hint="default"/>
      </w:rPr>
    </w:lvl>
    <w:lvl w:ilvl="7">
      <w:start w:val="1"/>
      <w:numFmt w:val="none"/>
      <w:lvlText w:val=""/>
      <w:lvlJc w:val="left"/>
      <w:pPr>
        <w:tabs>
          <w:tab w:val="num" w:pos="1571"/>
        </w:tabs>
        <w:ind w:left="1571"/>
      </w:pPr>
      <w:rPr>
        <w:rFonts w:cs="Times New Roman" w:hint="default"/>
      </w:rPr>
    </w:lvl>
    <w:lvl w:ilvl="8">
      <w:start w:val="1"/>
      <w:numFmt w:val="none"/>
      <w:lvlRestart w:val="0"/>
      <w:lvlText w:val=""/>
      <w:lvlJc w:val="left"/>
      <w:pPr>
        <w:tabs>
          <w:tab w:val="num" w:pos="1571"/>
        </w:tabs>
        <w:ind w:left="1571"/>
      </w:pPr>
      <w:rPr>
        <w:rFonts w:cs="Times New Roman" w:hint="default"/>
      </w:rPr>
    </w:lvl>
  </w:abstractNum>
  <w:abstractNum w:abstractNumId="66" w15:restartNumberingAfterBreak="0">
    <w:nsid w:val="5B5F231B"/>
    <w:multiLevelType w:val="hybridMultilevel"/>
    <w:tmpl w:val="D9B69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CCC4F2A"/>
    <w:multiLevelType w:val="hybridMultilevel"/>
    <w:tmpl w:val="AE72CE94"/>
    <w:lvl w:ilvl="0" w:tplc="C56688C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FB455F6"/>
    <w:multiLevelType w:val="hybridMultilevel"/>
    <w:tmpl w:val="362ED3A4"/>
    <w:lvl w:ilvl="0" w:tplc="C56688CE">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6338255C"/>
    <w:multiLevelType w:val="hybridMultilevel"/>
    <w:tmpl w:val="F74E0198"/>
    <w:lvl w:ilvl="0" w:tplc="040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0" w15:restartNumberingAfterBreak="0">
    <w:nsid w:val="649E436A"/>
    <w:multiLevelType w:val="hybridMultilevel"/>
    <w:tmpl w:val="51B28F1A"/>
    <w:lvl w:ilvl="0" w:tplc="78B647A6">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1" w15:restartNumberingAfterBreak="0">
    <w:nsid w:val="64F44059"/>
    <w:multiLevelType w:val="hybridMultilevel"/>
    <w:tmpl w:val="D8CC88E0"/>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58D1367"/>
    <w:multiLevelType w:val="hybridMultilevel"/>
    <w:tmpl w:val="87FEA1AA"/>
    <w:lvl w:ilvl="0" w:tplc="A588E60C">
      <w:start w:val="1"/>
      <w:numFmt w:val="decimal"/>
      <w:pStyle w:val="Tables"/>
      <w:lvlText w:val="Աղյուսակ %1."/>
      <w:lvlJc w:val="left"/>
      <w:pPr>
        <w:ind w:left="1710" w:hanging="360"/>
      </w:pPr>
      <w:rPr>
        <w:rFonts w:ascii="GHEA Grapalat" w:hAnsi="GHEA Grapalat" w:hint="default"/>
        <w:b/>
        <w:i w:val="0"/>
        <w:sz w:val="22"/>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3" w15:restartNumberingAfterBreak="0">
    <w:nsid w:val="6675729F"/>
    <w:multiLevelType w:val="hybridMultilevel"/>
    <w:tmpl w:val="027C8F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8555FA2"/>
    <w:multiLevelType w:val="hybridMultilevel"/>
    <w:tmpl w:val="4B72DA48"/>
    <w:lvl w:ilvl="0" w:tplc="C56688CE">
      <w:start w:val="1"/>
      <w:numFmt w:val="bullet"/>
      <w:lvlText w:val="-"/>
      <w:lvlJc w:val="left"/>
      <w:pPr>
        <w:ind w:left="1166" w:hanging="360"/>
      </w:pPr>
      <w:rPr>
        <w:rFonts w:ascii="Calibri" w:eastAsia="Calibri" w:hAnsi="Calibri" w:cs="Times New Roman"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75" w15:restartNumberingAfterBreak="0">
    <w:nsid w:val="690B1532"/>
    <w:multiLevelType w:val="hybridMultilevel"/>
    <w:tmpl w:val="2C1A4BEC"/>
    <w:lvl w:ilvl="0" w:tplc="5A4EC070">
      <w:start w:val="2020"/>
      <w:numFmt w:val="decimal"/>
      <w:lvlText w:val="%1"/>
      <w:lvlJc w:val="left"/>
      <w:pPr>
        <w:ind w:left="960" w:hanging="51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6" w15:restartNumberingAfterBreak="0">
    <w:nsid w:val="69215923"/>
    <w:multiLevelType w:val="hybridMultilevel"/>
    <w:tmpl w:val="9E92D408"/>
    <w:lvl w:ilvl="0" w:tplc="FFFFFFFF">
      <w:start w:val="110"/>
      <w:numFmt w:val="bullet"/>
      <w:pStyle w:val="PlainText"/>
      <w:lvlText w:val="-"/>
      <w:lvlJc w:val="left"/>
      <w:pPr>
        <w:tabs>
          <w:tab w:val="num" w:pos="540"/>
        </w:tabs>
        <w:ind w:left="540" w:hanging="360"/>
      </w:pPr>
      <w:rPr>
        <w:rFonts w:ascii="Times Armenian" w:eastAsia="Times New Roman" w:hAnsi="Times Armeni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96C1B2A"/>
    <w:multiLevelType w:val="hybridMultilevel"/>
    <w:tmpl w:val="7E1A29F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8" w15:restartNumberingAfterBreak="0">
    <w:nsid w:val="6ABB4524"/>
    <w:multiLevelType w:val="hybridMultilevel"/>
    <w:tmpl w:val="831688D4"/>
    <w:lvl w:ilvl="0" w:tplc="0419000F">
      <w:start w:val="1"/>
      <w:numFmt w:val="bullet"/>
      <w:pStyle w:val="StyleHeading2ParanumTextLef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D56531F"/>
    <w:multiLevelType w:val="hybridMultilevel"/>
    <w:tmpl w:val="23362A6A"/>
    <w:lvl w:ilvl="0" w:tplc="C56688CE">
      <w:start w:val="1"/>
      <w:numFmt w:val="bullet"/>
      <w:lvlText w:val="-"/>
      <w:lvlJc w:val="left"/>
      <w:pPr>
        <w:ind w:left="1170" w:hanging="360"/>
      </w:pPr>
      <w:rPr>
        <w:rFonts w:ascii="Calibri" w:eastAsia="Calibri" w:hAnsi="Calibri" w:cs="Times New Roman"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80" w15:restartNumberingAfterBreak="0">
    <w:nsid w:val="6DF945E1"/>
    <w:multiLevelType w:val="hybridMultilevel"/>
    <w:tmpl w:val="3FEA7236"/>
    <w:lvl w:ilvl="0" w:tplc="5ED8FEF2">
      <w:start w:val="1"/>
      <w:numFmt w:val="bullet"/>
      <w:pStyle w:val="ListBullet2"/>
      <w:lvlText w:val="-"/>
      <w:lvlJc w:val="left"/>
      <w:pPr>
        <w:ind w:left="720" w:hanging="360"/>
      </w:pPr>
      <w:rPr>
        <w:rFonts w:ascii="Times Armenian" w:eastAsia="Times New Roman" w:hAnsi="Times Armeni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FA96BA5"/>
    <w:multiLevelType w:val="hybridMultilevel"/>
    <w:tmpl w:val="BE3C9970"/>
    <w:lvl w:ilvl="0" w:tplc="C56688C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35268B4"/>
    <w:multiLevelType w:val="multilevel"/>
    <w:tmpl w:val="BACCD64C"/>
    <w:lvl w:ilvl="0">
      <w:start w:val="1"/>
      <w:numFmt w:val="decimal"/>
      <w:lvlText w:val="%1."/>
      <w:lvlJc w:val="left"/>
      <w:pPr>
        <w:ind w:left="7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3" w15:restartNumberingAfterBreak="0">
    <w:nsid w:val="74646388"/>
    <w:multiLevelType w:val="hybridMultilevel"/>
    <w:tmpl w:val="BFEA2036"/>
    <w:lvl w:ilvl="0" w:tplc="C56688CE">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15:restartNumberingAfterBreak="0">
    <w:nsid w:val="76986F38"/>
    <w:multiLevelType w:val="hybridMultilevel"/>
    <w:tmpl w:val="0964C3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9E63B9D"/>
    <w:multiLevelType w:val="hybridMultilevel"/>
    <w:tmpl w:val="640CB1E4"/>
    <w:lvl w:ilvl="0" w:tplc="0409000D">
      <w:start w:val="1"/>
      <w:numFmt w:val="bullet"/>
      <w:lvlText w:val=""/>
      <w:lvlJc w:val="left"/>
      <w:pPr>
        <w:tabs>
          <w:tab w:val="num" w:pos="990"/>
        </w:tabs>
        <w:ind w:left="990" w:hanging="360"/>
      </w:pPr>
      <w:rPr>
        <w:rFonts w:ascii="Wingdings" w:hAnsi="Wingdings"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86" w15:restartNumberingAfterBreak="0">
    <w:nsid w:val="79E766EF"/>
    <w:multiLevelType w:val="hybridMultilevel"/>
    <w:tmpl w:val="8C46C504"/>
    <w:lvl w:ilvl="0" w:tplc="3B220CC6">
      <w:start w:val="2020"/>
      <w:numFmt w:val="decimal"/>
      <w:lvlText w:val="%1"/>
      <w:lvlJc w:val="left"/>
      <w:pPr>
        <w:ind w:left="960" w:hanging="51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7" w15:restartNumberingAfterBreak="0">
    <w:nsid w:val="7A042C27"/>
    <w:multiLevelType w:val="hybridMultilevel"/>
    <w:tmpl w:val="1F30DB82"/>
    <w:lvl w:ilvl="0" w:tplc="0A5229AC">
      <w:start w:val="1"/>
      <w:numFmt w:val="decimal"/>
      <w:pStyle w:val="Tex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D225FE7"/>
    <w:multiLevelType w:val="hybridMultilevel"/>
    <w:tmpl w:val="DBCA50E6"/>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0"/>
  </w:num>
  <w:num w:numId="3">
    <w:abstractNumId w:val="87"/>
  </w:num>
  <w:num w:numId="4">
    <w:abstractNumId w:val="78"/>
  </w:num>
  <w:num w:numId="5">
    <w:abstractNumId w:val="64"/>
  </w:num>
  <w:num w:numId="6">
    <w:abstractNumId w:val="62"/>
  </w:num>
  <w:num w:numId="7">
    <w:abstractNumId w:val="59"/>
  </w:num>
  <w:num w:numId="8">
    <w:abstractNumId w:val="3"/>
  </w:num>
  <w:num w:numId="9">
    <w:abstractNumId w:val="0"/>
  </w:num>
  <w:num w:numId="10">
    <w:abstractNumId w:val="65"/>
  </w:num>
  <w:num w:numId="11">
    <w:abstractNumId w:val="43"/>
  </w:num>
  <w:num w:numId="12">
    <w:abstractNumId w:val="76"/>
  </w:num>
  <w:num w:numId="13">
    <w:abstractNumId w:val="52"/>
  </w:num>
  <w:num w:numId="14">
    <w:abstractNumId w:val="45"/>
  </w:num>
  <w:num w:numId="15">
    <w:abstractNumId w:val="11"/>
  </w:num>
  <w:num w:numId="16">
    <w:abstractNumId w:val="20"/>
  </w:num>
  <w:num w:numId="17">
    <w:abstractNumId w:val="72"/>
  </w:num>
  <w:num w:numId="18">
    <w:abstractNumId w:val="53"/>
  </w:num>
  <w:num w:numId="19">
    <w:abstractNumId w:val="60"/>
  </w:num>
  <w:num w:numId="20">
    <w:abstractNumId w:val="18"/>
  </w:num>
  <w:num w:numId="21">
    <w:abstractNumId w:val="51"/>
  </w:num>
  <w:num w:numId="22">
    <w:abstractNumId w:val="7"/>
  </w:num>
  <w:num w:numId="23">
    <w:abstractNumId w:val="35"/>
  </w:num>
  <w:num w:numId="24">
    <w:abstractNumId w:val="49"/>
  </w:num>
  <w:num w:numId="25">
    <w:abstractNumId w:val="21"/>
  </w:num>
  <w:num w:numId="26">
    <w:abstractNumId w:val="39"/>
  </w:num>
  <w:num w:numId="27">
    <w:abstractNumId w:val="70"/>
  </w:num>
  <w:num w:numId="28">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85"/>
  </w:num>
  <w:num w:numId="31">
    <w:abstractNumId w:val="71"/>
  </w:num>
  <w:num w:numId="32">
    <w:abstractNumId w:val="30"/>
  </w:num>
  <w:num w:numId="33">
    <w:abstractNumId w:val="17"/>
  </w:num>
  <w:num w:numId="34">
    <w:abstractNumId w:val="46"/>
  </w:num>
  <w:num w:numId="35">
    <w:abstractNumId w:val="69"/>
  </w:num>
  <w:num w:numId="36">
    <w:abstractNumId w:val="57"/>
  </w:num>
  <w:num w:numId="37">
    <w:abstractNumId w:val="22"/>
  </w:num>
  <w:num w:numId="38">
    <w:abstractNumId w:val="5"/>
  </w:num>
  <w:num w:numId="39">
    <w:abstractNumId w:val="68"/>
  </w:num>
  <w:num w:numId="40">
    <w:abstractNumId w:val="2"/>
  </w:num>
  <w:num w:numId="41">
    <w:abstractNumId w:val="83"/>
  </w:num>
  <w:num w:numId="42">
    <w:abstractNumId w:val="38"/>
  </w:num>
  <w:num w:numId="43">
    <w:abstractNumId w:val="1"/>
  </w:num>
  <w:num w:numId="44">
    <w:abstractNumId w:val="40"/>
  </w:num>
  <w:num w:numId="45">
    <w:abstractNumId w:val="41"/>
  </w:num>
  <w:num w:numId="46">
    <w:abstractNumId w:val="19"/>
  </w:num>
  <w:num w:numId="47">
    <w:abstractNumId w:val="66"/>
  </w:num>
  <w:num w:numId="48">
    <w:abstractNumId w:val="48"/>
  </w:num>
  <w:num w:numId="49">
    <w:abstractNumId w:val="77"/>
  </w:num>
  <w:num w:numId="50">
    <w:abstractNumId w:val="84"/>
  </w:num>
  <w:num w:numId="51">
    <w:abstractNumId w:val="34"/>
  </w:num>
  <w:num w:numId="52">
    <w:abstractNumId w:val="9"/>
  </w:num>
  <w:num w:numId="53">
    <w:abstractNumId w:val="47"/>
  </w:num>
  <w:num w:numId="54">
    <w:abstractNumId w:val="6"/>
  </w:num>
  <w:num w:numId="55">
    <w:abstractNumId w:val="56"/>
  </w:num>
  <w:num w:numId="56">
    <w:abstractNumId w:val="28"/>
  </w:num>
  <w:num w:numId="57">
    <w:abstractNumId w:val="58"/>
  </w:num>
  <w:num w:numId="58">
    <w:abstractNumId w:val="25"/>
  </w:num>
  <w:num w:numId="59">
    <w:abstractNumId w:val="63"/>
  </w:num>
  <w:num w:numId="60">
    <w:abstractNumId w:val="54"/>
  </w:num>
  <w:num w:numId="61">
    <w:abstractNumId w:val="67"/>
  </w:num>
  <w:num w:numId="62">
    <w:abstractNumId w:val="12"/>
  </w:num>
  <w:num w:numId="63">
    <w:abstractNumId w:val="29"/>
  </w:num>
  <w:num w:numId="64">
    <w:abstractNumId w:val="32"/>
  </w:num>
  <w:num w:numId="65">
    <w:abstractNumId w:val="27"/>
  </w:num>
  <w:num w:numId="66">
    <w:abstractNumId w:val="81"/>
  </w:num>
  <w:num w:numId="67">
    <w:abstractNumId w:val="75"/>
  </w:num>
  <w:num w:numId="68">
    <w:abstractNumId w:val="86"/>
  </w:num>
  <w:num w:numId="69">
    <w:abstractNumId w:val="55"/>
  </w:num>
  <w:num w:numId="70">
    <w:abstractNumId w:val="14"/>
  </w:num>
  <w:num w:numId="71">
    <w:abstractNumId w:val="74"/>
  </w:num>
  <w:num w:numId="72">
    <w:abstractNumId w:val="8"/>
  </w:num>
  <w:num w:numId="73">
    <w:abstractNumId w:val="23"/>
  </w:num>
  <w:num w:numId="74">
    <w:abstractNumId w:val="16"/>
  </w:num>
  <w:num w:numId="75">
    <w:abstractNumId w:val="33"/>
  </w:num>
  <w:num w:numId="76">
    <w:abstractNumId w:val="24"/>
  </w:num>
  <w:num w:numId="77">
    <w:abstractNumId w:val="31"/>
  </w:num>
  <w:num w:numId="78">
    <w:abstractNumId w:val="88"/>
  </w:num>
  <w:num w:numId="79">
    <w:abstractNumId w:val="44"/>
  </w:num>
  <w:num w:numId="80">
    <w:abstractNumId w:val="42"/>
  </w:num>
  <w:num w:numId="81">
    <w:abstractNumId w:val="36"/>
  </w:num>
  <w:num w:numId="82">
    <w:abstractNumId w:val="13"/>
  </w:num>
  <w:num w:numId="83">
    <w:abstractNumId w:val="73"/>
  </w:num>
  <w:num w:numId="84">
    <w:abstractNumId w:val="4"/>
  </w:num>
  <w:num w:numId="85">
    <w:abstractNumId w:val="10"/>
  </w:num>
  <w:num w:numId="86">
    <w:abstractNumId w:val="82"/>
  </w:num>
  <w:num w:numId="87">
    <w:abstractNumId w:val="61"/>
  </w:num>
  <w:num w:numId="88">
    <w:abstractNumId w:val="5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712"/>
    <w:rsid w:val="00000C04"/>
    <w:rsid w:val="00000E2D"/>
    <w:rsid w:val="0000131E"/>
    <w:rsid w:val="00001792"/>
    <w:rsid w:val="00001EB0"/>
    <w:rsid w:val="00002163"/>
    <w:rsid w:val="00002289"/>
    <w:rsid w:val="00002BFC"/>
    <w:rsid w:val="000030DA"/>
    <w:rsid w:val="00003327"/>
    <w:rsid w:val="000045D9"/>
    <w:rsid w:val="000048AC"/>
    <w:rsid w:val="00004A4C"/>
    <w:rsid w:val="00004B36"/>
    <w:rsid w:val="00004B4A"/>
    <w:rsid w:val="000056C3"/>
    <w:rsid w:val="00006265"/>
    <w:rsid w:val="000068F4"/>
    <w:rsid w:val="00006BCE"/>
    <w:rsid w:val="00006FF5"/>
    <w:rsid w:val="0000757E"/>
    <w:rsid w:val="000076AD"/>
    <w:rsid w:val="00007A08"/>
    <w:rsid w:val="00007BB6"/>
    <w:rsid w:val="000102B4"/>
    <w:rsid w:val="0001133C"/>
    <w:rsid w:val="00011747"/>
    <w:rsid w:val="00011E49"/>
    <w:rsid w:val="00012290"/>
    <w:rsid w:val="0001311A"/>
    <w:rsid w:val="0001324E"/>
    <w:rsid w:val="00013809"/>
    <w:rsid w:val="000139F0"/>
    <w:rsid w:val="00013F46"/>
    <w:rsid w:val="000144D6"/>
    <w:rsid w:val="000147A7"/>
    <w:rsid w:val="000148FC"/>
    <w:rsid w:val="00014A35"/>
    <w:rsid w:val="00014FD2"/>
    <w:rsid w:val="00015B69"/>
    <w:rsid w:val="00015BFA"/>
    <w:rsid w:val="0001623D"/>
    <w:rsid w:val="000163F7"/>
    <w:rsid w:val="00016AEC"/>
    <w:rsid w:val="000173AD"/>
    <w:rsid w:val="0002016C"/>
    <w:rsid w:val="00020693"/>
    <w:rsid w:val="00020CD6"/>
    <w:rsid w:val="00020E3C"/>
    <w:rsid w:val="0002109A"/>
    <w:rsid w:val="00021391"/>
    <w:rsid w:val="000213D2"/>
    <w:rsid w:val="0002170C"/>
    <w:rsid w:val="00023171"/>
    <w:rsid w:val="00023246"/>
    <w:rsid w:val="0002358C"/>
    <w:rsid w:val="0002364A"/>
    <w:rsid w:val="00023911"/>
    <w:rsid w:val="000243EB"/>
    <w:rsid w:val="00024F24"/>
    <w:rsid w:val="0002572A"/>
    <w:rsid w:val="000257D7"/>
    <w:rsid w:val="00025DF2"/>
    <w:rsid w:val="00025E82"/>
    <w:rsid w:val="000266F4"/>
    <w:rsid w:val="00026AFA"/>
    <w:rsid w:val="000271C2"/>
    <w:rsid w:val="00030424"/>
    <w:rsid w:val="00030DB1"/>
    <w:rsid w:val="0003153D"/>
    <w:rsid w:val="00031D3A"/>
    <w:rsid w:val="000321E8"/>
    <w:rsid w:val="00032581"/>
    <w:rsid w:val="00032B9B"/>
    <w:rsid w:val="00033572"/>
    <w:rsid w:val="00033984"/>
    <w:rsid w:val="00033D44"/>
    <w:rsid w:val="0003413E"/>
    <w:rsid w:val="000346B3"/>
    <w:rsid w:val="000347E3"/>
    <w:rsid w:val="00034A9D"/>
    <w:rsid w:val="0003558C"/>
    <w:rsid w:val="00036E13"/>
    <w:rsid w:val="000372BA"/>
    <w:rsid w:val="00037AB5"/>
    <w:rsid w:val="00037AFC"/>
    <w:rsid w:val="00037B1F"/>
    <w:rsid w:val="00037F8A"/>
    <w:rsid w:val="00040371"/>
    <w:rsid w:val="000410F9"/>
    <w:rsid w:val="000414CA"/>
    <w:rsid w:val="000414CC"/>
    <w:rsid w:val="00042787"/>
    <w:rsid w:val="000427F7"/>
    <w:rsid w:val="00042B2E"/>
    <w:rsid w:val="00043388"/>
    <w:rsid w:val="00043421"/>
    <w:rsid w:val="000434B1"/>
    <w:rsid w:val="0004480B"/>
    <w:rsid w:val="00045E3A"/>
    <w:rsid w:val="0004603A"/>
    <w:rsid w:val="0004655D"/>
    <w:rsid w:val="000466B1"/>
    <w:rsid w:val="00046959"/>
    <w:rsid w:val="000473D4"/>
    <w:rsid w:val="00047B46"/>
    <w:rsid w:val="00047C7F"/>
    <w:rsid w:val="000500D2"/>
    <w:rsid w:val="000501A7"/>
    <w:rsid w:val="00050EFF"/>
    <w:rsid w:val="000515D9"/>
    <w:rsid w:val="000516CC"/>
    <w:rsid w:val="00052380"/>
    <w:rsid w:val="0005404C"/>
    <w:rsid w:val="000540D6"/>
    <w:rsid w:val="00055F53"/>
    <w:rsid w:val="00056009"/>
    <w:rsid w:val="00056182"/>
    <w:rsid w:val="00056866"/>
    <w:rsid w:val="000572A2"/>
    <w:rsid w:val="00057632"/>
    <w:rsid w:val="000601EE"/>
    <w:rsid w:val="00060470"/>
    <w:rsid w:val="0006050F"/>
    <w:rsid w:val="00061422"/>
    <w:rsid w:val="000616C1"/>
    <w:rsid w:val="0006181E"/>
    <w:rsid w:val="0006190C"/>
    <w:rsid w:val="00061BFA"/>
    <w:rsid w:val="00061E00"/>
    <w:rsid w:val="00061EB6"/>
    <w:rsid w:val="000621D1"/>
    <w:rsid w:val="00063142"/>
    <w:rsid w:val="00063485"/>
    <w:rsid w:val="00063F7A"/>
    <w:rsid w:val="000648E7"/>
    <w:rsid w:val="000652C0"/>
    <w:rsid w:val="00065E90"/>
    <w:rsid w:val="0006727C"/>
    <w:rsid w:val="0006757C"/>
    <w:rsid w:val="000707D9"/>
    <w:rsid w:val="00070FC3"/>
    <w:rsid w:val="0007137A"/>
    <w:rsid w:val="0007188C"/>
    <w:rsid w:val="00071C2A"/>
    <w:rsid w:val="000725F0"/>
    <w:rsid w:val="00072BEF"/>
    <w:rsid w:val="00073A85"/>
    <w:rsid w:val="00075040"/>
    <w:rsid w:val="000750BE"/>
    <w:rsid w:val="00075431"/>
    <w:rsid w:val="0007665D"/>
    <w:rsid w:val="0007672E"/>
    <w:rsid w:val="00076CE9"/>
    <w:rsid w:val="00076FEA"/>
    <w:rsid w:val="000771B3"/>
    <w:rsid w:val="000776D9"/>
    <w:rsid w:val="000777B6"/>
    <w:rsid w:val="000777E1"/>
    <w:rsid w:val="00080951"/>
    <w:rsid w:val="000822AA"/>
    <w:rsid w:val="00083F38"/>
    <w:rsid w:val="00083F9C"/>
    <w:rsid w:val="00084A46"/>
    <w:rsid w:val="00085490"/>
    <w:rsid w:val="00085A0D"/>
    <w:rsid w:val="00085C56"/>
    <w:rsid w:val="00085D43"/>
    <w:rsid w:val="000864E5"/>
    <w:rsid w:val="00086994"/>
    <w:rsid w:val="00086B99"/>
    <w:rsid w:val="00086E52"/>
    <w:rsid w:val="00086F85"/>
    <w:rsid w:val="000873BC"/>
    <w:rsid w:val="000901E7"/>
    <w:rsid w:val="000904DB"/>
    <w:rsid w:val="00090E74"/>
    <w:rsid w:val="00091448"/>
    <w:rsid w:val="000915B0"/>
    <w:rsid w:val="00091F97"/>
    <w:rsid w:val="00092701"/>
    <w:rsid w:val="000930EC"/>
    <w:rsid w:val="00093193"/>
    <w:rsid w:val="0009342F"/>
    <w:rsid w:val="00093B3A"/>
    <w:rsid w:val="00095686"/>
    <w:rsid w:val="00095699"/>
    <w:rsid w:val="000956EC"/>
    <w:rsid w:val="00095F7E"/>
    <w:rsid w:val="00096AEA"/>
    <w:rsid w:val="000A0FD9"/>
    <w:rsid w:val="000A10A8"/>
    <w:rsid w:val="000A16DA"/>
    <w:rsid w:val="000A24F1"/>
    <w:rsid w:val="000A2F61"/>
    <w:rsid w:val="000A311D"/>
    <w:rsid w:val="000A452F"/>
    <w:rsid w:val="000A4CA2"/>
    <w:rsid w:val="000A4ED8"/>
    <w:rsid w:val="000A590C"/>
    <w:rsid w:val="000A5D25"/>
    <w:rsid w:val="000A5F92"/>
    <w:rsid w:val="000A601C"/>
    <w:rsid w:val="000A61AD"/>
    <w:rsid w:val="000A724B"/>
    <w:rsid w:val="000B0329"/>
    <w:rsid w:val="000B03B5"/>
    <w:rsid w:val="000B0C32"/>
    <w:rsid w:val="000B0FAC"/>
    <w:rsid w:val="000B158C"/>
    <w:rsid w:val="000B25DD"/>
    <w:rsid w:val="000B289D"/>
    <w:rsid w:val="000B3179"/>
    <w:rsid w:val="000B32C2"/>
    <w:rsid w:val="000B3300"/>
    <w:rsid w:val="000B4BCE"/>
    <w:rsid w:val="000B509C"/>
    <w:rsid w:val="000B52C3"/>
    <w:rsid w:val="000B58F0"/>
    <w:rsid w:val="000B5DB4"/>
    <w:rsid w:val="000B63EA"/>
    <w:rsid w:val="000B65F1"/>
    <w:rsid w:val="000C192F"/>
    <w:rsid w:val="000C2585"/>
    <w:rsid w:val="000C2B0B"/>
    <w:rsid w:val="000C2B15"/>
    <w:rsid w:val="000C2E00"/>
    <w:rsid w:val="000C2FAA"/>
    <w:rsid w:val="000C41A9"/>
    <w:rsid w:val="000C4318"/>
    <w:rsid w:val="000C45CA"/>
    <w:rsid w:val="000C4759"/>
    <w:rsid w:val="000C48F0"/>
    <w:rsid w:val="000C4DD5"/>
    <w:rsid w:val="000C52B6"/>
    <w:rsid w:val="000C59A3"/>
    <w:rsid w:val="000C5B3C"/>
    <w:rsid w:val="000C6882"/>
    <w:rsid w:val="000C6AA3"/>
    <w:rsid w:val="000C6B4C"/>
    <w:rsid w:val="000C6C6A"/>
    <w:rsid w:val="000C6F33"/>
    <w:rsid w:val="000C70BB"/>
    <w:rsid w:val="000C7250"/>
    <w:rsid w:val="000C75CA"/>
    <w:rsid w:val="000D0270"/>
    <w:rsid w:val="000D0B4B"/>
    <w:rsid w:val="000D0D59"/>
    <w:rsid w:val="000D1829"/>
    <w:rsid w:val="000D18CE"/>
    <w:rsid w:val="000D1CA7"/>
    <w:rsid w:val="000D2248"/>
    <w:rsid w:val="000D242E"/>
    <w:rsid w:val="000D289E"/>
    <w:rsid w:val="000D36C9"/>
    <w:rsid w:val="000D3DE3"/>
    <w:rsid w:val="000D427D"/>
    <w:rsid w:val="000D4925"/>
    <w:rsid w:val="000D4B3C"/>
    <w:rsid w:val="000D529E"/>
    <w:rsid w:val="000D57AF"/>
    <w:rsid w:val="000D57C2"/>
    <w:rsid w:val="000D6082"/>
    <w:rsid w:val="000D6631"/>
    <w:rsid w:val="000D6650"/>
    <w:rsid w:val="000E01FF"/>
    <w:rsid w:val="000E11D7"/>
    <w:rsid w:val="000E124F"/>
    <w:rsid w:val="000E1796"/>
    <w:rsid w:val="000E1ACF"/>
    <w:rsid w:val="000E266A"/>
    <w:rsid w:val="000E2C2E"/>
    <w:rsid w:val="000E2C52"/>
    <w:rsid w:val="000E2D3F"/>
    <w:rsid w:val="000E3398"/>
    <w:rsid w:val="000E42B3"/>
    <w:rsid w:val="000E5840"/>
    <w:rsid w:val="000E5B74"/>
    <w:rsid w:val="000E61BB"/>
    <w:rsid w:val="000E628B"/>
    <w:rsid w:val="000E65CF"/>
    <w:rsid w:val="000E6666"/>
    <w:rsid w:val="000E742F"/>
    <w:rsid w:val="000E74D0"/>
    <w:rsid w:val="000E7B84"/>
    <w:rsid w:val="000E7C99"/>
    <w:rsid w:val="000E7C9B"/>
    <w:rsid w:val="000F0E34"/>
    <w:rsid w:val="000F11D1"/>
    <w:rsid w:val="000F1571"/>
    <w:rsid w:val="000F16EF"/>
    <w:rsid w:val="000F18AB"/>
    <w:rsid w:val="000F1B14"/>
    <w:rsid w:val="000F261B"/>
    <w:rsid w:val="000F279F"/>
    <w:rsid w:val="000F2EC9"/>
    <w:rsid w:val="000F2EF7"/>
    <w:rsid w:val="000F30ED"/>
    <w:rsid w:val="000F35D3"/>
    <w:rsid w:val="000F38D0"/>
    <w:rsid w:val="000F449D"/>
    <w:rsid w:val="000F4657"/>
    <w:rsid w:val="000F509C"/>
    <w:rsid w:val="000F5235"/>
    <w:rsid w:val="000F5883"/>
    <w:rsid w:val="000F61C2"/>
    <w:rsid w:val="000F64C4"/>
    <w:rsid w:val="000F6825"/>
    <w:rsid w:val="000F6D3E"/>
    <w:rsid w:val="000F6D9A"/>
    <w:rsid w:val="000F6FF9"/>
    <w:rsid w:val="000F70B6"/>
    <w:rsid w:val="000F719C"/>
    <w:rsid w:val="000F7200"/>
    <w:rsid w:val="000F7DDA"/>
    <w:rsid w:val="001008FA"/>
    <w:rsid w:val="00100A6A"/>
    <w:rsid w:val="00100C82"/>
    <w:rsid w:val="001012CC"/>
    <w:rsid w:val="00101E4C"/>
    <w:rsid w:val="00101E68"/>
    <w:rsid w:val="00102199"/>
    <w:rsid w:val="0010284D"/>
    <w:rsid w:val="00102CDE"/>
    <w:rsid w:val="00103791"/>
    <w:rsid w:val="0010468C"/>
    <w:rsid w:val="001048A0"/>
    <w:rsid w:val="00105401"/>
    <w:rsid w:val="00105608"/>
    <w:rsid w:val="0010572B"/>
    <w:rsid w:val="00105BD3"/>
    <w:rsid w:val="00105D71"/>
    <w:rsid w:val="0010649A"/>
    <w:rsid w:val="00106992"/>
    <w:rsid w:val="00106C90"/>
    <w:rsid w:val="00107185"/>
    <w:rsid w:val="001071BD"/>
    <w:rsid w:val="001075C3"/>
    <w:rsid w:val="00107D3A"/>
    <w:rsid w:val="001103B6"/>
    <w:rsid w:val="00110C45"/>
    <w:rsid w:val="00111284"/>
    <w:rsid w:val="00111420"/>
    <w:rsid w:val="00111D6D"/>
    <w:rsid w:val="00111DD9"/>
    <w:rsid w:val="00112578"/>
    <w:rsid w:val="001127C9"/>
    <w:rsid w:val="00112D7E"/>
    <w:rsid w:val="00112FFA"/>
    <w:rsid w:val="00113925"/>
    <w:rsid w:val="00113982"/>
    <w:rsid w:val="00114D7E"/>
    <w:rsid w:val="0011549E"/>
    <w:rsid w:val="0011558E"/>
    <w:rsid w:val="00115664"/>
    <w:rsid w:val="001159DC"/>
    <w:rsid w:val="00115AFA"/>
    <w:rsid w:val="00115E01"/>
    <w:rsid w:val="00116136"/>
    <w:rsid w:val="00116524"/>
    <w:rsid w:val="0011689D"/>
    <w:rsid w:val="00116E97"/>
    <w:rsid w:val="00121268"/>
    <w:rsid w:val="0012288D"/>
    <w:rsid w:val="001233BD"/>
    <w:rsid w:val="0012366A"/>
    <w:rsid w:val="00123F2C"/>
    <w:rsid w:val="00124431"/>
    <w:rsid w:val="00124894"/>
    <w:rsid w:val="00124D7E"/>
    <w:rsid w:val="0012581D"/>
    <w:rsid w:val="001259BD"/>
    <w:rsid w:val="0012607D"/>
    <w:rsid w:val="0012683B"/>
    <w:rsid w:val="00126929"/>
    <w:rsid w:val="00127BFD"/>
    <w:rsid w:val="00130070"/>
    <w:rsid w:val="0013106F"/>
    <w:rsid w:val="001311F4"/>
    <w:rsid w:val="00131BF9"/>
    <w:rsid w:val="00131E98"/>
    <w:rsid w:val="00132111"/>
    <w:rsid w:val="0013281A"/>
    <w:rsid w:val="00133B15"/>
    <w:rsid w:val="00133E5A"/>
    <w:rsid w:val="00134360"/>
    <w:rsid w:val="00134A7A"/>
    <w:rsid w:val="00134AC3"/>
    <w:rsid w:val="00135663"/>
    <w:rsid w:val="00135A72"/>
    <w:rsid w:val="00136A0B"/>
    <w:rsid w:val="00136E24"/>
    <w:rsid w:val="0013717F"/>
    <w:rsid w:val="00137B5C"/>
    <w:rsid w:val="00140251"/>
    <w:rsid w:val="00141785"/>
    <w:rsid w:val="001429A5"/>
    <w:rsid w:val="0014388D"/>
    <w:rsid w:val="00143F46"/>
    <w:rsid w:val="0014478B"/>
    <w:rsid w:val="00145A8A"/>
    <w:rsid w:val="00145BAD"/>
    <w:rsid w:val="00145D78"/>
    <w:rsid w:val="00146920"/>
    <w:rsid w:val="00147119"/>
    <w:rsid w:val="001473BB"/>
    <w:rsid w:val="00150088"/>
    <w:rsid w:val="00150740"/>
    <w:rsid w:val="0015105B"/>
    <w:rsid w:val="00151218"/>
    <w:rsid w:val="001514D2"/>
    <w:rsid w:val="00152838"/>
    <w:rsid w:val="00152974"/>
    <w:rsid w:val="00152A51"/>
    <w:rsid w:val="00152A78"/>
    <w:rsid w:val="0015327B"/>
    <w:rsid w:val="00153334"/>
    <w:rsid w:val="0015392B"/>
    <w:rsid w:val="00153EE6"/>
    <w:rsid w:val="00154F3D"/>
    <w:rsid w:val="00155004"/>
    <w:rsid w:val="00155302"/>
    <w:rsid w:val="001554FA"/>
    <w:rsid w:val="00155C9D"/>
    <w:rsid w:val="00156327"/>
    <w:rsid w:val="00156C26"/>
    <w:rsid w:val="00161D5E"/>
    <w:rsid w:val="00162306"/>
    <w:rsid w:val="0016274B"/>
    <w:rsid w:val="00162A72"/>
    <w:rsid w:val="00162C29"/>
    <w:rsid w:val="00162C8B"/>
    <w:rsid w:val="00162D6A"/>
    <w:rsid w:val="00162F8D"/>
    <w:rsid w:val="00163034"/>
    <w:rsid w:val="00163CE1"/>
    <w:rsid w:val="00163ECF"/>
    <w:rsid w:val="00166272"/>
    <w:rsid w:val="00166379"/>
    <w:rsid w:val="001664B1"/>
    <w:rsid w:val="00167130"/>
    <w:rsid w:val="001672A7"/>
    <w:rsid w:val="00167E80"/>
    <w:rsid w:val="00167FD2"/>
    <w:rsid w:val="00170230"/>
    <w:rsid w:val="00170619"/>
    <w:rsid w:val="001713E8"/>
    <w:rsid w:val="00172338"/>
    <w:rsid w:val="00172871"/>
    <w:rsid w:val="00172E4B"/>
    <w:rsid w:val="001731BB"/>
    <w:rsid w:val="00173DCF"/>
    <w:rsid w:val="001752DE"/>
    <w:rsid w:val="00175819"/>
    <w:rsid w:val="00175E2C"/>
    <w:rsid w:val="001764EE"/>
    <w:rsid w:val="00176541"/>
    <w:rsid w:val="00177AC5"/>
    <w:rsid w:val="00177C2A"/>
    <w:rsid w:val="001800E1"/>
    <w:rsid w:val="001802CC"/>
    <w:rsid w:val="00180703"/>
    <w:rsid w:val="0018094E"/>
    <w:rsid w:val="001820D2"/>
    <w:rsid w:val="001825BF"/>
    <w:rsid w:val="00182F20"/>
    <w:rsid w:val="0018345B"/>
    <w:rsid w:val="00183CF8"/>
    <w:rsid w:val="00184B53"/>
    <w:rsid w:val="00184D37"/>
    <w:rsid w:val="00184D71"/>
    <w:rsid w:val="00184E2A"/>
    <w:rsid w:val="00184E41"/>
    <w:rsid w:val="0018604C"/>
    <w:rsid w:val="001865AB"/>
    <w:rsid w:val="0018689C"/>
    <w:rsid w:val="00186AD7"/>
    <w:rsid w:val="001878B0"/>
    <w:rsid w:val="00190476"/>
    <w:rsid w:val="00190624"/>
    <w:rsid w:val="00190889"/>
    <w:rsid w:val="001914CE"/>
    <w:rsid w:val="00191748"/>
    <w:rsid w:val="001923CD"/>
    <w:rsid w:val="00193290"/>
    <w:rsid w:val="001939B2"/>
    <w:rsid w:val="00193EFF"/>
    <w:rsid w:val="001945B5"/>
    <w:rsid w:val="001945DE"/>
    <w:rsid w:val="00194EA6"/>
    <w:rsid w:val="00195BE3"/>
    <w:rsid w:val="00195EE4"/>
    <w:rsid w:val="001964C0"/>
    <w:rsid w:val="00196F75"/>
    <w:rsid w:val="00197081"/>
    <w:rsid w:val="0019732E"/>
    <w:rsid w:val="001A0815"/>
    <w:rsid w:val="001A0BDA"/>
    <w:rsid w:val="001A0BE7"/>
    <w:rsid w:val="001A0C44"/>
    <w:rsid w:val="001A1138"/>
    <w:rsid w:val="001A1210"/>
    <w:rsid w:val="001A22B8"/>
    <w:rsid w:val="001A34F3"/>
    <w:rsid w:val="001A3676"/>
    <w:rsid w:val="001A3784"/>
    <w:rsid w:val="001A3916"/>
    <w:rsid w:val="001A3C83"/>
    <w:rsid w:val="001A3CF8"/>
    <w:rsid w:val="001A48CC"/>
    <w:rsid w:val="001A4D8E"/>
    <w:rsid w:val="001A4DD3"/>
    <w:rsid w:val="001A54EF"/>
    <w:rsid w:val="001A5CD0"/>
    <w:rsid w:val="001A6E7C"/>
    <w:rsid w:val="001B011D"/>
    <w:rsid w:val="001B0FCA"/>
    <w:rsid w:val="001B1137"/>
    <w:rsid w:val="001B130B"/>
    <w:rsid w:val="001B2074"/>
    <w:rsid w:val="001B35E5"/>
    <w:rsid w:val="001B3E36"/>
    <w:rsid w:val="001B40CA"/>
    <w:rsid w:val="001B445D"/>
    <w:rsid w:val="001B485B"/>
    <w:rsid w:val="001B4A6D"/>
    <w:rsid w:val="001B514B"/>
    <w:rsid w:val="001B68C9"/>
    <w:rsid w:val="001B7564"/>
    <w:rsid w:val="001B7B6C"/>
    <w:rsid w:val="001B7BB2"/>
    <w:rsid w:val="001B7E49"/>
    <w:rsid w:val="001C02EC"/>
    <w:rsid w:val="001C0583"/>
    <w:rsid w:val="001C066F"/>
    <w:rsid w:val="001C0A3C"/>
    <w:rsid w:val="001C0C59"/>
    <w:rsid w:val="001C1CD8"/>
    <w:rsid w:val="001C2610"/>
    <w:rsid w:val="001C30A7"/>
    <w:rsid w:val="001C56C9"/>
    <w:rsid w:val="001C65EE"/>
    <w:rsid w:val="001C66FD"/>
    <w:rsid w:val="001C6822"/>
    <w:rsid w:val="001C6A30"/>
    <w:rsid w:val="001C6FFB"/>
    <w:rsid w:val="001C7A69"/>
    <w:rsid w:val="001C7BEE"/>
    <w:rsid w:val="001C7F64"/>
    <w:rsid w:val="001C7F6A"/>
    <w:rsid w:val="001D0B65"/>
    <w:rsid w:val="001D1B6B"/>
    <w:rsid w:val="001D1EC6"/>
    <w:rsid w:val="001D1F2F"/>
    <w:rsid w:val="001D2554"/>
    <w:rsid w:val="001D26FC"/>
    <w:rsid w:val="001D299A"/>
    <w:rsid w:val="001D2A28"/>
    <w:rsid w:val="001D2D6A"/>
    <w:rsid w:val="001D35B8"/>
    <w:rsid w:val="001D3BA8"/>
    <w:rsid w:val="001D3CEB"/>
    <w:rsid w:val="001D4B96"/>
    <w:rsid w:val="001D4CC8"/>
    <w:rsid w:val="001D5638"/>
    <w:rsid w:val="001D5698"/>
    <w:rsid w:val="001D6154"/>
    <w:rsid w:val="001D7BC1"/>
    <w:rsid w:val="001D7E5B"/>
    <w:rsid w:val="001E0582"/>
    <w:rsid w:val="001E0D08"/>
    <w:rsid w:val="001E17A2"/>
    <w:rsid w:val="001E1C18"/>
    <w:rsid w:val="001E249B"/>
    <w:rsid w:val="001E2D33"/>
    <w:rsid w:val="001E2DAC"/>
    <w:rsid w:val="001E2F32"/>
    <w:rsid w:val="001E3307"/>
    <w:rsid w:val="001E3572"/>
    <w:rsid w:val="001E428B"/>
    <w:rsid w:val="001E4584"/>
    <w:rsid w:val="001E4745"/>
    <w:rsid w:val="001E4C35"/>
    <w:rsid w:val="001E54B9"/>
    <w:rsid w:val="001E5B24"/>
    <w:rsid w:val="001E6956"/>
    <w:rsid w:val="001E6978"/>
    <w:rsid w:val="001E7613"/>
    <w:rsid w:val="001E7D5A"/>
    <w:rsid w:val="001F02B2"/>
    <w:rsid w:val="001F0332"/>
    <w:rsid w:val="001F0A7F"/>
    <w:rsid w:val="001F12F7"/>
    <w:rsid w:val="001F1356"/>
    <w:rsid w:val="001F198C"/>
    <w:rsid w:val="001F1A6F"/>
    <w:rsid w:val="001F212F"/>
    <w:rsid w:val="001F2781"/>
    <w:rsid w:val="001F2D2D"/>
    <w:rsid w:val="001F32BC"/>
    <w:rsid w:val="001F386C"/>
    <w:rsid w:val="001F40A8"/>
    <w:rsid w:val="001F5277"/>
    <w:rsid w:val="001F5923"/>
    <w:rsid w:val="001F627F"/>
    <w:rsid w:val="001F6AE9"/>
    <w:rsid w:val="001F6B1D"/>
    <w:rsid w:val="001F6C95"/>
    <w:rsid w:val="001F7090"/>
    <w:rsid w:val="001F7173"/>
    <w:rsid w:val="001F771B"/>
    <w:rsid w:val="002007E2"/>
    <w:rsid w:val="0020092B"/>
    <w:rsid w:val="002009B4"/>
    <w:rsid w:val="00200DEF"/>
    <w:rsid w:val="00200E0C"/>
    <w:rsid w:val="00201B66"/>
    <w:rsid w:val="002020DC"/>
    <w:rsid w:val="00203537"/>
    <w:rsid w:val="002042F1"/>
    <w:rsid w:val="002045FB"/>
    <w:rsid w:val="002048F4"/>
    <w:rsid w:val="002049F3"/>
    <w:rsid w:val="00204C2B"/>
    <w:rsid w:val="00204CF7"/>
    <w:rsid w:val="0020537B"/>
    <w:rsid w:val="002055B2"/>
    <w:rsid w:val="002059ED"/>
    <w:rsid w:val="0020651E"/>
    <w:rsid w:val="0020706B"/>
    <w:rsid w:val="00207220"/>
    <w:rsid w:val="002074FA"/>
    <w:rsid w:val="00207CD2"/>
    <w:rsid w:val="0021089F"/>
    <w:rsid w:val="00210CBB"/>
    <w:rsid w:val="00210D02"/>
    <w:rsid w:val="00210EBE"/>
    <w:rsid w:val="0021126A"/>
    <w:rsid w:val="00211B71"/>
    <w:rsid w:val="00212BDE"/>
    <w:rsid w:val="00212C86"/>
    <w:rsid w:val="002137ED"/>
    <w:rsid w:val="00213A81"/>
    <w:rsid w:val="002146B8"/>
    <w:rsid w:val="002156E6"/>
    <w:rsid w:val="00215B44"/>
    <w:rsid w:val="002163FE"/>
    <w:rsid w:val="00216D23"/>
    <w:rsid w:val="0021758F"/>
    <w:rsid w:val="0021770F"/>
    <w:rsid w:val="00217A73"/>
    <w:rsid w:val="00217BEE"/>
    <w:rsid w:val="002202FE"/>
    <w:rsid w:val="0022080F"/>
    <w:rsid w:val="00221B73"/>
    <w:rsid w:val="0022284E"/>
    <w:rsid w:val="0022365C"/>
    <w:rsid w:val="00223B83"/>
    <w:rsid w:val="0022425C"/>
    <w:rsid w:val="00224384"/>
    <w:rsid w:val="002244D1"/>
    <w:rsid w:val="00224509"/>
    <w:rsid w:val="00226230"/>
    <w:rsid w:val="0022631D"/>
    <w:rsid w:val="00226F26"/>
    <w:rsid w:val="00227F1C"/>
    <w:rsid w:val="002304F9"/>
    <w:rsid w:val="00230713"/>
    <w:rsid w:val="002307B8"/>
    <w:rsid w:val="00231265"/>
    <w:rsid w:val="00231A27"/>
    <w:rsid w:val="00232D75"/>
    <w:rsid w:val="00232DA0"/>
    <w:rsid w:val="00232EAF"/>
    <w:rsid w:val="002338DE"/>
    <w:rsid w:val="002339ED"/>
    <w:rsid w:val="00233CAE"/>
    <w:rsid w:val="002347BC"/>
    <w:rsid w:val="002349F5"/>
    <w:rsid w:val="00234C84"/>
    <w:rsid w:val="00234CE7"/>
    <w:rsid w:val="0023511B"/>
    <w:rsid w:val="0023516A"/>
    <w:rsid w:val="00236CD8"/>
    <w:rsid w:val="002374F3"/>
    <w:rsid w:val="00237570"/>
    <w:rsid w:val="002379EF"/>
    <w:rsid w:val="0024006C"/>
    <w:rsid w:val="0024045A"/>
    <w:rsid w:val="00240582"/>
    <w:rsid w:val="00241306"/>
    <w:rsid w:val="00241D37"/>
    <w:rsid w:val="00241D6C"/>
    <w:rsid w:val="00241D78"/>
    <w:rsid w:val="00242117"/>
    <w:rsid w:val="002439DF"/>
    <w:rsid w:val="00243A0B"/>
    <w:rsid w:val="00243D2C"/>
    <w:rsid w:val="0024496F"/>
    <w:rsid w:val="00244B02"/>
    <w:rsid w:val="00244CD1"/>
    <w:rsid w:val="00244EBE"/>
    <w:rsid w:val="00244FB6"/>
    <w:rsid w:val="00245027"/>
    <w:rsid w:val="002464FE"/>
    <w:rsid w:val="00246EFE"/>
    <w:rsid w:val="00247119"/>
    <w:rsid w:val="002471CB"/>
    <w:rsid w:val="002476A0"/>
    <w:rsid w:val="00247907"/>
    <w:rsid w:val="00247BF5"/>
    <w:rsid w:val="00247CE1"/>
    <w:rsid w:val="002506B6"/>
    <w:rsid w:val="00251048"/>
    <w:rsid w:val="002510B9"/>
    <w:rsid w:val="002519E6"/>
    <w:rsid w:val="00252070"/>
    <w:rsid w:val="002525C6"/>
    <w:rsid w:val="00254F7C"/>
    <w:rsid w:val="00255904"/>
    <w:rsid w:val="00257149"/>
    <w:rsid w:val="002576F3"/>
    <w:rsid w:val="0025796E"/>
    <w:rsid w:val="002602E3"/>
    <w:rsid w:val="00260C8B"/>
    <w:rsid w:val="00260CB4"/>
    <w:rsid w:val="00260EB6"/>
    <w:rsid w:val="002620C0"/>
    <w:rsid w:val="0026235D"/>
    <w:rsid w:val="00262870"/>
    <w:rsid w:val="002629E3"/>
    <w:rsid w:val="00262CA8"/>
    <w:rsid w:val="002634E1"/>
    <w:rsid w:val="0026369B"/>
    <w:rsid w:val="00263AA1"/>
    <w:rsid w:val="00263EE6"/>
    <w:rsid w:val="002641BD"/>
    <w:rsid w:val="0026439D"/>
    <w:rsid w:val="00264B73"/>
    <w:rsid w:val="00264F54"/>
    <w:rsid w:val="0026503C"/>
    <w:rsid w:val="00265FDD"/>
    <w:rsid w:val="00266B3B"/>
    <w:rsid w:val="00266FDF"/>
    <w:rsid w:val="00267029"/>
    <w:rsid w:val="002672FE"/>
    <w:rsid w:val="002707C1"/>
    <w:rsid w:val="00270883"/>
    <w:rsid w:val="00271180"/>
    <w:rsid w:val="00271612"/>
    <w:rsid w:val="00271763"/>
    <w:rsid w:val="00271978"/>
    <w:rsid w:val="00271C83"/>
    <w:rsid w:val="002727C9"/>
    <w:rsid w:val="00272F2F"/>
    <w:rsid w:val="0027509E"/>
    <w:rsid w:val="00275406"/>
    <w:rsid w:val="0027542D"/>
    <w:rsid w:val="00275722"/>
    <w:rsid w:val="00275883"/>
    <w:rsid w:val="00275AEB"/>
    <w:rsid w:val="0027623A"/>
    <w:rsid w:val="00276825"/>
    <w:rsid w:val="00276C1D"/>
    <w:rsid w:val="0027712E"/>
    <w:rsid w:val="002771A4"/>
    <w:rsid w:val="00277648"/>
    <w:rsid w:val="00277C56"/>
    <w:rsid w:val="00280C7D"/>
    <w:rsid w:val="00280E50"/>
    <w:rsid w:val="00281618"/>
    <w:rsid w:val="00281A5D"/>
    <w:rsid w:val="00281F1C"/>
    <w:rsid w:val="00281F68"/>
    <w:rsid w:val="0028254F"/>
    <w:rsid w:val="00282BB4"/>
    <w:rsid w:val="00282BED"/>
    <w:rsid w:val="002833BE"/>
    <w:rsid w:val="00283590"/>
    <w:rsid w:val="00284395"/>
    <w:rsid w:val="0028559A"/>
    <w:rsid w:val="00285C87"/>
    <w:rsid w:val="00285DBC"/>
    <w:rsid w:val="00285EB5"/>
    <w:rsid w:val="0028679A"/>
    <w:rsid w:val="00290A99"/>
    <w:rsid w:val="00290C75"/>
    <w:rsid w:val="002918E2"/>
    <w:rsid w:val="00291C2D"/>
    <w:rsid w:val="00291D7C"/>
    <w:rsid w:val="00291F83"/>
    <w:rsid w:val="002926EC"/>
    <w:rsid w:val="002933EF"/>
    <w:rsid w:val="0029352A"/>
    <w:rsid w:val="00293FAC"/>
    <w:rsid w:val="00294E1B"/>
    <w:rsid w:val="002953B5"/>
    <w:rsid w:val="0029630E"/>
    <w:rsid w:val="00296448"/>
    <w:rsid w:val="00296883"/>
    <w:rsid w:val="00296CDB"/>
    <w:rsid w:val="002970A8"/>
    <w:rsid w:val="002977B8"/>
    <w:rsid w:val="002A0374"/>
    <w:rsid w:val="002A0608"/>
    <w:rsid w:val="002A0E28"/>
    <w:rsid w:val="002A0F20"/>
    <w:rsid w:val="002A1C7B"/>
    <w:rsid w:val="002A201B"/>
    <w:rsid w:val="002A303B"/>
    <w:rsid w:val="002A38A0"/>
    <w:rsid w:val="002A38EB"/>
    <w:rsid w:val="002A3A23"/>
    <w:rsid w:val="002A3E77"/>
    <w:rsid w:val="002A42FD"/>
    <w:rsid w:val="002A4390"/>
    <w:rsid w:val="002A47A5"/>
    <w:rsid w:val="002A4B5D"/>
    <w:rsid w:val="002A51A9"/>
    <w:rsid w:val="002A545D"/>
    <w:rsid w:val="002A5B7D"/>
    <w:rsid w:val="002A5C84"/>
    <w:rsid w:val="002B0592"/>
    <w:rsid w:val="002B0EF3"/>
    <w:rsid w:val="002B10FF"/>
    <w:rsid w:val="002B1926"/>
    <w:rsid w:val="002B20F1"/>
    <w:rsid w:val="002B3A54"/>
    <w:rsid w:val="002B3AC2"/>
    <w:rsid w:val="002B457C"/>
    <w:rsid w:val="002B4810"/>
    <w:rsid w:val="002B4A2D"/>
    <w:rsid w:val="002B4D6F"/>
    <w:rsid w:val="002B507C"/>
    <w:rsid w:val="002B50E2"/>
    <w:rsid w:val="002B53D4"/>
    <w:rsid w:val="002B545C"/>
    <w:rsid w:val="002B577D"/>
    <w:rsid w:val="002B59F8"/>
    <w:rsid w:val="002B5B0C"/>
    <w:rsid w:val="002B5BC2"/>
    <w:rsid w:val="002B61C3"/>
    <w:rsid w:val="002B69CB"/>
    <w:rsid w:val="002B6EAC"/>
    <w:rsid w:val="002C0E1B"/>
    <w:rsid w:val="002C1464"/>
    <w:rsid w:val="002C18AA"/>
    <w:rsid w:val="002C22B2"/>
    <w:rsid w:val="002C4B85"/>
    <w:rsid w:val="002C6E46"/>
    <w:rsid w:val="002C7ACC"/>
    <w:rsid w:val="002C7C54"/>
    <w:rsid w:val="002C7D52"/>
    <w:rsid w:val="002D0458"/>
    <w:rsid w:val="002D0583"/>
    <w:rsid w:val="002D06BB"/>
    <w:rsid w:val="002D0DA8"/>
    <w:rsid w:val="002D1349"/>
    <w:rsid w:val="002D1A70"/>
    <w:rsid w:val="002D1D77"/>
    <w:rsid w:val="002D2B7C"/>
    <w:rsid w:val="002D2E75"/>
    <w:rsid w:val="002D3584"/>
    <w:rsid w:val="002D3E49"/>
    <w:rsid w:val="002D4587"/>
    <w:rsid w:val="002D4E9C"/>
    <w:rsid w:val="002D52AD"/>
    <w:rsid w:val="002D5518"/>
    <w:rsid w:val="002D68A2"/>
    <w:rsid w:val="002D70C9"/>
    <w:rsid w:val="002D7116"/>
    <w:rsid w:val="002D7273"/>
    <w:rsid w:val="002D7AC1"/>
    <w:rsid w:val="002D7FB2"/>
    <w:rsid w:val="002E039C"/>
    <w:rsid w:val="002E17DC"/>
    <w:rsid w:val="002E1E40"/>
    <w:rsid w:val="002E2273"/>
    <w:rsid w:val="002E280F"/>
    <w:rsid w:val="002E290B"/>
    <w:rsid w:val="002E31C8"/>
    <w:rsid w:val="002E341E"/>
    <w:rsid w:val="002E4191"/>
    <w:rsid w:val="002E45DF"/>
    <w:rsid w:val="002E4CFF"/>
    <w:rsid w:val="002E4F68"/>
    <w:rsid w:val="002E585F"/>
    <w:rsid w:val="002E5F08"/>
    <w:rsid w:val="002E6064"/>
    <w:rsid w:val="002E614C"/>
    <w:rsid w:val="002E63E2"/>
    <w:rsid w:val="002E6724"/>
    <w:rsid w:val="002E6DBA"/>
    <w:rsid w:val="002E6EC3"/>
    <w:rsid w:val="002E7089"/>
    <w:rsid w:val="002E780F"/>
    <w:rsid w:val="002E7CC8"/>
    <w:rsid w:val="002E7F7A"/>
    <w:rsid w:val="002F01B8"/>
    <w:rsid w:val="002F0339"/>
    <w:rsid w:val="002F08B0"/>
    <w:rsid w:val="002F11FE"/>
    <w:rsid w:val="002F17C7"/>
    <w:rsid w:val="002F193A"/>
    <w:rsid w:val="002F2965"/>
    <w:rsid w:val="002F2D4B"/>
    <w:rsid w:val="002F3176"/>
    <w:rsid w:val="002F35FE"/>
    <w:rsid w:val="002F3EAE"/>
    <w:rsid w:val="002F3F31"/>
    <w:rsid w:val="002F45D3"/>
    <w:rsid w:val="002F4B29"/>
    <w:rsid w:val="002F4C1A"/>
    <w:rsid w:val="002F5141"/>
    <w:rsid w:val="002F5A0A"/>
    <w:rsid w:val="002F5E26"/>
    <w:rsid w:val="002F61CD"/>
    <w:rsid w:val="002F64B3"/>
    <w:rsid w:val="002F68EE"/>
    <w:rsid w:val="002F6F66"/>
    <w:rsid w:val="002F74BB"/>
    <w:rsid w:val="002F78C0"/>
    <w:rsid w:val="003002B1"/>
    <w:rsid w:val="00300CD7"/>
    <w:rsid w:val="00300E0F"/>
    <w:rsid w:val="0030166F"/>
    <w:rsid w:val="0030213D"/>
    <w:rsid w:val="00302494"/>
    <w:rsid w:val="00303162"/>
    <w:rsid w:val="003038D3"/>
    <w:rsid w:val="00303C44"/>
    <w:rsid w:val="0030413B"/>
    <w:rsid w:val="003041A4"/>
    <w:rsid w:val="003043A1"/>
    <w:rsid w:val="0030457C"/>
    <w:rsid w:val="00304C08"/>
    <w:rsid w:val="00305006"/>
    <w:rsid w:val="00305248"/>
    <w:rsid w:val="00305787"/>
    <w:rsid w:val="0030587D"/>
    <w:rsid w:val="00305C19"/>
    <w:rsid w:val="00307B4B"/>
    <w:rsid w:val="00307EBF"/>
    <w:rsid w:val="0031023D"/>
    <w:rsid w:val="003104AF"/>
    <w:rsid w:val="00310925"/>
    <w:rsid w:val="00310A7E"/>
    <w:rsid w:val="003129C7"/>
    <w:rsid w:val="0031319D"/>
    <w:rsid w:val="00313428"/>
    <w:rsid w:val="0031369C"/>
    <w:rsid w:val="00313921"/>
    <w:rsid w:val="00313D9B"/>
    <w:rsid w:val="00314D94"/>
    <w:rsid w:val="00314F13"/>
    <w:rsid w:val="0031578D"/>
    <w:rsid w:val="00315E9D"/>
    <w:rsid w:val="003160DE"/>
    <w:rsid w:val="00316C53"/>
    <w:rsid w:val="0031707E"/>
    <w:rsid w:val="003200A0"/>
    <w:rsid w:val="0032024F"/>
    <w:rsid w:val="003205FD"/>
    <w:rsid w:val="003208FC"/>
    <w:rsid w:val="003209E0"/>
    <w:rsid w:val="00321190"/>
    <w:rsid w:val="00321830"/>
    <w:rsid w:val="00322803"/>
    <w:rsid w:val="003235BC"/>
    <w:rsid w:val="00323B0A"/>
    <w:rsid w:val="00324357"/>
    <w:rsid w:val="003249B0"/>
    <w:rsid w:val="00325307"/>
    <w:rsid w:val="00325B4C"/>
    <w:rsid w:val="00327B25"/>
    <w:rsid w:val="00330669"/>
    <w:rsid w:val="0033079D"/>
    <w:rsid w:val="003309FF"/>
    <w:rsid w:val="00331F4F"/>
    <w:rsid w:val="00331FAD"/>
    <w:rsid w:val="0033204F"/>
    <w:rsid w:val="003327BC"/>
    <w:rsid w:val="003328FD"/>
    <w:rsid w:val="00332988"/>
    <w:rsid w:val="0033347E"/>
    <w:rsid w:val="00333A3B"/>
    <w:rsid w:val="00333A4A"/>
    <w:rsid w:val="00333B4B"/>
    <w:rsid w:val="00334CC3"/>
    <w:rsid w:val="00335E0E"/>
    <w:rsid w:val="00335FB8"/>
    <w:rsid w:val="00335FBB"/>
    <w:rsid w:val="00335FEC"/>
    <w:rsid w:val="00336326"/>
    <w:rsid w:val="0033683F"/>
    <w:rsid w:val="00336BCB"/>
    <w:rsid w:val="00336DC9"/>
    <w:rsid w:val="00336FA9"/>
    <w:rsid w:val="00337CA7"/>
    <w:rsid w:val="00341847"/>
    <w:rsid w:val="00341DA4"/>
    <w:rsid w:val="00342243"/>
    <w:rsid w:val="0034298C"/>
    <w:rsid w:val="00342E7D"/>
    <w:rsid w:val="00343776"/>
    <w:rsid w:val="00343A16"/>
    <w:rsid w:val="00343ABB"/>
    <w:rsid w:val="003443E1"/>
    <w:rsid w:val="00344506"/>
    <w:rsid w:val="00344A66"/>
    <w:rsid w:val="00344AA3"/>
    <w:rsid w:val="003454FB"/>
    <w:rsid w:val="00347E96"/>
    <w:rsid w:val="003507A7"/>
    <w:rsid w:val="00350A76"/>
    <w:rsid w:val="00351448"/>
    <w:rsid w:val="003519C7"/>
    <w:rsid w:val="00351A9F"/>
    <w:rsid w:val="00352D46"/>
    <w:rsid w:val="003538BD"/>
    <w:rsid w:val="003540E0"/>
    <w:rsid w:val="003544A2"/>
    <w:rsid w:val="00355AE7"/>
    <w:rsid w:val="00356099"/>
    <w:rsid w:val="00356541"/>
    <w:rsid w:val="0035664C"/>
    <w:rsid w:val="003574DA"/>
    <w:rsid w:val="00357704"/>
    <w:rsid w:val="00357788"/>
    <w:rsid w:val="00357AA7"/>
    <w:rsid w:val="003604D4"/>
    <w:rsid w:val="00360620"/>
    <w:rsid w:val="00360809"/>
    <w:rsid w:val="0036103F"/>
    <w:rsid w:val="00361264"/>
    <w:rsid w:val="00361F62"/>
    <w:rsid w:val="00362158"/>
    <w:rsid w:val="00363133"/>
    <w:rsid w:val="0036350D"/>
    <w:rsid w:val="0036381A"/>
    <w:rsid w:val="00363C5C"/>
    <w:rsid w:val="00364E15"/>
    <w:rsid w:val="003653C2"/>
    <w:rsid w:val="0036582A"/>
    <w:rsid w:val="003659A3"/>
    <w:rsid w:val="00366262"/>
    <w:rsid w:val="0036683A"/>
    <w:rsid w:val="00366B0D"/>
    <w:rsid w:val="0036732D"/>
    <w:rsid w:val="00370552"/>
    <w:rsid w:val="0037191B"/>
    <w:rsid w:val="00371FDB"/>
    <w:rsid w:val="00372280"/>
    <w:rsid w:val="003724EE"/>
    <w:rsid w:val="00372F27"/>
    <w:rsid w:val="00372F5A"/>
    <w:rsid w:val="00373550"/>
    <w:rsid w:val="00373751"/>
    <w:rsid w:val="00374210"/>
    <w:rsid w:val="003749CF"/>
    <w:rsid w:val="00374E17"/>
    <w:rsid w:val="00374F50"/>
    <w:rsid w:val="003752EA"/>
    <w:rsid w:val="00375597"/>
    <w:rsid w:val="003756C3"/>
    <w:rsid w:val="00375AF5"/>
    <w:rsid w:val="00376058"/>
    <w:rsid w:val="0037727D"/>
    <w:rsid w:val="0038034F"/>
    <w:rsid w:val="003804DB"/>
    <w:rsid w:val="00380B2E"/>
    <w:rsid w:val="00381A98"/>
    <w:rsid w:val="00381AB9"/>
    <w:rsid w:val="00381D19"/>
    <w:rsid w:val="00381DE4"/>
    <w:rsid w:val="00382355"/>
    <w:rsid w:val="003824B8"/>
    <w:rsid w:val="00382D52"/>
    <w:rsid w:val="00382FB8"/>
    <w:rsid w:val="0038337B"/>
    <w:rsid w:val="003840A2"/>
    <w:rsid w:val="00384CEB"/>
    <w:rsid w:val="00384E5E"/>
    <w:rsid w:val="00385583"/>
    <w:rsid w:val="00386697"/>
    <w:rsid w:val="00386C26"/>
    <w:rsid w:val="00386E0F"/>
    <w:rsid w:val="003871F7"/>
    <w:rsid w:val="00387B4C"/>
    <w:rsid w:val="0039003E"/>
    <w:rsid w:val="0039021F"/>
    <w:rsid w:val="00390705"/>
    <w:rsid w:val="00390A1C"/>
    <w:rsid w:val="00390BDA"/>
    <w:rsid w:val="00390E26"/>
    <w:rsid w:val="00390EEC"/>
    <w:rsid w:val="0039140F"/>
    <w:rsid w:val="003918F4"/>
    <w:rsid w:val="00391ED2"/>
    <w:rsid w:val="00391FEB"/>
    <w:rsid w:val="003922B0"/>
    <w:rsid w:val="0039268F"/>
    <w:rsid w:val="0039361C"/>
    <w:rsid w:val="0039408F"/>
    <w:rsid w:val="00394290"/>
    <w:rsid w:val="003947A5"/>
    <w:rsid w:val="00394D57"/>
    <w:rsid w:val="00395C24"/>
    <w:rsid w:val="00395EE2"/>
    <w:rsid w:val="00396DE3"/>
    <w:rsid w:val="003974ED"/>
    <w:rsid w:val="00397C50"/>
    <w:rsid w:val="00397C8A"/>
    <w:rsid w:val="00397D39"/>
    <w:rsid w:val="003A080A"/>
    <w:rsid w:val="003A199A"/>
    <w:rsid w:val="003A2F0B"/>
    <w:rsid w:val="003A35A6"/>
    <w:rsid w:val="003A3C3D"/>
    <w:rsid w:val="003A49EB"/>
    <w:rsid w:val="003A4C67"/>
    <w:rsid w:val="003A596B"/>
    <w:rsid w:val="003A5A6F"/>
    <w:rsid w:val="003A5B54"/>
    <w:rsid w:val="003A6909"/>
    <w:rsid w:val="003B14BD"/>
    <w:rsid w:val="003B16C9"/>
    <w:rsid w:val="003B2428"/>
    <w:rsid w:val="003B24C0"/>
    <w:rsid w:val="003B2B20"/>
    <w:rsid w:val="003B2DB7"/>
    <w:rsid w:val="003B302B"/>
    <w:rsid w:val="003B33DD"/>
    <w:rsid w:val="003B3630"/>
    <w:rsid w:val="003B3730"/>
    <w:rsid w:val="003B3775"/>
    <w:rsid w:val="003B415F"/>
    <w:rsid w:val="003B4252"/>
    <w:rsid w:val="003B4395"/>
    <w:rsid w:val="003B47B1"/>
    <w:rsid w:val="003B4AED"/>
    <w:rsid w:val="003B4E58"/>
    <w:rsid w:val="003B6641"/>
    <w:rsid w:val="003B69B3"/>
    <w:rsid w:val="003B6CFA"/>
    <w:rsid w:val="003B72C4"/>
    <w:rsid w:val="003C0BC9"/>
    <w:rsid w:val="003C0C22"/>
    <w:rsid w:val="003C0C2C"/>
    <w:rsid w:val="003C0E20"/>
    <w:rsid w:val="003C189A"/>
    <w:rsid w:val="003C1950"/>
    <w:rsid w:val="003C199E"/>
    <w:rsid w:val="003C1BBA"/>
    <w:rsid w:val="003C1DC3"/>
    <w:rsid w:val="003C1E75"/>
    <w:rsid w:val="003C278D"/>
    <w:rsid w:val="003C3333"/>
    <w:rsid w:val="003C38A3"/>
    <w:rsid w:val="003C3DBF"/>
    <w:rsid w:val="003C46BB"/>
    <w:rsid w:val="003C4847"/>
    <w:rsid w:val="003C4AD3"/>
    <w:rsid w:val="003C4BB9"/>
    <w:rsid w:val="003C4C31"/>
    <w:rsid w:val="003C4DE1"/>
    <w:rsid w:val="003C60C0"/>
    <w:rsid w:val="003C631A"/>
    <w:rsid w:val="003C6949"/>
    <w:rsid w:val="003C6A92"/>
    <w:rsid w:val="003C6D47"/>
    <w:rsid w:val="003C6DD6"/>
    <w:rsid w:val="003C7317"/>
    <w:rsid w:val="003C7A10"/>
    <w:rsid w:val="003C7FCA"/>
    <w:rsid w:val="003D0018"/>
    <w:rsid w:val="003D00DF"/>
    <w:rsid w:val="003D0C28"/>
    <w:rsid w:val="003D21E2"/>
    <w:rsid w:val="003D2564"/>
    <w:rsid w:val="003D2A00"/>
    <w:rsid w:val="003D2CDF"/>
    <w:rsid w:val="003D30F9"/>
    <w:rsid w:val="003D3195"/>
    <w:rsid w:val="003D3317"/>
    <w:rsid w:val="003D3B96"/>
    <w:rsid w:val="003D3C19"/>
    <w:rsid w:val="003D3C8B"/>
    <w:rsid w:val="003D422A"/>
    <w:rsid w:val="003D4B03"/>
    <w:rsid w:val="003D53C4"/>
    <w:rsid w:val="003D54C3"/>
    <w:rsid w:val="003D5661"/>
    <w:rsid w:val="003D5936"/>
    <w:rsid w:val="003D5B03"/>
    <w:rsid w:val="003D6EC7"/>
    <w:rsid w:val="003D719D"/>
    <w:rsid w:val="003D771F"/>
    <w:rsid w:val="003D7EBA"/>
    <w:rsid w:val="003E0895"/>
    <w:rsid w:val="003E0C40"/>
    <w:rsid w:val="003E0F13"/>
    <w:rsid w:val="003E22A2"/>
    <w:rsid w:val="003E2AAB"/>
    <w:rsid w:val="003E2BC2"/>
    <w:rsid w:val="003E32B2"/>
    <w:rsid w:val="003E36D0"/>
    <w:rsid w:val="003E3953"/>
    <w:rsid w:val="003E44D0"/>
    <w:rsid w:val="003E47F8"/>
    <w:rsid w:val="003E5798"/>
    <w:rsid w:val="003E613E"/>
    <w:rsid w:val="003E6818"/>
    <w:rsid w:val="003E71C9"/>
    <w:rsid w:val="003E7664"/>
    <w:rsid w:val="003E7979"/>
    <w:rsid w:val="003E7A03"/>
    <w:rsid w:val="003E7D1A"/>
    <w:rsid w:val="003E7D5A"/>
    <w:rsid w:val="003E7FA5"/>
    <w:rsid w:val="003F04B8"/>
    <w:rsid w:val="003F0BCE"/>
    <w:rsid w:val="003F0D60"/>
    <w:rsid w:val="003F1E13"/>
    <w:rsid w:val="003F1E88"/>
    <w:rsid w:val="003F31B5"/>
    <w:rsid w:val="003F379E"/>
    <w:rsid w:val="003F3E0E"/>
    <w:rsid w:val="003F3FBB"/>
    <w:rsid w:val="003F4F19"/>
    <w:rsid w:val="003F5960"/>
    <w:rsid w:val="003F626A"/>
    <w:rsid w:val="003F68A9"/>
    <w:rsid w:val="003F6933"/>
    <w:rsid w:val="003F6F3A"/>
    <w:rsid w:val="003F7A75"/>
    <w:rsid w:val="003F7B9B"/>
    <w:rsid w:val="0040039A"/>
    <w:rsid w:val="00401468"/>
    <w:rsid w:val="0040162F"/>
    <w:rsid w:val="0040195E"/>
    <w:rsid w:val="00401A79"/>
    <w:rsid w:val="00402144"/>
    <w:rsid w:val="00402570"/>
    <w:rsid w:val="00402D19"/>
    <w:rsid w:val="004030A5"/>
    <w:rsid w:val="004032DF"/>
    <w:rsid w:val="00403BB0"/>
    <w:rsid w:val="00403CBB"/>
    <w:rsid w:val="00404097"/>
    <w:rsid w:val="00404363"/>
    <w:rsid w:val="00404444"/>
    <w:rsid w:val="00404810"/>
    <w:rsid w:val="004048E3"/>
    <w:rsid w:val="00404C34"/>
    <w:rsid w:val="004051EE"/>
    <w:rsid w:val="0040599D"/>
    <w:rsid w:val="004059F9"/>
    <w:rsid w:val="00405AAE"/>
    <w:rsid w:val="004061ED"/>
    <w:rsid w:val="00406820"/>
    <w:rsid w:val="00407119"/>
    <w:rsid w:val="00407D31"/>
    <w:rsid w:val="00410240"/>
    <w:rsid w:val="0041048F"/>
    <w:rsid w:val="00411131"/>
    <w:rsid w:val="004114AA"/>
    <w:rsid w:val="00411C8F"/>
    <w:rsid w:val="00411FA9"/>
    <w:rsid w:val="00412142"/>
    <w:rsid w:val="0041224E"/>
    <w:rsid w:val="00412D40"/>
    <w:rsid w:val="00412DCC"/>
    <w:rsid w:val="004134C9"/>
    <w:rsid w:val="004136C8"/>
    <w:rsid w:val="004138DA"/>
    <w:rsid w:val="00413BA6"/>
    <w:rsid w:val="00413BC4"/>
    <w:rsid w:val="00414B25"/>
    <w:rsid w:val="004157D2"/>
    <w:rsid w:val="004161F0"/>
    <w:rsid w:val="004163F2"/>
    <w:rsid w:val="004167BE"/>
    <w:rsid w:val="00417679"/>
    <w:rsid w:val="00417890"/>
    <w:rsid w:val="00417C2C"/>
    <w:rsid w:val="00417EA9"/>
    <w:rsid w:val="0042053E"/>
    <w:rsid w:val="00421163"/>
    <w:rsid w:val="004211E6"/>
    <w:rsid w:val="00421C4F"/>
    <w:rsid w:val="00421E69"/>
    <w:rsid w:val="00422097"/>
    <w:rsid w:val="00422191"/>
    <w:rsid w:val="00422E02"/>
    <w:rsid w:val="00423D07"/>
    <w:rsid w:val="00423DAC"/>
    <w:rsid w:val="00424A4B"/>
    <w:rsid w:val="004258E1"/>
    <w:rsid w:val="00425E64"/>
    <w:rsid w:val="00425ED8"/>
    <w:rsid w:val="004275DF"/>
    <w:rsid w:val="004306DE"/>
    <w:rsid w:val="00430B82"/>
    <w:rsid w:val="00430D4B"/>
    <w:rsid w:val="00430DF7"/>
    <w:rsid w:val="004314FC"/>
    <w:rsid w:val="00431A86"/>
    <w:rsid w:val="00431C18"/>
    <w:rsid w:val="00431E7A"/>
    <w:rsid w:val="00432192"/>
    <w:rsid w:val="0043233E"/>
    <w:rsid w:val="00432515"/>
    <w:rsid w:val="004326A1"/>
    <w:rsid w:val="00432865"/>
    <w:rsid w:val="00432AD3"/>
    <w:rsid w:val="004336E5"/>
    <w:rsid w:val="004340D4"/>
    <w:rsid w:val="00434536"/>
    <w:rsid w:val="00434F34"/>
    <w:rsid w:val="004358D9"/>
    <w:rsid w:val="00435EEF"/>
    <w:rsid w:val="00435F53"/>
    <w:rsid w:val="00436047"/>
    <w:rsid w:val="004362B6"/>
    <w:rsid w:val="0043632A"/>
    <w:rsid w:val="004363A2"/>
    <w:rsid w:val="0043661E"/>
    <w:rsid w:val="00436CA8"/>
    <w:rsid w:val="00436F1F"/>
    <w:rsid w:val="004376A1"/>
    <w:rsid w:val="004376BE"/>
    <w:rsid w:val="0043793A"/>
    <w:rsid w:val="00440511"/>
    <w:rsid w:val="0044060F"/>
    <w:rsid w:val="004408AD"/>
    <w:rsid w:val="00440944"/>
    <w:rsid w:val="0044097E"/>
    <w:rsid w:val="00441D5C"/>
    <w:rsid w:val="00441E62"/>
    <w:rsid w:val="004420EA"/>
    <w:rsid w:val="004422A9"/>
    <w:rsid w:val="004429E8"/>
    <w:rsid w:val="00443014"/>
    <w:rsid w:val="00443450"/>
    <w:rsid w:val="004436C9"/>
    <w:rsid w:val="0044376F"/>
    <w:rsid w:val="004444B3"/>
    <w:rsid w:val="00444576"/>
    <w:rsid w:val="0044463F"/>
    <w:rsid w:val="004448D2"/>
    <w:rsid w:val="00445B94"/>
    <w:rsid w:val="00445C1F"/>
    <w:rsid w:val="00445CAD"/>
    <w:rsid w:val="00445E66"/>
    <w:rsid w:val="00445EFC"/>
    <w:rsid w:val="0044789A"/>
    <w:rsid w:val="00447FE3"/>
    <w:rsid w:val="004507E8"/>
    <w:rsid w:val="00450A2B"/>
    <w:rsid w:val="00451422"/>
    <w:rsid w:val="00451EAC"/>
    <w:rsid w:val="00452B68"/>
    <w:rsid w:val="00452F95"/>
    <w:rsid w:val="0045330D"/>
    <w:rsid w:val="0045383B"/>
    <w:rsid w:val="00453A6A"/>
    <w:rsid w:val="00453AB0"/>
    <w:rsid w:val="00453C96"/>
    <w:rsid w:val="00453EB9"/>
    <w:rsid w:val="00454241"/>
    <w:rsid w:val="004549D0"/>
    <w:rsid w:val="004550D6"/>
    <w:rsid w:val="00455842"/>
    <w:rsid w:val="00455A19"/>
    <w:rsid w:val="00457711"/>
    <w:rsid w:val="004579A5"/>
    <w:rsid w:val="004606BD"/>
    <w:rsid w:val="00460ADC"/>
    <w:rsid w:val="00460D7A"/>
    <w:rsid w:val="00461345"/>
    <w:rsid w:val="00461390"/>
    <w:rsid w:val="004614A8"/>
    <w:rsid w:val="00461A55"/>
    <w:rsid w:val="004621C9"/>
    <w:rsid w:val="00462B40"/>
    <w:rsid w:val="00462FA0"/>
    <w:rsid w:val="004630AC"/>
    <w:rsid w:val="004637DE"/>
    <w:rsid w:val="004638ED"/>
    <w:rsid w:val="00463BE2"/>
    <w:rsid w:val="00463C97"/>
    <w:rsid w:val="004647A2"/>
    <w:rsid w:val="00464B7E"/>
    <w:rsid w:val="004653BD"/>
    <w:rsid w:val="00465430"/>
    <w:rsid w:val="00465A67"/>
    <w:rsid w:val="00465ED9"/>
    <w:rsid w:val="00466DB3"/>
    <w:rsid w:val="00467026"/>
    <w:rsid w:val="00467762"/>
    <w:rsid w:val="00467ECF"/>
    <w:rsid w:val="004707F0"/>
    <w:rsid w:val="00470EE5"/>
    <w:rsid w:val="0047142C"/>
    <w:rsid w:val="0047188F"/>
    <w:rsid w:val="00471FD6"/>
    <w:rsid w:val="00472162"/>
    <w:rsid w:val="0047224A"/>
    <w:rsid w:val="004722D9"/>
    <w:rsid w:val="00473302"/>
    <w:rsid w:val="00473393"/>
    <w:rsid w:val="004735F4"/>
    <w:rsid w:val="004739F9"/>
    <w:rsid w:val="004742FE"/>
    <w:rsid w:val="00474D12"/>
    <w:rsid w:val="00474E61"/>
    <w:rsid w:val="004755C9"/>
    <w:rsid w:val="004755D4"/>
    <w:rsid w:val="00475958"/>
    <w:rsid w:val="004764C5"/>
    <w:rsid w:val="00476E7B"/>
    <w:rsid w:val="004774CD"/>
    <w:rsid w:val="00477888"/>
    <w:rsid w:val="004779EC"/>
    <w:rsid w:val="00477AFD"/>
    <w:rsid w:val="004801A7"/>
    <w:rsid w:val="00480290"/>
    <w:rsid w:val="00480417"/>
    <w:rsid w:val="00481211"/>
    <w:rsid w:val="00481A34"/>
    <w:rsid w:val="00482141"/>
    <w:rsid w:val="004825C0"/>
    <w:rsid w:val="0048299A"/>
    <w:rsid w:val="004832ED"/>
    <w:rsid w:val="0048330F"/>
    <w:rsid w:val="0048339B"/>
    <w:rsid w:val="00484748"/>
    <w:rsid w:val="00484846"/>
    <w:rsid w:val="00485C0B"/>
    <w:rsid w:val="00486393"/>
    <w:rsid w:val="0048676D"/>
    <w:rsid w:val="00486E49"/>
    <w:rsid w:val="0048751D"/>
    <w:rsid w:val="004900E7"/>
    <w:rsid w:val="00490754"/>
    <w:rsid w:val="0049081D"/>
    <w:rsid w:val="00490CE1"/>
    <w:rsid w:val="0049126B"/>
    <w:rsid w:val="004919AD"/>
    <w:rsid w:val="004919DD"/>
    <w:rsid w:val="00491D48"/>
    <w:rsid w:val="004920AC"/>
    <w:rsid w:val="004926B4"/>
    <w:rsid w:val="00492A92"/>
    <w:rsid w:val="00493A6C"/>
    <w:rsid w:val="00493A7B"/>
    <w:rsid w:val="00493AC0"/>
    <w:rsid w:val="00493B7E"/>
    <w:rsid w:val="00493D53"/>
    <w:rsid w:val="004943BE"/>
    <w:rsid w:val="00494A58"/>
    <w:rsid w:val="00494AAB"/>
    <w:rsid w:val="004968C6"/>
    <w:rsid w:val="004970E3"/>
    <w:rsid w:val="00497681"/>
    <w:rsid w:val="0049797D"/>
    <w:rsid w:val="00497FD4"/>
    <w:rsid w:val="004A00B9"/>
    <w:rsid w:val="004A0939"/>
    <w:rsid w:val="004A2024"/>
    <w:rsid w:val="004A2026"/>
    <w:rsid w:val="004A214D"/>
    <w:rsid w:val="004A2450"/>
    <w:rsid w:val="004A2783"/>
    <w:rsid w:val="004A28DC"/>
    <w:rsid w:val="004A2DBF"/>
    <w:rsid w:val="004A33C7"/>
    <w:rsid w:val="004A3509"/>
    <w:rsid w:val="004A359D"/>
    <w:rsid w:val="004A4189"/>
    <w:rsid w:val="004A51C4"/>
    <w:rsid w:val="004A534C"/>
    <w:rsid w:val="004A53E8"/>
    <w:rsid w:val="004A566C"/>
    <w:rsid w:val="004A585E"/>
    <w:rsid w:val="004A62FC"/>
    <w:rsid w:val="004A6960"/>
    <w:rsid w:val="004A6F35"/>
    <w:rsid w:val="004A7264"/>
    <w:rsid w:val="004A7529"/>
    <w:rsid w:val="004B072C"/>
    <w:rsid w:val="004B081A"/>
    <w:rsid w:val="004B0E71"/>
    <w:rsid w:val="004B16C6"/>
    <w:rsid w:val="004B1B68"/>
    <w:rsid w:val="004B237E"/>
    <w:rsid w:val="004B2417"/>
    <w:rsid w:val="004B2A3A"/>
    <w:rsid w:val="004B32D6"/>
    <w:rsid w:val="004B432B"/>
    <w:rsid w:val="004B44E2"/>
    <w:rsid w:val="004B4F9E"/>
    <w:rsid w:val="004B5546"/>
    <w:rsid w:val="004B579A"/>
    <w:rsid w:val="004B5FEE"/>
    <w:rsid w:val="004B65F1"/>
    <w:rsid w:val="004B6791"/>
    <w:rsid w:val="004B6C25"/>
    <w:rsid w:val="004B6E1A"/>
    <w:rsid w:val="004B7738"/>
    <w:rsid w:val="004B7A45"/>
    <w:rsid w:val="004B7DE5"/>
    <w:rsid w:val="004C09EF"/>
    <w:rsid w:val="004C1034"/>
    <w:rsid w:val="004C1094"/>
    <w:rsid w:val="004C1114"/>
    <w:rsid w:val="004C12B2"/>
    <w:rsid w:val="004C1A06"/>
    <w:rsid w:val="004C23B0"/>
    <w:rsid w:val="004C2438"/>
    <w:rsid w:val="004C2863"/>
    <w:rsid w:val="004C30A5"/>
    <w:rsid w:val="004C3558"/>
    <w:rsid w:val="004C36E3"/>
    <w:rsid w:val="004C4043"/>
    <w:rsid w:val="004C4095"/>
    <w:rsid w:val="004C5196"/>
    <w:rsid w:val="004C534C"/>
    <w:rsid w:val="004C5626"/>
    <w:rsid w:val="004C5659"/>
    <w:rsid w:val="004C58DB"/>
    <w:rsid w:val="004C5996"/>
    <w:rsid w:val="004C5B06"/>
    <w:rsid w:val="004C5E8C"/>
    <w:rsid w:val="004C6710"/>
    <w:rsid w:val="004C6CA4"/>
    <w:rsid w:val="004C7C45"/>
    <w:rsid w:val="004D0346"/>
    <w:rsid w:val="004D035B"/>
    <w:rsid w:val="004D052A"/>
    <w:rsid w:val="004D0D36"/>
    <w:rsid w:val="004D2181"/>
    <w:rsid w:val="004D2CB0"/>
    <w:rsid w:val="004D3861"/>
    <w:rsid w:val="004D3D48"/>
    <w:rsid w:val="004D3FAC"/>
    <w:rsid w:val="004D4019"/>
    <w:rsid w:val="004D4146"/>
    <w:rsid w:val="004D41E3"/>
    <w:rsid w:val="004D443B"/>
    <w:rsid w:val="004D44EA"/>
    <w:rsid w:val="004D4627"/>
    <w:rsid w:val="004D49AF"/>
    <w:rsid w:val="004D4C68"/>
    <w:rsid w:val="004D4E66"/>
    <w:rsid w:val="004D4EF8"/>
    <w:rsid w:val="004D50CA"/>
    <w:rsid w:val="004D52D1"/>
    <w:rsid w:val="004D58A0"/>
    <w:rsid w:val="004D58E3"/>
    <w:rsid w:val="004D640B"/>
    <w:rsid w:val="004D6BCD"/>
    <w:rsid w:val="004D6DBE"/>
    <w:rsid w:val="004D6E4C"/>
    <w:rsid w:val="004D72A9"/>
    <w:rsid w:val="004D739D"/>
    <w:rsid w:val="004D74E6"/>
    <w:rsid w:val="004E056E"/>
    <w:rsid w:val="004E0BC5"/>
    <w:rsid w:val="004E0CFA"/>
    <w:rsid w:val="004E1048"/>
    <w:rsid w:val="004E126C"/>
    <w:rsid w:val="004E12F9"/>
    <w:rsid w:val="004E19A1"/>
    <w:rsid w:val="004E19E0"/>
    <w:rsid w:val="004E24A6"/>
    <w:rsid w:val="004E25DA"/>
    <w:rsid w:val="004E3204"/>
    <w:rsid w:val="004E4E65"/>
    <w:rsid w:val="004E69F8"/>
    <w:rsid w:val="004E7012"/>
    <w:rsid w:val="004E7591"/>
    <w:rsid w:val="004E7662"/>
    <w:rsid w:val="004E77CB"/>
    <w:rsid w:val="004E7C08"/>
    <w:rsid w:val="004E7CE1"/>
    <w:rsid w:val="004F016A"/>
    <w:rsid w:val="004F0188"/>
    <w:rsid w:val="004F0254"/>
    <w:rsid w:val="004F0434"/>
    <w:rsid w:val="004F0682"/>
    <w:rsid w:val="004F0CE9"/>
    <w:rsid w:val="004F0D32"/>
    <w:rsid w:val="004F0DBC"/>
    <w:rsid w:val="004F2BC1"/>
    <w:rsid w:val="004F2C5D"/>
    <w:rsid w:val="004F3439"/>
    <w:rsid w:val="004F498C"/>
    <w:rsid w:val="004F4AF7"/>
    <w:rsid w:val="004F6948"/>
    <w:rsid w:val="004F6CFF"/>
    <w:rsid w:val="004F7C4B"/>
    <w:rsid w:val="004F7D69"/>
    <w:rsid w:val="004F7EC2"/>
    <w:rsid w:val="00501610"/>
    <w:rsid w:val="005019E8"/>
    <w:rsid w:val="00501DD2"/>
    <w:rsid w:val="005021E9"/>
    <w:rsid w:val="0050235D"/>
    <w:rsid w:val="005023A7"/>
    <w:rsid w:val="00502473"/>
    <w:rsid w:val="0050291B"/>
    <w:rsid w:val="00502A79"/>
    <w:rsid w:val="00502F47"/>
    <w:rsid w:val="00503918"/>
    <w:rsid w:val="00503A4A"/>
    <w:rsid w:val="00504637"/>
    <w:rsid w:val="0050471B"/>
    <w:rsid w:val="00504ACD"/>
    <w:rsid w:val="00504B62"/>
    <w:rsid w:val="005052A4"/>
    <w:rsid w:val="0050551C"/>
    <w:rsid w:val="0050552E"/>
    <w:rsid w:val="0050568C"/>
    <w:rsid w:val="00506A60"/>
    <w:rsid w:val="00506B6F"/>
    <w:rsid w:val="00506E52"/>
    <w:rsid w:val="00507259"/>
    <w:rsid w:val="0050770B"/>
    <w:rsid w:val="00507E44"/>
    <w:rsid w:val="00507EFE"/>
    <w:rsid w:val="0051077F"/>
    <w:rsid w:val="005109E1"/>
    <w:rsid w:val="00510F37"/>
    <w:rsid w:val="005110DE"/>
    <w:rsid w:val="00512AC7"/>
    <w:rsid w:val="00512ED2"/>
    <w:rsid w:val="00513314"/>
    <w:rsid w:val="00513F63"/>
    <w:rsid w:val="00514349"/>
    <w:rsid w:val="00514786"/>
    <w:rsid w:val="005147F8"/>
    <w:rsid w:val="0051486C"/>
    <w:rsid w:val="0051518B"/>
    <w:rsid w:val="005157E1"/>
    <w:rsid w:val="00515D44"/>
    <w:rsid w:val="00515EFD"/>
    <w:rsid w:val="00516973"/>
    <w:rsid w:val="00517C75"/>
    <w:rsid w:val="00517DAC"/>
    <w:rsid w:val="00517E1B"/>
    <w:rsid w:val="005206A7"/>
    <w:rsid w:val="005208E3"/>
    <w:rsid w:val="005219A5"/>
    <w:rsid w:val="0052254A"/>
    <w:rsid w:val="0052294F"/>
    <w:rsid w:val="005232B8"/>
    <w:rsid w:val="005243F7"/>
    <w:rsid w:val="00525032"/>
    <w:rsid w:val="00525709"/>
    <w:rsid w:val="00525CE5"/>
    <w:rsid w:val="005262A8"/>
    <w:rsid w:val="00526375"/>
    <w:rsid w:val="00526612"/>
    <w:rsid w:val="0052698F"/>
    <w:rsid w:val="00526A4E"/>
    <w:rsid w:val="00526FB3"/>
    <w:rsid w:val="0052721C"/>
    <w:rsid w:val="005276F4"/>
    <w:rsid w:val="00527726"/>
    <w:rsid w:val="00530721"/>
    <w:rsid w:val="005309C4"/>
    <w:rsid w:val="00530C8D"/>
    <w:rsid w:val="0053124E"/>
    <w:rsid w:val="0053165C"/>
    <w:rsid w:val="00531762"/>
    <w:rsid w:val="00531D4A"/>
    <w:rsid w:val="00531F0B"/>
    <w:rsid w:val="00532FED"/>
    <w:rsid w:val="00533654"/>
    <w:rsid w:val="00533B40"/>
    <w:rsid w:val="00533EF2"/>
    <w:rsid w:val="0053431A"/>
    <w:rsid w:val="00534A50"/>
    <w:rsid w:val="00534DB3"/>
    <w:rsid w:val="00535686"/>
    <w:rsid w:val="00535EF3"/>
    <w:rsid w:val="0053628D"/>
    <w:rsid w:val="00536510"/>
    <w:rsid w:val="00537A1A"/>
    <w:rsid w:val="00537A9E"/>
    <w:rsid w:val="00540156"/>
    <w:rsid w:val="005402C0"/>
    <w:rsid w:val="00540D28"/>
    <w:rsid w:val="00540DAA"/>
    <w:rsid w:val="00542A77"/>
    <w:rsid w:val="00542A9F"/>
    <w:rsid w:val="00543451"/>
    <w:rsid w:val="0054382C"/>
    <w:rsid w:val="005441B4"/>
    <w:rsid w:val="00545BB0"/>
    <w:rsid w:val="00546D02"/>
    <w:rsid w:val="00547180"/>
    <w:rsid w:val="00547295"/>
    <w:rsid w:val="005472AB"/>
    <w:rsid w:val="005474E7"/>
    <w:rsid w:val="00547542"/>
    <w:rsid w:val="005476C4"/>
    <w:rsid w:val="00547D41"/>
    <w:rsid w:val="0055078E"/>
    <w:rsid w:val="00550AE7"/>
    <w:rsid w:val="00550F48"/>
    <w:rsid w:val="00551BF5"/>
    <w:rsid w:val="00552024"/>
    <w:rsid w:val="00552631"/>
    <w:rsid w:val="0055409D"/>
    <w:rsid w:val="00554212"/>
    <w:rsid w:val="0055441B"/>
    <w:rsid w:val="00554B46"/>
    <w:rsid w:val="00554FBE"/>
    <w:rsid w:val="00555EC9"/>
    <w:rsid w:val="0055617A"/>
    <w:rsid w:val="00556D8C"/>
    <w:rsid w:val="005572BF"/>
    <w:rsid w:val="00557891"/>
    <w:rsid w:val="00557C19"/>
    <w:rsid w:val="00560279"/>
    <w:rsid w:val="00560A31"/>
    <w:rsid w:val="00561DBE"/>
    <w:rsid w:val="00562EE7"/>
    <w:rsid w:val="00562F9D"/>
    <w:rsid w:val="0056361F"/>
    <w:rsid w:val="005639DF"/>
    <w:rsid w:val="00563B19"/>
    <w:rsid w:val="00563D76"/>
    <w:rsid w:val="0056518E"/>
    <w:rsid w:val="00565264"/>
    <w:rsid w:val="00565647"/>
    <w:rsid w:val="00565DF7"/>
    <w:rsid w:val="00566252"/>
    <w:rsid w:val="00566315"/>
    <w:rsid w:val="00566D75"/>
    <w:rsid w:val="00567617"/>
    <w:rsid w:val="00567A7B"/>
    <w:rsid w:val="00567B89"/>
    <w:rsid w:val="00570A47"/>
    <w:rsid w:val="00570FD1"/>
    <w:rsid w:val="005712C6"/>
    <w:rsid w:val="00571CB5"/>
    <w:rsid w:val="00572622"/>
    <w:rsid w:val="005727DD"/>
    <w:rsid w:val="00572B79"/>
    <w:rsid w:val="005733B2"/>
    <w:rsid w:val="0057451B"/>
    <w:rsid w:val="00574924"/>
    <w:rsid w:val="00574DD5"/>
    <w:rsid w:val="00575273"/>
    <w:rsid w:val="00575E30"/>
    <w:rsid w:val="00575E9E"/>
    <w:rsid w:val="005769C1"/>
    <w:rsid w:val="00576F04"/>
    <w:rsid w:val="0057746C"/>
    <w:rsid w:val="00577484"/>
    <w:rsid w:val="00577AF6"/>
    <w:rsid w:val="00577C5A"/>
    <w:rsid w:val="00577CFA"/>
    <w:rsid w:val="00580974"/>
    <w:rsid w:val="00581BBE"/>
    <w:rsid w:val="00581F74"/>
    <w:rsid w:val="005822F4"/>
    <w:rsid w:val="00582DEF"/>
    <w:rsid w:val="0058318B"/>
    <w:rsid w:val="005837A4"/>
    <w:rsid w:val="00583904"/>
    <w:rsid w:val="00583948"/>
    <w:rsid w:val="00583C6E"/>
    <w:rsid w:val="005841BD"/>
    <w:rsid w:val="0058422F"/>
    <w:rsid w:val="0058479D"/>
    <w:rsid w:val="00584A0F"/>
    <w:rsid w:val="00585EAA"/>
    <w:rsid w:val="00590241"/>
    <w:rsid w:val="00590AC8"/>
    <w:rsid w:val="005911B8"/>
    <w:rsid w:val="00593E06"/>
    <w:rsid w:val="005957A4"/>
    <w:rsid w:val="00596E66"/>
    <w:rsid w:val="0059701B"/>
    <w:rsid w:val="005970A6"/>
    <w:rsid w:val="005A07E3"/>
    <w:rsid w:val="005A09C3"/>
    <w:rsid w:val="005A0F58"/>
    <w:rsid w:val="005A15E2"/>
    <w:rsid w:val="005A16FC"/>
    <w:rsid w:val="005A1EBC"/>
    <w:rsid w:val="005A209E"/>
    <w:rsid w:val="005A3A83"/>
    <w:rsid w:val="005A3F8B"/>
    <w:rsid w:val="005A528C"/>
    <w:rsid w:val="005A59D0"/>
    <w:rsid w:val="005A5B77"/>
    <w:rsid w:val="005A5C22"/>
    <w:rsid w:val="005A5FF0"/>
    <w:rsid w:val="005A63D5"/>
    <w:rsid w:val="005A696B"/>
    <w:rsid w:val="005A6CD4"/>
    <w:rsid w:val="005A6EB5"/>
    <w:rsid w:val="005A7525"/>
    <w:rsid w:val="005A7A0B"/>
    <w:rsid w:val="005A7A6B"/>
    <w:rsid w:val="005B0795"/>
    <w:rsid w:val="005B28C4"/>
    <w:rsid w:val="005B2DF9"/>
    <w:rsid w:val="005B3419"/>
    <w:rsid w:val="005B3497"/>
    <w:rsid w:val="005B3526"/>
    <w:rsid w:val="005B3D57"/>
    <w:rsid w:val="005B41B3"/>
    <w:rsid w:val="005B4DA3"/>
    <w:rsid w:val="005B556E"/>
    <w:rsid w:val="005B5803"/>
    <w:rsid w:val="005B5891"/>
    <w:rsid w:val="005B58DF"/>
    <w:rsid w:val="005B6323"/>
    <w:rsid w:val="005B63D0"/>
    <w:rsid w:val="005B656E"/>
    <w:rsid w:val="005B7050"/>
    <w:rsid w:val="005B73F7"/>
    <w:rsid w:val="005B7858"/>
    <w:rsid w:val="005B7C71"/>
    <w:rsid w:val="005B7D8E"/>
    <w:rsid w:val="005C06FA"/>
    <w:rsid w:val="005C0D9A"/>
    <w:rsid w:val="005C173E"/>
    <w:rsid w:val="005C1B9C"/>
    <w:rsid w:val="005C29C5"/>
    <w:rsid w:val="005C35A0"/>
    <w:rsid w:val="005C35AB"/>
    <w:rsid w:val="005C3F9E"/>
    <w:rsid w:val="005C4A7F"/>
    <w:rsid w:val="005C4EBE"/>
    <w:rsid w:val="005C506A"/>
    <w:rsid w:val="005C5099"/>
    <w:rsid w:val="005C50BE"/>
    <w:rsid w:val="005C5161"/>
    <w:rsid w:val="005C54B9"/>
    <w:rsid w:val="005C5576"/>
    <w:rsid w:val="005C559F"/>
    <w:rsid w:val="005C5A01"/>
    <w:rsid w:val="005C5EB6"/>
    <w:rsid w:val="005C624A"/>
    <w:rsid w:val="005C6E1E"/>
    <w:rsid w:val="005C6E75"/>
    <w:rsid w:val="005C724A"/>
    <w:rsid w:val="005C783F"/>
    <w:rsid w:val="005D09ED"/>
    <w:rsid w:val="005D0B42"/>
    <w:rsid w:val="005D14BE"/>
    <w:rsid w:val="005D1508"/>
    <w:rsid w:val="005D164E"/>
    <w:rsid w:val="005D17B1"/>
    <w:rsid w:val="005D1B61"/>
    <w:rsid w:val="005D1E5A"/>
    <w:rsid w:val="005D2424"/>
    <w:rsid w:val="005D2546"/>
    <w:rsid w:val="005D2C25"/>
    <w:rsid w:val="005D2C99"/>
    <w:rsid w:val="005D311D"/>
    <w:rsid w:val="005D36B1"/>
    <w:rsid w:val="005D3EF4"/>
    <w:rsid w:val="005D422E"/>
    <w:rsid w:val="005D58AC"/>
    <w:rsid w:val="005D6B52"/>
    <w:rsid w:val="005D70C0"/>
    <w:rsid w:val="005D7740"/>
    <w:rsid w:val="005D7939"/>
    <w:rsid w:val="005E02D0"/>
    <w:rsid w:val="005E051D"/>
    <w:rsid w:val="005E0D97"/>
    <w:rsid w:val="005E0F9E"/>
    <w:rsid w:val="005E2CC5"/>
    <w:rsid w:val="005E3065"/>
    <w:rsid w:val="005E322A"/>
    <w:rsid w:val="005E4042"/>
    <w:rsid w:val="005E4527"/>
    <w:rsid w:val="005E4659"/>
    <w:rsid w:val="005E5AD4"/>
    <w:rsid w:val="005E5E48"/>
    <w:rsid w:val="005E735C"/>
    <w:rsid w:val="005E79EF"/>
    <w:rsid w:val="005F01C0"/>
    <w:rsid w:val="005F0686"/>
    <w:rsid w:val="005F093D"/>
    <w:rsid w:val="005F097F"/>
    <w:rsid w:val="005F0E55"/>
    <w:rsid w:val="005F13DB"/>
    <w:rsid w:val="005F26E8"/>
    <w:rsid w:val="005F279D"/>
    <w:rsid w:val="005F3915"/>
    <w:rsid w:val="005F3DAE"/>
    <w:rsid w:val="005F3F20"/>
    <w:rsid w:val="005F3FEB"/>
    <w:rsid w:val="005F464E"/>
    <w:rsid w:val="005F48F3"/>
    <w:rsid w:val="005F4B76"/>
    <w:rsid w:val="005F514B"/>
    <w:rsid w:val="005F5C4A"/>
    <w:rsid w:val="005F6468"/>
    <w:rsid w:val="005F65A4"/>
    <w:rsid w:val="005F6C4D"/>
    <w:rsid w:val="005F77C2"/>
    <w:rsid w:val="00600646"/>
    <w:rsid w:val="0060079E"/>
    <w:rsid w:val="00600A34"/>
    <w:rsid w:val="00600AEB"/>
    <w:rsid w:val="006019EF"/>
    <w:rsid w:val="00601F0F"/>
    <w:rsid w:val="00602D31"/>
    <w:rsid w:val="00602E9B"/>
    <w:rsid w:val="00603257"/>
    <w:rsid w:val="00604538"/>
    <w:rsid w:val="0060525A"/>
    <w:rsid w:val="00606720"/>
    <w:rsid w:val="00606DEB"/>
    <w:rsid w:val="006070D6"/>
    <w:rsid w:val="0060746B"/>
    <w:rsid w:val="006103C2"/>
    <w:rsid w:val="006109AA"/>
    <w:rsid w:val="00610A16"/>
    <w:rsid w:val="00610DAE"/>
    <w:rsid w:val="006114B9"/>
    <w:rsid w:val="00613587"/>
    <w:rsid w:val="0061381D"/>
    <w:rsid w:val="00613BF7"/>
    <w:rsid w:val="00613FAB"/>
    <w:rsid w:val="0061419F"/>
    <w:rsid w:val="00614619"/>
    <w:rsid w:val="00614865"/>
    <w:rsid w:val="00614B17"/>
    <w:rsid w:val="00614CED"/>
    <w:rsid w:val="00615445"/>
    <w:rsid w:val="00615556"/>
    <w:rsid w:val="006155F1"/>
    <w:rsid w:val="00615A87"/>
    <w:rsid w:val="00615D37"/>
    <w:rsid w:val="006166A1"/>
    <w:rsid w:val="00616B4D"/>
    <w:rsid w:val="006179C4"/>
    <w:rsid w:val="00617EC9"/>
    <w:rsid w:val="006204E2"/>
    <w:rsid w:val="006206C9"/>
    <w:rsid w:val="0062077F"/>
    <w:rsid w:val="00620B5C"/>
    <w:rsid w:val="00620CC5"/>
    <w:rsid w:val="00620D0D"/>
    <w:rsid w:val="00621031"/>
    <w:rsid w:val="00621BA8"/>
    <w:rsid w:val="00621CB4"/>
    <w:rsid w:val="00621E3F"/>
    <w:rsid w:val="006230E3"/>
    <w:rsid w:val="0062380E"/>
    <w:rsid w:val="006238DA"/>
    <w:rsid w:val="00623AA7"/>
    <w:rsid w:val="006243DC"/>
    <w:rsid w:val="00624FB7"/>
    <w:rsid w:val="0062522F"/>
    <w:rsid w:val="00626976"/>
    <w:rsid w:val="00626D9F"/>
    <w:rsid w:val="0062762A"/>
    <w:rsid w:val="0062793A"/>
    <w:rsid w:val="00627ADA"/>
    <w:rsid w:val="00627DFA"/>
    <w:rsid w:val="00627E79"/>
    <w:rsid w:val="00630DB3"/>
    <w:rsid w:val="00631A2B"/>
    <w:rsid w:val="00632A05"/>
    <w:rsid w:val="00632A9E"/>
    <w:rsid w:val="00632E76"/>
    <w:rsid w:val="00633169"/>
    <w:rsid w:val="0063330E"/>
    <w:rsid w:val="0063338D"/>
    <w:rsid w:val="00634110"/>
    <w:rsid w:val="0063412F"/>
    <w:rsid w:val="006344C3"/>
    <w:rsid w:val="006350AA"/>
    <w:rsid w:val="006350AC"/>
    <w:rsid w:val="006358FA"/>
    <w:rsid w:val="006359B2"/>
    <w:rsid w:val="00635DE8"/>
    <w:rsid w:val="00636166"/>
    <w:rsid w:val="00636AB7"/>
    <w:rsid w:val="006378E5"/>
    <w:rsid w:val="00637E0B"/>
    <w:rsid w:val="0064037A"/>
    <w:rsid w:val="006427FF"/>
    <w:rsid w:val="0064311C"/>
    <w:rsid w:val="00643149"/>
    <w:rsid w:val="006431AC"/>
    <w:rsid w:val="00643CD4"/>
    <w:rsid w:val="0064418F"/>
    <w:rsid w:val="00644B7D"/>
    <w:rsid w:val="0064516E"/>
    <w:rsid w:val="00645243"/>
    <w:rsid w:val="006452D8"/>
    <w:rsid w:val="0064555C"/>
    <w:rsid w:val="00646472"/>
    <w:rsid w:val="00646C65"/>
    <w:rsid w:val="006471C9"/>
    <w:rsid w:val="006475E9"/>
    <w:rsid w:val="00647B32"/>
    <w:rsid w:val="00647B60"/>
    <w:rsid w:val="00650B4A"/>
    <w:rsid w:val="0065176A"/>
    <w:rsid w:val="006521F0"/>
    <w:rsid w:val="00652479"/>
    <w:rsid w:val="00652AF4"/>
    <w:rsid w:val="006533BE"/>
    <w:rsid w:val="0065352B"/>
    <w:rsid w:val="00653872"/>
    <w:rsid w:val="00653FAC"/>
    <w:rsid w:val="0065459A"/>
    <w:rsid w:val="0065527C"/>
    <w:rsid w:val="00655948"/>
    <w:rsid w:val="00655DC5"/>
    <w:rsid w:val="00656094"/>
    <w:rsid w:val="006571C2"/>
    <w:rsid w:val="00657D18"/>
    <w:rsid w:val="00657DAE"/>
    <w:rsid w:val="00657E14"/>
    <w:rsid w:val="00657F47"/>
    <w:rsid w:val="00660B21"/>
    <w:rsid w:val="006616DF"/>
    <w:rsid w:val="00661ADA"/>
    <w:rsid w:val="00661FE1"/>
    <w:rsid w:val="006622A5"/>
    <w:rsid w:val="0066271B"/>
    <w:rsid w:val="00663041"/>
    <w:rsid w:val="006633B4"/>
    <w:rsid w:val="006637B8"/>
    <w:rsid w:val="006637BA"/>
    <w:rsid w:val="006637C2"/>
    <w:rsid w:val="006639F8"/>
    <w:rsid w:val="00663FA5"/>
    <w:rsid w:val="00664744"/>
    <w:rsid w:val="00665103"/>
    <w:rsid w:val="0066632F"/>
    <w:rsid w:val="006665E1"/>
    <w:rsid w:val="00666765"/>
    <w:rsid w:val="006667C0"/>
    <w:rsid w:val="00667224"/>
    <w:rsid w:val="0066725E"/>
    <w:rsid w:val="00667613"/>
    <w:rsid w:val="006679A6"/>
    <w:rsid w:val="00670662"/>
    <w:rsid w:val="00670812"/>
    <w:rsid w:val="00670D18"/>
    <w:rsid w:val="00671681"/>
    <w:rsid w:val="00671693"/>
    <w:rsid w:val="00671925"/>
    <w:rsid w:val="00671949"/>
    <w:rsid w:val="00671DB7"/>
    <w:rsid w:val="006722CE"/>
    <w:rsid w:val="00672326"/>
    <w:rsid w:val="00672606"/>
    <w:rsid w:val="00672C77"/>
    <w:rsid w:val="00672F2F"/>
    <w:rsid w:val="006732C8"/>
    <w:rsid w:val="006735B4"/>
    <w:rsid w:val="00673CBF"/>
    <w:rsid w:val="00673E75"/>
    <w:rsid w:val="00674003"/>
    <w:rsid w:val="0067501D"/>
    <w:rsid w:val="006756A5"/>
    <w:rsid w:val="00675BCC"/>
    <w:rsid w:val="00675E5A"/>
    <w:rsid w:val="00675F16"/>
    <w:rsid w:val="006767A0"/>
    <w:rsid w:val="006767AE"/>
    <w:rsid w:val="006769EE"/>
    <w:rsid w:val="00676B39"/>
    <w:rsid w:val="006778BE"/>
    <w:rsid w:val="00680C30"/>
    <w:rsid w:val="00680C86"/>
    <w:rsid w:val="0068125A"/>
    <w:rsid w:val="00681773"/>
    <w:rsid w:val="00681A26"/>
    <w:rsid w:val="00681B4C"/>
    <w:rsid w:val="00681D39"/>
    <w:rsid w:val="00681E45"/>
    <w:rsid w:val="00681E80"/>
    <w:rsid w:val="00682053"/>
    <w:rsid w:val="00682085"/>
    <w:rsid w:val="006825E7"/>
    <w:rsid w:val="00682BCC"/>
    <w:rsid w:val="006832A7"/>
    <w:rsid w:val="0068341F"/>
    <w:rsid w:val="00683FD6"/>
    <w:rsid w:val="00685627"/>
    <w:rsid w:val="00685EA8"/>
    <w:rsid w:val="0068712A"/>
    <w:rsid w:val="0068712E"/>
    <w:rsid w:val="006879AA"/>
    <w:rsid w:val="00687A30"/>
    <w:rsid w:val="00690E64"/>
    <w:rsid w:val="006915EE"/>
    <w:rsid w:val="00692D2D"/>
    <w:rsid w:val="0069396C"/>
    <w:rsid w:val="00693BFC"/>
    <w:rsid w:val="00694073"/>
    <w:rsid w:val="00694574"/>
    <w:rsid w:val="0069533F"/>
    <w:rsid w:val="00695720"/>
    <w:rsid w:val="006957C0"/>
    <w:rsid w:val="00695F48"/>
    <w:rsid w:val="00696158"/>
    <w:rsid w:val="00696AF0"/>
    <w:rsid w:val="006972F0"/>
    <w:rsid w:val="00697391"/>
    <w:rsid w:val="00697BF5"/>
    <w:rsid w:val="006A0096"/>
    <w:rsid w:val="006A066A"/>
    <w:rsid w:val="006A07AF"/>
    <w:rsid w:val="006A0BDD"/>
    <w:rsid w:val="006A11E8"/>
    <w:rsid w:val="006A12EE"/>
    <w:rsid w:val="006A1A48"/>
    <w:rsid w:val="006A2386"/>
    <w:rsid w:val="006A240F"/>
    <w:rsid w:val="006A25D8"/>
    <w:rsid w:val="006A296B"/>
    <w:rsid w:val="006A2C19"/>
    <w:rsid w:val="006A2F3A"/>
    <w:rsid w:val="006A3483"/>
    <w:rsid w:val="006A37D4"/>
    <w:rsid w:val="006A387E"/>
    <w:rsid w:val="006A3F6B"/>
    <w:rsid w:val="006A4078"/>
    <w:rsid w:val="006A5267"/>
    <w:rsid w:val="006A5D34"/>
    <w:rsid w:val="006A5DB5"/>
    <w:rsid w:val="006A5E3E"/>
    <w:rsid w:val="006A635C"/>
    <w:rsid w:val="006A63D8"/>
    <w:rsid w:val="006A6553"/>
    <w:rsid w:val="006A6EEA"/>
    <w:rsid w:val="006A6F7F"/>
    <w:rsid w:val="006A7542"/>
    <w:rsid w:val="006A7AFC"/>
    <w:rsid w:val="006B010C"/>
    <w:rsid w:val="006B05A7"/>
    <w:rsid w:val="006B0ABA"/>
    <w:rsid w:val="006B0FA8"/>
    <w:rsid w:val="006B1281"/>
    <w:rsid w:val="006B1401"/>
    <w:rsid w:val="006B167B"/>
    <w:rsid w:val="006B1A86"/>
    <w:rsid w:val="006B28BF"/>
    <w:rsid w:val="006B28FB"/>
    <w:rsid w:val="006B2B74"/>
    <w:rsid w:val="006B3118"/>
    <w:rsid w:val="006B3A3F"/>
    <w:rsid w:val="006B4D30"/>
    <w:rsid w:val="006B52F0"/>
    <w:rsid w:val="006B58E0"/>
    <w:rsid w:val="006B5C04"/>
    <w:rsid w:val="006B63E2"/>
    <w:rsid w:val="006C03C2"/>
    <w:rsid w:val="006C0999"/>
    <w:rsid w:val="006C1529"/>
    <w:rsid w:val="006C160C"/>
    <w:rsid w:val="006C1623"/>
    <w:rsid w:val="006C2DA2"/>
    <w:rsid w:val="006C2E87"/>
    <w:rsid w:val="006C3768"/>
    <w:rsid w:val="006C479D"/>
    <w:rsid w:val="006C57FE"/>
    <w:rsid w:val="006C58E9"/>
    <w:rsid w:val="006C5FEF"/>
    <w:rsid w:val="006C6231"/>
    <w:rsid w:val="006C72C7"/>
    <w:rsid w:val="006C7760"/>
    <w:rsid w:val="006C7F21"/>
    <w:rsid w:val="006D0522"/>
    <w:rsid w:val="006D0AD8"/>
    <w:rsid w:val="006D0B83"/>
    <w:rsid w:val="006D1361"/>
    <w:rsid w:val="006D19B4"/>
    <w:rsid w:val="006D21E4"/>
    <w:rsid w:val="006D29A2"/>
    <w:rsid w:val="006D2B5B"/>
    <w:rsid w:val="006D2BCF"/>
    <w:rsid w:val="006D389E"/>
    <w:rsid w:val="006D3A10"/>
    <w:rsid w:val="006D3F3C"/>
    <w:rsid w:val="006D4037"/>
    <w:rsid w:val="006D48F8"/>
    <w:rsid w:val="006D4B9A"/>
    <w:rsid w:val="006D4E4D"/>
    <w:rsid w:val="006D52BA"/>
    <w:rsid w:val="006D5842"/>
    <w:rsid w:val="006D5D0F"/>
    <w:rsid w:val="006D67FA"/>
    <w:rsid w:val="006D6F04"/>
    <w:rsid w:val="006D7230"/>
    <w:rsid w:val="006D7583"/>
    <w:rsid w:val="006D76DC"/>
    <w:rsid w:val="006E01A4"/>
    <w:rsid w:val="006E038E"/>
    <w:rsid w:val="006E0B4E"/>
    <w:rsid w:val="006E12CF"/>
    <w:rsid w:val="006E18E1"/>
    <w:rsid w:val="006E205A"/>
    <w:rsid w:val="006E210A"/>
    <w:rsid w:val="006E2163"/>
    <w:rsid w:val="006E264D"/>
    <w:rsid w:val="006E28FE"/>
    <w:rsid w:val="006E2925"/>
    <w:rsid w:val="006E2AAA"/>
    <w:rsid w:val="006E2BDC"/>
    <w:rsid w:val="006E2C05"/>
    <w:rsid w:val="006E377B"/>
    <w:rsid w:val="006E3D20"/>
    <w:rsid w:val="006E3D34"/>
    <w:rsid w:val="006E4405"/>
    <w:rsid w:val="006E5492"/>
    <w:rsid w:val="006E5509"/>
    <w:rsid w:val="006E613A"/>
    <w:rsid w:val="006E6208"/>
    <w:rsid w:val="006E6C03"/>
    <w:rsid w:val="006E7CE6"/>
    <w:rsid w:val="006F06C4"/>
    <w:rsid w:val="006F08BF"/>
    <w:rsid w:val="006F1495"/>
    <w:rsid w:val="006F16AF"/>
    <w:rsid w:val="006F329C"/>
    <w:rsid w:val="006F3A8B"/>
    <w:rsid w:val="006F3E3D"/>
    <w:rsid w:val="006F4095"/>
    <w:rsid w:val="006F4500"/>
    <w:rsid w:val="006F4644"/>
    <w:rsid w:val="006F4DC8"/>
    <w:rsid w:val="006F504A"/>
    <w:rsid w:val="006F5687"/>
    <w:rsid w:val="006F5F49"/>
    <w:rsid w:val="006F629C"/>
    <w:rsid w:val="006F6AE3"/>
    <w:rsid w:val="006F7165"/>
    <w:rsid w:val="006F7634"/>
    <w:rsid w:val="006F7CDD"/>
    <w:rsid w:val="007000F7"/>
    <w:rsid w:val="00700614"/>
    <w:rsid w:val="00701411"/>
    <w:rsid w:val="007023E1"/>
    <w:rsid w:val="0070408C"/>
    <w:rsid w:val="007042D1"/>
    <w:rsid w:val="00704A5E"/>
    <w:rsid w:val="00704B94"/>
    <w:rsid w:val="007051E9"/>
    <w:rsid w:val="00705506"/>
    <w:rsid w:val="007076C6"/>
    <w:rsid w:val="007101A4"/>
    <w:rsid w:val="007104A2"/>
    <w:rsid w:val="00711282"/>
    <w:rsid w:val="00711840"/>
    <w:rsid w:val="00711A5C"/>
    <w:rsid w:val="00711B3B"/>
    <w:rsid w:val="00711F60"/>
    <w:rsid w:val="00712B79"/>
    <w:rsid w:val="007134FA"/>
    <w:rsid w:val="0071360F"/>
    <w:rsid w:val="00714067"/>
    <w:rsid w:val="0071407D"/>
    <w:rsid w:val="00714AA9"/>
    <w:rsid w:val="007159FC"/>
    <w:rsid w:val="00715A2F"/>
    <w:rsid w:val="00715B3E"/>
    <w:rsid w:val="00715E66"/>
    <w:rsid w:val="00717387"/>
    <w:rsid w:val="00717AB0"/>
    <w:rsid w:val="00717AB2"/>
    <w:rsid w:val="00717B43"/>
    <w:rsid w:val="00717D05"/>
    <w:rsid w:val="00717EA1"/>
    <w:rsid w:val="00717EAC"/>
    <w:rsid w:val="007204A7"/>
    <w:rsid w:val="00720A58"/>
    <w:rsid w:val="00720C36"/>
    <w:rsid w:val="00720E2C"/>
    <w:rsid w:val="00721910"/>
    <w:rsid w:val="00722FC7"/>
    <w:rsid w:val="0072364C"/>
    <w:rsid w:val="007236E8"/>
    <w:rsid w:val="00724307"/>
    <w:rsid w:val="0072438B"/>
    <w:rsid w:val="00724408"/>
    <w:rsid w:val="007249E2"/>
    <w:rsid w:val="00724BBF"/>
    <w:rsid w:val="0072688D"/>
    <w:rsid w:val="00726895"/>
    <w:rsid w:val="0072775A"/>
    <w:rsid w:val="00727810"/>
    <w:rsid w:val="00727A31"/>
    <w:rsid w:val="0073080F"/>
    <w:rsid w:val="00730B04"/>
    <w:rsid w:val="00730C5A"/>
    <w:rsid w:val="00730CB7"/>
    <w:rsid w:val="00730CE1"/>
    <w:rsid w:val="007315A1"/>
    <w:rsid w:val="00731F45"/>
    <w:rsid w:val="00732003"/>
    <w:rsid w:val="0073204E"/>
    <w:rsid w:val="00734224"/>
    <w:rsid w:val="00734596"/>
    <w:rsid w:val="0073509B"/>
    <w:rsid w:val="0073597E"/>
    <w:rsid w:val="00735DDA"/>
    <w:rsid w:val="00736D0A"/>
    <w:rsid w:val="007373BD"/>
    <w:rsid w:val="0073783B"/>
    <w:rsid w:val="00737A9E"/>
    <w:rsid w:val="00740685"/>
    <w:rsid w:val="00740706"/>
    <w:rsid w:val="00740BCB"/>
    <w:rsid w:val="00740D0C"/>
    <w:rsid w:val="00740FEF"/>
    <w:rsid w:val="00741123"/>
    <w:rsid w:val="00741A86"/>
    <w:rsid w:val="00742042"/>
    <w:rsid w:val="00742100"/>
    <w:rsid w:val="007425B1"/>
    <w:rsid w:val="0074278E"/>
    <w:rsid w:val="00742B40"/>
    <w:rsid w:val="00743527"/>
    <w:rsid w:val="007440BE"/>
    <w:rsid w:val="007449E1"/>
    <w:rsid w:val="00745222"/>
    <w:rsid w:val="007452F8"/>
    <w:rsid w:val="00746597"/>
    <w:rsid w:val="007468DB"/>
    <w:rsid w:val="00746E07"/>
    <w:rsid w:val="00746F98"/>
    <w:rsid w:val="00746F9F"/>
    <w:rsid w:val="007476C5"/>
    <w:rsid w:val="00747958"/>
    <w:rsid w:val="0075062E"/>
    <w:rsid w:val="0075101B"/>
    <w:rsid w:val="0075145A"/>
    <w:rsid w:val="00751A80"/>
    <w:rsid w:val="00751A8B"/>
    <w:rsid w:val="0075265B"/>
    <w:rsid w:val="00752669"/>
    <w:rsid w:val="00753144"/>
    <w:rsid w:val="00753A7F"/>
    <w:rsid w:val="00753AE0"/>
    <w:rsid w:val="007546B8"/>
    <w:rsid w:val="00755057"/>
    <w:rsid w:val="00756D8F"/>
    <w:rsid w:val="00756E46"/>
    <w:rsid w:val="007570A8"/>
    <w:rsid w:val="007574F9"/>
    <w:rsid w:val="00760526"/>
    <w:rsid w:val="0076089F"/>
    <w:rsid w:val="007620DE"/>
    <w:rsid w:val="0076257B"/>
    <w:rsid w:val="0076264F"/>
    <w:rsid w:val="00762EFA"/>
    <w:rsid w:val="0076388B"/>
    <w:rsid w:val="00763B5F"/>
    <w:rsid w:val="00763F6C"/>
    <w:rsid w:val="00763FD0"/>
    <w:rsid w:val="00764DB5"/>
    <w:rsid w:val="0076574E"/>
    <w:rsid w:val="007657DA"/>
    <w:rsid w:val="00765E34"/>
    <w:rsid w:val="007660E4"/>
    <w:rsid w:val="007662FE"/>
    <w:rsid w:val="00766551"/>
    <w:rsid w:val="0076670F"/>
    <w:rsid w:val="00767C12"/>
    <w:rsid w:val="007701BF"/>
    <w:rsid w:val="0077040C"/>
    <w:rsid w:val="007705D1"/>
    <w:rsid w:val="00771734"/>
    <w:rsid w:val="0077275D"/>
    <w:rsid w:val="007728D3"/>
    <w:rsid w:val="00772DCD"/>
    <w:rsid w:val="00772E1D"/>
    <w:rsid w:val="0077327B"/>
    <w:rsid w:val="0077345C"/>
    <w:rsid w:val="00773D5E"/>
    <w:rsid w:val="00773F1D"/>
    <w:rsid w:val="00774781"/>
    <w:rsid w:val="00775330"/>
    <w:rsid w:val="007753E1"/>
    <w:rsid w:val="007762E3"/>
    <w:rsid w:val="007762E5"/>
    <w:rsid w:val="00776560"/>
    <w:rsid w:val="0077683C"/>
    <w:rsid w:val="00776CF0"/>
    <w:rsid w:val="00776D17"/>
    <w:rsid w:val="00777AB7"/>
    <w:rsid w:val="00780369"/>
    <w:rsid w:val="007805F6"/>
    <w:rsid w:val="0078078C"/>
    <w:rsid w:val="0078139C"/>
    <w:rsid w:val="007814FE"/>
    <w:rsid w:val="007836B0"/>
    <w:rsid w:val="00783E29"/>
    <w:rsid w:val="00783F5A"/>
    <w:rsid w:val="00784802"/>
    <w:rsid w:val="0078530B"/>
    <w:rsid w:val="00785686"/>
    <w:rsid w:val="00785828"/>
    <w:rsid w:val="00785ABE"/>
    <w:rsid w:val="00785C42"/>
    <w:rsid w:val="00785E93"/>
    <w:rsid w:val="00787739"/>
    <w:rsid w:val="00787BD8"/>
    <w:rsid w:val="0079061F"/>
    <w:rsid w:val="00790F21"/>
    <w:rsid w:val="00790F49"/>
    <w:rsid w:val="00790FBA"/>
    <w:rsid w:val="00791D3F"/>
    <w:rsid w:val="00792095"/>
    <w:rsid w:val="007921A2"/>
    <w:rsid w:val="00792EB5"/>
    <w:rsid w:val="00793099"/>
    <w:rsid w:val="00793F7A"/>
    <w:rsid w:val="0079404B"/>
    <w:rsid w:val="007943E3"/>
    <w:rsid w:val="00794C65"/>
    <w:rsid w:val="00795525"/>
    <w:rsid w:val="00795AC1"/>
    <w:rsid w:val="007973F8"/>
    <w:rsid w:val="007A0019"/>
    <w:rsid w:val="007A07A1"/>
    <w:rsid w:val="007A0DCD"/>
    <w:rsid w:val="007A1459"/>
    <w:rsid w:val="007A1E81"/>
    <w:rsid w:val="007A2206"/>
    <w:rsid w:val="007A3991"/>
    <w:rsid w:val="007A3B72"/>
    <w:rsid w:val="007A4136"/>
    <w:rsid w:val="007A41DF"/>
    <w:rsid w:val="007A4281"/>
    <w:rsid w:val="007A46BD"/>
    <w:rsid w:val="007A4EC3"/>
    <w:rsid w:val="007A5371"/>
    <w:rsid w:val="007A5392"/>
    <w:rsid w:val="007A5C0C"/>
    <w:rsid w:val="007A6021"/>
    <w:rsid w:val="007A64FD"/>
    <w:rsid w:val="007A6688"/>
    <w:rsid w:val="007A68B6"/>
    <w:rsid w:val="007A6D55"/>
    <w:rsid w:val="007A7599"/>
    <w:rsid w:val="007A7E47"/>
    <w:rsid w:val="007B0182"/>
    <w:rsid w:val="007B0235"/>
    <w:rsid w:val="007B0B14"/>
    <w:rsid w:val="007B1577"/>
    <w:rsid w:val="007B19C8"/>
    <w:rsid w:val="007B222F"/>
    <w:rsid w:val="007B23F2"/>
    <w:rsid w:val="007B2A46"/>
    <w:rsid w:val="007B2ADC"/>
    <w:rsid w:val="007B2B5B"/>
    <w:rsid w:val="007B2CB4"/>
    <w:rsid w:val="007B41DF"/>
    <w:rsid w:val="007B45E0"/>
    <w:rsid w:val="007B45F3"/>
    <w:rsid w:val="007B4B38"/>
    <w:rsid w:val="007B4CC7"/>
    <w:rsid w:val="007B5022"/>
    <w:rsid w:val="007B51B1"/>
    <w:rsid w:val="007B539C"/>
    <w:rsid w:val="007B581C"/>
    <w:rsid w:val="007B5A07"/>
    <w:rsid w:val="007B5BF4"/>
    <w:rsid w:val="007B61DC"/>
    <w:rsid w:val="007B636A"/>
    <w:rsid w:val="007B70A7"/>
    <w:rsid w:val="007B7C28"/>
    <w:rsid w:val="007B7C71"/>
    <w:rsid w:val="007C01B0"/>
    <w:rsid w:val="007C02ED"/>
    <w:rsid w:val="007C063B"/>
    <w:rsid w:val="007C08AC"/>
    <w:rsid w:val="007C097D"/>
    <w:rsid w:val="007C0C35"/>
    <w:rsid w:val="007C1037"/>
    <w:rsid w:val="007C14F4"/>
    <w:rsid w:val="007C1530"/>
    <w:rsid w:val="007C1B96"/>
    <w:rsid w:val="007C29D3"/>
    <w:rsid w:val="007C3743"/>
    <w:rsid w:val="007C3751"/>
    <w:rsid w:val="007C48F6"/>
    <w:rsid w:val="007C4D41"/>
    <w:rsid w:val="007C4E2F"/>
    <w:rsid w:val="007C52D9"/>
    <w:rsid w:val="007C58A5"/>
    <w:rsid w:val="007C5BDD"/>
    <w:rsid w:val="007C5F65"/>
    <w:rsid w:val="007C60A9"/>
    <w:rsid w:val="007C6268"/>
    <w:rsid w:val="007C650D"/>
    <w:rsid w:val="007C6A2A"/>
    <w:rsid w:val="007C6E53"/>
    <w:rsid w:val="007C70C7"/>
    <w:rsid w:val="007C7EB2"/>
    <w:rsid w:val="007D11AF"/>
    <w:rsid w:val="007D163B"/>
    <w:rsid w:val="007D16E6"/>
    <w:rsid w:val="007D1801"/>
    <w:rsid w:val="007D1B9F"/>
    <w:rsid w:val="007D1ED6"/>
    <w:rsid w:val="007D2196"/>
    <w:rsid w:val="007D2ACE"/>
    <w:rsid w:val="007D2D79"/>
    <w:rsid w:val="007D3C0A"/>
    <w:rsid w:val="007D49B4"/>
    <w:rsid w:val="007D54AB"/>
    <w:rsid w:val="007D596C"/>
    <w:rsid w:val="007D5EAE"/>
    <w:rsid w:val="007D6BB5"/>
    <w:rsid w:val="007D7966"/>
    <w:rsid w:val="007E047B"/>
    <w:rsid w:val="007E0A41"/>
    <w:rsid w:val="007E1361"/>
    <w:rsid w:val="007E1821"/>
    <w:rsid w:val="007E18DB"/>
    <w:rsid w:val="007E1AA5"/>
    <w:rsid w:val="007E258D"/>
    <w:rsid w:val="007E26CB"/>
    <w:rsid w:val="007E3549"/>
    <w:rsid w:val="007E3E4E"/>
    <w:rsid w:val="007E4719"/>
    <w:rsid w:val="007E4A53"/>
    <w:rsid w:val="007E4C6D"/>
    <w:rsid w:val="007E4E83"/>
    <w:rsid w:val="007E51A4"/>
    <w:rsid w:val="007E6284"/>
    <w:rsid w:val="007E6DD0"/>
    <w:rsid w:val="007E742D"/>
    <w:rsid w:val="007E7951"/>
    <w:rsid w:val="007F0683"/>
    <w:rsid w:val="007F13D5"/>
    <w:rsid w:val="007F1942"/>
    <w:rsid w:val="007F1AEE"/>
    <w:rsid w:val="007F21D5"/>
    <w:rsid w:val="007F2ED2"/>
    <w:rsid w:val="007F31AF"/>
    <w:rsid w:val="007F48F3"/>
    <w:rsid w:val="007F4DBC"/>
    <w:rsid w:val="007F5120"/>
    <w:rsid w:val="007F51C7"/>
    <w:rsid w:val="007F564E"/>
    <w:rsid w:val="007F6A4C"/>
    <w:rsid w:val="007F6B6E"/>
    <w:rsid w:val="007F7CEB"/>
    <w:rsid w:val="0080082C"/>
    <w:rsid w:val="00800940"/>
    <w:rsid w:val="00800C86"/>
    <w:rsid w:val="0080106A"/>
    <w:rsid w:val="0080187E"/>
    <w:rsid w:val="00801F9D"/>
    <w:rsid w:val="00802285"/>
    <w:rsid w:val="008024DE"/>
    <w:rsid w:val="00802FB1"/>
    <w:rsid w:val="008035AD"/>
    <w:rsid w:val="00804794"/>
    <w:rsid w:val="0080498D"/>
    <w:rsid w:val="00804B35"/>
    <w:rsid w:val="0080500E"/>
    <w:rsid w:val="00805FF2"/>
    <w:rsid w:val="0080619A"/>
    <w:rsid w:val="008071C6"/>
    <w:rsid w:val="00807C06"/>
    <w:rsid w:val="00807C5C"/>
    <w:rsid w:val="0081028B"/>
    <w:rsid w:val="008109F9"/>
    <w:rsid w:val="0081142F"/>
    <w:rsid w:val="008114DD"/>
    <w:rsid w:val="00811B8D"/>
    <w:rsid w:val="00812173"/>
    <w:rsid w:val="008121B5"/>
    <w:rsid w:val="0081237B"/>
    <w:rsid w:val="008127F0"/>
    <w:rsid w:val="0081296F"/>
    <w:rsid w:val="00813328"/>
    <w:rsid w:val="00813C80"/>
    <w:rsid w:val="00813F88"/>
    <w:rsid w:val="00813FE7"/>
    <w:rsid w:val="008146A8"/>
    <w:rsid w:val="00814DC3"/>
    <w:rsid w:val="008153EA"/>
    <w:rsid w:val="008156B6"/>
    <w:rsid w:val="00816DAF"/>
    <w:rsid w:val="00817472"/>
    <w:rsid w:val="00817CE6"/>
    <w:rsid w:val="008203EE"/>
    <w:rsid w:val="00820FBE"/>
    <w:rsid w:val="00821455"/>
    <w:rsid w:val="00821BC6"/>
    <w:rsid w:val="00822075"/>
    <w:rsid w:val="0082274E"/>
    <w:rsid w:val="00823002"/>
    <w:rsid w:val="00823D17"/>
    <w:rsid w:val="00823DD2"/>
    <w:rsid w:val="00824525"/>
    <w:rsid w:val="008248A6"/>
    <w:rsid w:val="00824A8D"/>
    <w:rsid w:val="00824F16"/>
    <w:rsid w:val="008258C8"/>
    <w:rsid w:val="00825A0B"/>
    <w:rsid w:val="00826134"/>
    <w:rsid w:val="00826CF4"/>
    <w:rsid w:val="0082786F"/>
    <w:rsid w:val="008300B3"/>
    <w:rsid w:val="00830614"/>
    <w:rsid w:val="00830814"/>
    <w:rsid w:val="00830AF7"/>
    <w:rsid w:val="0083141D"/>
    <w:rsid w:val="008322BF"/>
    <w:rsid w:val="00832409"/>
    <w:rsid w:val="00832856"/>
    <w:rsid w:val="00832F28"/>
    <w:rsid w:val="008335F7"/>
    <w:rsid w:val="00833919"/>
    <w:rsid w:val="00833A5A"/>
    <w:rsid w:val="00833B06"/>
    <w:rsid w:val="008341AC"/>
    <w:rsid w:val="00834823"/>
    <w:rsid w:val="00835200"/>
    <w:rsid w:val="00835569"/>
    <w:rsid w:val="00835653"/>
    <w:rsid w:val="00835F50"/>
    <w:rsid w:val="00836530"/>
    <w:rsid w:val="008368EB"/>
    <w:rsid w:val="00836A58"/>
    <w:rsid w:val="00836B0B"/>
    <w:rsid w:val="00837650"/>
    <w:rsid w:val="008378CA"/>
    <w:rsid w:val="0084046F"/>
    <w:rsid w:val="00840BB3"/>
    <w:rsid w:val="008414EE"/>
    <w:rsid w:val="008417C0"/>
    <w:rsid w:val="00841A02"/>
    <w:rsid w:val="00841CB0"/>
    <w:rsid w:val="00842511"/>
    <w:rsid w:val="00842772"/>
    <w:rsid w:val="00842A26"/>
    <w:rsid w:val="00842D01"/>
    <w:rsid w:val="00842DD9"/>
    <w:rsid w:val="00843EB9"/>
    <w:rsid w:val="00844D80"/>
    <w:rsid w:val="00845A09"/>
    <w:rsid w:val="00846A30"/>
    <w:rsid w:val="0084731A"/>
    <w:rsid w:val="0084738C"/>
    <w:rsid w:val="00847AC9"/>
    <w:rsid w:val="00847BA2"/>
    <w:rsid w:val="00847CDC"/>
    <w:rsid w:val="00847E66"/>
    <w:rsid w:val="008512B6"/>
    <w:rsid w:val="008527E7"/>
    <w:rsid w:val="008535A3"/>
    <w:rsid w:val="008537AB"/>
    <w:rsid w:val="00853C56"/>
    <w:rsid w:val="0085469B"/>
    <w:rsid w:val="00854DDE"/>
    <w:rsid w:val="00855195"/>
    <w:rsid w:val="008563A7"/>
    <w:rsid w:val="008564FF"/>
    <w:rsid w:val="008565BD"/>
    <w:rsid w:val="00856CC6"/>
    <w:rsid w:val="00857ED6"/>
    <w:rsid w:val="008608D1"/>
    <w:rsid w:val="00860FEA"/>
    <w:rsid w:val="00861C57"/>
    <w:rsid w:val="00861CA3"/>
    <w:rsid w:val="00862FDF"/>
    <w:rsid w:val="008632BD"/>
    <w:rsid w:val="0086339F"/>
    <w:rsid w:val="008639D7"/>
    <w:rsid w:val="008643A3"/>
    <w:rsid w:val="0086441C"/>
    <w:rsid w:val="008645FC"/>
    <w:rsid w:val="00864681"/>
    <w:rsid w:val="008651ED"/>
    <w:rsid w:val="0086545B"/>
    <w:rsid w:val="00865714"/>
    <w:rsid w:val="00865BCD"/>
    <w:rsid w:val="00865D5C"/>
    <w:rsid w:val="008661B8"/>
    <w:rsid w:val="0086698B"/>
    <w:rsid w:val="00866D47"/>
    <w:rsid w:val="00866D50"/>
    <w:rsid w:val="008672B7"/>
    <w:rsid w:val="00871FE2"/>
    <w:rsid w:val="0087270A"/>
    <w:rsid w:val="0087273A"/>
    <w:rsid w:val="00873CC8"/>
    <w:rsid w:val="00875831"/>
    <w:rsid w:val="0087609C"/>
    <w:rsid w:val="008760D2"/>
    <w:rsid w:val="00876979"/>
    <w:rsid w:val="00880392"/>
    <w:rsid w:val="00880EC4"/>
    <w:rsid w:val="00881527"/>
    <w:rsid w:val="00881647"/>
    <w:rsid w:val="00881C5B"/>
    <w:rsid w:val="0088232E"/>
    <w:rsid w:val="00882881"/>
    <w:rsid w:val="00882A67"/>
    <w:rsid w:val="00883A33"/>
    <w:rsid w:val="00883CD9"/>
    <w:rsid w:val="00883E93"/>
    <w:rsid w:val="00884385"/>
    <w:rsid w:val="00884B98"/>
    <w:rsid w:val="00884D97"/>
    <w:rsid w:val="00885240"/>
    <w:rsid w:val="00885B84"/>
    <w:rsid w:val="00886106"/>
    <w:rsid w:val="00887FCA"/>
    <w:rsid w:val="00890221"/>
    <w:rsid w:val="00890388"/>
    <w:rsid w:val="00891392"/>
    <w:rsid w:val="008915C6"/>
    <w:rsid w:val="00891833"/>
    <w:rsid w:val="008922B1"/>
    <w:rsid w:val="00892B40"/>
    <w:rsid w:val="0089348C"/>
    <w:rsid w:val="0089475A"/>
    <w:rsid w:val="00894AB7"/>
    <w:rsid w:val="00894B93"/>
    <w:rsid w:val="00894C62"/>
    <w:rsid w:val="00894D5F"/>
    <w:rsid w:val="008964EE"/>
    <w:rsid w:val="0089656A"/>
    <w:rsid w:val="00896B5B"/>
    <w:rsid w:val="0089754F"/>
    <w:rsid w:val="008A0341"/>
    <w:rsid w:val="008A06B1"/>
    <w:rsid w:val="008A07C4"/>
    <w:rsid w:val="008A0E09"/>
    <w:rsid w:val="008A1339"/>
    <w:rsid w:val="008A211B"/>
    <w:rsid w:val="008A23F0"/>
    <w:rsid w:val="008A2988"/>
    <w:rsid w:val="008A2AE7"/>
    <w:rsid w:val="008A2E2C"/>
    <w:rsid w:val="008A2FF2"/>
    <w:rsid w:val="008A37BD"/>
    <w:rsid w:val="008A3E66"/>
    <w:rsid w:val="008A4438"/>
    <w:rsid w:val="008A5267"/>
    <w:rsid w:val="008A5A95"/>
    <w:rsid w:val="008A6057"/>
    <w:rsid w:val="008A7228"/>
    <w:rsid w:val="008A7648"/>
    <w:rsid w:val="008A76EA"/>
    <w:rsid w:val="008A77D6"/>
    <w:rsid w:val="008A7CBB"/>
    <w:rsid w:val="008A7D45"/>
    <w:rsid w:val="008B0A2F"/>
    <w:rsid w:val="008B1219"/>
    <w:rsid w:val="008B127E"/>
    <w:rsid w:val="008B2130"/>
    <w:rsid w:val="008B2C7A"/>
    <w:rsid w:val="008B4293"/>
    <w:rsid w:val="008B4A69"/>
    <w:rsid w:val="008B4CA4"/>
    <w:rsid w:val="008B4CD5"/>
    <w:rsid w:val="008B5551"/>
    <w:rsid w:val="008B5706"/>
    <w:rsid w:val="008B602D"/>
    <w:rsid w:val="008B6825"/>
    <w:rsid w:val="008B6852"/>
    <w:rsid w:val="008B70C2"/>
    <w:rsid w:val="008B71CE"/>
    <w:rsid w:val="008B7909"/>
    <w:rsid w:val="008B7F6E"/>
    <w:rsid w:val="008C00B8"/>
    <w:rsid w:val="008C06A1"/>
    <w:rsid w:val="008C0AE3"/>
    <w:rsid w:val="008C148A"/>
    <w:rsid w:val="008C1789"/>
    <w:rsid w:val="008C1AFB"/>
    <w:rsid w:val="008C1D97"/>
    <w:rsid w:val="008C22B4"/>
    <w:rsid w:val="008C2B58"/>
    <w:rsid w:val="008C2BAD"/>
    <w:rsid w:val="008C31B9"/>
    <w:rsid w:val="008C350B"/>
    <w:rsid w:val="008C485C"/>
    <w:rsid w:val="008C4BE7"/>
    <w:rsid w:val="008C62F3"/>
    <w:rsid w:val="008C66B0"/>
    <w:rsid w:val="008C6A4B"/>
    <w:rsid w:val="008C6BC8"/>
    <w:rsid w:val="008C6BF5"/>
    <w:rsid w:val="008C6CFD"/>
    <w:rsid w:val="008C79A3"/>
    <w:rsid w:val="008C7AFD"/>
    <w:rsid w:val="008C7C10"/>
    <w:rsid w:val="008C7D55"/>
    <w:rsid w:val="008C7F97"/>
    <w:rsid w:val="008D0165"/>
    <w:rsid w:val="008D0686"/>
    <w:rsid w:val="008D1671"/>
    <w:rsid w:val="008D1CCC"/>
    <w:rsid w:val="008D1DDF"/>
    <w:rsid w:val="008D246B"/>
    <w:rsid w:val="008D2DDA"/>
    <w:rsid w:val="008D3FA9"/>
    <w:rsid w:val="008D419D"/>
    <w:rsid w:val="008D4430"/>
    <w:rsid w:val="008D4850"/>
    <w:rsid w:val="008D56AD"/>
    <w:rsid w:val="008D5F16"/>
    <w:rsid w:val="008D6780"/>
    <w:rsid w:val="008D782E"/>
    <w:rsid w:val="008D79DD"/>
    <w:rsid w:val="008E01B6"/>
    <w:rsid w:val="008E0BCD"/>
    <w:rsid w:val="008E0C5F"/>
    <w:rsid w:val="008E1700"/>
    <w:rsid w:val="008E19C3"/>
    <w:rsid w:val="008E1DB9"/>
    <w:rsid w:val="008E2381"/>
    <w:rsid w:val="008E24C4"/>
    <w:rsid w:val="008E2D96"/>
    <w:rsid w:val="008E349A"/>
    <w:rsid w:val="008E3CEB"/>
    <w:rsid w:val="008E459B"/>
    <w:rsid w:val="008E4885"/>
    <w:rsid w:val="008E50BF"/>
    <w:rsid w:val="008E54BF"/>
    <w:rsid w:val="008F0EEF"/>
    <w:rsid w:val="008F0FCF"/>
    <w:rsid w:val="008F17CE"/>
    <w:rsid w:val="008F1944"/>
    <w:rsid w:val="008F1B14"/>
    <w:rsid w:val="008F33D0"/>
    <w:rsid w:val="008F38A2"/>
    <w:rsid w:val="008F3987"/>
    <w:rsid w:val="008F3BCA"/>
    <w:rsid w:val="008F4181"/>
    <w:rsid w:val="008F4A8F"/>
    <w:rsid w:val="008F4B75"/>
    <w:rsid w:val="008F4E0A"/>
    <w:rsid w:val="008F52AF"/>
    <w:rsid w:val="008F6527"/>
    <w:rsid w:val="008F68E4"/>
    <w:rsid w:val="008F68FC"/>
    <w:rsid w:val="008F6C12"/>
    <w:rsid w:val="008F6E78"/>
    <w:rsid w:val="008F7233"/>
    <w:rsid w:val="008F72B5"/>
    <w:rsid w:val="008F7A9E"/>
    <w:rsid w:val="008F7B23"/>
    <w:rsid w:val="008F7BD5"/>
    <w:rsid w:val="008F7CD1"/>
    <w:rsid w:val="00900636"/>
    <w:rsid w:val="00900998"/>
    <w:rsid w:val="00900D17"/>
    <w:rsid w:val="00900D6B"/>
    <w:rsid w:val="009011D1"/>
    <w:rsid w:val="00902204"/>
    <w:rsid w:val="0090295F"/>
    <w:rsid w:val="00902FAF"/>
    <w:rsid w:val="009034A9"/>
    <w:rsid w:val="00903723"/>
    <w:rsid w:val="00904689"/>
    <w:rsid w:val="009046D9"/>
    <w:rsid w:val="00905EF6"/>
    <w:rsid w:val="00906151"/>
    <w:rsid w:val="009061B5"/>
    <w:rsid w:val="00906743"/>
    <w:rsid w:val="00906EEE"/>
    <w:rsid w:val="00906FFE"/>
    <w:rsid w:val="009075D3"/>
    <w:rsid w:val="00907E98"/>
    <w:rsid w:val="0091099D"/>
    <w:rsid w:val="00910FF6"/>
    <w:rsid w:val="0091173A"/>
    <w:rsid w:val="00911AE3"/>
    <w:rsid w:val="00912182"/>
    <w:rsid w:val="009122D6"/>
    <w:rsid w:val="00913660"/>
    <w:rsid w:val="00914620"/>
    <w:rsid w:val="00915151"/>
    <w:rsid w:val="0091541C"/>
    <w:rsid w:val="009156EA"/>
    <w:rsid w:val="00915AF0"/>
    <w:rsid w:val="00915E88"/>
    <w:rsid w:val="00916037"/>
    <w:rsid w:val="009170A9"/>
    <w:rsid w:val="0091725B"/>
    <w:rsid w:val="0091765A"/>
    <w:rsid w:val="00917B21"/>
    <w:rsid w:val="00917E2B"/>
    <w:rsid w:val="00920DE9"/>
    <w:rsid w:val="00921443"/>
    <w:rsid w:val="009214FB"/>
    <w:rsid w:val="009215EC"/>
    <w:rsid w:val="0092168E"/>
    <w:rsid w:val="00921CC1"/>
    <w:rsid w:val="00921F05"/>
    <w:rsid w:val="00922479"/>
    <w:rsid w:val="00922CF5"/>
    <w:rsid w:val="00923016"/>
    <w:rsid w:val="00923096"/>
    <w:rsid w:val="0092339A"/>
    <w:rsid w:val="0092342F"/>
    <w:rsid w:val="00923481"/>
    <w:rsid w:val="00923D07"/>
    <w:rsid w:val="00923F9C"/>
    <w:rsid w:val="00924E27"/>
    <w:rsid w:val="0092509F"/>
    <w:rsid w:val="009251DF"/>
    <w:rsid w:val="009252F3"/>
    <w:rsid w:val="009255DF"/>
    <w:rsid w:val="00925642"/>
    <w:rsid w:val="00925FDB"/>
    <w:rsid w:val="0092655B"/>
    <w:rsid w:val="0092745C"/>
    <w:rsid w:val="009302D8"/>
    <w:rsid w:val="00930BB2"/>
    <w:rsid w:val="00930DDE"/>
    <w:rsid w:val="0093148B"/>
    <w:rsid w:val="00931D14"/>
    <w:rsid w:val="00932158"/>
    <w:rsid w:val="00932A00"/>
    <w:rsid w:val="00932F48"/>
    <w:rsid w:val="00933049"/>
    <w:rsid w:val="00933216"/>
    <w:rsid w:val="0093331A"/>
    <w:rsid w:val="009333E9"/>
    <w:rsid w:val="00933E8C"/>
    <w:rsid w:val="00934125"/>
    <w:rsid w:val="00934442"/>
    <w:rsid w:val="00934695"/>
    <w:rsid w:val="009347BF"/>
    <w:rsid w:val="00934880"/>
    <w:rsid w:val="00934F82"/>
    <w:rsid w:val="0093559E"/>
    <w:rsid w:val="00935D35"/>
    <w:rsid w:val="0093658F"/>
    <w:rsid w:val="0093728A"/>
    <w:rsid w:val="009375FB"/>
    <w:rsid w:val="00940241"/>
    <w:rsid w:val="0094025C"/>
    <w:rsid w:val="00940CDE"/>
    <w:rsid w:val="00940EB3"/>
    <w:rsid w:val="00941455"/>
    <w:rsid w:val="0094176E"/>
    <w:rsid w:val="00941819"/>
    <w:rsid w:val="00942C7D"/>
    <w:rsid w:val="00943135"/>
    <w:rsid w:val="00943255"/>
    <w:rsid w:val="00943487"/>
    <w:rsid w:val="00943E08"/>
    <w:rsid w:val="00944499"/>
    <w:rsid w:val="009444FD"/>
    <w:rsid w:val="00944511"/>
    <w:rsid w:val="00944693"/>
    <w:rsid w:val="00944BAA"/>
    <w:rsid w:val="00944F55"/>
    <w:rsid w:val="00945AAA"/>
    <w:rsid w:val="0094620E"/>
    <w:rsid w:val="00946942"/>
    <w:rsid w:val="00946CF6"/>
    <w:rsid w:val="0094725D"/>
    <w:rsid w:val="00947406"/>
    <w:rsid w:val="009475C0"/>
    <w:rsid w:val="00947974"/>
    <w:rsid w:val="009501AD"/>
    <w:rsid w:val="009506DE"/>
    <w:rsid w:val="009509D2"/>
    <w:rsid w:val="00950E9A"/>
    <w:rsid w:val="009512F7"/>
    <w:rsid w:val="00951376"/>
    <w:rsid w:val="00951EB3"/>
    <w:rsid w:val="00952539"/>
    <w:rsid w:val="009526B6"/>
    <w:rsid w:val="00952A01"/>
    <w:rsid w:val="00952B32"/>
    <w:rsid w:val="00953496"/>
    <w:rsid w:val="00954656"/>
    <w:rsid w:val="009548A4"/>
    <w:rsid w:val="00954983"/>
    <w:rsid w:val="00954B84"/>
    <w:rsid w:val="00954DA7"/>
    <w:rsid w:val="00955483"/>
    <w:rsid w:val="0095550E"/>
    <w:rsid w:val="00955562"/>
    <w:rsid w:val="009559BF"/>
    <w:rsid w:val="00955B7C"/>
    <w:rsid w:val="009560E4"/>
    <w:rsid w:val="00957BB3"/>
    <w:rsid w:val="00957FD7"/>
    <w:rsid w:val="00960451"/>
    <w:rsid w:val="00960B32"/>
    <w:rsid w:val="00961127"/>
    <w:rsid w:val="00961150"/>
    <w:rsid w:val="0096122A"/>
    <w:rsid w:val="0096133D"/>
    <w:rsid w:val="00961602"/>
    <w:rsid w:val="009617FB"/>
    <w:rsid w:val="00961B35"/>
    <w:rsid w:val="00961CAE"/>
    <w:rsid w:val="00962EEE"/>
    <w:rsid w:val="00963088"/>
    <w:rsid w:val="00963592"/>
    <w:rsid w:val="00963E9E"/>
    <w:rsid w:val="00963EB8"/>
    <w:rsid w:val="0096443A"/>
    <w:rsid w:val="00964659"/>
    <w:rsid w:val="00964C55"/>
    <w:rsid w:val="009652C7"/>
    <w:rsid w:val="009654D4"/>
    <w:rsid w:val="00965856"/>
    <w:rsid w:val="00966F0A"/>
    <w:rsid w:val="009672D0"/>
    <w:rsid w:val="00967355"/>
    <w:rsid w:val="00967C37"/>
    <w:rsid w:val="00967C99"/>
    <w:rsid w:val="00967D81"/>
    <w:rsid w:val="009700A0"/>
    <w:rsid w:val="009703E6"/>
    <w:rsid w:val="00970DA1"/>
    <w:rsid w:val="009712D0"/>
    <w:rsid w:val="0097199E"/>
    <w:rsid w:val="00971A2C"/>
    <w:rsid w:val="00971EB0"/>
    <w:rsid w:val="00971EBA"/>
    <w:rsid w:val="00971F88"/>
    <w:rsid w:val="0097236C"/>
    <w:rsid w:val="009723D3"/>
    <w:rsid w:val="0097270C"/>
    <w:rsid w:val="00972B5E"/>
    <w:rsid w:val="009732A0"/>
    <w:rsid w:val="00973455"/>
    <w:rsid w:val="00974663"/>
    <w:rsid w:val="00975273"/>
    <w:rsid w:val="00975502"/>
    <w:rsid w:val="00975BC0"/>
    <w:rsid w:val="0097666A"/>
    <w:rsid w:val="00976687"/>
    <w:rsid w:val="0097780A"/>
    <w:rsid w:val="00977AD2"/>
    <w:rsid w:val="009801F0"/>
    <w:rsid w:val="00980A02"/>
    <w:rsid w:val="00980AC8"/>
    <w:rsid w:val="00980E93"/>
    <w:rsid w:val="009810B1"/>
    <w:rsid w:val="00981662"/>
    <w:rsid w:val="0098295D"/>
    <w:rsid w:val="0098296D"/>
    <w:rsid w:val="009838A3"/>
    <w:rsid w:val="009841E9"/>
    <w:rsid w:val="00984426"/>
    <w:rsid w:val="009847B2"/>
    <w:rsid w:val="00985221"/>
    <w:rsid w:val="00985CDD"/>
    <w:rsid w:val="00985CEF"/>
    <w:rsid w:val="009861FD"/>
    <w:rsid w:val="00986C9A"/>
    <w:rsid w:val="00986ECB"/>
    <w:rsid w:val="00987AF5"/>
    <w:rsid w:val="00987E02"/>
    <w:rsid w:val="009904FB"/>
    <w:rsid w:val="0099111E"/>
    <w:rsid w:val="00992669"/>
    <w:rsid w:val="0099275E"/>
    <w:rsid w:val="009928D2"/>
    <w:rsid w:val="00992BDA"/>
    <w:rsid w:val="009934A5"/>
    <w:rsid w:val="00993753"/>
    <w:rsid w:val="00993AED"/>
    <w:rsid w:val="00993CB9"/>
    <w:rsid w:val="00994399"/>
    <w:rsid w:val="009953B3"/>
    <w:rsid w:val="0099569A"/>
    <w:rsid w:val="009958F0"/>
    <w:rsid w:val="00995CDC"/>
    <w:rsid w:val="009962DD"/>
    <w:rsid w:val="009966B8"/>
    <w:rsid w:val="00997154"/>
    <w:rsid w:val="009971D9"/>
    <w:rsid w:val="009975BE"/>
    <w:rsid w:val="009A0832"/>
    <w:rsid w:val="009A0A80"/>
    <w:rsid w:val="009A1A32"/>
    <w:rsid w:val="009A27A2"/>
    <w:rsid w:val="009A2A0D"/>
    <w:rsid w:val="009A37DB"/>
    <w:rsid w:val="009A3A8C"/>
    <w:rsid w:val="009A3C6A"/>
    <w:rsid w:val="009A405F"/>
    <w:rsid w:val="009A4518"/>
    <w:rsid w:val="009A456B"/>
    <w:rsid w:val="009A4756"/>
    <w:rsid w:val="009A490B"/>
    <w:rsid w:val="009A4D05"/>
    <w:rsid w:val="009A5777"/>
    <w:rsid w:val="009A5E17"/>
    <w:rsid w:val="009A68FD"/>
    <w:rsid w:val="009A6929"/>
    <w:rsid w:val="009A6B43"/>
    <w:rsid w:val="009A6B45"/>
    <w:rsid w:val="009A72E4"/>
    <w:rsid w:val="009A7B1E"/>
    <w:rsid w:val="009B02D8"/>
    <w:rsid w:val="009B1523"/>
    <w:rsid w:val="009B1EA8"/>
    <w:rsid w:val="009B23B6"/>
    <w:rsid w:val="009B2791"/>
    <w:rsid w:val="009B29EC"/>
    <w:rsid w:val="009B2A8A"/>
    <w:rsid w:val="009B35E6"/>
    <w:rsid w:val="009B363A"/>
    <w:rsid w:val="009B459D"/>
    <w:rsid w:val="009B4A8F"/>
    <w:rsid w:val="009B5A21"/>
    <w:rsid w:val="009B5EAD"/>
    <w:rsid w:val="009B6BFD"/>
    <w:rsid w:val="009B6D68"/>
    <w:rsid w:val="009B7194"/>
    <w:rsid w:val="009B72CB"/>
    <w:rsid w:val="009B733F"/>
    <w:rsid w:val="009B773C"/>
    <w:rsid w:val="009B7839"/>
    <w:rsid w:val="009B7868"/>
    <w:rsid w:val="009B7F1B"/>
    <w:rsid w:val="009C12ED"/>
    <w:rsid w:val="009C1495"/>
    <w:rsid w:val="009C1900"/>
    <w:rsid w:val="009C1B75"/>
    <w:rsid w:val="009C1C1A"/>
    <w:rsid w:val="009C1D34"/>
    <w:rsid w:val="009C2097"/>
    <w:rsid w:val="009C2FC3"/>
    <w:rsid w:val="009C3259"/>
    <w:rsid w:val="009C3EA0"/>
    <w:rsid w:val="009C3EC4"/>
    <w:rsid w:val="009C4480"/>
    <w:rsid w:val="009C45C0"/>
    <w:rsid w:val="009C46EE"/>
    <w:rsid w:val="009C497D"/>
    <w:rsid w:val="009C4CF3"/>
    <w:rsid w:val="009C4D45"/>
    <w:rsid w:val="009C520F"/>
    <w:rsid w:val="009C5D2A"/>
    <w:rsid w:val="009C60C8"/>
    <w:rsid w:val="009C6D3D"/>
    <w:rsid w:val="009C72D3"/>
    <w:rsid w:val="009D00D1"/>
    <w:rsid w:val="009D0AB0"/>
    <w:rsid w:val="009D0B24"/>
    <w:rsid w:val="009D0DA8"/>
    <w:rsid w:val="009D1463"/>
    <w:rsid w:val="009D14B7"/>
    <w:rsid w:val="009D263C"/>
    <w:rsid w:val="009D2753"/>
    <w:rsid w:val="009D2BE9"/>
    <w:rsid w:val="009D2C0A"/>
    <w:rsid w:val="009D2D2E"/>
    <w:rsid w:val="009D400F"/>
    <w:rsid w:val="009D4092"/>
    <w:rsid w:val="009D4487"/>
    <w:rsid w:val="009D4595"/>
    <w:rsid w:val="009D46AA"/>
    <w:rsid w:val="009D490E"/>
    <w:rsid w:val="009D4D88"/>
    <w:rsid w:val="009D573D"/>
    <w:rsid w:val="009D5C88"/>
    <w:rsid w:val="009D60F8"/>
    <w:rsid w:val="009D61DE"/>
    <w:rsid w:val="009D62C0"/>
    <w:rsid w:val="009D6A9A"/>
    <w:rsid w:val="009D7203"/>
    <w:rsid w:val="009D72B4"/>
    <w:rsid w:val="009D74C7"/>
    <w:rsid w:val="009E0655"/>
    <w:rsid w:val="009E0DDC"/>
    <w:rsid w:val="009E1D8D"/>
    <w:rsid w:val="009E2C78"/>
    <w:rsid w:val="009E3156"/>
    <w:rsid w:val="009E3E27"/>
    <w:rsid w:val="009E3F29"/>
    <w:rsid w:val="009E433C"/>
    <w:rsid w:val="009E59AA"/>
    <w:rsid w:val="009E6BBC"/>
    <w:rsid w:val="009E6DF4"/>
    <w:rsid w:val="009E6FC2"/>
    <w:rsid w:val="009E706B"/>
    <w:rsid w:val="009E760B"/>
    <w:rsid w:val="009E77EC"/>
    <w:rsid w:val="009E7EB9"/>
    <w:rsid w:val="009F028C"/>
    <w:rsid w:val="009F04C0"/>
    <w:rsid w:val="009F1047"/>
    <w:rsid w:val="009F264D"/>
    <w:rsid w:val="009F2C44"/>
    <w:rsid w:val="009F3152"/>
    <w:rsid w:val="009F346F"/>
    <w:rsid w:val="009F3F57"/>
    <w:rsid w:val="009F402A"/>
    <w:rsid w:val="009F4121"/>
    <w:rsid w:val="009F4194"/>
    <w:rsid w:val="009F44CC"/>
    <w:rsid w:val="009F5579"/>
    <w:rsid w:val="009F5BDC"/>
    <w:rsid w:val="00A00023"/>
    <w:rsid w:val="00A00029"/>
    <w:rsid w:val="00A004F9"/>
    <w:rsid w:val="00A009B6"/>
    <w:rsid w:val="00A00D66"/>
    <w:rsid w:val="00A01170"/>
    <w:rsid w:val="00A012AA"/>
    <w:rsid w:val="00A01559"/>
    <w:rsid w:val="00A02036"/>
    <w:rsid w:val="00A02F03"/>
    <w:rsid w:val="00A031CA"/>
    <w:rsid w:val="00A038BB"/>
    <w:rsid w:val="00A03DB5"/>
    <w:rsid w:val="00A04517"/>
    <w:rsid w:val="00A049A1"/>
    <w:rsid w:val="00A04A43"/>
    <w:rsid w:val="00A04ABD"/>
    <w:rsid w:val="00A0529B"/>
    <w:rsid w:val="00A055A8"/>
    <w:rsid w:val="00A069CC"/>
    <w:rsid w:val="00A069E1"/>
    <w:rsid w:val="00A06AA9"/>
    <w:rsid w:val="00A06DB4"/>
    <w:rsid w:val="00A06DD6"/>
    <w:rsid w:val="00A07444"/>
    <w:rsid w:val="00A07DE4"/>
    <w:rsid w:val="00A10BCD"/>
    <w:rsid w:val="00A1134E"/>
    <w:rsid w:val="00A11D7D"/>
    <w:rsid w:val="00A11E36"/>
    <w:rsid w:val="00A13018"/>
    <w:rsid w:val="00A13033"/>
    <w:rsid w:val="00A138C7"/>
    <w:rsid w:val="00A13BC6"/>
    <w:rsid w:val="00A13CE6"/>
    <w:rsid w:val="00A14621"/>
    <w:rsid w:val="00A14B5B"/>
    <w:rsid w:val="00A15448"/>
    <w:rsid w:val="00A16426"/>
    <w:rsid w:val="00A16623"/>
    <w:rsid w:val="00A175B5"/>
    <w:rsid w:val="00A17D19"/>
    <w:rsid w:val="00A2113F"/>
    <w:rsid w:val="00A21ED7"/>
    <w:rsid w:val="00A23DD4"/>
    <w:rsid w:val="00A242F7"/>
    <w:rsid w:val="00A2436E"/>
    <w:rsid w:val="00A245DC"/>
    <w:rsid w:val="00A2491B"/>
    <w:rsid w:val="00A2507B"/>
    <w:rsid w:val="00A261F1"/>
    <w:rsid w:val="00A263C8"/>
    <w:rsid w:val="00A2658D"/>
    <w:rsid w:val="00A267C2"/>
    <w:rsid w:val="00A272A4"/>
    <w:rsid w:val="00A2746C"/>
    <w:rsid w:val="00A27C01"/>
    <w:rsid w:val="00A30679"/>
    <w:rsid w:val="00A30B27"/>
    <w:rsid w:val="00A30D6C"/>
    <w:rsid w:val="00A317DB"/>
    <w:rsid w:val="00A32610"/>
    <w:rsid w:val="00A32B20"/>
    <w:rsid w:val="00A3309A"/>
    <w:rsid w:val="00A33969"/>
    <w:rsid w:val="00A33BAF"/>
    <w:rsid w:val="00A344BF"/>
    <w:rsid w:val="00A35286"/>
    <w:rsid w:val="00A3581B"/>
    <w:rsid w:val="00A35C30"/>
    <w:rsid w:val="00A36274"/>
    <w:rsid w:val="00A3690C"/>
    <w:rsid w:val="00A3708B"/>
    <w:rsid w:val="00A37F7C"/>
    <w:rsid w:val="00A40708"/>
    <w:rsid w:val="00A40AFF"/>
    <w:rsid w:val="00A41621"/>
    <w:rsid w:val="00A419BF"/>
    <w:rsid w:val="00A41A2D"/>
    <w:rsid w:val="00A41A44"/>
    <w:rsid w:val="00A41AB4"/>
    <w:rsid w:val="00A42330"/>
    <w:rsid w:val="00A42590"/>
    <w:rsid w:val="00A4292A"/>
    <w:rsid w:val="00A42D8A"/>
    <w:rsid w:val="00A444A6"/>
    <w:rsid w:val="00A44806"/>
    <w:rsid w:val="00A449F1"/>
    <w:rsid w:val="00A44D18"/>
    <w:rsid w:val="00A44DC8"/>
    <w:rsid w:val="00A45317"/>
    <w:rsid w:val="00A45C1C"/>
    <w:rsid w:val="00A4600C"/>
    <w:rsid w:val="00A46817"/>
    <w:rsid w:val="00A46D13"/>
    <w:rsid w:val="00A472C9"/>
    <w:rsid w:val="00A503EB"/>
    <w:rsid w:val="00A50534"/>
    <w:rsid w:val="00A50CA2"/>
    <w:rsid w:val="00A50F0A"/>
    <w:rsid w:val="00A51476"/>
    <w:rsid w:val="00A5199F"/>
    <w:rsid w:val="00A51A2F"/>
    <w:rsid w:val="00A525A6"/>
    <w:rsid w:val="00A5266F"/>
    <w:rsid w:val="00A528A6"/>
    <w:rsid w:val="00A52E20"/>
    <w:rsid w:val="00A52FCB"/>
    <w:rsid w:val="00A53A91"/>
    <w:rsid w:val="00A54189"/>
    <w:rsid w:val="00A54798"/>
    <w:rsid w:val="00A54DCE"/>
    <w:rsid w:val="00A5526B"/>
    <w:rsid w:val="00A5536B"/>
    <w:rsid w:val="00A5580E"/>
    <w:rsid w:val="00A56052"/>
    <w:rsid w:val="00A5654A"/>
    <w:rsid w:val="00A5739F"/>
    <w:rsid w:val="00A57893"/>
    <w:rsid w:val="00A60B0A"/>
    <w:rsid w:val="00A6149F"/>
    <w:rsid w:val="00A63177"/>
    <w:rsid w:val="00A632EB"/>
    <w:rsid w:val="00A639E8"/>
    <w:rsid w:val="00A639F0"/>
    <w:rsid w:val="00A641F2"/>
    <w:rsid w:val="00A64F33"/>
    <w:rsid w:val="00A65186"/>
    <w:rsid w:val="00A655E1"/>
    <w:rsid w:val="00A656C7"/>
    <w:rsid w:val="00A656D1"/>
    <w:rsid w:val="00A6581D"/>
    <w:rsid w:val="00A65A36"/>
    <w:rsid w:val="00A65BC2"/>
    <w:rsid w:val="00A6600A"/>
    <w:rsid w:val="00A662AD"/>
    <w:rsid w:val="00A6641C"/>
    <w:rsid w:val="00A666B1"/>
    <w:rsid w:val="00A66DFC"/>
    <w:rsid w:val="00A67293"/>
    <w:rsid w:val="00A673AC"/>
    <w:rsid w:val="00A6761D"/>
    <w:rsid w:val="00A67B58"/>
    <w:rsid w:val="00A71C23"/>
    <w:rsid w:val="00A727C8"/>
    <w:rsid w:val="00A73EDC"/>
    <w:rsid w:val="00A74AE1"/>
    <w:rsid w:val="00A74CAA"/>
    <w:rsid w:val="00A752A7"/>
    <w:rsid w:val="00A764E5"/>
    <w:rsid w:val="00A76A17"/>
    <w:rsid w:val="00A76D56"/>
    <w:rsid w:val="00A77529"/>
    <w:rsid w:val="00A81025"/>
    <w:rsid w:val="00A816D0"/>
    <w:rsid w:val="00A81D68"/>
    <w:rsid w:val="00A82659"/>
    <w:rsid w:val="00A826BC"/>
    <w:rsid w:val="00A82A6A"/>
    <w:rsid w:val="00A82AC5"/>
    <w:rsid w:val="00A82F7A"/>
    <w:rsid w:val="00A8339A"/>
    <w:rsid w:val="00A836A5"/>
    <w:rsid w:val="00A836D7"/>
    <w:rsid w:val="00A83B03"/>
    <w:rsid w:val="00A83B3B"/>
    <w:rsid w:val="00A852DA"/>
    <w:rsid w:val="00A856B5"/>
    <w:rsid w:val="00A85BA2"/>
    <w:rsid w:val="00A85D35"/>
    <w:rsid w:val="00A862E8"/>
    <w:rsid w:val="00A867D3"/>
    <w:rsid w:val="00A87076"/>
    <w:rsid w:val="00A87251"/>
    <w:rsid w:val="00A87DEE"/>
    <w:rsid w:val="00A90844"/>
    <w:rsid w:val="00A908F8"/>
    <w:rsid w:val="00A908F9"/>
    <w:rsid w:val="00A9118C"/>
    <w:rsid w:val="00A913A2"/>
    <w:rsid w:val="00A913AB"/>
    <w:rsid w:val="00A9164D"/>
    <w:rsid w:val="00A91AAF"/>
    <w:rsid w:val="00A92244"/>
    <w:rsid w:val="00A922CA"/>
    <w:rsid w:val="00A922D3"/>
    <w:rsid w:val="00A92DF0"/>
    <w:rsid w:val="00A93483"/>
    <w:rsid w:val="00A93735"/>
    <w:rsid w:val="00A93A6C"/>
    <w:rsid w:val="00A94210"/>
    <w:rsid w:val="00A94AEF"/>
    <w:rsid w:val="00A94EB1"/>
    <w:rsid w:val="00A95C6F"/>
    <w:rsid w:val="00A96785"/>
    <w:rsid w:val="00A967A9"/>
    <w:rsid w:val="00A96A2C"/>
    <w:rsid w:val="00A97763"/>
    <w:rsid w:val="00A97E8D"/>
    <w:rsid w:val="00AA0599"/>
    <w:rsid w:val="00AA077D"/>
    <w:rsid w:val="00AA07E2"/>
    <w:rsid w:val="00AA090E"/>
    <w:rsid w:val="00AA0B44"/>
    <w:rsid w:val="00AA1753"/>
    <w:rsid w:val="00AA1993"/>
    <w:rsid w:val="00AA2052"/>
    <w:rsid w:val="00AA23AA"/>
    <w:rsid w:val="00AA2588"/>
    <w:rsid w:val="00AA26A7"/>
    <w:rsid w:val="00AA2B00"/>
    <w:rsid w:val="00AA2B34"/>
    <w:rsid w:val="00AA2BAF"/>
    <w:rsid w:val="00AA2E57"/>
    <w:rsid w:val="00AA38ED"/>
    <w:rsid w:val="00AA419A"/>
    <w:rsid w:val="00AA433A"/>
    <w:rsid w:val="00AA4872"/>
    <w:rsid w:val="00AA6019"/>
    <w:rsid w:val="00AA625A"/>
    <w:rsid w:val="00AA68C2"/>
    <w:rsid w:val="00AA6E3F"/>
    <w:rsid w:val="00AA77C8"/>
    <w:rsid w:val="00AA785B"/>
    <w:rsid w:val="00AB1172"/>
    <w:rsid w:val="00AB1891"/>
    <w:rsid w:val="00AB23B9"/>
    <w:rsid w:val="00AB2466"/>
    <w:rsid w:val="00AB372F"/>
    <w:rsid w:val="00AB3B01"/>
    <w:rsid w:val="00AB3EFB"/>
    <w:rsid w:val="00AB4436"/>
    <w:rsid w:val="00AB4CC1"/>
    <w:rsid w:val="00AB5979"/>
    <w:rsid w:val="00AB5E25"/>
    <w:rsid w:val="00AB5FC2"/>
    <w:rsid w:val="00AB630D"/>
    <w:rsid w:val="00AB6C54"/>
    <w:rsid w:val="00AB6F54"/>
    <w:rsid w:val="00AB745D"/>
    <w:rsid w:val="00AB7ADF"/>
    <w:rsid w:val="00AC03F8"/>
    <w:rsid w:val="00AC1088"/>
    <w:rsid w:val="00AC1662"/>
    <w:rsid w:val="00AC27DD"/>
    <w:rsid w:val="00AC3643"/>
    <w:rsid w:val="00AC3BAD"/>
    <w:rsid w:val="00AC3DC2"/>
    <w:rsid w:val="00AC3DD1"/>
    <w:rsid w:val="00AC43F6"/>
    <w:rsid w:val="00AC4592"/>
    <w:rsid w:val="00AC52D5"/>
    <w:rsid w:val="00AC655E"/>
    <w:rsid w:val="00AC6B2F"/>
    <w:rsid w:val="00AC709D"/>
    <w:rsid w:val="00AC72B1"/>
    <w:rsid w:val="00AD03E5"/>
    <w:rsid w:val="00AD12D7"/>
    <w:rsid w:val="00AD172E"/>
    <w:rsid w:val="00AD174B"/>
    <w:rsid w:val="00AD1B1A"/>
    <w:rsid w:val="00AD22F7"/>
    <w:rsid w:val="00AD27CB"/>
    <w:rsid w:val="00AD3826"/>
    <w:rsid w:val="00AD3A99"/>
    <w:rsid w:val="00AD50B5"/>
    <w:rsid w:val="00AD54BA"/>
    <w:rsid w:val="00AD5C12"/>
    <w:rsid w:val="00AD6AD0"/>
    <w:rsid w:val="00AD6B28"/>
    <w:rsid w:val="00AD6B9C"/>
    <w:rsid w:val="00AD6C5F"/>
    <w:rsid w:val="00AD76C0"/>
    <w:rsid w:val="00AE066D"/>
    <w:rsid w:val="00AE088E"/>
    <w:rsid w:val="00AE0E3F"/>
    <w:rsid w:val="00AE0E75"/>
    <w:rsid w:val="00AE0F94"/>
    <w:rsid w:val="00AE1193"/>
    <w:rsid w:val="00AE1295"/>
    <w:rsid w:val="00AE1F37"/>
    <w:rsid w:val="00AE232F"/>
    <w:rsid w:val="00AE267F"/>
    <w:rsid w:val="00AE2CFA"/>
    <w:rsid w:val="00AE328D"/>
    <w:rsid w:val="00AE32B2"/>
    <w:rsid w:val="00AE371A"/>
    <w:rsid w:val="00AE460D"/>
    <w:rsid w:val="00AE5CC7"/>
    <w:rsid w:val="00AE5E7A"/>
    <w:rsid w:val="00AE6718"/>
    <w:rsid w:val="00AE6930"/>
    <w:rsid w:val="00AE6A84"/>
    <w:rsid w:val="00AE6DE4"/>
    <w:rsid w:val="00AE7CFE"/>
    <w:rsid w:val="00AF0AB5"/>
    <w:rsid w:val="00AF11C9"/>
    <w:rsid w:val="00AF1ACE"/>
    <w:rsid w:val="00AF1F75"/>
    <w:rsid w:val="00AF2436"/>
    <w:rsid w:val="00AF2807"/>
    <w:rsid w:val="00AF2A37"/>
    <w:rsid w:val="00AF3659"/>
    <w:rsid w:val="00AF3DE8"/>
    <w:rsid w:val="00AF457A"/>
    <w:rsid w:val="00AF4847"/>
    <w:rsid w:val="00AF53E8"/>
    <w:rsid w:val="00AF5815"/>
    <w:rsid w:val="00AF5C5A"/>
    <w:rsid w:val="00AF6C04"/>
    <w:rsid w:val="00AF6E26"/>
    <w:rsid w:val="00AF6FF3"/>
    <w:rsid w:val="00AF74D3"/>
    <w:rsid w:val="00AF7855"/>
    <w:rsid w:val="00AF7BBF"/>
    <w:rsid w:val="00AF7D1F"/>
    <w:rsid w:val="00B0034E"/>
    <w:rsid w:val="00B00C58"/>
    <w:rsid w:val="00B00CFF"/>
    <w:rsid w:val="00B00D53"/>
    <w:rsid w:val="00B011F6"/>
    <w:rsid w:val="00B01999"/>
    <w:rsid w:val="00B01F87"/>
    <w:rsid w:val="00B02883"/>
    <w:rsid w:val="00B028FD"/>
    <w:rsid w:val="00B02F74"/>
    <w:rsid w:val="00B03419"/>
    <w:rsid w:val="00B0356C"/>
    <w:rsid w:val="00B03A6A"/>
    <w:rsid w:val="00B04CD3"/>
    <w:rsid w:val="00B05181"/>
    <w:rsid w:val="00B051FD"/>
    <w:rsid w:val="00B058EA"/>
    <w:rsid w:val="00B05BC3"/>
    <w:rsid w:val="00B0631A"/>
    <w:rsid w:val="00B06BF8"/>
    <w:rsid w:val="00B06CE7"/>
    <w:rsid w:val="00B075C4"/>
    <w:rsid w:val="00B07A6F"/>
    <w:rsid w:val="00B10B41"/>
    <w:rsid w:val="00B10C7C"/>
    <w:rsid w:val="00B1109A"/>
    <w:rsid w:val="00B114A1"/>
    <w:rsid w:val="00B11621"/>
    <w:rsid w:val="00B11A4F"/>
    <w:rsid w:val="00B12D62"/>
    <w:rsid w:val="00B138C5"/>
    <w:rsid w:val="00B13F83"/>
    <w:rsid w:val="00B13FAA"/>
    <w:rsid w:val="00B14935"/>
    <w:rsid w:val="00B1531E"/>
    <w:rsid w:val="00B16699"/>
    <w:rsid w:val="00B166D8"/>
    <w:rsid w:val="00B16AD2"/>
    <w:rsid w:val="00B175D8"/>
    <w:rsid w:val="00B177D1"/>
    <w:rsid w:val="00B17E7A"/>
    <w:rsid w:val="00B2026F"/>
    <w:rsid w:val="00B206AB"/>
    <w:rsid w:val="00B20840"/>
    <w:rsid w:val="00B215A4"/>
    <w:rsid w:val="00B21A6B"/>
    <w:rsid w:val="00B21D6A"/>
    <w:rsid w:val="00B22754"/>
    <w:rsid w:val="00B22816"/>
    <w:rsid w:val="00B229A6"/>
    <w:rsid w:val="00B22B64"/>
    <w:rsid w:val="00B22BAC"/>
    <w:rsid w:val="00B22BD3"/>
    <w:rsid w:val="00B22FB9"/>
    <w:rsid w:val="00B2368C"/>
    <w:rsid w:val="00B23DB6"/>
    <w:rsid w:val="00B240CB"/>
    <w:rsid w:val="00B246D1"/>
    <w:rsid w:val="00B24C87"/>
    <w:rsid w:val="00B25205"/>
    <w:rsid w:val="00B25604"/>
    <w:rsid w:val="00B25652"/>
    <w:rsid w:val="00B26764"/>
    <w:rsid w:val="00B26CC4"/>
    <w:rsid w:val="00B27712"/>
    <w:rsid w:val="00B30581"/>
    <w:rsid w:val="00B30C66"/>
    <w:rsid w:val="00B31101"/>
    <w:rsid w:val="00B31142"/>
    <w:rsid w:val="00B3251E"/>
    <w:rsid w:val="00B330BE"/>
    <w:rsid w:val="00B35127"/>
    <w:rsid w:val="00B35E53"/>
    <w:rsid w:val="00B35E57"/>
    <w:rsid w:val="00B35F62"/>
    <w:rsid w:val="00B36947"/>
    <w:rsid w:val="00B3738B"/>
    <w:rsid w:val="00B37C20"/>
    <w:rsid w:val="00B37FA5"/>
    <w:rsid w:val="00B37FAD"/>
    <w:rsid w:val="00B40225"/>
    <w:rsid w:val="00B405D2"/>
    <w:rsid w:val="00B4141B"/>
    <w:rsid w:val="00B41BB3"/>
    <w:rsid w:val="00B41E45"/>
    <w:rsid w:val="00B41E67"/>
    <w:rsid w:val="00B42DEE"/>
    <w:rsid w:val="00B43084"/>
    <w:rsid w:val="00B447CC"/>
    <w:rsid w:val="00B44F76"/>
    <w:rsid w:val="00B45765"/>
    <w:rsid w:val="00B45C05"/>
    <w:rsid w:val="00B462C1"/>
    <w:rsid w:val="00B46AEC"/>
    <w:rsid w:val="00B46BF0"/>
    <w:rsid w:val="00B47495"/>
    <w:rsid w:val="00B501B6"/>
    <w:rsid w:val="00B50D92"/>
    <w:rsid w:val="00B50EC7"/>
    <w:rsid w:val="00B50F0D"/>
    <w:rsid w:val="00B52188"/>
    <w:rsid w:val="00B5229C"/>
    <w:rsid w:val="00B5255A"/>
    <w:rsid w:val="00B53048"/>
    <w:rsid w:val="00B53B08"/>
    <w:rsid w:val="00B53F63"/>
    <w:rsid w:val="00B53F71"/>
    <w:rsid w:val="00B546A3"/>
    <w:rsid w:val="00B54EE1"/>
    <w:rsid w:val="00B551F8"/>
    <w:rsid w:val="00B556EC"/>
    <w:rsid w:val="00B5740E"/>
    <w:rsid w:val="00B57FF3"/>
    <w:rsid w:val="00B60358"/>
    <w:rsid w:val="00B6056F"/>
    <w:rsid w:val="00B60669"/>
    <w:rsid w:val="00B60F35"/>
    <w:rsid w:val="00B614CE"/>
    <w:rsid w:val="00B61A4D"/>
    <w:rsid w:val="00B61D7D"/>
    <w:rsid w:val="00B61F40"/>
    <w:rsid w:val="00B61F90"/>
    <w:rsid w:val="00B62AB0"/>
    <w:rsid w:val="00B62E01"/>
    <w:rsid w:val="00B63629"/>
    <w:rsid w:val="00B63B9D"/>
    <w:rsid w:val="00B63F78"/>
    <w:rsid w:val="00B63FFD"/>
    <w:rsid w:val="00B6431A"/>
    <w:rsid w:val="00B646D6"/>
    <w:rsid w:val="00B64746"/>
    <w:rsid w:val="00B648C2"/>
    <w:rsid w:val="00B6634F"/>
    <w:rsid w:val="00B66381"/>
    <w:rsid w:val="00B669C7"/>
    <w:rsid w:val="00B67569"/>
    <w:rsid w:val="00B70211"/>
    <w:rsid w:val="00B718AF"/>
    <w:rsid w:val="00B71C6F"/>
    <w:rsid w:val="00B71EAD"/>
    <w:rsid w:val="00B7271E"/>
    <w:rsid w:val="00B73769"/>
    <w:rsid w:val="00B75018"/>
    <w:rsid w:val="00B752BE"/>
    <w:rsid w:val="00B7536A"/>
    <w:rsid w:val="00B75622"/>
    <w:rsid w:val="00B75A37"/>
    <w:rsid w:val="00B7601B"/>
    <w:rsid w:val="00B7698A"/>
    <w:rsid w:val="00B76F30"/>
    <w:rsid w:val="00B7715F"/>
    <w:rsid w:val="00B77F2D"/>
    <w:rsid w:val="00B801F2"/>
    <w:rsid w:val="00B8062C"/>
    <w:rsid w:val="00B81D11"/>
    <w:rsid w:val="00B81D44"/>
    <w:rsid w:val="00B81E6B"/>
    <w:rsid w:val="00B82023"/>
    <w:rsid w:val="00B82791"/>
    <w:rsid w:val="00B8279F"/>
    <w:rsid w:val="00B8295E"/>
    <w:rsid w:val="00B829DD"/>
    <w:rsid w:val="00B829EB"/>
    <w:rsid w:val="00B82B0C"/>
    <w:rsid w:val="00B82D71"/>
    <w:rsid w:val="00B82D7F"/>
    <w:rsid w:val="00B84182"/>
    <w:rsid w:val="00B842DB"/>
    <w:rsid w:val="00B84434"/>
    <w:rsid w:val="00B84A5C"/>
    <w:rsid w:val="00B84B4D"/>
    <w:rsid w:val="00B84BAA"/>
    <w:rsid w:val="00B84C50"/>
    <w:rsid w:val="00B85005"/>
    <w:rsid w:val="00B857F9"/>
    <w:rsid w:val="00B85980"/>
    <w:rsid w:val="00B85E0F"/>
    <w:rsid w:val="00B86237"/>
    <w:rsid w:val="00B86962"/>
    <w:rsid w:val="00B86D4C"/>
    <w:rsid w:val="00B86DEA"/>
    <w:rsid w:val="00B8792F"/>
    <w:rsid w:val="00B87E40"/>
    <w:rsid w:val="00B902B2"/>
    <w:rsid w:val="00B91157"/>
    <w:rsid w:val="00B91451"/>
    <w:rsid w:val="00B91846"/>
    <w:rsid w:val="00B929E8"/>
    <w:rsid w:val="00B93384"/>
    <w:rsid w:val="00B93AC5"/>
    <w:rsid w:val="00B93BD3"/>
    <w:rsid w:val="00B93D88"/>
    <w:rsid w:val="00B94180"/>
    <w:rsid w:val="00B94FC5"/>
    <w:rsid w:val="00B95116"/>
    <w:rsid w:val="00B9545F"/>
    <w:rsid w:val="00B95A4A"/>
    <w:rsid w:val="00B95B44"/>
    <w:rsid w:val="00B95EB3"/>
    <w:rsid w:val="00B961B2"/>
    <w:rsid w:val="00B96607"/>
    <w:rsid w:val="00B9661D"/>
    <w:rsid w:val="00B96812"/>
    <w:rsid w:val="00B971C5"/>
    <w:rsid w:val="00B972DD"/>
    <w:rsid w:val="00B9798D"/>
    <w:rsid w:val="00B97A1F"/>
    <w:rsid w:val="00B97DE5"/>
    <w:rsid w:val="00BA09C3"/>
    <w:rsid w:val="00BA0D4D"/>
    <w:rsid w:val="00BA0EF3"/>
    <w:rsid w:val="00BA14F7"/>
    <w:rsid w:val="00BA2072"/>
    <w:rsid w:val="00BA21E8"/>
    <w:rsid w:val="00BA2216"/>
    <w:rsid w:val="00BA2D53"/>
    <w:rsid w:val="00BA2E96"/>
    <w:rsid w:val="00BA3327"/>
    <w:rsid w:val="00BA3B05"/>
    <w:rsid w:val="00BA572A"/>
    <w:rsid w:val="00BA638A"/>
    <w:rsid w:val="00BA6EF9"/>
    <w:rsid w:val="00BB06C4"/>
    <w:rsid w:val="00BB0C8F"/>
    <w:rsid w:val="00BB132E"/>
    <w:rsid w:val="00BB1F69"/>
    <w:rsid w:val="00BB24BE"/>
    <w:rsid w:val="00BB2677"/>
    <w:rsid w:val="00BB3044"/>
    <w:rsid w:val="00BB3382"/>
    <w:rsid w:val="00BB3729"/>
    <w:rsid w:val="00BB416E"/>
    <w:rsid w:val="00BB46B9"/>
    <w:rsid w:val="00BB5156"/>
    <w:rsid w:val="00BB575F"/>
    <w:rsid w:val="00BB57CD"/>
    <w:rsid w:val="00BB6667"/>
    <w:rsid w:val="00BB6A69"/>
    <w:rsid w:val="00BB6CFB"/>
    <w:rsid w:val="00BB7550"/>
    <w:rsid w:val="00BC021E"/>
    <w:rsid w:val="00BC089B"/>
    <w:rsid w:val="00BC0A80"/>
    <w:rsid w:val="00BC1730"/>
    <w:rsid w:val="00BC1C38"/>
    <w:rsid w:val="00BC1D0C"/>
    <w:rsid w:val="00BC2447"/>
    <w:rsid w:val="00BC245A"/>
    <w:rsid w:val="00BC2EAF"/>
    <w:rsid w:val="00BC2EF8"/>
    <w:rsid w:val="00BC4AA7"/>
    <w:rsid w:val="00BC5583"/>
    <w:rsid w:val="00BC55D6"/>
    <w:rsid w:val="00BC565E"/>
    <w:rsid w:val="00BC574F"/>
    <w:rsid w:val="00BC5928"/>
    <w:rsid w:val="00BC5FA6"/>
    <w:rsid w:val="00BC6063"/>
    <w:rsid w:val="00BC6297"/>
    <w:rsid w:val="00BC63C0"/>
    <w:rsid w:val="00BC6520"/>
    <w:rsid w:val="00BC7F00"/>
    <w:rsid w:val="00BD00A9"/>
    <w:rsid w:val="00BD032A"/>
    <w:rsid w:val="00BD043A"/>
    <w:rsid w:val="00BD127E"/>
    <w:rsid w:val="00BD14F5"/>
    <w:rsid w:val="00BD1E44"/>
    <w:rsid w:val="00BD2453"/>
    <w:rsid w:val="00BD41F9"/>
    <w:rsid w:val="00BD4619"/>
    <w:rsid w:val="00BD4E26"/>
    <w:rsid w:val="00BD68B1"/>
    <w:rsid w:val="00BD6999"/>
    <w:rsid w:val="00BD69B1"/>
    <w:rsid w:val="00BD6F7E"/>
    <w:rsid w:val="00BD781E"/>
    <w:rsid w:val="00BD7AA2"/>
    <w:rsid w:val="00BE0873"/>
    <w:rsid w:val="00BE0F97"/>
    <w:rsid w:val="00BE0FAD"/>
    <w:rsid w:val="00BE142B"/>
    <w:rsid w:val="00BE18E5"/>
    <w:rsid w:val="00BE1CF6"/>
    <w:rsid w:val="00BE2941"/>
    <w:rsid w:val="00BE2A84"/>
    <w:rsid w:val="00BE34C6"/>
    <w:rsid w:val="00BE35F8"/>
    <w:rsid w:val="00BE3819"/>
    <w:rsid w:val="00BE3AAF"/>
    <w:rsid w:val="00BE3F05"/>
    <w:rsid w:val="00BE41B4"/>
    <w:rsid w:val="00BE45D6"/>
    <w:rsid w:val="00BE54B7"/>
    <w:rsid w:val="00BE58AD"/>
    <w:rsid w:val="00BE6664"/>
    <w:rsid w:val="00BE6C44"/>
    <w:rsid w:val="00BE6EE2"/>
    <w:rsid w:val="00BE7F7D"/>
    <w:rsid w:val="00BF0429"/>
    <w:rsid w:val="00BF1163"/>
    <w:rsid w:val="00BF18C1"/>
    <w:rsid w:val="00BF1E0A"/>
    <w:rsid w:val="00BF2292"/>
    <w:rsid w:val="00BF2605"/>
    <w:rsid w:val="00BF27E2"/>
    <w:rsid w:val="00BF28A5"/>
    <w:rsid w:val="00BF28E1"/>
    <w:rsid w:val="00BF2934"/>
    <w:rsid w:val="00BF2D25"/>
    <w:rsid w:val="00BF3049"/>
    <w:rsid w:val="00BF3209"/>
    <w:rsid w:val="00BF3AB7"/>
    <w:rsid w:val="00BF4115"/>
    <w:rsid w:val="00BF4744"/>
    <w:rsid w:val="00BF47A0"/>
    <w:rsid w:val="00BF4AC0"/>
    <w:rsid w:val="00BF4BA1"/>
    <w:rsid w:val="00BF4DB8"/>
    <w:rsid w:val="00BF5CE6"/>
    <w:rsid w:val="00BF5D96"/>
    <w:rsid w:val="00BF5F2D"/>
    <w:rsid w:val="00BF65D2"/>
    <w:rsid w:val="00BF6802"/>
    <w:rsid w:val="00BF6994"/>
    <w:rsid w:val="00BF769B"/>
    <w:rsid w:val="00BF7827"/>
    <w:rsid w:val="00BF7BB5"/>
    <w:rsid w:val="00BF7C8D"/>
    <w:rsid w:val="00C00653"/>
    <w:rsid w:val="00C01447"/>
    <w:rsid w:val="00C014EA"/>
    <w:rsid w:val="00C0169F"/>
    <w:rsid w:val="00C01E75"/>
    <w:rsid w:val="00C023A8"/>
    <w:rsid w:val="00C02919"/>
    <w:rsid w:val="00C02E28"/>
    <w:rsid w:val="00C02F60"/>
    <w:rsid w:val="00C0312F"/>
    <w:rsid w:val="00C03648"/>
    <w:rsid w:val="00C03734"/>
    <w:rsid w:val="00C04498"/>
    <w:rsid w:val="00C04708"/>
    <w:rsid w:val="00C04F42"/>
    <w:rsid w:val="00C05295"/>
    <w:rsid w:val="00C05929"/>
    <w:rsid w:val="00C0596F"/>
    <w:rsid w:val="00C05C20"/>
    <w:rsid w:val="00C05F96"/>
    <w:rsid w:val="00C06FFE"/>
    <w:rsid w:val="00C071F6"/>
    <w:rsid w:val="00C079F2"/>
    <w:rsid w:val="00C107FA"/>
    <w:rsid w:val="00C10939"/>
    <w:rsid w:val="00C10AA6"/>
    <w:rsid w:val="00C11061"/>
    <w:rsid w:val="00C11424"/>
    <w:rsid w:val="00C11EC3"/>
    <w:rsid w:val="00C120C5"/>
    <w:rsid w:val="00C122D3"/>
    <w:rsid w:val="00C12CB6"/>
    <w:rsid w:val="00C12D58"/>
    <w:rsid w:val="00C134D4"/>
    <w:rsid w:val="00C13762"/>
    <w:rsid w:val="00C1389D"/>
    <w:rsid w:val="00C138A8"/>
    <w:rsid w:val="00C13B9A"/>
    <w:rsid w:val="00C1414E"/>
    <w:rsid w:val="00C1562E"/>
    <w:rsid w:val="00C157EE"/>
    <w:rsid w:val="00C163DB"/>
    <w:rsid w:val="00C1684C"/>
    <w:rsid w:val="00C17325"/>
    <w:rsid w:val="00C1734D"/>
    <w:rsid w:val="00C175A0"/>
    <w:rsid w:val="00C17D83"/>
    <w:rsid w:val="00C20D3F"/>
    <w:rsid w:val="00C2158E"/>
    <w:rsid w:val="00C2182C"/>
    <w:rsid w:val="00C21ECF"/>
    <w:rsid w:val="00C22455"/>
    <w:rsid w:val="00C2298D"/>
    <w:rsid w:val="00C22F49"/>
    <w:rsid w:val="00C23030"/>
    <w:rsid w:val="00C232FB"/>
    <w:rsid w:val="00C23561"/>
    <w:rsid w:val="00C23B19"/>
    <w:rsid w:val="00C23CB4"/>
    <w:rsid w:val="00C24549"/>
    <w:rsid w:val="00C24628"/>
    <w:rsid w:val="00C24BA2"/>
    <w:rsid w:val="00C25448"/>
    <w:rsid w:val="00C25807"/>
    <w:rsid w:val="00C25C42"/>
    <w:rsid w:val="00C25FC9"/>
    <w:rsid w:val="00C2670C"/>
    <w:rsid w:val="00C26C03"/>
    <w:rsid w:val="00C27459"/>
    <w:rsid w:val="00C2752D"/>
    <w:rsid w:val="00C27FC1"/>
    <w:rsid w:val="00C301C8"/>
    <w:rsid w:val="00C30D1E"/>
    <w:rsid w:val="00C317A5"/>
    <w:rsid w:val="00C325CE"/>
    <w:rsid w:val="00C32759"/>
    <w:rsid w:val="00C328F0"/>
    <w:rsid w:val="00C32D2F"/>
    <w:rsid w:val="00C333D1"/>
    <w:rsid w:val="00C3343D"/>
    <w:rsid w:val="00C3358E"/>
    <w:rsid w:val="00C34503"/>
    <w:rsid w:val="00C346AA"/>
    <w:rsid w:val="00C3480F"/>
    <w:rsid w:val="00C34895"/>
    <w:rsid w:val="00C34EE6"/>
    <w:rsid w:val="00C3777C"/>
    <w:rsid w:val="00C377C1"/>
    <w:rsid w:val="00C406F1"/>
    <w:rsid w:val="00C4096A"/>
    <w:rsid w:val="00C409D6"/>
    <w:rsid w:val="00C40E0F"/>
    <w:rsid w:val="00C40E19"/>
    <w:rsid w:val="00C40F0D"/>
    <w:rsid w:val="00C41D0C"/>
    <w:rsid w:val="00C41EFA"/>
    <w:rsid w:val="00C428BA"/>
    <w:rsid w:val="00C42D34"/>
    <w:rsid w:val="00C43537"/>
    <w:rsid w:val="00C4409E"/>
    <w:rsid w:val="00C4471B"/>
    <w:rsid w:val="00C44B16"/>
    <w:rsid w:val="00C4529E"/>
    <w:rsid w:val="00C4552E"/>
    <w:rsid w:val="00C45753"/>
    <w:rsid w:val="00C457B5"/>
    <w:rsid w:val="00C4641F"/>
    <w:rsid w:val="00C46AFA"/>
    <w:rsid w:val="00C503D3"/>
    <w:rsid w:val="00C5058D"/>
    <w:rsid w:val="00C50779"/>
    <w:rsid w:val="00C51185"/>
    <w:rsid w:val="00C51D87"/>
    <w:rsid w:val="00C51F43"/>
    <w:rsid w:val="00C51FCC"/>
    <w:rsid w:val="00C5237D"/>
    <w:rsid w:val="00C526FE"/>
    <w:rsid w:val="00C52D6C"/>
    <w:rsid w:val="00C52E31"/>
    <w:rsid w:val="00C53A7A"/>
    <w:rsid w:val="00C53E84"/>
    <w:rsid w:val="00C53FEE"/>
    <w:rsid w:val="00C54ADF"/>
    <w:rsid w:val="00C55640"/>
    <w:rsid w:val="00C55818"/>
    <w:rsid w:val="00C55EAC"/>
    <w:rsid w:val="00C57359"/>
    <w:rsid w:val="00C57C1C"/>
    <w:rsid w:val="00C57CAF"/>
    <w:rsid w:val="00C57D7B"/>
    <w:rsid w:val="00C6068A"/>
    <w:rsid w:val="00C60787"/>
    <w:rsid w:val="00C616B6"/>
    <w:rsid w:val="00C61CD8"/>
    <w:rsid w:val="00C625BA"/>
    <w:rsid w:val="00C62629"/>
    <w:rsid w:val="00C62EBB"/>
    <w:rsid w:val="00C63015"/>
    <w:rsid w:val="00C63155"/>
    <w:rsid w:val="00C634ED"/>
    <w:rsid w:val="00C635B3"/>
    <w:rsid w:val="00C639DE"/>
    <w:rsid w:val="00C63B4F"/>
    <w:rsid w:val="00C63DB1"/>
    <w:rsid w:val="00C6417C"/>
    <w:rsid w:val="00C64493"/>
    <w:rsid w:val="00C6546A"/>
    <w:rsid w:val="00C65795"/>
    <w:rsid w:val="00C65DC2"/>
    <w:rsid w:val="00C670C6"/>
    <w:rsid w:val="00C67C18"/>
    <w:rsid w:val="00C67F1C"/>
    <w:rsid w:val="00C70EE4"/>
    <w:rsid w:val="00C711DB"/>
    <w:rsid w:val="00C71352"/>
    <w:rsid w:val="00C71640"/>
    <w:rsid w:val="00C719CB"/>
    <w:rsid w:val="00C71DB9"/>
    <w:rsid w:val="00C72F2F"/>
    <w:rsid w:val="00C7312D"/>
    <w:rsid w:val="00C735CA"/>
    <w:rsid w:val="00C73E2F"/>
    <w:rsid w:val="00C74B45"/>
    <w:rsid w:val="00C74D8B"/>
    <w:rsid w:val="00C75108"/>
    <w:rsid w:val="00C7531B"/>
    <w:rsid w:val="00C75370"/>
    <w:rsid w:val="00C7540A"/>
    <w:rsid w:val="00C76420"/>
    <w:rsid w:val="00C767CE"/>
    <w:rsid w:val="00C76814"/>
    <w:rsid w:val="00C76AEB"/>
    <w:rsid w:val="00C76BF0"/>
    <w:rsid w:val="00C77580"/>
    <w:rsid w:val="00C80233"/>
    <w:rsid w:val="00C816BA"/>
    <w:rsid w:val="00C81924"/>
    <w:rsid w:val="00C823FC"/>
    <w:rsid w:val="00C82E6E"/>
    <w:rsid w:val="00C831BC"/>
    <w:rsid w:val="00C833B8"/>
    <w:rsid w:val="00C83E44"/>
    <w:rsid w:val="00C83FAD"/>
    <w:rsid w:val="00C8488C"/>
    <w:rsid w:val="00C848A9"/>
    <w:rsid w:val="00C85125"/>
    <w:rsid w:val="00C85997"/>
    <w:rsid w:val="00C85B7F"/>
    <w:rsid w:val="00C85F10"/>
    <w:rsid w:val="00C8647F"/>
    <w:rsid w:val="00C86AD7"/>
    <w:rsid w:val="00C871DD"/>
    <w:rsid w:val="00C87BE8"/>
    <w:rsid w:val="00C87CB2"/>
    <w:rsid w:val="00C87DB9"/>
    <w:rsid w:val="00C906F6"/>
    <w:rsid w:val="00C910F1"/>
    <w:rsid w:val="00C92220"/>
    <w:rsid w:val="00C92F7D"/>
    <w:rsid w:val="00C93040"/>
    <w:rsid w:val="00C932FB"/>
    <w:rsid w:val="00C93BE4"/>
    <w:rsid w:val="00C93E79"/>
    <w:rsid w:val="00C9440D"/>
    <w:rsid w:val="00C947B2"/>
    <w:rsid w:val="00C95245"/>
    <w:rsid w:val="00C954F8"/>
    <w:rsid w:val="00C95916"/>
    <w:rsid w:val="00C9600C"/>
    <w:rsid w:val="00C96057"/>
    <w:rsid w:val="00C9631A"/>
    <w:rsid w:val="00C9743C"/>
    <w:rsid w:val="00C976DC"/>
    <w:rsid w:val="00C97DA9"/>
    <w:rsid w:val="00CA0781"/>
    <w:rsid w:val="00CA07B7"/>
    <w:rsid w:val="00CA0C81"/>
    <w:rsid w:val="00CA1032"/>
    <w:rsid w:val="00CA1FB8"/>
    <w:rsid w:val="00CA207C"/>
    <w:rsid w:val="00CA215C"/>
    <w:rsid w:val="00CA21F0"/>
    <w:rsid w:val="00CA24DF"/>
    <w:rsid w:val="00CA2643"/>
    <w:rsid w:val="00CA368D"/>
    <w:rsid w:val="00CA3B63"/>
    <w:rsid w:val="00CA3CD0"/>
    <w:rsid w:val="00CA4424"/>
    <w:rsid w:val="00CA4697"/>
    <w:rsid w:val="00CA4BC1"/>
    <w:rsid w:val="00CA5ADB"/>
    <w:rsid w:val="00CA606A"/>
    <w:rsid w:val="00CA663D"/>
    <w:rsid w:val="00CA7901"/>
    <w:rsid w:val="00CA7A6D"/>
    <w:rsid w:val="00CB05DA"/>
    <w:rsid w:val="00CB0797"/>
    <w:rsid w:val="00CB09BF"/>
    <w:rsid w:val="00CB0D6C"/>
    <w:rsid w:val="00CB1C52"/>
    <w:rsid w:val="00CB203F"/>
    <w:rsid w:val="00CB221C"/>
    <w:rsid w:val="00CB261E"/>
    <w:rsid w:val="00CB2A62"/>
    <w:rsid w:val="00CB3DB9"/>
    <w:rsid w:val="00CB4288"/>
    <w:rsid w:val="00CB42AE"/>
    <w:rsid w:val="00CB47D8"/>
    <w:rsid w:val="00CB64F0"/>
    <w:rsid w:val="00CB7EE3"/>
    <w:rsid w:val="00CB7F37"/>
    <w:rsid w:val="00CC061F"/>
    <w:rsid w:val="00CC0825"/>
    <w:rsid w:val="00CC15D2"/>
    <w:rsid w:val="00CC1D7B"/>
    <w:rsid w:val="00CC1EF6"/>
    <w:rsid w:val="00CC22F7"/>
    <w:rsid w:val="00CC3F0E"/>
    <w:rsid w:val="00CC3F93"/>
    <w:rsid w:val="00CC4B4F"/>
    <w:rsid w:val="00CC5045"/>
    <w:rsid w:val="00CC526B"/>
    <w:rsid w:val="00CC5373"/>
    <w:rsid w:val="00CC69DA"/>
    <w:rsid w:val="00CC6F9F"/>
    <w:rsid w:val="00CC749F"/>
    <w:rsid w:val="00CC7EDC"/>
    <w:rsid w:val="00CD073B"/>
    <w:rsid w:val="00CD08C0"/>
    <w:rsid w:val="00CD098E"/>
    <w:rsid w:val="00CD0A92"/>
    <w:rsid w:val="00CD0E1B"/>
    <w:rsid w:val="00CD1403"/>
    <w:rsid w:val="00CD1469"/>
    <w:rsid w:val="00CD1847"/>
    <w:rsid w:val="00CD1BA0"/>
    <w:rsid w:val="00CD2463"/>
    <w:rsid w:val="00CD2C79"/>
    <w:rsid w:val="00CD4256"/>
    <w:rsid w:val="00CD4A51"/>
    <w:rsid w:val="00CD51B8"/>
    <w:rsid w:val="00CD52D4"/>
    <w:rsid w:val="00CD5BFB"/>
    <w:rsid w:val="00CD6921"/>
    <w:rsid w:val="00CD7119"/>
    <w:rsid w:val="00CD7463"/>
    <w:rsid w:val="00CD76A7"/>
    <w:rsid w:val="00CD7817"/>
    <w:rsid w:val="00CD789D"/>
    <w:rsid w:val="00CD7D53"/>
    <w:rsid w:val="00CD7DE8"/>
    <w:rsid w:val="00CE07D2"/>
    <w:rsid w:val="00CE0B5D"/>
    <w:rsid w:val="00CE0B78"/>
    <w:rsid w:val="00CE0C54"/>
    <w:rsid w:val="00CE0E00"/>
    <w:rsid w:val="00CE1696"/>
    <w:rsid w:val="00CE1BF0"/>
    <w:rsid w:val="00CE213C"/>
    <w:rsid w:val="00CE3275"/>
    <w:rsid w:val="00CE39AD"/>
    <w:rsid w:val="00CE3A84"/>
    <w:rsid w:val="00CE3CC7"/>
    <w:rsid w:val="00CE400D"/>
    <w:rsid w:val="00CE4716"/>
    <w:rsid w:val="00CE471B"/>
    <w:rsid w:val="00CE6285"/>
    <w:rsid w:val="00CE662E"/>
    <w:rsid w:val="00CE6B66"/>
    <w:rsid w:val="00CE75C8"/>
    <w:rsid w:val="00CF00A7"/>
    <w:rsid w:val="00CF00F7"/>
    <w:rsid w:val="00CF03C3"/>
    <w:rsid w:val="00CF0CF1"/>
    <w:rsid w:val="00CF0E00"/>
    <w:rsid w:val="00CF14E4"/>
    <w:rsid w:val="00CF16FA"/>
    <w:rsid w:val="00CF2524"/>
    <w:rsid w:val="00CF2FF1"/>
    <w:rsid w:val="00CF33DE"/>
    <w:rsid w:val="00CF3B3B"/>
    <w:rsid w:val="00CF3C7B"/>
    <w:rsid w:val="00CF3C99"/>
    <w:rsid w:val="00CF428A"/>
    <w:rsid w:val="00CF4F6C"/>
    <w:rsid w:val="00CF5C91"/>
    <w:rsid w:val="00CF5CF2"/>
    <w:rsid w:val="00CF6299"/>
    <w:rsid w:val="00CF70D8"/>
    <w:rsid w:val="00CF7470"/>
    <w:rsid w:val="00CF7AB4"/>
    <w:rsid w:val="00D0021B"/>
    <w:rsid w:val="00D004B1"/>
    <w:rsid w:val="00D008DD"/>
    <w:rsid w:val="00D011E8"/>
    <w:rsid w:val="00D01228"/>
    <w:rsid w:val="00D0142B"/>
    <w:rsid w:val="00D0243C"/>
    <w:rsid w:val="00D02C3E"/>
    <w:rsid w:val="00D02D71"/>
    <w:rsid w:val="00D032F5"/>
    <w:rsid w:val="00D038BD"/>
    <w:rsid w:val="00D03B29"/>
    <w:rsid w:val="00D03C63"/>
    <w:rsid w:val="00D041AA"/>
    <w:rsid w:val="00D04A24"/>
    <w:rsid w:val="00D04AFF"/>
    <w:rsid w:val="00D04F3F"/>
    <w:rsid w:val="00D05401"/>
    <w:rsid w:val="00D0654E"/>
    <w:rsid w:val="00D06AD5"/>
    <w:rsid w:val="00D07E61"/>
    <w:rsid w:val="00D1132E"/>
    <w:rsid w:val="00D119B9"/>
    <w:rsid w:val="00D11CCF"/>
    <w:rsid w:val="00D11E79"/>
    <w:rsid w:val="00D1298F"/>
    <w:rsid w:val="00D140A4"/>
    <w:rsid w:val="00D15094"/>
    <w:rsid w:val="00D15930"/>
    <w:rsid w:val="00D15E0D"/>
    <w:rsid w:val="00D16050"/>
    <w:rsid w:val="00D1643E"/>
    <w:rsid w:val="00D16564"/>
    <w:rsid w:val="00D16945"/>
    <w:rsid w:val="00D16DC2"/>
    <w:rsid w:val="00D172CB"/>
    <w:rsid w:val="00D17ACE"/>
    <w:rsid w:val="00D17B85"/>
    <w:rsid w:val="00D21544"/>
    <w:rsid w:val="00D21FF1"/>
    <w:rsid w:val="00D2267B"/>
    <w:rsid w:val="00D226D1"/>
    <w:rsid w:val="00D227C6"/>
    <w:rsid w:val="00D23031"/>
    <w:rsid w:val="00D233C3"/>
    <w:rsid w:val="00D237C1"/>
    <w:rsid w:val="00D2426A"/>
    <w:rsid w:val="00D250A6"/>
    <w:rsid w:val="00D2512D"/>
    <w:rsid w:val="00D252CA"/>
    <w:rsid w:val="00D258B3"/>
    <w:rsid w:val="00D25BFD"/>
    <w:rsid w:val="00D25E73"/>
    <w:rsid w:val="00D25FE8"/>
    <w:rsid w:val="00D269EA"/>
    <w:rsid w:val="00D26B13"/>
    <w:rsid w:val="00D274C1"/>
    <w:rsid w:val="00D30B30"/>
    <w:rsid w:val="00D3136A"/>
    <w:rsid w:val="00D31C45"/>
    <w:rsid w:val="00D3287D"/>
    <w:rsid w:val="00D32A03"/>
    <w:rsid w:val="00D337FF"/>
    <w:rsid w:val="00D3396E"/>
    <w:rsid w:val="00D33ACF"/>
    <w:rsid w:val="00D33BA6"/>
    <w:rsid w:val="00D33C70"/>
    <w:rsid w:val="00D33CD3"/>
    <w:rsid w:val="00D33F3B"/>
    <w:rsid w:val="00D34226"/>
    <w:rsid w:val="00D34892"/>
    <w:rsid w:val="00D34CA7"/>
    <w:rsid w:val="00D34CF7"/>
    <w:rsid w:val="00D356C9"/>
    <w:rsid w:val="00D35DB7"/>
    <w:rsid w:val="00D362DA"/>
    <w:rsid w:val="00D367E0"/>
    <w:rsid w:val="00D36F4D"/>
    <w:rsid w:val="00D3744B"/>
    <w:rsid w:val="00D379EC"/>
    <w:rsid w:val="00D37BA0"/>
    <w:rsid w:val="00D4076C"/>
    <w:rsid w:val="00D4089E"/>
    <w:rsid w:val="00D40B93"/>
    <w:rsid w:val="00D40DB0"/>
    <w:rsid w:val="00D4109F"/>
    <w:rsid w:val="00D41C5E"/>
    <w:rsid w:val="00D42444"/>
    <w:rsid w:val="00D426D3"/>
    <w:rsid w:val="00D428F7"/>
    <w:rsid w:val="00D42BD9"/>
    <w:rsid w:val="00D4327D"/>
    <w:rsid w:val="00D43712"/>
    <w:rsid w:val="00D43892"/>
    <w:rsid w:val="00D45DAB"/>
    <w:rsid w:val="00D45F3E"/>
    <w:rsid w:val="00D4645A"/>
    <w:rsid w:val="00D46462"/>
    <w:rsid w:val="00D46A87"/>
    <w:rsid w:val="00D46ECE"/>
    <w:rsid w:val="00D47749"/>
    <w:rsid w:val="00D47B8E"/>
    <w:rsid w:val="00D47BDF"/>
    <w:rsid w:val="00D50C31"/>
    <w:rsid w:val="00D50DF4"/>
    <w:rsid w:val="00D51A8D"/>
    <w:rsid w:val="00D522D2"/>
    <w:rsid w:val="00D53723"/>
    <w:rsid w:val="00D5389B"/>
    <w:rsid w:val="00D53C4F"/>
    <w:rsid w:val="00D5487B"/>
    <w:rsid w:val="00D5531B"/>
    <w:rsid w:val="00D557F6"/>
    <w:rsid w:val="00D55B8F"/>
    <w:rsid w:val="00D55F0C"/>
    <w:rsid w:val="00D561CD"/>
    <w:rsid w:val="00D5663D"/>
    <w:rsid w:val="00D5708C"/>
    <w:rsid w:val="00D57592"/>
    <w:rsid w:val="00D603EA"/>
    <w:rsid w:val="00D60418"/>
    <w:rsid w:val="00D60693"/>
    <w:rsid w:val="00D60A95"/>
    <w:rsid w:val="00D6236A"/>
    <w:rsid w:val="00D62473"/>
    <w:rsid w:val="00D62BBA"/>
    <w:rsid w:val="00D6329B"/>
    <w:rsid w:val="00D64F14"/>
    <w:rsid w:val="00D657F1"/>
    <w:rsid w:val="00D659E0"/>
    <w:rsid w:val="00D66158"/>
    <w:rsid w:val="00D661E6"/>
    <w:rsid w:val="00D666EA"/>
    <w:rsid w:val="00D66BFC"/>
    <w:rsid w:val="00D66F05"/>
    <w:rsid w:val="00D6722B"/>
    <w:rsid w:val="00D673B3"/>
    <w:rsid w:val="00D67E34"/>
    <w:rsid w:val="00D701CC"/>
    <w:rsid w:val="00D7022D"/>
    <w:rsid w:val="00D707EA"/>
    <w:rsid w:val="00D709DB"/>
    <w:rsid w:val="00D70B31"/>
    <w:rsid w:val="00D70D5B"/>
    <w:rsid w:val="00D70E46"/>
    <w:rsid w:val="00D71023"/>
    <w:rsid w:val="00D715EE"/>
    <w:rsid w:val="00D71D11"/>
    <w:rsid w:val="00D72022"/>
    <w:rsid w:val="00D72773"/>
    <w:rsid w:val="00D73ABB"/>
    <w:rsid w:val="00D73D7C"/>
    <w:rsid w:val="00D73DA9"/>
    <w:rsid w:val="00D73E43"/>
    <w:rsid w:val="00D745F9"/>
    <w:rsid w:val="00D747F3"/>
    <w:rsid w:val="00D7483E"/>
    <w:rsid w:val="00D74DC6"/>
    <w:rsid w:val="00D7562B"/>
    <w:rsid w:val="00D75BB5"/>
    <w:rsid w:val="00D75E51"/>
    <w:rsid w:val="00D75F4D"/>
    <w:rsid w:val="00D760D7"/>
    <w:rsid w:val="00D761E5"/>
    <w:rsid w:val="00D7695B"/>
    <w:rsid w:val="00D76A63"/>
    <w:rsid w:val="00D76B30"/>
    <w:rsid w:val="00D76F61"/>
    <w:rsid w:val="00D771EC"/>
    <w:rsid w:val="00D772B6"/>
    <w:rsid w:val="00D7760C"/>
    <w:rsid w:val="00D77BD1"/>
    <w:rsid w:val="00D8100D"/>
    <w:rsid w:val="00D81589"/>
    <w:rsid w:val="00D815F5"/>
    <w:rsid w:val="00D8183F"/>
    <w:rsid w:val="00D81DDF"/>
    <w:rsid w:val="00D826A4"/>
    <w:rsid w:val="00D828A9"/>
    <w:rsid w:val="00D83985"/>
    <w:rsid w:val="00D84388"/>
    <w:rsid w:val="00D845CE"/>
    <w:rsid w:val="00D8461C"/>
    <w:rsid w:val="00D8483F"/>
    <w:rsid w:val="00D8565F"/>
    <w:rsid w:val="00D859F3"/>
    <w:rsid w:val="00D85BAA"/>
    <w:rsid w:val="00D85CA2"/>
    <w:rsid w:val="00D85CB6"/>
    <w:rsid w:val="00D86383"/>
    <w:rsid w:val="00D86F66"/>
    <w:rsid w:val="00D8708A"/>
    <w:rsid w:val="00D871C5"/>
    <w:rsid w:val="00D8769F"/>
    <w:rsid w:val="00D87DE9"/>
    <w:rsid w:val="00D907FB"/>
    <w:rsid w:val="00D90B11"/>
    <w:rsid w:val="00D90CCA"/>
    <w:rsid w:val="00D9163C"/>
    <w:rsid w:val="00D91C62"/>
    <w:rsid w:val="00D92956"/>
    <w:rsid w:val="00D92F49"/>
    <w:rsid w:val="00D93400"/>
    <w:rsid w:val="00D93B54"/>
    <w:rsid w:val="00D94602"/>
    <w:rsid w:val="00D9486A"/>
    <w:rsid w:val="00D949CF"/>
    <w:rsid w:val="00D95356"/>
    <w:rsid w:val="00D95366"/>
    <w:rsid w:val="00D956B2"/>
    <w:rsid w:val="00D95950"/>
    <w:rsid w:val="00D96CBB"/>
    <w:rsid w:val="00D96E41"/>
    <w:rsid w:val="00D97435"/>
    <w:rsid w:val="00D9795A"/>
    <w:rsid w:val="00D97ADC"/>
    <w:rsid w:val="00DA0A65"/>
    <w:rsid w:val="00DA1B75"/>
    <w:rsid w:val="00DA1BC6"/>
    <w:rsid w:val="00DA32AE"/>
    <w:rsid w:val="00DA3913"/>
    <w:rsid w:val="00DA39DA"/>
    <w:rsid w:val="00DA3EA0"/>
    <w:rsid w:val="00DA52F2"/>
    <w:rsid w:val="00DA54A9"/>
    <w:rsid w:val="00DA587A"/>
    <w:rsid w:val="00DA58DE"/>
    <w:rsid w:val="00DA5DA5"/>
    <w:rsid w:val="00DA6EA2"/>
    <w:rsid w:val="00DA6FAF"/>
    <w:rsid w:val="00DA7209"/>
    <w:rsid w:val="00DA73ED"/>
    <w:rsid w:val="00DB0E6A"/>
    <w:rsid w:val="00DB0E70"/>
    <w:rsid w:val="00DB1083"/>
    <w:rsid w:val="00DB1411"/>
    <w:rsid w:val="00DB179A"/>
    <w:rsid w:val="00DB1BD4"/>
    <w:rsid w:val="00DB1D9B"/>
    <w:rsid w:val="00DB1FB2"/>
    <w:rsid w:val="00DB27B0"/>
    <w:rsid w:val="00DB2904"/>
    <w:rsid w:val="00DB2F94"/>
    <w:rsid w:val="00DB301C"/>
    <w:rsid w:val="00DB34BD"/>
    <w:rsid w:val="00DB5CDE"/>
    <w:rsid w:val="00DB6921"/>
    <w:rsid w:val="00DB69EB"/>
    <w:rsid w:val="00DB6BBD"/>
    <w:rsid w:val="00DB7543"/>
    <w:rsid w:val="00DB7621"/>
    <w:rsid w:val="00DB78B1"/>
    <w:rsid w:val="00DB7ADF"/>
    <w:rsid w:val="00DC062F"/>
    <w:rsid w:val="00DC150F"/>
    <w:rsid w:val="00DC159C"/>
    <w:rsid w:val="00DC15AC"/>
    <w:rsid w:val="00DC2823"/>
    <w:rsid w:val="00DC2A8C"/>
    <w:rsid w:val="00DC2F62"/>
    <w:rsid w:val="00DC30C1"/>
    <w:rsid w:val="00DC312E"/>
    <w:rsid w:val="00DC3494"/>
    <w:rsid w:val="00DC3F44"/>
    <w:rsid w:val="00DC5579"/>
    <w:rsid w:val="00DC772C"/>
    <w:rsid w:val="00DC7B2B"/>
    <w:rsid w:val="00DC7EED"/>
    <w:rsid w:val="00DD009A"/>
    <w:rsid w:val="00DD019C"/>
    <w:rsid w:val="00DD0A10"/>
    <w:rsid w:val="00DD0A60"/>
    <w:rsid w:val="00DD14EE"/>
    <w:rsid w:val="00DD1989"/>
    <w:rsid w:val="00DD19E6"/>
    <w:rsid w:val="00DD1B33"/>
    <w:rsid w:val="00DD256E"/>
    <w:rsid w:val="00DD2648"/>
    <w:rsid w:val="00DD2C81"/>
    <w:rsid w:val="00DD33B1"/>
    <w:rsid w:val="00DD3732"/>
    <w:rsid w:val="00DD421A"/>
    <w:rsid w:val="00DD427F"/>
    <w:rsid w:val="00DD43BD"/>
    <w:rsid w:val="00DD49E2"/>
    <w:rsid w:val="00DD49EF"/>
    <w:rsid w:val="00DD4D30"/>
    <w:rsid w:val="00DD51A8"/>
    <w:rsid w:val="00DD5CB1"/>
    <w:rsid w:val="00DD60A4"/>
    <w:rsid w:val="00DD63F2"/>
    <w:rsid w:val="00DD64A9"/>
    <w:rsid w:val="00DD6D02"/>
    <w:rsid w:val="00DD6D76"/>
    <w:rsid w:val="00DD7298"/>
    <w:rsid w:val="00DD7761"/>
    <w:rsid w:val="00DD780F"/>
    <w:rsid w:val="00DD7A0F"/>
    <w:rsid w:val="00DE0A91"/>
    <w:rsid w:val="00DE0B5F"/>
    <w:rsid w:val="00DE0C5A"/>
    <w:rsid w:val="00DE1536"/>
    <w:rsid w:val="00DE1BBC"/>
    <w:rsid w:val="00DE1C3C"/>
    <w:rsid w:val="00DE1D01"/>
    <w:rsid w:val="00DE1D37"/>
    <w:rsid w:val="00DE2344"/>
    <w:rsid w:val="00DE2392"/>
    <w:rsid w:val="00DE2933"/>
    <w:rsid w:val="00DE2A11"/>
    <w:rsid w:val="00DE36EF"/>
    <w:rsid w:val="00DE3730"/>
    <w:rsid w:val="00DE3A5E"/>
    <w:rsid w:val="00DE4218"/>
    <w:rsid w:val="00DE4347"/>
    <w:rsid w:val="00DE44FB"/>
    <w:rsid w:val="00DE4889"/>
    <w:rsid w:val="00DE50DB"/>
    <w:rsid w:val="00DE5B9D"/>
    <w:rsid w:val="00DE6B15"/>
    <w:rsid w:val="00DE76B2"/>
    <w:rsid w:val="00DE76C3"/>
    <w:rsid w:val="00DE79E8"/>
    <w:rsid w:val="00DF0A41"/>
    <w:rsid w:val="00DF106F"/>
    <w:rsid w:val="00DF2B94"/>
    <w:rsid w:val="00DF2C64"/>
    <w:rsid w:val="00DF3125"/>
    <w:rsid w:val="00DF3391"/>
    <w:rsid w:val="00DF3529"/>
    <w:rsid w:val="00DF3AE1"/>
    <w:rsid w:val="00DF3D3C"/>
    <w:rsid w:val="00DF4230"/>
    <w:rsid w:val="00DF450B"/>
    <w:rsid w:val="00DF5BE8"/>
    <w:rsid w:val="00DF5EBF"/>
    <w:rsid w:val="00DF6138"/>
    <w:rsid w:val="00DF6238"/>
    <w:rsid w:val="00DF631B"/>
    <w:rsid w:val="00DF63B4"/>
    <w:rsid w:val="00DF66F7"/>
    <w:rsid w:val="00DF6BD9"/>
    <w:rsid w:val="00DF6C0C"/>
    <w:rsid w:val="00DF7348"/>
    <w:rsid w:val="00DF769F"/>
    <w:rsid w:val="00DF774F"/>
    <w:rsid w:val="00DF7A3A"/>
    <w:rsid w:val="00DF7EE9"/>
    <w:rsid w:val="00E0072F"/>
    <w:rsid w:val="00E00C35"/>
    <w:rsid w:val="00E00E21"/>
    <w:rsid w:val="00E01097"/>
    <w:rsid w:val="00E01353"/>
    <w:rsid w:val="00E01C6E"/>
    <w:rsid w:val="00E01E87"/>
    <w:rsid w:val="00E01F99"/>
    <w:rsid w:val="00E02121"/>
    <w:rsid w:val="00E02B52"/>
    <w:rsid w:val="00E03A4F"/>
    <w:rsid w:val="00E03DDF"/>
    <w:rsid w:val="00E042BA"/>
    <w:rsid w:val="00E05DD8"/>
    <w:rsid w:val="00E061C6"/>
    <w:rsid w:val="00E06DF8"/>
    <w:rsid w:val="00E07312"/>
    <w:rsid w:val="00E1079A"/>
    <w:rsid w:val="00E10ADC"/>
    <w:rsid w:val="00E10F5E"/>
    <w:rsid w:val="00E1124E"/>
    <w:rsid w:val="00E14614"/>
    <w:rsid w:val="00E14C87"/>
    <w:rsid w:val="00E14D70"/>
    <w:rsid w:val="00E14FEC"/>
    <w:rsid w:val="00E15797"/>
    <w:rsid w:val="00E160D6"/>
    <w:rsid w:val="00E16A4E"/>
    <w:rsid w:val="00E2034D"/>
    <w:rsid w:val="00E20F5B"/>
    <w:rsid w:val="00E2113A"/>
    <w:rsid w:val="00E21340"/>
    <w:rsid w:val="00E2180C"/>
    <w:rsid w:val="00E235F7"/>
    <w:rsid w:val="00E238AD"/>
    <w:rsid w:val="00E240C2"/>
    <w:rsid w:val="00E25101"/>
    <w:rsid w:val="00E25402"/>
    <w:rsid w:val="00E254BF"/>
    <w:rsid w:val="00E25591"/>
    <w:rsid w:val="00E25F6E"/>
    <w:rsid w:val="00E25F94"/>
    <w:rsid w:val="00E26C4F"/>
    <w:rsid w:val="00E26FF5"/>
    <w:rsid w:val="00E27341"/>
    <w:rsid w:val="00E273FA"/>
    <w:rsid w:val="00E27941"/>
    <w:rsid w:val="00E30157"/>
    <w:rsid w:val="00E307F1"/>
    <w:rsid w:val="00E310AD"/>
    <w:rsid w:val="00E314D1"/>
    <w:rsid w:val="00E3192C"/>
    <w:rsid w:val="00E31E26"/>
    <w:rsid w:val="00E321ED"/>
    <w:rsid w:val="00E3291F"/>
    <w:rsid w:val="00E32950"/>
    <w:rsid w:val="00E3399D"/>
    <w:rsid w:val="00E34C7D"/>
    <w:rsid w:val="00E35474"/>
    <w:rsid w:val="00E36BD9"/>
    <w:rsid w:val="00E36C17"/>
    <w:rsid w:val="00E37014"/>
    <w:rsid w:val="00E37D33"/>
    <w:rsid w:val="00E4055F"/>
    <w:rsid w:val="00E40977"/>
    <w:rsid w:val="00E409E2"/>
    <w:rsid w:val="00E4110B"/>
    <w:rsid w:val="00E41629"/>
    <w:rsid w:val="00E42994"/>
    <w:rsid w:val="00E42A17"/>
    <w:rsid w:val="00E43196"/>
    <w:rsid w:val="00E437E5"/>
    <w:rsid w:val="00E44544"/>
    <w:rsid w:val="00E45A95"/>
    <w:rsid w:val="00E45B1F"/>
    <w:rsid w:val="00E46BF2"/>
    <w:rsid w:val="00E47000"/>
    <w:rsid w:val="00E471B5"/>
    <w:rsid w:val="00E472EB"/>
    <w:rsid w:val="00E47B23"/>
    <w:rsid w:val="00E47B31"/>
    <w:rsid w:val="00E47BAC"/>
    <w:rsid w:val="00E506DB"/>
    <w:rsid w:val="00E50C6D"/>
    <w:rsid w:val="00E525DE"/>
    <w:rsid w:val="00E52D4A"/>
    <w:rsid w:val="00E530DF"/>
    <w:rsid w:val="00E53F9E"/>
    <w:rsid w:val="00E543BC"/>
    <w:rsid w:val="00E54662"/>
    <w:rsid w:val="00E54EFC"/>
    <w:rsid w:val="00E552B2"/>
    <w:rsid w:val="00E5596C"/>
    <w:rsid w:val="00E564FD"/>
    <w:rsid w:val="00E56D57"/>
    <w:rsid w:val="00E56FFF"/>
    <w:rsid w:val="00E5792E"/>
    <w:rsid w:val="00E600B2"/>
    <w:rsid w:val="00E60486"/>
    <w:rsid w:val="00E6095D"/>
    <w:rsid w:val="00E60BDE"/>
    <w:rsid w:val="00E6116F"/>
    <w:rsid w:val="00E61789"/>
    <w:rsid w:val="00E61905"/>
    <w:rsid w:val="00E61D02"/>
    <w:rsid w:val="00E62150"/>
    <w:rsid w:val="00E624F5"/>
    <w:rsid w:val="00E631EE"/>
    <w:rsid w:val="00E63988"/>
    <w:rsid w:val="00E63D97"/>
    <w:rsid w:val="00E64DF5"/>
    <w:rsid w:val="00E65AB8"/>
    <w:rsid w:val="00E65BE6"/>
    <w:rsid w:val="00E65CFF"/>
    <w:rsid w:val="00E6614B"/>
    <w:rsid w:val="00E66675"/>
    <w:rsid w:val="00E6684B"/>
    <w:rsid w:val="00E66928"/>
    <w:rsid w:val="00E66B09"/>
    <w:rsid w:val="00E67CF0"/>
    <w:rsid w:val="00E70622"/>
    <w:rsid w:val="00E70A1C"/>
    <w:rsid w:val="00E70DCC"/>
    <w:rsid w:val="00E70FE7"/>
    <w:rsid w:val="00E71684"/>
    <w:rsid w:val="00E7182F"/>
    <w:rsid w:val="00E71BB4"/>
    <w:rsid w:val="00E7255D"/>
    <w:rsid w:val="00E72F72"/>
    <w:rsid w:val="00E73B48"/>
    <w:rsid w:val="00E74295"/>
    <w:rsid w:val="00E743C8"/>
    <w:rsid w:val="00E74881"/>
    <w:rsid w:val="00E759BC"/>
    <w:rsid w:val="00E75A18"/>
    <w:rsid w:val="00E75DF3"/>
    <w:rsid w:val="00E76050"/>
    <w:rsid w:val="00E769C1"/>
    <w:rsid w:val="00E772CA"/>
    <w:rsid w:val="00E775F5"/>
    <w:rsid w:val="00E77B34"/>
    <w:rsid w:val="00E77BC0"/>
    <w:rsid w:val="00E80B31"/>
    <w:rsid w:val="00E8115B"/>
    <w:rsid w:val="00E8167C"/>
    <w:rsid w:val="00E81AEF"/>
    <w:rsid w:val="00E81B58"/>
    <w:rsid w:val="00E8282C"/>
    <w:rsid w:val="00E83359"/>
    <w:rsid w:val="00E839A5"/>
    <w:rsid w:val="00E83AA9"/>
    <w:rsid w:val="00E83FD8"/>
    <w:rsid w:val="00E845B3"/>
    <w:rsid w:val="00E84D99"/>
    <w:rsid w:val="00E84EFF"/>
    <w:rsid w:val="00E85441"/>
    <w:rsid w:val="00E85963"/>
    <w:rsid w:val="00E85F5D"/>
    <w:rsid w:val="00E863AF"/>
    <w:rsid w:val="00E86707"/>
    <w:rsid w:val="00E87F7B"/>
    <w:rsid w:val="00E901B6"/>
    <w:rsid w:val="00E90956"/>
    <w:rsid w:val="00E90E02"/>
    <w:rsid w:val="00E91E42"/>
    <w:rsid w:val="00E91EC5"/>
    <w:rsid w:val="00E92097"/>
    <w:rsid w:val="00E92111"/>
    <w:rsid w:val="00E92AB2"/>
    <w:rsid w:val="00E9387F"/>
    <w:rsid w:val="00E93F75"/>
    <w:rsid w:val="00E94049"/>
    <w:rsid w:val="00E961F1"/>
    <w:rsid w:val="00E97875"/>
    <w:rsid w:val="00E979BF"/>
    <w:rsid w:val="00E97E12"/>
    <w:rsid w:val="00EA058F"/>
    <w:rsid w:val="00EA08C6"/>
    <w:rsid w:val="00EA0A92"/>
    <w:rsid w:val="00EA0BFB"/>
    <w:rsid w:val="00EA0DE1"/>
    <w:rsid w:val="00EA1644"/>
    <w:rsid w:val="00EA17F9"/>
    <w:rsid w:val="00EA1A8B"/>
    <w:rsid w:val="00EA2106"/>
    <w:rsid w:val="00EA33A3"/>
    <w:rsid w:val="00EA3679"/>
    <w:rsid w:val="00EA4088"/>
    <w:rsid w:val="00EA447A"/>
    <w:rsid w:val="00EA468A"/>
    <w:rsid w:val="00EA4F83"/>
    <w:rsid w:val="00EA53A3"/>
    <w:rsid w:val="00EA7842"/>
    <w:rsid w:val="00EA7A71"/>
    <w:rsid w:val="00EA7CC1"/>
    <w:rsid w:val="00EB0CC9"/>
    <w:rsid w:val="00EB1039"/>
    <w:rsid w:val="00EB1666"/>
    <w:rsid w:val="00EB1788"/>
    <w:rsid w:val="00EB1870"/>
    <w:rsid w:val="00EB1CA9"/>
    <w:rsid w:val="00EB3F91"/>
    <w:rsid w:val="00EB4352"/>
    <w:rsid w:val="00EB54E0"/>
    <w:rsid w:val="00EB5829"/>
    <w:rsid w:val="00EB6B08"/>
    <w:rsid w:val="00EB6D14"/>
    <w:rsid w:val="00EB6F6B"/>
    <w:rsid w:val="00EB73A3"/>
    <w:rsid w:val="00EB7423"/>
    <w:rsid w:val="00EB76F5"/>
    <w:rsid w:val="00EC0816"/>
    <w:rsid w:val="00EC094B"/>
    <w:rsid w:val="00EC0CD0"/>
    <w:rsid w:val="00EC1A4F"/>
    <w:rsid w:val="00EC2554"/>
    <w:rsid w:val="00EC2929"/>
    <w:rsid w:val="00EC2ACF"/>
    <w:rsid w:val="00EC2E68"/>
    <w:rsid w:val="00EC4086"/>
    <w:rsid w:val="00EC56BC"/>
    <w:rsid w:val="00EC5D61"/>
    <w:rsid w:val="00EC5FB6"/>
    <w:rsid w:val="00EC626F"/>
    <w:rsid w:val="00EC64EA"/>
    <w:rsid w:val="00EC6AD0"/>
    <w:rsid w:val="00EC6C1C"/>
    <w:rsid w:val="00EC6DBF"/>
    <w:rsid w:val="00EC73EF"/>
    <w:rsid w:val="00EC74F9"/>
    <w:rsid w:val="00EC7F41"/>
    <w:rsid w:val="00ED0FEB"/>
    <w:rsid w:val="00ED1024"/>
    <w:rsid w:val="00ED2028"/>
    <w:rsid w:val="00ED2AFB"/>
    <w:rsid w:val="00ED2E81"/>
    <w:rsid w:val="00ED2E9F"/>
    <w:rsid w:val="00ED395B"/>
    <w:rsid w:val="00ED3A60"/>
    <w:rsid w:val="00ED4175"/>
    <w:rsid w:val="00ED4252"/>
    <w:rsid w:val="00ED43E5"/>
    <w:rsid w:val="00ED454F"/>
    <w:rsid w:val="00ED4822"/>
    <w:rsid w:val="00ED4923"/>
    <w:rsid w:val="00ED537F"/>
    <w:rsid w:val="00ED56A7"/>
    <w:rsid w:val="00ED6AD3"/>
    <w:rsid w:val="00ED6C3A"/>
    <w:rsid w:val="00ED6E3D"/>
    <w:rsid w:val="00ED6F98"/>
    <w:rsid w:val="00ED785B"/>
    <w:rsid w:val="00ED7D7F"/>
    <w:rsid w:val="00EE081C"/>
    <w:rsid w:val="00EE0BEF"/>
    <w:rsid w:val="00EE1295"/>
    <w:rsid w:val="00EE26A0"/>
    <w:rsid w:val="00EE2921"/>
    <w:rsid w:val="00EE2F49"/>
    <w:rsid w:val="00EE2FA9"/>
    <w:rsid w:val="00EE303C"/>
    <w:rsid w:val="00EE30D1"/>
    <w:rsid w:val="00EE3B08"/>
    <w:rsid w:val="00EE408E"/>
    <w:rsid w:val="00EE442C"/>
    <w:rsid w:val="00EE4903"/>
    <w:rsid w:val="00EE636E"/>
    <w:rsid w:val="00EE669F"/>
    <w:rsid w:val="00EE73C5"/>
    <w:rsid w:val="00EE7603"/>
    <w:rsid w:val="00EE766D"/>
    <w:rsid w:val="00EE7687"/>
    <w:rsid w:val="00EE78B4"/>
    <w:rsid w:val="00EF0B64"/>
    <w:rsid w:val="00EF1123"/>
    <w:rsid w:val="00EF192D"/>
    <w:rsid w:val="00EF2EC9"/>
    <w:rsid w:val="00EF3B8C"/>
    <w:rsid w:val="00EF40DC"/>
    <w:rsid w:val="00EF41E1"/>
    <w:rsid w:val="00EF4699"/>
    <w:rsid w:val="00EF5009"/>
    <w:rsid w:val="00EF58CF"/>
    <w:rsid w:val="00EF5C2F"/>
    <w:rsid w:val="00EF6421"/>
    <w:rsid w:val="00EF6C9F"/>
    <w:rsid w:val="00EF7344"/>
    <w:rsid w:val="00EF7966"/>
    <w:rsid w:val="00EF7D24"/>
    <w:rsid w:val="00F001C2"/>
    <w:rsid w:val="00F002CC"/>
    <w:rsid w:val="00F00826"/>
    <w:rsid w:val="00F00EC4"/>
    <w:rsid w:val="00F0259A"/>
    <w:rsid w:val="00F02A08"/>
    <w:rsid w:val="00F02FC6"/>
    <w:rsid w:val="00F031E8"/>
    <w:rsid w:val="00F04010"/>
    <w:rsid w:val="00F04217"/>
    <w:rsid w:val="00F04289"/>
    <w:rsid w:val="00F051B6"/>
    <w:rsid w:val="00F05292"/>
    <w:rsid w:val="00F05CA0"/>
    <w:rsid w:val="00F0615A"/>
    <w:rsid w:val="00F06232"/>
    <w:rsid w:val="00F06371"/>
    <w:rsid w:val="00F06F73"/>
    <w:rsid w:val="00F0734C"/>
    <w:rsid w:val="00F076C1"/>
    <w:rsid w:val="00F07C7C"/>
    <w:rsid w:val="00F07FFE"/>
    <w:rsid w:val="00F10DD2"/>
    <w:rsid w:val="00F1114D"/>
    <w:rsid w:val="00F1150E"/>
    <w:rsid w:val="00F11607"/>
    <w:rsid w:val="00F11C0E"/>
    <w:rsid w:val="00F12538"/>
    <w:rsid w:val="00F12641"/>
    <w:rsid w:val="00F13D69"/>
    <w:rsid w:val="00F14033"/>
    <w:rsid w:val="00F1409B"/>
    <w:rsid w:val="00F147BF"/>
    <w:rsid w:val="00F14F5A"/>
    <w:rsid w:val="00F151E5"/>
    <w:rsid w:val="00F15320"/>
    <w:rsid w:val="00F1591D"/>
    <w:rsid w:val="00F15ECB"/>
    <w:rsid w:val="00F16145"/>
    <w:rsid w:val="00F1634E"/>
    <w:rsid w:val="00F16411"/>
    <w:rsid w:val="00F168AB"/>
    <w:rsid w:val="00F16A7E"/>
    <w:rsid w:val="00F16EC7"/>
    <w:rsid w:val="00F176D2"/>
    <w:rsid w:val="00F17FF8"/>
    <w:rsid w:val="00F205EF"/>
    <w:rsid w:val="00F207BD"/>
    <w:rsid w:val="00F215DD"/>
    <w:rsid w:val="00F21EC6"/>
    <w:rsid w:val="00F21F45"/>
    <w:rsid w:val="00F22FA5"/>
    <w:rsid w:val="00F2379C"/>
    <w:rsid w:val="00F23ED6"/>
    <w:rsid w:val="00F24A4D"/>
    <w:rsid w:val="00F24E32"/>
    <w:rsid w:val="00F25F35"/>
    <w:rsid w:val="00F263BD"/>
    <w:rsid w:val="00F271AF"/>
    <w:rsid w:val="00F2753A"/>
    <w:rsid w:val="00F304D5"/>
    <w:rsid w:val="00F31BCB"/>
    <w:rsid w:val="00F31E19"/>
    <w:rsid w:val="00F32067"/>
    <w:rsid w:val="00F321C5"/>
    <w:rsid w:val="00F32C46"/>
    <w:rsid w:val="00F33C36"/>
    <w:rsid w:val="00F342C1"/>
    <w:rsid w:val="00F34B05"/>
    <w:rsid w:val="00F34FEA"/>
    <w:rsid w:val="00F360D2"/>
    <w:rsid w:val="00F36708"/>
    <w:rsid w:val="00F37694"/>
    <w:rsid w:val="00F37A73"/>
    <w:rsid w:val="00F40041"/>
    <w:rsid w:val="00F40868"/>
    <w:rsid w:val="00F40CFE"/>
    <w:rsid w:val="00F40DCF"/>
    <w:rsid w:val="00F41887"/>
    <w:rsid w:val="00F41901"/>
    <w:rsid w:val="00F41A2F"/>
    <w:rsid w:val="00F42305"/>
    <w:rsid w:val="00F425F9"/>
    <w:rsid w:val="00F429D6"/>
    <w:rsid w:val="00F432CC"/>
    <w:rsid w:val="00F43C84"/>
    <w:rsid w:val="00F4482A"/>
    <w:rsid w:val="00F451E7"/>
    <w:rsid w:val="00F454F7"/>
    <w:rsid w:val="00F46255"/>
    <w:rsid w:val="00F46258"/>
    <w:rsid w:val="00F463D7"/>
    <w:rsid w:val="00F47346"/>
    <w:rsid w:val="00F473DA"/>
    <w:rsid w:val="00F478CB"/>
    <w:rsid w:val="00F50727"/>
    <w:rsid w:val="00F5074B"/>
    <w:rsid w:val="00F50FC2"/>
    <w:rsid w:val="00F523A4"/>
    <w:rsid w:val="00F524A7"/>
    <w:rsid w:val="00F52733"/>
    <w:rsid w:val="00F52946"/>
    <w:rsid w:val="00F52A7C"/>
    <w:rsid w:val="00F52B25"/>
    <w:rsid w:val="00F544CA"/>
    <w:rsid w:val="00F54877"/>
    <w:rsid w:val="00F5497B"/>
    <w:rsid w:val="00F54B49"/>
    <w:rsid w:val="00F55323"/>
    <w:rsid w:val="00F55661"/>
    <w:rsid w:val="00F56787"/>
    <w:rsid w:val="00F56A92"/>
    <w:rsid w:val="00F56CD4"/>
    <w:rsid w:val="00F623E0"/>
    <w:rsid w:val="00F62592"/>
    <w:rsid w:val="00F62E1C"/>
    <w:rsid w:val="00F6368E"/>
    <w:rsid w:val="00F6389B"/>
    <w:rsid w:val="00F638C7"/>
    <w:rsid w:val="00F639F2"/>
    <w:rsid w:val="00F64EFE"/>
    <w:rsid w:val="00F656B2"/>
    <w:rsid w:val="00F65CE9"/>
    <w:rsid w:val="00F65F0C"/>
    <w:rsid w:val="00F65FA4"/>
    <w:rsid w:val="00F6645C"/>
    <w:rsid w:val="00F66461"/>
    <w:rsid w:val="00F66726"/>
    <w:rsid w:val="00F676B9"/>
    <w:rsid w:val="00F714FF"/>
    <w:rsid w:val="00F737AF"/>
    <w:rsid w:val="00F74596"/>
    <w:rsid w:val="00F745A9"/>
    <w:rsid w:val="00F74847"/>
    <w:rsid w:val="00F758E0"/>
    <w:rsid w:val="00F768BF"/>
    <w:rsid w:val="00F76DF0"/>
    <w:rsid w:val="00F772D4"/>
    <w:rsid w:val="00F77CCE"/>
    <w:rsid w:val="00F80642"/>
    <w:rsid w:val="00F81082"/>
    <w:rsid w:val="00F8113B"/>
    <w:rsid w:val="00F816D9"/>
    <w:rsid w:val="00F817E3"/>
    <w:rsid w:val="00F81BB2"/>
    <w:rsid w:val="00F81F14"/>
    <w:rsid w:val="00F82562"/>
    <w:rsid w:val="00F82D0E"/>
    <w:rsid w:val="00F82D5B"/>
    <w:rsid w:val="00F834A1"/>
    <w:rsid w:val="00F838DA"/>
    <w:rsid w:val="00F8511F"/>
    <w:rsid w:val="00F85228"/>
    <w:rsid w:val="00F85A7D"/>
    <w:rsid w:val="00F85FF9"/>
    <w:rsid w:val="00F8646B"/>
    <w:rsid w:val="00F86670"/>
    <w:rsid w:val="00F869E4"/>
    <w:rsid w:val="00F870DB"/>
    <w:rsid w:val="00F874E9"/>
    <w:rsid w:val="00F87650"/>
    <w:rsid w:val="00F90B3C"/>
    <w:rsid w:val="00F90BF0"/>
    <w:rsid w:val="00F90F85"/>
    <w:rsid w:val="00F91617"/>
    <w:rsid w:val="00F919C4"/>
    <w:rsid w:val="00F91E5E"/>
    <w:rsid w:val="00F921FF"/>
    <w:rsid w:val="00F92715"/>
    <w:rsid w:val="00F930B4"/>
    <w:rsid w:val="00F936A8"/>
    <w:rsid w:val="00F939DE"/>
    <w:rsid w:val="00F9486A"/>
    <w:rsid w:val="00F949B9"/>
    <w:rsid w:val="00F94A9F"/>
    <w:rsid w:val="00F94B65"/>
    <w:rsid w:val="00F94DAE"/>
    <w:rsid w:val="00F94EE9"/>
    <w:rsid w:val="00F95010"/>
    <w:rsid w:val="00F95CAD"/>
    <w:rsid w:val="00F97581"/>
    <w:rsid w:val="00F9797A"/>
    <w:rsid w:val="00F97F39"/>
    <w:rsid w:val="00FA02DB"/>
    <w:rsid w:val="00FA0A6D"/>
    <w:rsid w:val="00FA0C2D"/>
    <w:rsid w:val="00FA0FC3"/>
    <w:rsid w:val="00FA10B9"/>
    <w:rsid w:val="00FA123B"/>
    <w:rsid w:val="00FA1720"/>
    <w:rsid w:val="00FA1ECA"/>
    <w:rsid w:val="00FA3134"/>
    <w:rsid w:val="00FA339D"/>
    <w:rsid w:val="00FA358A"/>
    <w:rsid w:val="00FA4271"/>
    <w:rsid w:val="00FA456F"/>
    <w:rsid w:val="00FA482C"/>
    <w:rsid w:val="00FA4983"/>
    <w:rsid w:val="00FA5E2C"/>
    <w:rsid w:val="00FA620D"/>
    <w:rsid w:val="00FA68AD"/>
    <w:rsid w:val="00FA69D0"/>
    <w:rsid w:val="00FA7BEF"/>
    <w:rsid w:val="00FB0142"/>
    <w:rsid w:val="00FB0289"/>
    <w:rsid w:val="00FB04F3"/>
    <w:rsid w:val="00FB0970"/>
    <w:rsid w:val="00FB0A7D"/>
    <w:rsid w:val="00FB1AF9"/>
    <w:rsid w:val="00FB2A7F"/>
    <w:rsid w:val="00FB2D62"/>
    <w:rsid w:val="00FB319A"/>
    <w:rsid w:val="00FB391A"/>
    <w:rsid w:val="00FB3CBB"/>
    <w:rsid w:val="00FB4119"/>
    <w:rsid w:val="00FB44C8"/>
    <w:rsid w:val="00FB4520"/>
    <w:rsid w:val="00FB4640"/>
    <w:rsid w:val="00FB4B92"/>
    <w:rsid w:val="00FB4F68"/>
    <w:rsid w:val="00FB509F"/>
    <w:rsid w:val="00FB5620"/>
    <w:rsid w:val="00FB569E"/>
    <w:rsid w:val="00FB6959"/>
    <w:rsid w:val="00FB6995"/>
    <w:rsid w:val="00FB709C"/>
    <w:rsid w:val="00FB7788"/>
    <w:rsid w:val="00FC00CC"/>
    <w:rsid w:val="00FC04D4"/>
    <w:rsid w:val="00FC0B20"/>
    <w:rsid w:val="00FC1634"/>
    <w:rsid w:val="00FC21E0"/>
    <w:rsid w:val="00FC2BAB"/>
    <w:rsid w:val="00FC312A"/>
    <w:rsid w:val="00FC3C19"/>
    <w:rsid w:val="00FC4161"/>
    <w:rsid w:val="00FC44D9"/>
    <w:rsid w:val="00FC4A1E"/>
    <w:rsid w:val="00FC4B76"/>
    <w:rsid w:val="00FC524D"/>
    <w:rsid w:val="00FC5A66"/>
    <w:rsid w:val="00FC5AB8"/>
    <w:rsid w:val="00FC5C0F"/>
    <w:rsid w:val="00FC5C2F"/>
    <w:rsid w:val="00FC6062"/>
    <w:rsid w:val="00FC6393"/>
    <w:rsid w:val="00FC6A35"/>
    <w:rsid w:val="00FC6B8A"/>
    <w:rsid w:val="00FC7625"/>
    <w:rsid w:val="00FC7784"/>
    <w:rsid w:val="00FC7CDF"/>
    <w:rsid w:val="00FD0BFD"/>
    <w:rsid w:val="00FD0D4E"/>
    <w:rsid w:val="00FD1924"/>
    <w:rsid w:val="00FD204E"/>
    <w:rsid w:val="00FD37C1"/>
    <w:rsid w:val="00FD3D3F"/>
    <w:rsid w:val="00FD45BD"/>
    <w:rsid w:val="00FD4B0D"/>
    <w:rsid w:val="00FD4C04"/>
    <w:rsid w:val="00FD4C22"/>
    <w:rsid w:val="00FD4DC3"/>
    <w:rsid w:val="00FD5274"/>
    <w:rsid w:val="00FD537E"/>
    <w:rsid w:val="00FD53A2"/>
    <w:rsid w:val="00FD642D"/>
    <w:rsid w:val="00FD6B10"/>
    <w:rsid w:val="00FD6FAB"/>
    <w:rsid w:val="00FD7C98"/>
    <w:rsid w:val="00FD7CC7"/>
    <w:rsid w:val="00FD7D5C"/>
    <w:rsid w:val="00FE03F9"/>
    <w:rsid w:val="00FE0781"/>
    <w:rsid w:val="00FE1932"/>
    <w:rsid w:val="00FE1C1B"/>
    <w:rsid w:val="00FE221D"/>
    <w:rsid w:val="00FE22E0"/>
    <w:rsid w:val="00FE23A8"/>
    <w:rsid w:val="00FE2543"/>
    <w:rsid w:val="00FE2F2E"/>
    <w:rsid w:val="00FE3109"/>
    <w:rsid w:val="00FE3C31"/>
    <w:rsid w:val="00FE490C"/>
    <w:rsid w:val="00FE492D"/>
    <w:rsid w:val="00FE4981"/>
    <w:rsid w:val="00FE4ABA"/>
    <w:rsid w:val="00FE5341"/>
    <w:rsid w:val="00FE564D"/>
    <w:rsid w:val="00FE56ED"/>
    <w:rsid w:val="00FE5814"/>
    <w:rsid w:val="00FE5A2F"/>
    <w:rsid w:val="00FE5C86"/>
    <w:rsid w:val="00FE5D67"/>
    <w:rsid w:val="00FE601A"/>
    <w:rsid w:val="00FE6075"/>
    <w:rsid w:val="00FE6291"/>
    <w:rsid w:val="00FE6588"/>
    <w:rsid w:val="00FE7271"/>
    <w:rsid w:val="00FE7BC6"/>
    <w:rsid w:val="00FF0091"/>
    <w:rsid w:val="00FF0425"/>
    <w:rsid w:val="00FF0CB6"/>
    <w:rsid w:val="00FF0DEF"/>
    <w:rsid w:val="00FF12A1"/>
    <w:rsid w:val="00FF1741"/>
    <w:rsid w:val="00FF2032"/>
    <w:rsid w:val="00FF291F"/>
    <w:rsid w:val="00FF2AB3"/>
    <w:rsid w:val="00FF2CB0"/>
    <w:rsid w:val="00FF3059"/>
    <w:rsid w:val="00FF327E"/>
    <w:rsid w:val="00FF362A"/>
    <w:rsid w:val="00FF37C1"/>
    <w:rsid w:val="00FF46E8"/>
    <w:rsid w:val="00FF4CE5"/>
    <w:rsid w:val="00FF5630"/>
    <w:rsid w:val="00FF56EA"/>
    <w:rsid w:val="00FF5DC1"/>
    <w:rsid w:val="00FF6B3A"/>
    <w:rsid w:val="00FF6D70"/>
    <w:rsid w:val="00FF70AC"/>
    <w:rsid w:val="00FF79EA"/>
    <w:rsid w:val="00FF7A2F"/>
    <w:rsid w:val="00FF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D3D43A"/>
  <w15:docId w15:val="{0DB512D9-46EF-4A14-A97B-7F688FEB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uiPriority="99" w:qFormat="1"/>
    <w:lsdException w:name="heading 7" w:semiHidden="1" w:uiPriority="99" w:unhideWhenUsed="1" w:qFormat="1"/>
    <w:lsdException w:name="heading 8" w:semiHidden="1"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Normal"/>
    <w:qFormat/>
    <w:rsid w:val="005402C0"/>
    <w:pPr>
      <w:spacing w:before="120" w:line="360" w:lineRule="auto"/>
      <w:ind w:firstLine="567"/>
      <w:contextualSpacing/>
      <w:jc w:val="both"/>
    </w:pPr>
    <w:rPr>
      <w:rFonts w:ascii="GHEA Grapalat" w:hAnsi="GHEA Grapalat"/>
      <w:b/>
      <w:sz w:val="22"/>
      <w:szCs w:val="24"/>
      <w:lang w:val="ru-RU" w:eastAsia="ru-RU"/>
    </w:rPr>
  </w:style>
  <w:style w:type="paragraph" w:styleId="Heading1">
    <w:name w:val="heading 1"/>
    <w:aliases w:val="(Text),(Section),Section Heading,1, 1,Chapter,head3"/>
    <w:basedOn w:val="Normal"/>
    <w:next w:val="Normal"/>
    <w:link w:val="Heading1Char"/>
    <w:autoRedefine/>
    <w:qFormat/>
    <w:rsid w:val="004D4C68"/>
    <w:pPr>
      <w:keepNext/>
      <w:spacing w:before="0" w:after="480"/>
      <w:ind w:firstLine="0"/>
      <w:jc w:val="center"/>
      <w:outlineLvl w:val="0"/>
    </w:pPr>
    <w:rPr>
      <w:sz w:val="28"/>
      <w:szCs w:val="20"/>
      <w:lang w:val="en-US"/>
    </w:rPr>
  </w:style>
  <w:style w:type="paragraph" w:styleId="Heading2">
    <w:name w:val="heading 2"/>
    <w:aliases w:val="(Chapter),Paranum"/>
    <w:basedOn w:val="Normal"/>
    <w:next w:val="Normal"/>
    <w:link w:val="Heading2Char"/>
    <w:autoRedefine/>
    <w:qFormat/>
    <w:rsid w:val="00FC44D9"/>
    <w:pPr>
      <w:keepNext/>
      <w:spacing w:before="240" w:after="360"/>
      <w:ind w:firstLine="0"/>
      <w:outlineLvl w:val="1"/>
    </w:pPr>
    <w:rPr>
      <w:rFonts w:cs="Times LatArm"/>
      <w:sz w:val="24"/>
      <w:lang w:val="hy-AM" w:eastAsia="en-US"/>
    </w:rPr>
  </w:style>
  <w:style w:type="paragraph" w:styleId="Heading3">
    <w:name w:val="heading 3"/>
    <w:aliases w:val="Centered,(text),(Sub-Chapter),Heading 3 Char Char Char Char Char Char"/>
    <w:basedOn w:val="Normal"/>
    <w:next w:val="Normal"/>
    <w:link w:val="Heading3Char"/>
    <w:autoRedefine/>
    <w:qFormat/>
    <w:rsid w:val="007C5F65"/>
    <w:pPr>
      <w:keepNext/>
      <w:tabs>
        <w:tab w:val="left" w:pos="709"/>
      </w:tabs>
      <w:spacing w:before="240"/>
      <w:jc w:val="center"/>
      <w:outlineLvl w:val="2"/>
    </w:pPr>
    <w:rPr>
      <w:rFonts w:eastAsia="Calibri" w:cs="GHEA Grapalat"/>
      <w:bCs/>
      <w:sz w:val="24"/>
      <w:szCs w:val="26"/>
      <w:lang w:val="af-ZA" w:eastAsia="en-US"/>
    </w:rPr>
  </w:style>
  <w:style w:type="paragraph" w:styleId="Heading4">
    <w:name w:val="heading 4"/>
    <w:aliases w:val="Centred"/>
    <w:basedOn w:val="Normal"/>
    <w:next w:val="Normal"/>
    <w:link w:val="Heading4Char"/>
    <w:autoRedefine/>
    <w:qFormat/>
    <w:rsid w:val="004D4C68"/>
    <w:pPr>
      <w:keepNext/>
      <w:spacing w:before="360" w:after="120"/>
      <w:ind w:left="397" w:firstLine="0"/>
      <w:outlineLvl w:val="3"/>
    </w:pPr>
    <w:rPr>
      <w:szCs w:val="20"/>
      <w:lang w:val="en-GB" w:eastAsia="en-US"/>
    </w:rPr>
  </w:style>
  <w:style w:type="paragraph" w:styleId="Heading5">
    <w:name w:val="heading 5"/>
    <w:aliases w:val="Side"/>
    <w:basedOn w:val="Normal"/>
    <w:next w:val="Normal"/>
    <w:link w:val="Heading5Char"/>
    <w:autoRedefine/>
    <w:uiPriority w:val="99"/>
    <w:qFormat/>
    <w:rsid w:val="00785686"/>
    <w:pPr>
      <w:tabs>
        <w:tab w:val="left" w:pos="720"/>
      </w:tabs>
      <w:spacing w:before="240" w:after="360" w:line="240" w:lineRule="auto"/>
      <w:ind w:left="851" w:firstLine="0"/>
      <w:jc w:val="center"/>
      <w:outlineLvl w:val="4"/>
    </w:pPr>
    <w:rPr>
      <w:b w:val="0"/>
      <w:bCs/>
      <w:i/>
      <w:spacing w:val="60"/>
      <w:szCs w:val="20"/>
      <w:lang w:val="hy-AM" w:eastAsia="en-US"/>
    </w:rPr>
  </w:style>
  <w:style w:type="paragraph" w:styleId="Heading6">
    <w:name w:val="heading 6"/>
    <w:basedOn w:val="Normal"/>
    <w:next w:val="Normal"/>
    <w:link w:val="Heading6Char"/>
    <w:uiPriority w:val="99"/>
    <w:qFormat/>
    <w:rsid w:val="003B72C4"/>
    <w:pPr>
      <w:spacing w:before="240"/>
      <w:outlineLvl w:val="5"/>
    </w:pPr>
    <w:rPr>
      <w:b w:val="0"/>
      <w:bCs/>
      <w:szCs w:val="22"/>
      <w:lang w:val="en-GB" w:eastAsia="en-US"/>
    </w:rPr>
  </w:style>
  <w:style w:type="paragraph" w:styleId="Heading7">
    <w:name w:val="heading 7"/>
    <w:basedOn w:val="Normal"/>
    <w:next w:val="BodyText"/>
    <w:link w:val="Heading7Char"/>
    <w:uiPriority w:val="99"/>
    <w:qFormat/>
    <w:rsid w:val="008E54BF"/>
    <w:pPr>
      <w:framePr w:w="3780" w:hSpace="240" w:wrap="auto" w:vAnchor="text" w:hAnchor="page" w:x="1489" w:y="1"/>
      <w:widowControl w:val="0"/>
      <w:pBdr>
        <w:top w:val="single" w:sz="6" w:space="12" w:color="FFFFFF"/>
        <w:left w:val="single" w:sz="6" w:space="12" w:color="FFFFFF"/>
        <w:bottom w:val="single" w:sz="6" w:space="12" w:color="FFFFFF"/>
        <w:right w:val="single" w:sz="6" w:space="12" w:color="FFFFFF"/>
      </w:pBdr>
      <w:shd w:val="pct5" w:color="auto" w:fill="auto"/>
      <w:spacing w:before="60"/>
      <w:ind w:firstLine="0"/>
      <w:contextualSpacing w:val="0"/>
      <w:outlineLvl w:val="6"/>
    </w:pPr>
    <w:rPr>
      <w:rFonts w:ascii="Times Armenian" w:hAnsi="Times Armenian"/>
      <w:spacing w:val="-5"/>
      <w:sz w:val="24"/>
      <w:szCs w:val="20"/>
      <w:lang w:val="en-GB" w:eastAsia="en-US"/>
    </w:rPr>
  </w:style>
  <w:style w:type="paragraph" w:styleId="Heading8">
    <w:name w:val="heading 8"/>
    <w:basedOn w:val="Normal"/>
    <w:next w:val="BodyText"/>
    <w:link w:val="Heading8Char"/>
    <w:qFormat/>
    <w:rsid w:val="00060470"/>
    <w:pPr>
      <w:keepNext/>
      <w:framePr w:w="1860" w:wrap="auto" w:vAnchor="text" w:hAnchor="page" w:x="1201" w:y="1"/>
      <w:widowControl w:val="0"/>
      <w:pBdr>
        <w:top w:val="single" w:sz="24" w:space="0" w:color="auto"/>
        <w:bottom w:val="single" w:sz="6" w:space="0" w:color="auto"/>
      </w:pBdr>
      <w:tabs>
        <w:tab w:val="left" w:pos="720"/>
      </w:tabs>
      <w:spacing w:before="60" w:line="320" w:lineRule="exact"/>
      <w:ind w:left="720" w:hanging="720"/>
      <w:contextualSpacing w:val="0"/>
      <w:jc w:val="center"/>
      <w:outlineLvl w:val="7"/>
    </w:pPr>
    <w:rPr>
      <w:rFonts w:ascii="Arial Black" w:hAnsi="Arial Black"/>
      <w:caps/>
      <w:spacing w:val="60"/>
      <w:position w:val="4"/>
      <w:sz w:val="14"/>
      <w:szCs w:val="20"/>
      <w:lang w:val="en-GB"/>
    </w:rPr>
  </w:style>
  <w:style w:type="paragraph" w:styleId="Heading9">
    <w:name w:val="heading 9"/>
    <w:basedOn w:val="Normal"/>
    <w:next w:val="BodyText"/>
    <w:link w:val="Heading9Char"/>
    <w:uiPriority w:val="99"/>
    <w:qFormat/>
    <w:rsid w:val="00060470"/>
    <w:pPr>
      <w:keepNext/>
      <w:widowControl w:val="0"/>
      <w:tabs>
        <w:tab w:val="left" w:pos="720"/>
      </w:tabs>
      <w:spacing w:before="80" w:line="240" w:lineRule="auto"/>
      <w:ind w:left="720" w:hanging="720"/>
      <w:contextualSpacing w:val="0"/>
      <w:jc w:val="left"/>
      <w:outlineLvl w:val="8"/>
    </w:pPr>
    <w:rPr>
      <w:rFonts w:ascii="Garamond" w:hAnsi="Garamond"/>
      <w:b w:val="0"/>
      <w:i/>
      <w:kern w:val="28"/>
      <w:sz w:val="1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uiPriority w:val="99"/>
    <w:rsid w:val="00C52D6C"/>
    <w:pPr>
      <w:spacing w:after="160" w:line="240" w:lineRule="exact"/>
    </w:pPr>
    <w:rPr>
      <w:rFonts w:ascii="Arial" w:hAnsi="Arial" w:cs="Arial"/>
      <w:sz w:val="20"/>
      <w:szCs w:val="20"/>
      <w:lang w:val="en-US" w:eastAsia="en-US"/>
    </w:rPr>
  </w:style>
  <w:style w:type="paragraph" w:styleId="BodyText">
    <w:name w:val="Body Text"/>
    <w:aliases w:val="(Main Text),date,Body Text (Main text)"/>
    <w:basedOn w:val="Normal"/>
    <w:link w:val="BodyTextChar"/>
    <w:rsid w:val="005F5C4A"/>
    <w:pPr>
      <w:jc w:val="center"/>
    </w:pPr>
    <w:rPr>
      <w:rFonts w:ascii="Times Armenian" w:hAnsi="Times Armenian"/>
      <w:sz w:val="52"/>
      <w:szCs w:val="20"/>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webb"/>
    <w:basedOn w:val="Normal"/>
    <w:link w:val="NormalWebChar"/>
    <w:qFormat/>
    <w:rsid w:val="00425E64"/>
    <w:pPr>
      <w:spacing w:before="100" w:beforeAutospacing="1" w:after="100" w:afterAutospacing="1"/>
    </w:pPr>
  </w:style>
  <w:style w:type="paragraph" w:styleId="Footer">
    <w:name w:val="footer"/>
    <w:basedOn w:val="Normal"/>
    <w:link w:val="FooterChar"/>
    <w:uiPriority w:val="99"/>
    <w:rsid w:val="00335FBB"/>
    <w:pPr>
      <w:tabs>
        <w:tab w:val="center" w:pos="4677"/>
        <w:tab w:val="right" w:pos="9355"/>
      </w:tabs>
    </w:pPr>
  </w:style>
  <w:style w:type="character" w:styleId="PageNumber">
    <w:name w:val="page number"/>
    <w:basedOn w:val="DefaultParagraphFont"/>
    <w:rsid w:val="00335FBB"/>
  </w:style>
  <w:style w:type="paragraph" w:styleId="BodyTextIndent">
    <w:name w:val="Body Text Indent"/>
    <w:aliases w:val=" (Table Source),(Table Source),(Table Source)1,(Table Source)11,Body Text 21"/>
    <w:basedOn w:val="Normal"/>
    <w:link w:val="BodyTextIndentChar"/>
    <w:rsid w:val="00335FBB"/>
    <w:pPr>
      <w:ind w:firstLine="708"/>
    </w:pPr>
    <w:rPr>
      <w:rFonts w:ascii="Arial Armenian" w:hAnsi="Arial Armenian"/>
    </w:rPr>
  </w:style>
  <w:style w:type="paragraph" w:styleId="Header">
    <w:name w:val="header"/>
    <w:aliases w:val="Header Char Char Char Char Char Char Char Char Char Char,Header Char Char Char Char Char Char Char Char Char Char Char Char,h"/>
    <w:basedOn w:val="Normal"/>
    <w:link w:val="HeaderChar"/>
    <w:rsid w:val="00D008DD"/>
    <w:pPr>
      <w:tabs>
        <w:tab w:val="center" w:pos="4677"/>
        <w:tab w:val="right" w:pos="9355"/>
      </w:tabs>
    </w:pPr>
    <w:rPr>
      <w:sz w:val="20"/>
      <w:szCs w:val="20"/>
      <w:lang w:val="en-AU" w:eastAsia="en-US"/>
    </w:rPr>
  </w:style>
  <w:style w:type="character" w:styleId="Hyperlink">
    <w:name w:val="Hyperlink"/>
    <w:uiPriority w:val="99"/>
    <w:rsid w:val="00D008DD"/>
    <w:rPr>
      <w:color w:val="0000FF"/>
      <w:u w:val="single"/>
    </w:rPr>
  </w:style>
  <w:style w:type="paragraph" w:styleId="BodyText2">
    <w:name w:val="Body Text 2"/>
    <w:aliases w:val="1Text"/>
    <w:basedOn w:val="Normal"/>
    <w:link w:val="BodyText2Char"/>
    <w:autoRedefine/>
    <w:qFormat/>
    <w:rsid w:val="006B1A86"/>
    <w:pPr>
      <w:spacing w:before="0"/>
      <w:ind w:left="2" w:firstLine="538"/>
    </w:pPr>
    <w:rPr>
      <w:rFonts w:eastAsia="Calibri"/>
      <w:b w:val="0"/>
      <w:szCs w:val="22"/>
      <w:lang w:val="hy-AM" w:eastAsia="en-US"/>
    </w:rPr>
  </w:style>
  <w:style w:type="paragraph" w:styleId="BodyTextIndent2">
    <w:name w:val="Body Text Indent 2"/>
    <w:basedOn w:val="Normal"/>
    <w:link w:val="BodyTextIndent2Char"/>
    <w:rsid w:val="00473302"/>
    <w:pPr>
      <w:ind w:firstLine="720"/>
    </w:pPr>
    <w:rPr>
      <w:rFonts w:ascii="Arial Armenian" w:hAnsi="Arial Armenian"/>
      <w:bCs/>
      <w:szCs w:val="20"/>
      <w:lang w:val="en-US" w:eastAsia="en-US"/>
    </w:rPr>
  </w:style>
  <w:style w:type="paragraph" w:styleId="BlockText">
    <w:name w:val="Block Text"/>
    <w:basedOn w:val="Normal"/>
    <w:rsid w:val="00473302"/>
    <w:pPr>
      <w:ind w:left="360" w:right="-810"/>
    </w:pPr>
    <w:rPr>
      <w:rFonts w:ascii="Times Armenian" w:hAnsi="Times Armenian"/>
      <w:bCs/>
      <w:szCs w:val="20"/>
      <w:lang w:val="en-US" w:eastAsia="en-US"/>
    </w:rPr>
  </w:style>
  <w:style w:type="paragraph" w:styleId="BodyText3">
    <w:name w:val="Body Text 3"/>
    <w:basedOn w:val="Normal"/>
    <w:link w:val="BodyText3Char"/>
    <w:rsid w:val="00473302"/>
    <w:rPr>
      <w:rFonts w:ascii="Times Armenian" w:hAnsi="Times Armenian"/>
      <w:bCs/>
      <w:szCs w:val="20"/>
      <w:lang w:val="en-US" w:eastAsia="en-US"/>
    </w:rPr>
  </w:style>
  <w:style w:type="paragraph" w:customStyle="1" w:styleId="CharCharCharCharCharCharCharCharCharCharCharChar">
    <w:name w:val="Char Char Char Char Char Char Char Char Char Char Char Char"/>
    <w:basedOn w:val="Normal"/>
    <w:rsid w:val="00473302"/>
    <w:pPr>
      <w:spacing w:after="160" w:line="240" w:lineRule="exact"/>
    </w:pPr>
    <w:rPr>
      <w:rFonts w:ascii="Arial" w:hAnsi="Arial" w:cs="Arial"/>
      <w:sz w:val="20"/>
      <w:szCs w:val="20"/>
      <w:lang w:val="en-US" w:eastAsia="en-US"/>
    </w:rPr>
  </w:style>
  <w:style w:type="paragraph" w:customStyle="1" w:styleId="Char">
    <w:name w:val="Char"/>
    <w:basedOn w:val="Normal"/>
    <w:rsid w:val="00473302"/>
    <w:pPr>
      <w:spacing w:after="160" w:line="240" w:lineRule="exact"/>
    </w:pPr>
    <w:rPr>
      <w:rFonts w:ascii="Arial" w:hAnsi="Arial" w:cs="Arial"/>
      <w:sz w:val="20"/>
      <w:szCs w:val="20"/>
      <w:lang w:val="en-US" w:eastAsia="en-US"/>
    </w:rPr>
  </w:style>
  <w:style w:type="paragraph" w:styleId="Subtitle">
    <w:name w:val="Subtitle"/>
    <w:basedOn w:val="Normal"/>
    <w:link w:val="SubtitleChar"/>
    <w:uiPriority w:val="99"/>
    <w:qFormat/>
    <w:rsid w:val="003B72C4"/>
    <w:pPr>
      <w:jc w:val="center"/>
    </w:pPr>
    <w:rPr>
      <w:rFonts w:ascii="Times Armenian" w:hAnsi="Times Armenian"/>
      <w:bCs/>
      <w:i/>
      <w:sz w:val="26"/>
      <w:szCs w:val="20"/>
      <w:lang w:val="en-US" w:eastAsia="en-US"/>
    </w:rPr>
  </w:style>
  <w:style w:type="paragraph" w:customStyle="1" w:styleId="CharCharCharCharCharChar1CharCharCharCharCharCharCharCharChar">
    <w:name w:val="Char Char Char Char Char Char1 Char Char Char Char Char Char Char Char Char Знак Знак"/>
    <w:basedOn w:val="Normal"/>
    <w:rsid w:val="003B72C4"/>
    <w:pPr>
      <w:spacing w:after="160" w:line="240" w:lineRule="exact"/>
    </w:pPr>
    <w:rPr>
      <w:rFonts w:ascii="Arial" w:hAnsi="Arial" w:cs="Arial"/>
      <w:sz w:val="20"/>
      <w:szCs w:val="20"/>
      <w:lang w:val="en-US" w:eastAsia="en-US"/>
    </w:rPr>
  </w:style>
  <w:style w:type="paragraph" w:customStyle="1" w:styleId="a">
    <w:name w:val="Знак Знак"/>
    <w:basedOn w:val="Normal"/>
    <w:link w:val="Char0"/>
    <w:rsid w:val="003B72C4"/>
    <w:pPr>
      <w:spacing w:after="160" w:line="240" w:lineRule="exact"/>
    </w:pPr>
    <w:rPr>
      <w:rFonts w:ascii="Arial" w:hAnsi="Arial" w:cs="Arial"/>
      <w:sz w:val="20"/>
      <w:szCs w:val="20"/>
      <w:lang w:val="en-US" w:eastAsia="en-US"/>
    </w:rPr>
  </w:style>
  <w:style w:type="paragraph" w:customStyle="1" w:styleId="Char9">
    <w:name w:val="Char9"/>
    <w:basedOn w:val="Normal"/>
    <w:rsid w:val="003B72C4"/>
    <w:pPr>
      <w:spacing w:after="160" w:line="240" w:lineRule="exact"/>
    </w:pPr>
    <w:rPr>
      <w:rFonts w:ascii="Arial" w:hAnsi="Arial" w:cs="Arial"/>
      <w:sz w:val="20"/>
      <w:szCs w:val="20"/>
      <w:lang w:val="en-US" w:eastAsia="en-US"/>
    </w:rPr>
  </w:style>
  <w:style w:type="paragraph" w:customStyle="1" w:styleId="Style1">
    <w:name w:val="Style1"/>
    <w:basedOn w:val="Normal"/>
    <w:link w:val="Style1Char"/>
    <w:uiPriority w:val="99"/>
    <w:qFormat/>
    <w:rsid w:val="003B72C4"/>
    <w:pPr>
      <w:widowControl w:val="0"/>
      <w:autoSpaceDE w:val="0"/>
      <w:autoSpaceDN w:val="0"/>
      <w:adjustRightInd w:val="0"/>
    </w:pPr>
    <w:rPr>
      <w:rFonts w:ascii="Sylfaen" w:hAnsi="Sylfaen"/>
      <w:lang w:val="en-US" w:eastAsia="en-US"/>
    </w:rPr>
  </w:style>
  <w:style w:type="paragraph" w:customStyle="1" w:styleId="Style2">
    <w:name w:val="Style2"/>
    <w:basedOn w:val="Normal"/>
    <w:rsid w:val="003B72C4"/>
    <w:pPr>
      <w:widowControl w:val="0"/>
      <w:autoSpaceDE w:val="0"/>
      <w:autoSpaceDN w:val="0"/>
      <w:adjustRightInd w:val="0"/>
    </w:pPr>
    <w:rPr>
      <w:rFonts w:ascii="Sylfaen" w:hAnsi="Sylfaen"/>
      <w:lang w:val="en-US" w:eastAsia="en-US"/>
    </w:rPr>
  </w:style>
  <w:style w:type="paragraph" w:customStyle="1" w:styleId="Style3">
    <w:name w:val="Style3"/>
    <w:basedOn w:val="Normal"/>
    <w:rsid w:val="003B72C4"/>
    <w:pPr>
      <w:widowControl w:val="0"/>
      <w:autoSpaceDE w:val="0"/>
      <w:autoSpaceDN w:val="0"/>
      <w:adjustRightInd w:val="0"/>
    </w:pPr>
    <w:rPr>
      <w:rFonts w:ascii="Sylfaen" w:hAnsi="Sylfaen"/>
      <w:lang w:val="en-US" w:eastAsia="en-US"/>
    </w:rPr>
  </w:style>
  <w:style w:type="paragraph" w:customStyle="1" w:styleId="Style4">
    <w:name w:val="Style4"/>
    <w:basedOn w:val="Normal"/>
    <w:rsid w:val="003B72C4"/>
    <w:pPr>
      <w:widowControl w:val="0"/>
      <w:autoSpaceDE w:val="0"/>
      <w:autoSpaceDN w:val="0"/>
      <w:adjustRightInd w:val="0"/>
    </w:pPr>
    <w:rPr>
      <w:rFonts w:ascii="Sylfaen" w:hAnsi="Sylfaen"/>
      <w:lang w:val="en-US" w:eastAsia="en-US"/>
    </w:rPr>
  </w:style>
  <w:style w:type="paragraph" w:customStyle="1" w:styleId="CharCharCharChar">
    <w:name w:val="Char Char Char Char"/>
    <w:basedOn w:val="Normal"/>
    <w:uiPriority w:val="99"/>
    <w:rsid w:val="003B72C4"/>
    <w:pPr>
      <w:spacing w:after="160" w:line="240" w:lineRule="exact"/>
    </w:pPr>
    <w:rPr>
      <w:rFonts w:ascii="Arial" w:hAnsi="Arial" w:cs="Arial"/>
      <w:sz w:val="20"/>
      <w:szCs w:val="20"/>
      <w:lang w:val="en-US" w:eastAsia="en-US"/>
    </w:rPr>
  </w:style>
  <w:style w:type="paragraph" w:customStyle="1" w:styleId="Text">
    <w:name w:val="Text"/>
    <w:basedOn w:val="Normal"/>
    <w:link w:val="TextChar"/>
    <w:autoRedefine/>
    <w:uiPriority w:val="99"/>
    <w:rsid w:val="0002358C"/>
    <w:pPr>
      <w:numPr>
        <w:numId w:val="3"/>
      </w:numPr>
      <w:overflowPunct w:val="0"/>
      <w:autoSpaceDE w:val="0"/>
      <w:autoSpaceDN w:val="0"/>
      <w:adjustRightInd w:val="0"/>
      <w:spacing w:after="220"/>
    </w:pPr>
    <w:rPr>
      <w:szCs w:val="20"/>
      <w:lang w:val="en-GB" w:eastAsia="en-US"/>
    </w:rPr>
  </w:style>
  <w:style w:type="character" w:customStyle="1" w:styleId="FontStyle11">
    <w:name w:val="Font Style11"/>
    <w:rsid w:val="003B72C4"/>
    <w:rPr>
      <w:rFonts w:ascii="Sylfaen" w:hAnsi="Sylfaen" w:cs="Sylfaen" w:hint="default"/>
      <w:b/>
      <w:bCs/>
      <w:sz w:val="26"/>
      <w:szCs w:val="26"/>
    </w:rPr>
  </w:style>
  <w:style w:type="character" w:customStyle="1" w:styleId="FontStyle12">
    <w:name w:val="Font Style12"/>
    <w:rsid w:val="003B72C4"/>
    <w:rPr>
      <w:rFonts w:ascii="Sylfaen" w:hAnsi="Sylfaen" w:cs="Sylfaen" w:hint="default"/>
      <w:b/>
      <w:bCs/>
      <w:spacing w:val="10"/>
      <w:sz w:val="32"/>
      <w:szCs w:val="32"/>
    </w:rPr>
  </w:style>
  <w:style w:type="character" w:customStyle="1" w:styleId="FontStyle13">
    <w:name w:val="Font Style13"/>
    <w:rsid w:val="003B72C4"/>
    <w:rPr>
      <w:rFonts w:ascii="Sylfaen" w:hAnsi="Sylfaen" w:cs="Sylfaen" w:hint="default"/>
      <w:b/>
      <w:bCs/>
      <w:sz w:val="14"/>
      <w:szCs w:val="14"/>
    </w:rPr>
  </w:style>
  <w:style w:type="character" w:customStyle="1" w:styleId="FontStyle14">
    <w:name w:val="Font Style14"/>
    <w:rsid w:val="003B72C4"/>
    <w:rPr>
      <w:rFonts w:ascii="Sylfaen" w:hAnsi="Sylfaen" w:cs="Sylfaen" w:hint="default"/>
      <w:b/>
      <w:bCs/>
      <w:sz w:val="16"/>
      <w:szCs w:val="16"/>
    </w:rPr>
  </w:style>
  <w:style w:type="character" w:customStyle="1" w:styleId="Heading3CharCharCharCharCharCharChar">
    <w:name w:val="Heading 3 Char Char Char Char Char Char Char"/>
    <w:rsid w:val="003B72C4"/>
    <w:rPr>
      <w:rFonts w:ascii="Times Armenian" w:hAnsi="Times Armenian" w:hint="default"/>
      <w:b/>
      <w:bCs/>
      <w:sz w:val="24"/>
      <w:szCs w:val="24"/>
      <w:lang w:val="en-GB" w:eastAsia="en-US" w:bidi="ar-SA"/>
    </w:rPr>
  </w:style>
  <w:style w:type="character" w:styleId="FollowedHyperlink">
    <w:name w:val="FollowedHyperlink"/>
    <w:uiPriority w:val="99"/>
    <w:rsid w:val="003B72C4"/>
    <w:rPr>
      <w:color w:val="0000FF"/>
      <w:u w:val="single"/>
    </w:rPr>
  </w:style>
  <w:style w:type="paragraph" w:styleId="BalloonText">
    <w:name w:val="Balloon Text"/>
    <w:basedOn w:val="Normal"/>
    <w:link w:val="BalloonTextChar"/>
    <w:rsid w:val="000776D9"/>
    <w:rPr>
      <w:rFonts w:ascii="Tahoma" w:hAnsi="Tahoma" w:cs="Tahoma"/>
      <w:sz w:val="16"/>
      <w:szCs w:val="16"/>
    </w:rPr>
  </w:style>
  <w:style w:type="paragraph" w:styleId="ListParagraph">
    <w:name w:val="List Paragraph"/>
    <w:aliases w:val="List_Paragraph,Multilevel para_II,List Paragraph1,Akapit z listą BS,Bullet1,Bullets,List Paragraph 1,References,List Paragraph (numbered (a)),IBL List Paragraph,List Paragraph nowy,Numbered List Paragraph,List Paragraph11,Ha,OBC Bullet"/>
    <w:basedOn w:val="Normal"/>
    <w:link w:val="ListParagraphChar"/>
    <w:uiPriority w:val="34"/>
    <w:qFormat/>
    <w:rsid w:val="00DA54A9"/>
    <w:pPr>
      <w:ind w:left="720"/>
    </w:pPr>
  </w:style>
  <w:style w:type="paragraph" w:customStyle="1" w:styleId="CM2">
    <w:name w:val="CM2"/>
    <w:basedOn w:val="Normal"/>
    <w:next w:val="Normal"/>
    <w:rsid w:val="00093193"/>
    <w:pPr>
      <w:widowControl w:val="0"/>
      <w:autoSpaceDE w:val="0"/>
      <w:autoSpaceDN w:val="0"/>
      <w:adjustRightInd w:val="0"/>
      <w:spacing w:line="356" w:lineRule="atLeast"/>
    </w:pPr>
    <w:rPr>
      <w:rFonts w:ascii="Arial Armenian" w:hAnsi="Arial Armenian"/>
      <w:lang w:val="en-US" w:eastAsia="en-US"/>
    </w:rPr>
  </w:style>
  <w:style w:type="paragraph" w:customStyle="1" w:styleId="Default">
    <w:name w:val="Default"/>
    <w:uiPriority w:val="99"/>
    <w:rsid w:val="00193290"/>
    <w:pPr>
      <w:widowControl w:val="0"/>
      <w:autoSpaceDE w:val="0"/>
      <w:autoSpaceDN w:val="0"/>
      <w:adjustRightInd w:val="0"/>
    </w:pPr>
    <w:rPr>
      <w:rFonts w:ascii="Sylfaen" w:hAnsi="Sylfaen" w:cs="Sylfaen"/>
      <w:color w:val="000000"/>
      <w:sz w:val="24"/>
      <w:szCs w:val="24"/>
    </w:rPr>
  </w:style>
  <w:style w:type="paragraph" w:customStyle="1" w:styleId="CM32">
    <w:name w:val="CM32"/>
    <w:basedOn w:val="Normal"/>
    <w:next w:val="Normal"/>
    <w:rsid w:val="00B16699"/>
    <w:pPr>
      <w:widowControl w:val="0"/>
      <w:autoSpaceDE w:val="0"/>
      <w:autoSpaceDN w:val="0"/>
      <w:adjustRightInd w:val="0"/>
      <w:spacing w:after="233"/>
    </w:pPr>
    <w:rPr>
      <w:rFonts w:ascii="Arial Armenian" w:hAnsi="Arial Armenian"/>
      <w:lang w:val="en-US" w:eastAsia="en-US"/>
    </w:rPr>
  </w:style>
  <w:style w:type="paragraph" w:customStyle="1" w:styleId="CM4">
    <w:name w:val="CM4"/>
    <w:basedOn w:val="Default"/>
    <w:next w:val="Default"/>
    <w:uiPriority w:val="99"/>
    <w:rsid w:val="00627DFA"/>
    <w:pPr>
      <w:spacing w:line="248" w:lineRule="atLeast"/>
    </w:pPr>
    <w:rPr>
      <w:rFonts w:ascii="Arial Armenian" w:hAnsi="Arial Armenian" w:cs="Times New Roman"/>
      <w:color w:val="auto"/>
    </w:rPr>
  </w:style>
  <w:style w:type="paragraph" w:customStyle="1" w:styleId="1">
    <w:name w:val="Знак Знак1"/>
    <w:basedOn w:val="Normal"/>
    <w:rsid w:val="005769C1"/>
    <w:pPr>
      <w:spacing w:after="160" w:line="240" w:lineRule="exact"/>
    </w:pPr>
    <w:rPr>
      <w:rFonts w:ascii="Arial" w:hAnsi="Arial" w:cs="Arial"/>
      <w:sz w:val="20"/>
      <w:szCs w:val="20"/>
      <w:lang w:val="en-GB" w:eastAsia="en-US"/>
    </w:rPr>
  </w:style>
  <w:style w:type="paragraph" w:customStyle="1" w:styleId="2">
    <w:name w:val="Знак Знак2"/>
    <w:basedOn w:val="Normal"/>
    <w:uiPriority w:val="99"/>
    <w:rsid w:val="00A836D7"/>
    <w:pPr>
      <w:spacing w:after="160"/>
      <w:ind w:firstLine="709"/>
    </w:pPr>
    <w:rPr>
      <w:rFonts w:ascii="Arial AMU" w:hAnsi="Arial AMU" w:cs="Arial"/>
      <w:szCs w:val="20"/>
      <w:lang w:val="en-US" w:eastAsia="en-US"/>
    </w:rPr>
  </w:style>
  <w:style w:type="paragraph" w:customStyle="1" w:styleId="14">
    <w:name w:val="Знак Знак14"/>
    <w:basedOn w:val="Normal"/>
    <w:rsid w:val="00513314"/>
    <w:pPr>
      <w:spacing w:after="160" w:line="240" w:lineRule="exact"/>
    </w:pPr>
    <w:rPr>
      <w:rFonts w:ascii="Arial" w:hAnsi="Arial" w:cs="Arial"/>
      <w:sz w:val="20"/>
      <w:szCs w:val="20"/>
      <w:lang w:val="en-GB" w:eastAsia="en-US"/>
    </w:rPr>
  </w:style>
  <w:style w:type="paragraph" w:customStyle="1" w:styleId="CharCharCharCharCharCharCharCharCharCharChar">
    <w:name w:val="Char Char Char Знак Char Char Char Char Char Знак Char Char Char"/>
    <w:basedOn w:val="Normal"/>
    <w:rsid w:val="004900E7"/>
    <w:pPr>
      <w:spacing w:after="160" w:line="240" w:lineRule="exact"/>
    </w:pPr>
    <w:rPr>
      <w:rFonts w:ascii="Arial" w:hAnsi="Arial" w:cs="Arial"/>
      <w:sz w:val="20"/>
      <w:szCs w:val="20"/>
      <w:lang w:val="en-US" w:eastAsia="en-US"/>
    </w:rPr>
  </w:style>
  <w:style w:type="paragraph" w:customStyle="1" w:styleId="mechtex">
    <w:name w:val="mechtex"/>
    <w:basedOn w:val="Normal"/>
    <w:link w:val="mechtexChar"/>
    <w:rsid w:val="00C719CB"/>
    <w:pPr>
      <w:jc w:val="center"/>
    </w:pPr>
    <w:rPr>
      <w:rFonts w:ascii="Arial Armenian" w:hAnsi="Arial Armenian"/>
      <w:szCs w:val="20"/>
      <w:lang w:val="en-US"/>
    </w:rPr>
  </w:style>
  <w:style w:type="character" w:customStyle="1" w:styleId="mechtexChar">
    <w:name w:val="mechtex Char"/>
    <w:link w:val="mechtex"/>
    <w:rsid w:val="00C719CB"/>
    <w:rPr>
      <w:rFonts w:ascii="Arial Armenian" w:hAnsi="Arial Armenian"/>
      <w:sz w:val="22"/>
      <w:lang w:val="en-US" w:eastAsia="ru-RU" w:bidi="ar-SA"/>
    </w:rPr>
  </w:style>
  <w:style w:type="character" w:styleId="Strong">
    <w:name w:val="Strong"/>
    <w:uiPriority w:val="99"/>
    <w:qFormat/>
    <w:rsid w:val="003A5A6F"/>
    <w:rPr>
      <w:b/>
      <w:bCs/>
    </w:rPr>
  </w:style>
  <w:style w:type="character" w:customStyle="1" w:styleId="apple-converted-space">
    <w:name w:val="apple-converted-space"/>
    <w:uiPriority w:val="99"/>
    <w:rsid w:val="00680C30"/>
  </w:style>
  <w:style w:type="paragraph" w:styleId="DocumentMap">
    <w:name w:val="Document Map"/>
    <w:basedOn w:val="Normal"/>
    <w:link w:val="DocumentMapChar"/>
    <w:rsid w:val="00A503EB"/>
    <w:pPr>
      <w:shd w:val="clear" w:color="auto" w:fill="000080"/>
    </w:pPr>
    <w:rPr>
      <w:rFonts w:ascii="Tahoma" w:hAnsi="Tahoma" w:cs="Tahoma"/>
      <w:sz w:val="20"/>
      <w:szCs w:val="20"/>
    </w:rPr>
  </w:style>
  <w:style w:type="paragraph" w:customStyle="1" w:styleId="CharCharChar">
    <w:name w:val="Char Char Char Знак"/>
    <w:basedOn w:val="Normal"/>
    <w:next w:val="Normal"/>
    <w:rsid w:val="002A51A9"/>
    <w:pPr>
      <w:spacing w:after="160" w:line="240" w:lineRule="exact"/>
    </w:pPr>
    <w:rPr>
      <w:rFonts w:ascii="Tahoma" w:hAnsi="Tahoma"/>
      <w:szCs w:val="20"/>
      <w:lang w:val="en-US" w:eastAsia="en-US"/>
    </w:rPr>
  </w:style>
  <w:style w:type="paragraph" w:customStyle="1" w:styleId="Graphic">
    <w:name w:val="Graphic"/>
    <w:basedOn w:val="Normal"/>
    <w:uiPriority w:val="99"/>
    <w:rsid w:val="00C947B2"/>
    <w:pPr>
      <w:keepNext/>
      <w:overflowPunct w:val="0"/>
      <w:autoSpaceDE w:val="0"/>
      <w:autoSpaceDN w:val="0"/>
      <w:adjustRightInd w:val="0"/>
      <w:spacing w:after="130"/>
      <w:jc w:val="center"/>
      <w:textAlignment w:val="baseline"/>
    </w:pPr>
    <w:rPr>
      <w:szCs w:val="20"/>
      <w:lang w:val="en-GB" w:eastAsia="en-US"/>
    </w:rPr>
  </w:style>
  <w:style w:type="character" w:customStyle="1" w:styleId="StyleGHEAGrapalatJustifiedBefore12ptChar">
    <w:name w:val="Style GHEA Grapalat Justified Before:  12 pt Char"/>
    <w:link w:val="StyleGHEAGrapalatJustifiedBefore12pt"/>
    <w:uiPriority w:val="99"/>
    <w:locked/>
    <w:rsid w:val="00E472EB"/>
    <w:rPr>
      <w:rFonts w:ascii="GHEA Grapalat" w:hAnsi="GHEA Grapalat"/>
      <w:b/>
      <w:noProof/>
      <w:sz w:val="22"/>
      <w:lang w:val="ru-RU" w:eastAsia="ru-RU"/>
    </w:rPr>
  </w:style>
  <w:style w:type="paragraph" w:customStyle="1" w:styleId="StyleGHEAGrapalatJustifiedBefore12pt">
    <w:name w:val="Style GHEA Grapalat Justified Before:  12 pt"/>
    <w:basedOn w:val="Normal"/>
    <w:link w:val="StyleGHEAGrapalatJustifiedBefore12ptChar"/>
    <w:uiPriority w:val="99"/>
    <w:rsid w:val="00E472EB"/>
    <w:pPr>
      <w:numPr>
        <w:numId w:val="1"/>
      </w:numPr>
      <w:spacing w:before="240" w:after="240"/>
    </w:pPr>
    <w:rPr>
      <w:noProof/>
      <w:szCs w:val="20"/>
    </w:rPr>
  </w:style>
  <w:style w:type="paragraph" w:customStyle="1" w:styleId="Bullet1">
    <w:name w:val="Bullet 1"/>
    <w:basedOn w:val="Normal"/>
    <w:autoRedefine/>
    <w:qFormat/>
    <w:rsid w:val="004D4C68"/>
    <w:pPr>
      <w:numPr>
        <w:numId w:val="13"/>
      </w:numPr>
      <w:tabs>
        <w:tab w:val="left" w:pos="851"/>
      </w:tabs>
      <w:overflowPunct w:val="0"/>
      <w:autoSpaceDE w:val="0"/>
      <w:autoSpaceDN w:val="0"/>
      <w:adjustRightInd w:val="0"/>
      <w:spacing w:before="0"/>
      <w:ind w:left="1248" w:hanging="397"/>
      <w:textAlignment w:val="baseline"/>
    </w:pPr>
    <w:rPr>
      <w:b w:val="0"/>
      <w:szCs w:val="20"/>
      <w:lang w:val="en-GB" w:eastAsia="en-US"/>
    </w:rPr>
  </w:style>
  <w:style w:type="character" w:customStyle="1" w:styleId="longtext">
    <w:name w:val="long_text"/>
    <w:basedOn w:val="DefaultParagraphFont"/>
    <w:uiPriority w:val="99"/>
    <w:rsid w:val="00115664"/>
  </w:style>
  <w:style w:type="character" w:customStyle="1" w:styleId="CharChar6">
    <w:name w:val="Char Char6"/>
    <w:uiPriority w:val="99"/>
    <w:rsid w:val="00B5740E"/>
    <w:rPr>
      <w:rFonts w:ascii="Arial Armenian" w:hAnsi="Arial Armenian" w:cs="Arial Armenian"/>
      <w:b/>
      <w:bCs/>
      <w:sz w:val="18"/>
      <w:szCs w:val="18"/>
      <w:lang w:eastAsia="ru-RU"/>
    </w:rPr>
  </w:style>
  <w:style w:type="character" w:customStyle="1" w:styleId="BodyTextIndentChar">
    <w:name w:val="Body Text Indent Char"/>
    <w:aliases w:val=" (Table Source) Char,(Table Source) Char,(Table Source)1 Char,(Table Source)11 Char,Body Text 21 Char"/>
    <w:link w:val="BodyTextIndent"/>
    <w:rsid w:val="00275883"/>
    <w:rPr>
      <w:rFonts w:ascii="Arial Armenian" w:hAnsi="Arial Armenian"/>
      <w:sz w:val="24"/>
      <w:szCs w:val="24"/>
      <w:lang w:eastAsia="ru-RU"/>
    </w:rPr>
  </w:style>
  <w:style w:type="character" w:customStyle="1" w:styleId="BodyTextChar">
    <w:name w:val="Body Text Char"/>
    <w:aliases w:val="(Main Text) Char,date Char,Body Text (Main text) Char"/>
    <w:link w:val="BodyText"/>
    <w:locked/>
    <w:rsid w:val="007F6A4C"/>
    <w:rPr>
      <w:rFonts w:ascii="Times Armenian" w:hAnsi="Times Armenian"/>
      <w:sz w:val="52"/>
      <w:lang w:eastAsia="ru-RU"/>
    </w:rPr>
  </w:style>
  <w:style w:type="character" w:customStyle="1" w:styleId="FooterChar">
    <w:name w:val="Footer Char"/>
    <w:link w:val="Footer"/>
    <w:uiPriority w:val="99"/>
    <w:rsid w:val="00F52B25"/>
    <w:rPr>
      <w:sz w:val="24"/>
      <w:szCs w:val="24"/>
      <w:lang w:val="ru-RU" w:eastAsia="ru-RU"/>
    </w:rPr>
  </w:style>
  <w:style w:type="character" w:customStyle="1" w:styleId="ListParagraphChar">
    <w:name w:val="List Paragraph Char"/>
    <w:aliases w:val="List_Paragraph Char,Multilevel para_II Char,List Paragraph1 Char,Akapit z listą BS Char,Bullet1 Char,Bullets Char,List Paragraph 1 Char,References Char,List Paragraph (numbered (a)) Char,IBL List Paragraph Char,List Paragraph11 Char"/>
    <w:link w:val="ListParagraph"/>
    <w:uiPriority w:val="34"/>
    <w:locked/>
    <w:rsid w:val="00C3777C"/>
    <w:rPr>
      <w:sz w:val="24"/>
      <w:szCs w:val="24"/>
    </w:rPr>
  </w:style>
  <w:style w:type="paragraph" w:styleId="BodyTextIndent3">
    <w:name w:val="Body Text Indent 3"/>
    <w:basedOn w:val="Normal"/>
    <w:link w:val="BodyTextIndent3Char"/>
    <w:rsid w:val="00101E4C"/>
    <w:pPr>
      <w:spacing w:after="120"/>
      <w:ind w:left="360"/>
    </w:pPr>
    <w:rPr>
      <w:sz w:val="16"/>
      <w:szCs w:val="16"/>
    </w:rPr>
  </w:style>
  <w:style w:type="character" w:customStyle="1" w:styleId="BodyTextIndent3Char">
    <w:name w:val="Body Text Indent 3 Char"/>
    <w:link w:val="BodyTextIndent3"/>
    <w:rsid w:val="00101E4C"/>
    <w:rPr>
      <w:sz w:val="16"/>
      <w:szCs w:val="16"/>
      <w:lang w:val="ru-RU" w:eastAsia="ru-RU"/>
    </w:rPr>
  </w:style>
  <w:style w:type="paragraph" w:styleId="Title">
    <w:name w:val="Title"/>
    <w:basedOn w:val="Normal"/>
    <w:next w:val="Normal"/>
    <w:link w:val="TitleChar"/>
    <w:autoRedefine/>
    <w:uiPriority w:val="99"/>
    <w:qFormat/>
    <w:rsid w:val="00D6329B"/>
    <w:pPr>
      <w:spacing w:before="720" w:after="720"/>
      <w:ind w:firstLine="0"/>
      <w:jc w:val="center"/>
      <w:outlineLvl w:val="0"/>
    </w:pPr>
    <w:rPr>
      <w:b w:val="0"/>
      <w:bCs/>
      <w:kern w:val="28"/>
      <w:sz w:val="32"/>
      <w:szCs w:val="32"/>
    </w:rPr>
  </w:style>
  <w:style w:type="character" w:customStyle="1" w:styleId="TitleChar">
    <w:name w:val="Title Char"/>
    <w:link w:val="Title"/>
    <w:uiPriority w:val="99"/>
    <w:rsid w:val="00D6329B"/>
    <w:rPr>
      <w:rFonts w:ascii="GHEA Grapalat" w:hAnsi="GHEA Grapalat"/>
      <w:b/>
      <w:bCs/>
      <w:kern w:val="28"/>
      <w:sz w:val="32"/>
      <w:szCs w:val="32"/>
      <w:lang w:val="ru-RU" w:eastAsia="ru-RU"/>
    </w:rPr>
  </w:style>
  <w:style w:type="paragraph" w:styleId="TOC2">
    <w:name w:val="toc 2"/>
    <w:basedOn w:val="Normal"/>
    <w:next w:val="Normal"/>
    <w:autoRedefine/>
    <w:uiPriority w:val="39"/>
    <w:qFormat/>
    <w:rsid w:val="007F21D5"/>
    <w:pPr>
      <w:tabs>
        <w:tab w:val="left" w:pos="1134"/>
        <w:tab w:val="left" w:pos="1276"/>
        <w:tab w:val="right" w:leader="dot" w:pos="10065"/>
      </w:tabs>
      <w:spacing w:after="100"/>
      <w:ind w:left="284" w:firstLine="0"/>
      <w:jc w:val="left"/>
    </w:pPr>
  </w:style>
  <w:style w:type="paragraph" w:styleId="TOC1">
    <w:name w:val="toc 1"/>
    <w:basedOn w:val="Normal"/>
    <w:next w:val="Normal"/>
    <w:autoRedefine/>
    <w:uiPriority w:val="39"/>
    <w:qFormat/>
    <w:rsid w:val="003F3E0E"/>
    <w:pPr>
      <w:tabs>
        <w:tab w:val="right" w:leader="dot" w:pos="10065"/>
      </w:tabs>
      <w:spacing w:after="100"/>
      <w:ind w:firstLine="0"/>
    </w:pPr>
  </w:style>
  <w:style w:type="paragraph" w:styleId="TOC3">
    <w:name w:val="toc 3"/>
    <w:basedOn w:val="Normal"/>
    <w:next w:val="Normal"/>
    <w:autoRedefine/>
    <w:uiPriority w:val="39"/>
    <w:qFormat/>
    <w:rsid w:val="004D4C68"/>
    <w:pPr>
      <w:tabs>
        <w:tab w:val="left" w:pos="1276"/>
        <w:tab w:val="right" w:leader="dot" w:pos="10055"/>
      </w:tabs>
      <w:spacing w:after="100"/>
      <w:ind w:left="567" w:firstLine="0"/>
      <w:jc w:val="left"/>
    </w:pPr>
  </w:style>
  <w:style w:type="paragraph" w:customStyle="1" w:styleId="Tables">
    <w:name w:val="Tables"/>
    <w:basedOn w:val="Normal"/>
    <w:autoRedefine/>
    <w:qFormat/>
    <w:rsid w:val="00866D50"/>
    <w:pPr>
      <w:keepNext/>
      <w:numPr>
        <w:numId w:val="17"/>
      </w:numPr>
      <w:spacing w:before="0" w:line="276" w:lineRule="auto"/>
      <w:ind w:hanging="1350"/>
      <w:contextualSpacing w:val="0"/>
      <w:jc w:val="left"/>
    </w:pPr>
    <w:rPr>
      <w:rFonts w:cs="Sylfaen"/>
      <w:szCs w:val="22"/>
      <w:lang w:val="af-ZA"/>
    </w:rPr>
  </w:style>
  <w:style w:type="paragraph" w:customStyle="1" w:styleId="Charts">
    <w:name w:val="Charts"/>
    <w:basedOn w:val="Normal"/>
    <w:autoRedefine/>
    <w:qFormat/>
    <w:rsid w:val="00263EE6"/>
    <w:pPr>
      <w:keepNext/>
      <w:numPr>
        <w:numId w:val="18"/>
      </w:numPr>
      <w:tabs>
        <w:tab w:val="left" w:pos="795"/>
      </w:tabs>
      <w:spacing w:before="360" w:after="120" w:line="240" w:lineRule="auto"/>
    </w:pPr>
    <w:rPr>
      <w:rFonts w:cs="Sylfaen"/>
      <w:szCs w:val="22"/>
      <w:u w:val="single"/>
      <w:lang w:val="it-IT"/>
    </w:rPr>
  </w:style>
  <w:style w:type="paragraph" w:styleId="Caption">
    <w:name w:val="caption"/>
    <w:aliases w:val="(Table Title),(Table Title) Char Char Char Char Char Char Char Char Char Char, (Table Title), (Table Title) Char Char Char Char Char Char Char Char Char Char"/>
    <w:basedOn w:val="Normal"/>
    <w:next w:val="Normal"/>
    <w:unhideWhenUsed/>
    <w:qFormat/>
    <w:rsid w:val="00C93040"/>
    <w:pPr>
      <w:spacing w:after="200"/>
    </w:pPr>
    <w:rPr>
      <w:b w:val="0"/>
      <w:bCs/>
      <w:color w:val="4F81BD" w:themeColor="accent1"/>
      <w:sz w:val="18"/>
      <w:szCs w:val="18"/>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SUPERS"/>
    <w:uiPriority w:val="99"/>
    <w:rsid w:val="00BB1F69"/>
    <w:rPr>
      <w:rFonts w:ascii="Arial Armenian" w:hAnsi="Arial Armenian"/>
      <w:sz w:val="20"/>
      <w:szCs w:val="20"/>
      <w:vertAlign w:val="superscript"/>
    </w:rPr>
  </w:style>
  <w:style w:type="paragraph" w:styleId="FootnoteText">
    <w:name w:val="footnote text"/>
    <w:aliases w:val="fn,ADB,single space,footnote text Char,fn Char,ADB Char,single space Char Char,footnote text,FOOTNOTES Char,FOOTNOTES Char Char Char,FOOTNOTES,Footnote Text Char Char Char,Footnote Text Char Char Char Char Char,f,Footnote Text Char2 Char"/>
    <w:basedOn w:val="Normal"/>
    <w:link w:val="FootnoteTextChar1"/>
    <w:autoRedefine/>
    <w:uiPriority w:val="99"/>
    <w:qFormat/>
    <w:rsid w:val="00F838DA"/>
    <w:pPr>
      <w:spacing w:before="0" w:line="240" w:lineRule="auto"/>
      <w:ind w:firstLine="0"/>
    </w:pPr>
    <w:rPr>
      <w:b w:val="0"/>
      <w:iCs/>
      <w:sz w:val="16"/>
      <w:szCs w:val="16"/>
      <w:lang w:val="en-GB" w:eastAsia="en-US"/>
    </w:rPr>
  </w:style>
  <w:style w:type="character" w:customStyle="1" w:styleId="FootnoteTextChar">
    <w:name w:val="Footnote Text Char"/>
    <w:aliases w:val="footnote text Char3,FOOTNOTES Char Char1,FOOTNOTES Char Char Char Char1,FOOTNOTES Char2,Footnote Text Char2 Char Char,fn Char2,ADB Char2,single space Char1,footnote text Char Char1,fn Char Char1,ADB Char Char1,footnote text Char2"/>
    <w:basedOn w:val="DefaultParagraphFont"/>
    <w:rsid w:val="00BB1F69"/>
    <w:rPr>
      <w:lang w:val="ru-RU" w:eastAsia="ru-RU"/>
    </w:rPr>
  </w:style>
  <w:style w:type="character" w:customStyle="1" w:styleId="FootnoteTextChar1">
    <w:name w:val="Footnote Text Char1"/>
    <w:aliases w:val="fn Char1,ADB Char1,single space Char,footnote text Char Char,fn Char Char,ADB Char Char,single space Char Char Char,footnote text Char1,FOOTNOTES Char Char,FOOTNOTES Char Char Char Char,FOOTNOTES Char1,f Char"/>
    <w:link w:val="FootnoteText"/>
    <w:rsid w:val="00F838DA"/>
    <w:rPr>
      <w:rFonts w:ascii="GHEA Grapalat" w:hAnsi="GHEA Grapalat"/>
      <w:iCs/>
      <w:sz w:val="16"/>
      <w:szCs w:val="16"/>
      <w:lang w:val="en-GB"/>
    </w:rPr>
  </w:style>
  <w:style w:type="paragraph" w:styleId="Revision">
    <w:name w:val="Revision"/>
    <w:hidden/>
    <w:uiPriority w:val="99"/>
    <w:semiHidden/>
    <w:rsid w:val="00E759BC"/>
    <w:rPr>
      <w:sz w:val="24"/>
      <w:szCs w:val="24"/>
      <w:lang w:val="ru-RU" w:eastAsia="ru-RU"/>
    </w:rPr>
  </w:style>
  <w:style w:type="paragraph" w:customStyle="1" w:styleId="Bullet2">
    <w:name w:val="Bullet 2"/>
    <w:basedOn w:val="Normal"/>
    <w:autoRedefine/>
    <w:qFormat/>
    <w:rsid w:val="00590241"/>
    <w:pPr>
      <w:widowControl w:val="0"/>
      <w:spacing w:before="240"/>
    </w:pPr>
    <w:rPr>
      <w:rFonts w:eastAsia="Calibri" w:cs="Sylfaen"/>
      <w:b w:val="0"/>
      <w:szCs w:val="22"/>
      <w:lang w:val="af-ZA"/>
    </w:rPr>
  </w:style>
  <w:style w:type="paragraph" w:customStyle="1" w:styleId="StyleLeft1cmFirstline0cmRight032cm">
    <w:name w:val="Style Left:  1 cm First line:  0 cm Right:  0.32 cm"/>
    <w:basedOn w:val="Normal"/>
    <w:autoRedefine/>
    <w:rsid w:val="00735DDA"/>
    <w:pPr>
      <w:ind w:left="567" w:right="180" w:firstLine="0"/>
    </w:pPr>
    <w:rPr>
      <w:szCs w:val="20"/>
    </w:rPr>
  </w:style>
  <w:style w:type="character" w:styleId="CommentReference">
    <w:name w:val="annotation reference"/>
    <w:basedOn w:val="DefaultParagraphFont"/>
    <w:rsid w:val="00FA0FC3"/>
    <w:rPr>
      <w:sz w:val="16"/>
      <w:szCs w:val="16"/>
    </w:rPr>
  </w:style>
  <w:style w:type="paragraph" w:styleId="CommentText">
    <w:name w:val="annotation text"/>
    <w:basedOn w:val="Normal"/>
    <w:link w:val="CommentTextChar"/>
    <w:rsid w:val="00FA0FC3"/>
    <w:pPr>
      <w:spacing w:line="240" w:lineRule="auto"/>
    </w:pPr>
    <w:rPr>
      <w:sz w:val="20"/>
      <w:szCs w:val="20"/>
    </w:rPr>
  </w:style>
  <w:style w:type="character" w:customStyle="1" w:styleId="CommentTextChar">
    <w:name w:val="Comment Text Char"/>
    <w:basedOn w:val="DefaultParagraphFont"/>
    <w:link w:val="CommentText"/>
    <w:rsid w:val="00FA0FC3"/>
    <w:rPr>
      <w:rFonts w:ascii="GHEA Grapalat" w:hAnsi="GHEA Grapalat"/>
      <w:lang w:val="ru-RU" w:eastAsia="ru-RU"/>
    </w:rPr>
  </w:style>
  <w:style w:type="paragraph" w:styleId="CommentSubject">
    <w:name w:val="annotation subject"/>
    <w:basedOn w:val="CommentText"/>
    <w:next w:val="CommentText"/>
    <w:link w:val="CommentSubjectChar"/>
    <w:rsid w:val="00FA0FC3"/>
    <w:rPr>
      <w:b w:val="0"/>
      <w:bCs/>
    </w:rPr>
  </w:style>
  <w:style w:type="character" w:customStyle="1" w:styleId="CommentSubjectChar">
    <w:name w:val="Comment Subject Char"/>
    <w:basedOn w:val="CommentTextChar"/>
    <w:link w:val="CommentSubject"/>
    <w:rsid w:val="00FA0FC3"/>
    <w:rPr>
      <w:rFonts w:ascii="GHEA Grapalat" w:hAnsi="GHEA Grapalat"/>
      <w:b/>
      <w:bCs/>
      <w:lang w:val="ru-RU" w:eastAsia="ru-RU"/>
    </w:rPr>
  </w:style>
  <w:style w:type="character" w:customStyle="1" w:styleId="Heading5Char">
    <w:name w:val="Heading 5 Char"/>
    <w:aliases w:val="Side Char"/>
    <w:basedOn w:val="DefaultParagraphFont"/>
    <w:link w:val="Heading5"/>
    <w:uiPriority w:val="99"/>
    <w:rsid w:val="00785686"/>
    <w:rPr>
      <w:rFonts w:ascii="GHEA Grapalat" w:hAnsi="GHEA Grapalat"/>
      <w:b/>
      <w:bCs/>
      <w:i/>
      <w:spacing w:val="60"/>
      <w:sz w:val="22"/>
      <w:lang w:val="hy-AM"/>
    </w:rPr>
  </w:style>
  <w:style w:type="character" w:customStyle="1" w:styleId="Heading7Char">
    <w:name w:val="Heading 7 Char"/>
    <w:basedOn w:val="DefaultParagraphFont"/>
    <w:link w:val="Heading7"/>
    <w:uiPriority w:val="99"/>
    <w:rsid w:val="008E54BF"/>
    <w:rPr>
      <w:rFonts w:ascii="Times Armenian" w:hAnsi="Times Armenian"/>
      <w:spacing w:val="-5"/>
      <w:sz w:val="24"/>
      <w:shd w:val="pct5" w:color="auto" w:fill="auto"/>
      <w:lang w:val="en-GB"/>
    </w:rPr>
  </w:style>
  <w:style w:type="paragraph" w:styleId="NormalIndent">
    <w:name w:val="Normal Indent"/>
    <w:basedOn w:val="Normal"/>
    <w:rsid w:val="008E54BF"/>
    <w:pPr>
      <w:spacing w:before="0"/>
      <w:ind w:left="720" w:firstLine="0"/>
      <w:contextualSpacing w:val="0"/>
    </w:pPr>
    <w:rPr>
      <w:rFonts w:ascii="Times Armenian" w:hAnsi="Times Armenian"/>
      <w:sz w:val="24"/>
      <w:lang w:val="en-US" w:eastAsia="en-US"/>
    </w:rPr>
  </w:style>
  <w:style w:type="paragraph" w:styleId="TOC4">
    <w:name w:val="toc 4"/>
    <w:basedOn w:val="Normal"/>
    <w:next w:val="Normal"/>
    <w:autoRedefine/>
    <w:uiPriority w:val="39"/>
    <w:rsid w:val="00BA2D53"/>
    <w:pPr>
      <w:tabs>
        <w:tab w:val="left" w:pos="540"/>
        <w:tab w:val="left" w:pos="960"/>
        <w:tab w:val="right" w:leader="dot" w:pos="10065"/>
      </w:tabs>
      <w:spacing w:before="0"/>
      <w:ind w:left="1134" w:firstLine="0"/>
      <w:contextualSpacing w:val="0"/>
      <w:jc w:val="left"/>
    </w:pPr>
    <w:rPr>
      <w:noProof/>
      <w:sz w:val="21"/>
      <w:szCs w:val="22"/>
      <w:lang w:val="hy-AM" w:eastAsia="en-US"/>
    </w:rPr>
  </w:style>
  <w:style w:type="paragraph" w:styleId="Index1">
    <w:name w:val="index 1"/>
    <w:basedOn w:val="Normal"/>
    <w:next w:val="Normal"/>
    <w:autoRedefine/>
    <w:uiPriority w:val="99"/>
    <w:rsid w:val="008E54BF"/>
    <w:pPr>
      <w:spacing w:before="0" w:line="240" w:lineRule="auto"/>
      <w:ind w:left="220" w:hanging="220"/>
    </w:pPr>
  </w:style>
  <w:style w:type="paragraph" w:styleId="IndexHeading">
    <w:name w:val="index heading"/>
    <w:basedOn w:val="Normal"/>
    <w:next w:val="Index1"/>
    <w:uiPriority w:val="99"/>
    <w:rsid w:val="008E54BF"/>
    <w:pPr>
      <w:tabs>
        <w:tab w:val="left" w:pos="720"/>
      </w:tabs>
      <w:spacing w:before="0"/>
      <w:ind w:left="9" w:firstLine="0"/>
      <w:contextualSpacing w:val="0"/>
    </w:pPr>
    <w:rPr>
      <w:rFonts w:ascii="Times Armenian" w:hAnsi="Times Armenian"/>
      <w:szCs w:val="20"/>
      <w:lang w:val="hy-AM" w:eastAsia="en-US"/>
    </w:rPr>
  </w:style>
  <w:style w:type="paragraph" w:customStyle="1" w:styleId="xl43">
    <w:name w:val="xl43"/>
    <w:basedOn w:val="Normal"/>
    <w:rsid w:val="008E54BF"/>
    <w:pPr>
      <w:pBdr>
        <w:bottom w:val="single" w:sz="4" w:space="0" w:color="auto"/>
        <w:right w:val="single" w:sz="4" w:space="0" w:color="auto"/>
      </w:pBdr>
      <w:spacing w:before="100" w:beforeAutospacing="1" w:after="100" w:afterAutospacing="1" w:line="240" w:lineRule="auto"/>
      <w:ind w:firstLine="0"/>
      <w:contextualSpacing w:val="0"/>
      <w:jc w:val="left"/>
      <w:textAlignment w:val="center"/>
    </w:pPr>
    <w:rPr>
      <w:rFonts w:ascii="Times Armenian" w:eastAsia="Arial Unicode MS" w:hAnsi="Times Armenian" w:cs="Arial Unicode MS"/>
      <w:szCs w:val="22"/>
      <w:lang w:val="en-US" w:eastAsia="en-US"/>
    </w:rPr>
  </w:style>
  <w:style w:type="paragraph" w:customStyle="1" w:styleId="xl44">
    <w:name w:val="xl44"/>
    <w:basedOn w:val="Normal"/>
    <w:rsid w:val="008E54BF"/>
    <w:pPr>
      <w:pBdr>
        <w:top w:val="single" w:sz="4" w:space="0" w:color="auto"/>
        <w:left w:val="single" w:sz="4" w:space="0" w:color="auto"/>
        <w:right w:val="single" w:sz="4" w:space="0" w:color="auto"/>
      </w:pBdr>
      <w:spacing w:before="100" w:beforeAutospacing="1" w:after="100" w:afterAutospacing="1" w:line="240" w:lineRule="auto"/>
      <w:ind w:firstLine="0"/>
      <w:contextualSpacing w:val="0"/>
      <w:jc w:val="left"/>
      <w:textAlignment w:val="center"/>
    </w:pPr>
    <w:rPr>
      <w:rFonts w:ascii="Times Armenian" w:eastAsia="Arial Unicode MS" w:hAnsi="Times Armenian" w:cs="Arial Unicode MS"/>
      <w:szCs w:val="22"/>
      <w:lang w:val="en-US" w:eastAsia="en-US"/>
    </w:rPr>
  </w:style>
  <w:style w:type="character" w:styleId="EndnoteReference">
    <w:name w:val="endnote reference"/>
    <w:rsid w:val="008E54BF"/>
    <w:rPr>
      <w:vertAlign w:val="superscript"/>
    </w:rPr>
  </w:style>
  <w:style w:type="table" w:styleId="TableGrid">
    <w:name w:val="Table Grid"/>
    <w:basedOn w:val="TableNormal"/>
    <w:rsid w:val="008E54BF"/>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8">
    <w:name w:val="Char8"/>
    <w:basedOn w:val="Normal"/>
    <w:rsid w:val="008E54BF"/>
    <w:pPr>
      <w:spacing w:before="0" w:line="240" w:lineRule="auto"/>
      <w:ind w:firstLine="0"/>
      <w:contextualSpacing w:val="0"/>
      <w:jc w:val="left"/>
    </w:pPr>
    <w:rPr>
      <w:rFonts w:ascii="Times New Roman" w:hAnsi="Times New Roman"/>
      <w:sz w:val="24"/>
      <w:lang w:val="pl-PL" w:eastAsia="pl-PL"/>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Char,webb Char"/>
    <w:link w:val="NormalWeb"/>
    <w:locked/>
    <w:rsid w:val="008E54BF"/>
    <w:rPr>
      <w:rFonts w:ascii="GHEA Grapalat" w:hAnsi="GHEA Grapalat"/>
      <w:sz w:val="22"/>
      <w:szCs w:val="24"/>
      <w:lang w:val="ru-RU" w:eastAsia="ru-RU"/>
    </w:rPr>
  </w:style>
  <w:style w:type="numbering" w:customStyle="1" w:styleId="NoList1">
    <w:name w:val="No List1"/>
    <w:next w:val="NoList"/>
    <w:semiHidden/>
    <w:unhideWhenUsed/>
    <w:rsid w:val="008E54BF"/>
  </w:style>
  <w:style w:type="character" w:customStyle="1" w:styleId="Heading1Char">
    <w:name w:val="Heading 1 Char"/>
    <w:aliases w:val="(Text) Char,(Section) Char,Section Heading Char,1 Char, 1 Char,Chapter Char,head3 Char"/>
    <w:link w:val="Heading1"/>
    <w:rsid w:val="004D4C68"/>
    <w:rPr>
      <w:rFonts w:ascii="GHEA Grapalat" w:hAnsi="GHEA Grapalat"/>
      <w:b/>
      <w:sz w:val="28"/>
      <w:lang w:eastAsia="ru-RU"/>
    </w:rPr>
  </w:style>
  <w:style w:type="character" w:customStyle="1" w:styleId="Heading2Char">
    <w:name w:val="Heading 2 Char"/>
    <w:aliases w:val="(Chapter) Char,Paranum Char"/>
    <w:link w:val="Heading2"/>
    <w:rsid w:val="00FC44D9"/>
    <w:rPr>
      <w:rFonts w:ascii="GHEA Grapalat" w:hAnsi="GHEA Grapalat" w:cs="Times LatArm"/>
      <w:b/>
      <w:sz w:val="24"/>
      <w:szCs w:val="24"/>
      <w:lang w:val="hy-AM"/>
    </w:rPr>
  </w:style>
  <w:style w:type="character" w:customStyle="1" w:styleId="Heading3Char">
    <w:name w:val="Heading 3 Char"/>
    <w:aliases w:val="Centered Char2,(text) Char2,(Sub-Chapter) Char2,Heading 3 Char Char Char Char Char Char Char2"/>
    <w:link w:val="Heading3"/>
    <w:rsid w:val="007C5F65"/>
    <w:rPr>
      <w:rFonts w:ascii="GHEA Grapalat" w:eastAsia="Calibri" w:hAnsi="GHEA Grapalat" w:cs="GHEA Grapalat"/>
      <w:b/>
      <w:bCs/>
      <w:sz w:val="24"/>
      <w:szCs w:val="26"/>
      <w:lang w:val="af-ZA"/>
    </w:rPr>
  </w:style>
  <w:style w:type="character" w:customStyle="1" w:styleId="Heading4Char">
    <w:name w:val="Heading 4 Char"/>
    <w:aliases w:val="Centred Char"/>
    <w:link w:val="Heading4"/>
    <w:rsid w:val="004D4C68"/>
    <w:rPr>
      <w:rFonts w:ascii="GHEA Grapalat" w:hAnsi="GHEA Grapalat"/>
      <w:b/>
      <w:sz w:val="22"/>
      <w:lang w:val="en-GB"/>
    </w:rPr>
  </w:style>
  <w:style w:type="character" w:customStyle="1" w:styleId="Heading6Char">
    <w:name w:val="Heading 6 Char"/>
    <w:link w:val="Heading6"/>
    <w:uiPriority w:val="99"/>
    <w:rsid w:val="008E54BF"/>
    <w:rPr>
      <w:rFonts w:ascii="GHEA Grapalat" w:hAnsi="GHEA Grapalat"/>
      <w:b/>
      <w:bCs/>
      <w:sz w:val="22"/>
      <w:szCs w:val="22"/>
      <w:lang w:val="en-GB"/>
    </w:rPr>
  </w:style>
  <w:style w:type="numbering" w:customStyle="1" w:styleId="NoList11">
    <w:name w:val="No List11"/>
    <w:next w:val="NoList"/>
    <w:semiHidden/>
    <w:rsid w:val="008E54BF"/>
  </w:style>
  <w:style w:type="character" w:customStyle="1" w:styleId="BodyText2Char">
    <w:name w:val="Body Text 2 Char"/>
    <w:aliases w:val="1Text Char"/>
    <w:link w:val="BodyText2"/>
    <w:rsid w:val="006B1A86"/>
    <w:rPr>
      <w:rFonts w:ascii="GHEA Grapalat" w:eastAsia="Calibri" w:hAnsi="GHEA Grapalat"/>
      <w:sz w:val="22"/>
      <w:szCs w:val="22"/>
      <w:lang w:val="hy-AM"/>
    </w:rPr>
  </w:style>
  <w:style w:type="character" w:customStyle="1" w:styleId="BodyText3Char">
    <w:name w:val="Body Text 3 Char"/>
    <w:link w:val="BodyText3"/>
    <w:rsid w:val="008E54BF"/>
    <w:rPr>
      <w:rFonts w:ascii="Times Armenian" w:hAnsi="Times Armenian"/>
      <w:bCs/>
      <w:sz w:val="22"/>
    </w:rPr>
  </w:style>
  <w:style w:type="character" w:customStyle="1" w:styleId="HeaderChar">
    <w:name w:val="Header Char"/>
    <w:aliases w:val="Header Char Char Char Char Char Char Char Char Char Char Char1,Header Char Char Char Char Char Char Char Char Char Char Char Char Char1,h Char1"/>
    <w:link w:val="Header"/>
    <w:rsid w:val="008E54BF"/>
    <w:rPr>
      <w:rFonts w:ascii="GHEA Grapalat" w:hAnsi="GHEA Grapalat"/>
      <w:lang w:val="en-AU"/>
    </w:rPr>
  </w:style>
  <w:style w:type="character" w:customStyle="1" w:styleId="BodyTextIndent2Char">
    <w:name w:val="Body Text Indent 2 Char"/>
    <w:link w:val="BodyTextIndent2"/>
    <w:rsid w:val="008E54BF"/>
    <w:rPr>
      <w:rFonts w:ascii="Arial Armenian" w:hAnsi="Arial Armenian"/>
      <w:bCs/>
      <w:sz w:val="22"/>
    </w:rPr>
  </w:style>
  <w:style w:type="character" w:customStyle="1" w:styleId="BalloonTextChar">
    <w:name w:val="Balloon Text Char"/>
    <w:link w:val="BalloonText"/>
    <w:rsid w:val="008E54BF"/>
    <w:rPr>
      <w:rFonts w:ascii="Tahoma" w:hAnsi="Tahoma" w:cs="Tahoma"/>
      <w:sz w:val="16"/>
      <w:szCs w:val="16"/>
      <w:lang w:val="ru-RU" w:eastAsia="ru-RU"/>
    </w:rPr>
  </w:style>
  <w:style w:type="table" w:customStyle="1" w:styleId="TableGrid1">
    <w:name w:val="Table Grid1"/>
    <w:basedOn w:val="TableNormal"/>
    <w:next w:val="TableGrid"/>
    <w:rsid w:val="008E54BF"/>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semiHidden/>
    <w:rsid w:val="008E54BF"/>
  </w:style>
  <w:style w:type="paragraph" w:styleId="TableofFigures">
    <w:name w:val="table of figures"/>
    <w:basedOn w:val="Normal"/>
    <w:next w:val="Normal"/>
    <w:autoRedefine/>
    <w:uiPriority w:val="99"/>
    <w:rsid w:val="004D4C68"/>
    <w:pPr>
      <w:tabs>
        <w:tab w:val="left" w:pos="1843"/>
        <w:tab w:val="right" w:leader="dot" w:pos="9923"/>
      </w:tabs>
      <w:spacing w:line="240" w:lineRule="auto"/>
      <w:ind w:left="1418" w:hanging="1418"/>
      <w:jc w:val="left"/>
    </w:pPr>
  </w:style>
  <w:style w:type="character" w:styleId="PlaceholderText">
    <w:name w:val="Placeholder Text"/>
    <w:basedOn w:val="DefaultParagraphFont"/>
    <w:uiPriority w:val="99"/>
    <w:semiHidden/>
    <w:rsid w:val="00D43712"/>
    <w:rPr>
      <w:color w:val="808080"/>
    </w:rPr>
  </w:style>
  <w:style w:type="character" w:customStyle="1" w:styleId="Heading8Char">
    <w:name w:val="Heading 8 Char"/>
    <w:basedOn w:val="DefaultParagraphFont"/>
    <w:link w:val="Heading8"/>
    <w:rsid w:val="00060470"/>
    <w:rPr>
      <w:rFonts w:ascii="Arial Black" w:hAnsi="Arial Black"/>
      <w:caps/>
      <w:spacing w:val="60"/>
      <w:position w:val="4"/>
      <w:sz w:val="14"/>
      <w:lang w:val="en-GB"/>
    </w:rPr>
  </w:style>
  <w:style w:type="character" w:customStyle="1" w:styleId="Heading9Char">
    <w:name w:val="Heading 9 Char"/>
    <w:basedOn w:val="DefaultParagraphFont"/>
    <w:link w:val="Heading9"/>
    <w:uiPriority w:val="99"/>
    <w:rsid w:val="00060470"/>
    <w:rPr>
      <w:rFonts w:ascii="Garamond" w:hAnsi="Garamond"/>
      <w:b/>
      <w:i/>
      <w:kern w:val="28"/>
      <w:sz w:val="16"/>
      <w:lang w:val="en-GB"/>
    </w:rPr>
  </w:style>
  <w:style w:type="character" w:customStyle="1" w:styleId="FooterChar1">
    <w:name w:val="Footer Char1"/>
    <w:uiPriority w:val="99"/>
    <w:locked/>
    <w:rsid w:val="00060470"/>
    <w:rPr>
      <w:lang w:val="en-GB" w:eastAsia="en-US" w:bidi="ar-SA"/>
    </w:rPr>
  </w:style>
  <w:style w:type="paragraph" w:customStyle="1" w:styleId="CharChar7">
    <w:name w:val="Char Char7"/>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overSubTitle">
    <w:name w:val="Cover SubTitle"/>
    <w:basedOn w:val="Normal"/>
    <w:uiPriority w:val="99"/>
    <w:rsid w:val="00060470"/>
    <w:pPr>
      <w:spacing w:before="0" w:line="440" w:lineRule="exact"/>
      <w:ind w:firstLine="0"/>
      <w:contextualSpacing w:val="0"/>
      <w:jc w:val="center"/>
    </w:pPr>
    <w:rPr>
      <w:rFonts w:ascii="Times New Roman" w:hAnsi="Times New Roman"/>
      <w:sz w:val="32"/>
      <w:szCs w:val="20"/>
      <w:lang w:val="en-US" w:eastAsia="en-US"/>
    </w:rPr>
  </w:style>
  <w:style w:type="paragraph" w:customStyle="1" w:styleId="xl25">
    <w:name w:val="xl25"/>
    <w:basedOn w:val="Normal"/>
    <w:uiPriority w:val="99"/>
    <w:rsid w:val="00060470"/>
    <w:pPr>
      <w:spacing w:before="100" w:after="100" w:line="240" w:lineRule="auto"/>
      <w:ind w:firstLine="0"/>
      <w:contextualSpacing w:val="0"/>
      <w:jc w:val="center"/>
    </w:pPr>
    <w:rPr>
      <w:rFonts w:ascii="Times Armenian" w:hAnsi="Times Armenian"/>
      <w:sz w:val="24"/>
      <w:szCs w:val="20"/>
      <w:lang w:val="en-US" w:eastAsia="en-US"/>
    </w:rPr>
  </w:style>
  <w:style w:type="paragraph" w:customStyle="1" w:styleId="ModelSingleNoIndent">
    <w:name w:val="ModelSingleNoIndent"/>
    <w:basedOn w:val="Normal"/>
    <w:uiPriority w:val="99"/>
    <w:rsid w:val="00060470"/>
    <w:pPr>
      <w:spacing w:before="0" w:after="240" w:line="240" w:lineRule="auto"/>
      <w:ind w:firstLine="0"/>
      <w:contextualSpacing w:val="0"/>
    </w:pPr>
    <w:rPr>
      <w:rFonts w:ascii="Times New Roman" w:hAnsi="Times New Roman"/>
      <w:szCs w:val="20"/>
      <w:lang w:val="en-US" w:eastAsia="en-US"/>
    </w:rPr>
  </w:style>
  <w:style w:type="paragraph" w:customStyle="1" w:styleId="Head4">
    <w:name w:val="Head 4"/>
    <w:basedOn w:val="Heading4"/>
    <w:uiPriority w:val="99"/>
    <w:rsid w:val="00060470"/>
    <w:pPr>
      <w:widowControl w:val="0"/>
      <w:tabs>
        <w:tab w:val="left" w:pos="624"/>
      </w:tabs>
      <w:spacing w:before="0"/>
      <w:ind w:left="0" w:firstLine="624"/>
      <w:contextualSpacing w:val="0"/>
      <w:jc w:val="left"/>
    </w:pPr>
    <w:rPr>
      <w:rFonts w:ascii="Arial Armenian" w:hAnsi="Arial Armenian"/>
      <w:i/>
      <w:spacing w:val="-5"/>
      <w:sz w:val="24"/>
      <w:u w:val="single"/>
      <w:lang w:val="fr-FR"/>
    </w:rPr>
  </w:style>
  <w:style w:type="paragraph" w:customStyle="1" w:styleId="BodyTextMainTextdate">
    <w:name w:val="Body Text.(Main Text).date"/>
    <w:basedOn w:val="Normal"/>
    <w:uiPriority w:val="99"/>
    <w:rsid w:val="00060470"/>
    <w:pPr>
      <w:spacing w:before="0" w:line="240" w:lineRule="auto"/>
      <w:ind w:firstLine="0"/>
      <w:contextualSpacing w:val="0"/>
      <w:jc w:val="center"/>
    </w:pPr>
    <w:rPr>
      <w:rFonts w:ascii="Times LatArm" w:hAnsi="Times LatArm"/>
      <w:b w:val="0"/>
      <w:i/>
      <w:sz w:val="28"/>
      <w:szCs w:val="20"/>
      <w:lang w:val="en-US" w:eastAsia="en-US"/>
    </w:rPr>
  </w:style>
  <w:style w:type="paragraph" w:customStyle="1" w:styleId="Char7">
    <w:name w:val="Char7"/>
    <w:basedOn w:val="Normal"/>
    <w:next w:val="Normal"/>
    <w:rsid w:val="00060470"/>
    <w:pPr>
      <w:spacing w:before="0" w:after="160" w:line="240" w:lineRule="exact"/>
      <w:ind w:firstLine="0"/>
      <w:contextualSpacing w:val="0"/>
      <w:jc w:val="left"/>
    </w:pPr>
    <w:rPr>
      <w:rFonts w:ascii="Tahoma" w:hAnsi="Tahoma"/>
      <w:sz w:val="24"/>
      <w:szCs w:val="20"/>
      <w:lang w:val="en-US" w:eastAsia="en-US"/>
    </w:rPr>
  </w:style>
  <w:style w:type="paragraph" w:customStyle="1" w:styleId="a0">
    <w:name w:val="???????"/>
    <w:link w:val="Char1"/>
    <w:uiPriority w:val="99"/>
    <w:rsid w:val="00060470"/>
    <w:rPr>
      <w:lang w:val="ru-RU" w:eastAsia="ru-RU"/>
    </w:rPr>
  </w:style>
  <w:style w:type="paragraph" w:customStyle="1" w:styleId="Char1CharCharCharCharCharCharCharCharCharCharCharChar">
    <w:name w:val="Char1 Char Char Char Char Char Char Char Char Char Char Char Char"/>
    <w:basedOn w:val="Normal"/>
    <w:uiPriority w:val="99"/>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Armenian">
    <w:name w:val="Armenian"/>
    <w:basedOn w:val="Normal"/>
    <w:uiPriority w:val="99"/>
    <w:rsid w:val="00060470"/>
    <w:pPr>
      <w:spacing w:before="0" w:line="240" w:lineRule="auto"/>
      <w:ind w:firstLine="0"/>
      <w:contextualSpacing w:val="0"/>
      <w:jc w:val="left"/>
    </w:pPr>
    <w:rPr>
      <w:rFonts w:ascii="Times LatArm" w:hAnsi="Times LatArm"/>
      <w:sz w:val="24"/>
      <w:lang w:val="en-US"/>
    </w:rPr>
  </w:style>
  <w:style w:type="paragraph" w:customStyle="1" w:styleId="CharCharChar0">
    <w:name w:val="Char Char Char"/>
    <w:basedOn w:val="Normal"/>
    <w:uiPriority w:val="99"/>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ModelNrmlDouble">
    <w:name w:val="ModelNrmlDouble"/>
    <w:basedOn w:val="Normal"/>
    <w:uiPriority w:val="99"/>
    <w:rsid w:val="00060470"/>
    <w:pPr>
      <w:overflowPunct w:val="0"/>
      <w:autoSpaceDE w:val="0"/>
      <w:autoSpaceDN w:val="0"/>
      <w:adjustRightInd w:val="0"/>
      <w:spacing w:before="0" w:after="360" w:line="480" w:lineRule="auto"/>
      <w:ind w:firstLine="720"/>
      <w:contextualSpacing w:val="0"/>
      <w:textAlignment w:val="baseline"/>
    </w:pPr>
    <w:rPr>
      <w:rFonts w:ascii="Times New Roman" w:hAnsi="Times New Roman"/>
      <w:szCs w:val="20"/>
      <w:lang w:val="en-US" w:eastAsia="en-US"/>
    </w:rPr>
  </w:style>
  <w:style w:type="paragraph" w:customStyle="1" w:styleId="norm">
    <w:name w:val="norm"/>
    <w:basedOn w:val="Normal"/>
    <w:link w:val="normChar"/>
    <w:uiPriority w:val="99"/>
    <w:rsid w:val="00060470"/>
    <w:pPr>
      <w:spacing w:before="0" w:line="480" w:lineRule="auto"/>
      <w:ind w:firstLine="709"/>
      <w:contextualSpacing w:val="0"/>
    </w:pPr>
    <w:rPr>
      <w:rFonts w:ascii="Arial Armenian" w:hAnsi="Arial Armenian"/>
      <w:szCs w:val="20"/>
      <w:lang w:val="en-US"/>
    </w:rPr>
  </w:style>
  <w:style w:type="paragraph" w:styleId="ListBullet">
    <w:name w:val="List Bullet"/>
    <w:basedOn w:val="Normal"/>
    <w:autoRedefine/>
    <w:uiPriority w:val="99"/>
    <w:qFormat/>
    <w:rsid w:val="00060470"/>
    <w:pPr>
      <w:overflowPunct w:val="0"/>
      <w:autoSpaceDE w:val="0"/>
      <w:autoSpaceDN w:val="0"/>
      <w:adjustRightInd w:val="0"/>
      <w:spacing w:before="130" w:line="240" w:lineRule="auto"/>
      <w:ind w:left="928" w:hanging="360"/>
      <w:contextualSpacing w:val="0"/>
      <w:textAlignment w:val="baseline"/>
    </w:pPr>
    <w:rPr>
      <w:rFonts w:ascii="Times New Roman" w:hAnsi="Times New Roman"/>
      <w:szCs w:val="20"/>
      <w:lang w:val="en-GB" w:eastAsia="en-US"/>
    </w:rPr>
  </w:style>
  <w:style w:type="paragraph" w:styleId="PlainText">
    <w:name w:val="Plain Text"/>
    <w:basedOn w:val="Normal"/>
    <w:link w:val="PlainTextChar"/>
    <w:uiPriority w:val="99"/>
    <w:rsid w:val="00060470"/>
    <w:pPr>
      <w:numPr>
        <w:numId w:val="12"/>
      </w:numPr>
      <w:tabs>
        <w:tab w:val="clear" w:pos="540"/>
      </w:tabs>
      <w:spacing w:before="0" w:line="240" w:lineRule="auto"/>
      <w:ind w:left="0" w:firstLine="0"/>
      <w:contextualSpacing w:val="0"/>
      <w:jc w:val="left"/>
    </w:pPr>
    <w:rPr>
      <w:rFonts w:ascii="Courier New" w:hAnsi="Courier New"/>
      <w:sz w:val="20"/>
      <w:szCs w:val="20"/>
    </w:rPr>
  </w:style>
  <w:style w:type="character" w:customStyle="1" w:styleId="PlainTextChar">
    <w:name w:val="Plain Text Char"/>
    <w:basedOn w:val="DefaultParagraphFont"/>
    <w:link w:val="PlainText"/>
    <w:uiPriority w:val="99"/>
    <w:rsid w:val="00060470"/>
    <w:rPr>
      <w:rFonts w:ascii="Courier New" w:hAnsi="Courier New"/>
      <w:b/>
      <w:lang w:val="ru-RU" w:eastAsia="ru-RU"/>
    </w:rPr>
  </w:style>
  <w:style w:type="paragraph" w:customStyle="1" w:styleId="Tabletext">
    <w:name w:val="Tabletext"/>
    <w:basedOn w:val="Normal"/>
    <w:uiPriority w:val="99"/>
    <w:rsid w:val="00060470"/>
    <w:pPr>
      <w:overflowPunct w:val="0"/>
      <w:autoSpaceDE w:val="0"/>
      <w:autoSpaceDN w:val="0"/>
      <w:adjustRightInd w:val="0"/>
      <w:spacing w:before="0" w:line="240" w:lineRule="auto"/>
      <w:ind w:left="153" w:hanging="153"/>
      <w:contextualSpacing w:val="0"/>
      <w:jc w:val="left"/>
      <w:textAlignment w:val="baseline"/>
    </w:pPr>
    <w:rPr>
      <w:rFonts w:ascii="Times New Roman" w:hAnsi="Times New Roman"/>
      <w:sz w:val="18"/>
      <w:szCs w:val="20"/>
      <w:lang w:val="en-GB" w:eastAsia="en-US"/>
    </w:rPr>
  </w:style>
  <w:style w:type="paragraph" w:styleId="ListBullet2">
    <w:name w:val="List Bullet 2"/>
    <w:basedOn w:val="Normal"/>
    <w:autoRedefine/>
    <w:uiPriority w:val="99"/>
    <w:rsid w:val="00060470"/>
    <w:pPr>
      <w:numPr>
        <w:numId w:val="2"/>
      </w:numPr>
      <w:spacing w:before="0" w:line="240" w:lineRule="auto"/>
      <w:contextualSpacing w:val="0"/>
      <w:jc w:val="left"/>
    </w:pPr>
    <w:rPr>
      <w:rFonts w:ascii="Times New Roman" w:hAnsi="Times New Roman"/>
      <w:sz w:val="24"/>
      <w:lang w:val="en-US" w:eastAsia="en-US"/>
    </w:rPr>
  </w:style>
  <w:style w:type="paragraph" w:styleId="ListContinue2">
    <w:name w:val="List Continue 2"/>
    <w:basedOn w:val="Normal"/>
    <w:uiPriority w:val="99"/>
    <w:rsid w:val="00060470"/>
    <w:pPr>
      <w:spacing w:before="0" w:after="120" w:line="240" w:lineRule="auto"/>
      <w:ind w:left="720" w:firstLine="0"/>
      <w:contextualSpacing w:val="0"/>
      <w:jc w:val="left"/>
    </w:pPr>
    <w:rPr>
      <w:rFonts w:ascii="Times New Roman" w:hAnsi="Times New Roman"/>
      <w:sz w:val="24"/>
      <w:lang w:val="en-US" w:eastAsia="en-US"/>
    </w:rPr>
  </w:style>
  <w:style w:type="paragraph" w:customStyle="1" w:styleId="GlossaryHeader">
    <w:name w:val="Glossary Header"/>
    <w:next w:val="Normal"/>
    <w:uiPriority w:val="99"/>
    <w:rsid w:val="00060470"/>
    <w:pPr>
      <w:pageBreakBefore/>
      <w:overflowPunct w:val="0"/>
      <w:autoSpaceDE w:val="0"/>
      <w:autoSpaceDN w:val="0"/>
      <w:adjustRightInd w:val="0"/>
      <w:textAlignment w:val="baseline"/>
    </w:pPr>
    <w:rPr>
      <w:noProof/>
      <w:sz w:val="36"/>
      <w:lang w:val="en-GB"/>
    </w:rPr>
  </w:style>
  <w:style w:type="paragraph" w:customStyle="1" w:styleId="CaptionSubtitle">
    <w:name w:val="Caption: Subtitle"/>
    <w:uiPriority w:val="99"/>
    <w:rsid w:val="00060470"/>
    <w:rPr>
      <w:rFonts w:ascii="Arial" w:hAnsi="Arial"/>
      <w:noProof/>
      <w:sz w:val="18"/>
    </w:rPr>
  </w:style>
  <w:style w:type="paragraph" w:customStyle="1" w:styleId="KLegalHeading3">
    <w:name w:val="KLegal Heading 3"/>
    <w:basedOn w:val="Normal"/>
    <w:next w:val="Text"/>
    <w:uiPriority w:val="99"/>
    <w:rsid w:val="00060470"/>
    <w:pPr>
      <w:keepNext/>
      <w:numPr>
        <w:ilvl w:val="2"/>
        <w:numId w:val="1"/>
      </w:numPr>
      <w:overflowPunct w:val="0"/>
      <w:autoSpaceDE w:val="0"/>
      <w:autoSpaceDN w:val="0"/>
      <w:adjustRightInd w:val="0"/>
      <w:spacing w:before="0" w:after="220" w:line="240" w:lineRule="auto"/>
      <w:ind w:left="1440" w:hanging="720"/>
      <w:contextualSpacing w:val="0"/>
      <w:textAlignment w:val="baseline"/>
    </w:pPr>
    <w:rPr>
      <w:rFonts w:ascii="Times New Roman" w:hAnsi="Times New Roman"/>
      <w:b w:val="0"/>
      <w:szCs w:val="20"/>
      <w:lang w:val="en-GB" w:eastAsia="en-US"/>
    </w:rPr>
  </w:style>
  <w:style w:type="paragraph" w:customStyle="1" w:styleId="KLegalHeading4">
    <w:name w:val="KLegal Heading 4"/>
    <w:basedOn w:val="Normal"/>
    <w:next w:val="Text"/>
    <w:uiPriority w:val="99"/>
    <w:rsid w:val="00060470"/>
    <w:pPr>
      <w:keepNext/>
      <w:numPr>
        <w:ilvl w:val="3"/>
        <w:numId w:val="1"/>
      </w:numPr>
      <w:overflowPunct w:val="0"/>
      <w:autoSpaceDE w:val="0"/>
      <w:autoSpaceDN w:val="0"/>
      <w:adjustRightInd w:val="0"/>
      <w:spacing w:before="0" w:after="220" w:line="240" w:lineRule="auto"/>
      <w:ind w:left="2160" w:hanging="720"/>
      <w:contextualSpacing w:val="0"/>
      <w:textAlignment w:val="baseline"/>
    </w:pPr>
    <w:rPr>
      <w:rFonts w:ascii="Times New Roman" w:hAnsi="Times New Roman"/>
      <w:b w:val="0"/>
      <w:i/>
      <w:szCs w:val="20"/>
      <w:lang w:val="en-GB" w:eastAsia="en-US"/>
    </w:rPr>
  </w:style>
  <w:style w:type="paragraph" w:customStyle="1" w:styleId="KLegalHeading1">
    <w:name w:val="KLegal Heading 1"/>
    <w:basedOn w:val="Normal"/>
    <w:next w:val="KLegalHeading2"/>
    <w:uiPriority w:val="99"/>
    <w:rsid w:val="00060470"/>
    <w:pPr>
      <w:keepNext/>
      <w:pageBreakBefore/>
      <w:overflowPunct w:val="0"/>
      <w:autoSpaceDE w:val="0"/>
      <w:autoSpaceDN w:val="0"/>
      <w:adjustRightInd w:val="0"/>
      <w:spacing w:before="0" w:after="440" w:line="240" w:lineRule="auto"/>
      <w:ind w:left="851" w:hanging="851"/>
      <w:contextualSpacing w:val="0"/>
      <w:textAlignment w:val="baseline"/>
      <w:outlineLvl w:val="0"/>
    </w:pPr>
    <w:rPr>
      <w:rFonts w:ascii="Times New Roman" w:hAnsi="Times New Roman"/>
      <w:b w:val="0"/>
      <w:sz w:val="32"/>
      <w:szCs w:val="20"/>
      <w:lang w:val="en-GB" w:eastAsia="en-US"/>
    </w:rPr>
  </w:style>
  <w:style w:type="paragraph" w:customStyle="1" w:styleId="KLegalHeading2">
    <w:name w:val="KLegal Heading 2"/>
    <w:basedOn w:val="Normal"/>
    <w:next w:val="KLegalHeading3"/>
    <w:uiPriority w:val="99"/>
    <w:rsid w:val="00060470"/>
    <w:pPr>
      <w:keepNext/>
      <w:numPr>
        <w:ilvl w:val="1"/>
        <w:numId w:val="1"/>
      </w:numPr>
      <w:overflowPunct w:val="0"/>
      <w:autoSpaceDE w:val="0"/>
      <w:autoSpaceDN w:val="0"/>
      <w:adjustRightInd w:val="0"/>
      <w:spacing w:before="0" w:after="220" w:line="240" w:lineRule="auto"/>
      <w:ind w:left="851" w:hanging="851"/>
      <w:contextualSpacing w:val="0"/>
      <w:textAlignment w:val="baseline"/>
      <w:outlineLvl w:val="1"/>
    </w:pPr>
    <w:rPr>
      <w:rFonts w:ascii="Times New Roman" w:hAnsi="Times New Roman"/>
      <w:b w:val="0"/>
      <w:sz w:val="28"/>
      <w:szCs w:val="20"/>
      <w:lang w:val="en-GB" w:eastAsia="en-US"/>
    </w:rPr>
  </w:style>
  <w:style w:type="paragraph" w:customStyle="1" w:styleId="font5">
    <w:name w:val="font5"/>
    <w:basedOn w:val="Normal"/>
    <w:uiPriority w:val="99"/>
    <w:rsid w:val="00060470"/>
    <w:pPr>
      <w:spacing w:before="100" w:beforeAutospacing="1" w:after="100" w:afterAutospacing="1" w:line="240" w:lineRule="auto"/>
      <w:ind w:firstLine="0"/>
      <w:contextualSpacing w:val="0"/>
      <w:jc w:val="left"/>
    </w:pPr>
    <w:rPr>
      <w:rFonts w:ascii="Times Armenian" w:hAnsi="Times Armenian"/>
      <w:color w:val="000000"/>
      <w:sz w:val="16"/>
      <w:szCs w:val="16"/>
      <w:lang w:val="en-US" w:eastAsia="en-US"/>
    </w:rPr>
  </w:style>
  <w:style w:type="paragraph" w:customStyle="1" w:styleId="font6">
    <w:name w:val="font6"/>
    <w:basedOn w:val="Normal"/>
    <w:uiPriority w:val="99"/>
    <w:rsid w:val="00060470"/>
    <w:pPr>
      <w:spacing w:before="100" w:beforeAutospacing="1" w:after="100" w:afterAutospacing="1" w:line="240" w:lineRule="auto"/>
      <w:ind w:firstLine="0"/>
      <w:contextualSpacing w:val="0"/>
      <w:jc w:val="left"/>
    </w:pPr>
    <w:rPr>
      <w:rFonts w:ascii="Times Armenian" w:hAnsi="Times Armenian"/>
      <w:b w:val="0"/>
      <w:bCs/>
      <w:color w:val="000000"/>
      <w:sz w:val="16"/>
      <w:szCs w:val="16"/>
      <w:lang w:val="en-US" w:eastAsia="en-US"/>
    </w:rPr>
  </w:style>
  <w:style w:type="paragraph" w:customStyle="1" w:styleId="font7">
    <w:name w:val="font7"/>
    <w:basedOn w:val="Normal"/>
    <w:uiPriority w:val="99"/>
    <w:rsid w:val="00060470"/>
    <w:pPr>
      <w:spacing w:before="100" w:beforeAutospacing="1" w:after="100" w:afterAutospacing="1" w:line="240" w:lineRule="auto"/>
      <w:ind w:firstLine="0"/>
      <w:contextualSpacing w:val="0"/>
      <w:jc w:val="left"/>
    </w:pPr>
    <w:rPr>
      <w:rFonts w:ascii="Times Armenian" w:hAnsi="Times Armenian"/>
      <w:color w:val="000000"/>
      <w:sz w:val="20"/>
      <w:szCs w:val="20"/>
      <w:lang w:val="en-US" w:eastAsia="en-US"/>
    </w:rPr>
  </w:style>
  <w:style w:type="paragraph" w:customStyle="1" w:styleId="font8">
    <w:name w:val="font8"/>
    <w:basedOn w:val="Normal"/>
    <w:uiPriority w:val="99"/>
    <w:rsid w:val="00060470"/>
    <w:pPr>
      <w:spacing w:before="100" w:beforeAutospacing="1" w:after="100" w:afterAutospacing="1" w:line="240" w:lineRule="auto"/>
      <w:ind w:firstLine="0"/>
      <w:contextualSpacing w:val="0"/>
      <w:jc w:val="left"/>
    </w:pPr>
    <w:rPr>
      <w:rFonts w:ascii="Times Armenian" w:hAnsi="Times Armenian"/>
      <w:color w:val="000000"/>
      <w:sz w:val="16"/>
      <w:szCs w:val="16"/>
      <w:lang w:val="en-US" w:eastAsia="en-US"/>
    </w:rPr>
  </w:style>
  <w:style w:type="paragraph" w:customStyle="1" w:styleId="font9">
    <w:name w:val="font9"/>
    <w:basedOn w:val="Normal"/>
    <w:uiPriority w:val="99"/>
    <w:rsid w:val="00060470"/>
    <w:pPr>
      <w:spacing w:before="100" w:beforeAutospacing="1" w:after="100" w:afterAutospacing="1" w:line="240" w:lineRule="auto"/>
      <w:ind w:firstLine="0"/>
      <w:contextualSpacing w:val="0"/>
      <w:jc w:val="left"/>
    </w:pPr>
    <w:rPr>
      <w:rFonts w:ascii="Times Armenian" w:hAnsi="Times Armenian"/>
      <w:color w:val="000000"/>
      <w:szCs w:val="22"/>
      <w:lang w:val="en-US" w:eastAsia="en-US"/>
    </w:rPr>
  </w:style>
  <w:style w:type="paragraph" w:customStyle="1" w:styleId="font10">
    <w:name w:val="font10"/>
    <w:basedOn w:val="Normal"/>
    <w:uiPriority w:val="99"/>
    <w:rsid w:val="00060470"/>
    <w:pPr>
      <w:spacing w:before="100" w:beforeAutospacing="1" w:after="100" w:afterAutospacing="1" w:line="240" w:lineRule="auto"/>
      <w:ind w:firstLine="0"/>
      <w:contextualSpacing w:val="0"/>
      <w:jc w:val="left"/>
    </w:pPr>
    <w:rPr>
      <w:rFonts w:ascii="Times Armenian" w:hAnsi="Times Armenian"/>
      <w:b w:val="0"/>
      <w:bCs/>
      <w:color w:val="000000"/>
      <w:sz w:val="16"/>
      <w:szCs w:val="16"/>
      <w:lang w:val="en-US" w:eastAsia="en-US"/>
    </w:rPr>
  </w:style>
  <w:style w:type="paragraph" w:customStyle="1" w:styleId="xl65">
    <w:name w:val="xl65"/>
    <w:basedOn w:val="Normal"/>
    <w:uiPriority w:val="99"/>
    <w:rsid w:val="00060470"/>
    <w:pPr>
      <w:spacing w:before="100" w:beforeAutospacing="1" w:after="100" w:afterAutospacing="1" w:line="240" w:lineRule="auto"/>
      <w:ind w:firstLine="0"/>
      <w:contextualSpacing w:val="0"/>
      <w:jc w:val="left"/>
      <w:textAlignment w:val="center"/>
    </w:pPr>
    <w:rPr>
      <w:rFonts w:ascii="Times New Roman" w:hAnsi="Times New Roman"/>
      <w:sz w:val="24"/>
      <w:lang w:val="en-US" w:eastAsia="en-US"/>
    </w:rPr>
  </w:style>
  <w:style w:type="paragraph" w:customStyle="1" w:styleId="xl66">
    <w:name w:val="xl66"/>
    <w:basedOn w:val="Normal"/>
    <w:uiPriority w:val="99"/>
    <w:rsid w:val="00060470"/>
    <w:pPr>
      <w:pBdr>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67">
    <w:name w:val="xl67"/>
    <w:basedOn w:val="Normal"/>
    <w:uiPriority w:val="99"/>
    <w:rsid w:val="00060470"/>
    <w:pPr>
      <w:spacing w:before="100" w:beforeAutospacing="1" w:after="100" w:afterAutospacing="1" w:line="240" w:lineRule="auto"/>
      <w:ind w:firstLine="0"/>
      <w:contextualSpacing w:val="0"/>
      <w:jc w:val="center"/>
      <w:textAlignment w:val="center"/>
    </w:pPr>
    <w:rPr>
      <w:rFonts w:ascii="Times New Roman" w:hAnsi="Times New Roman"/>
      <w:sz w:val="24"/>
      <w:lang w:val="en-US" w:eastAsia="en-US"/>
    </w:rPr>
  </w:style>
  <w:style w:type="paragraph" w:customStyle="1" w:styleId="xl68">
    <w:name w:val="xl68"/>
    <w:basedOn w:val="Normal"/>
    <w:uiPriority w:val="99"/>
    <w:rsid w:val="00060470"/>
    <w:pPr>
      <w:spacing w:before="100" w:beforeAutospacing="1" w:after="100" w:afterAutospacing="1" w:line="240" w:lineRule="auto"/>
      <w:ind w:firstLine="0"/>
      <w:contextualSpacing w:val="0"/>
      <w:jc w:val="right"/>
      <w:textAlignment w:val="top"/>
    </w:pPr>
    <w:rPr>
      <w:rFonts w:ascii="Times Armenian" w:hAnsi="Times Armenian"/>
      <w:sz w:val="18"/>
      <w:szCs w:val="18"/>
      <w:lang w:val="en-US" w:eastAsia="en-US"/>
    </w:rPr>
  </w:style>
  <w:style w:type="paragraph" w:customStyle="1" w:styleId="xl69">
    <w:name w:val="xl69"/>
    <w:basedOn w:val="Normal"/>
    <w:uiPriority w:val="99"/>
    <w:rsid w:val="00060470"/>
    <w:pPr>
      <w:spacing w:before="100" w:beforeAutospacing="1" w:after="100" w:afterAutospacing="1" w:line="240" w:lineRule="auto"/>
      <w:ind w:firstLine="0"/>
      <w:contextualSpacing w:val="0"/>
      <w:textAlignment w:val="top"/>
    </w:pPr>
    <w:rPr>
      <w:rFonts w:ascii="Times Armenian" w:hAnsi="Times Armenian"/>
      <w:sz w:val="18"/>
      <w:szCs w:val="18"/>
      <w:lang w:val="en-US" w:eastAsia="en-US"/>
    </w:rPr>
  </w:style>
  <w:style w:type="paragraph" w:customStyle="1" w:styleId="xl70">
    <w:name w:val="xl70"/>
    <w:basedOn w:val="Normal"/>
    <w:uiPriority w:val="99"/>
    <w:rsid w:val="00060470"/>
    <w:pPr>
      <w:pBdr>
        <w:top w:val="double" w:sz="6" w:space="0" w:color="auto"/>
        <w:left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71">
    <w:name w:val="xl71"/>
    <w:basedOn w:val="Normal"/>
    <w:uiPriority w:val="99"/>
    <w:rsid w:val="00060470"/>
    <w:pPr>
      <w:pBdr>
        <w:top w:val="double" w:sz="6" w:space="0" w:color="auto"/>
        <w:left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72">
    <w:name w:val="xl72"/>
    <w:basedOn w:val="Normal"/>
    <w:uiPriority w:val="99"/>
    <w:rsid w:val="00060470"/>
    <w:pPr>
      <w:pBdr>
        <w:top w:val="double" w:sz="6" w:space="0" w:color="auto"/>
        <w:lef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73">
    <w:name w:val="xl73"/>
    <w:basedOn w:val="Normal"/>
    <w:uiPriority w:val="99"/>
    <w:rsid w:val="00060470"/>
    <w:pPr>
      <w:pBdr>
        <w:top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74">
    <w:name w:val="xl74"/>
    <w:basedOn w:val="Normal"/>
    <w:uiPriority w:val="99"/>
    <w:rsid w:val="00060470"/>
    <w:pPr>
      <w:pBdr>
        <w:top w:val="double" w:sz="6" w:space="0" w:color="auto"/>
        <w:left w:val="single" w:sz="8" w:space="0" w:color="auto"/>
        <w:bottom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75">
    <w:name w:val="xl75"/>
    <w:basedOn w:val="Normal"/>
    <w:uiPriority w:val="99"/>
    <w:rsid w:val="00060470"/>
    <w:pPr>
      <w:pBdr>
        <w:top w:val="double" w:sz="6" w:space="0" w:color="auto"/>
        <w:bottom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76">
    <w:name w:val="xl76"/>
    <w:basedOn w:val="Normal"/>
    <w:uiPriority w:val="99"/>
    <w:rsid w:val="00060470"/>
    <w:pPr>
      <w:pBdr>
        <w:top w:val="double" w:sz="6" w:space="0" w:color="auto"/>
        <w:bottom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77">
    <w:name w:val="xl77"/>
    <w:basedOn w:val="Normal"/>
    <w:uiPriority w:val="99"/>
    <w:rsid w:val="00060470"/>
    <w:pPr>
      <w:pBdr>
        <w:left w:val="double" w:sz="6" w:space="0" w:color="auto"/>
        <w:bottom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78">
    <w:name w:val="xl78"/>
    <w:basedOn w:val="Normal"/>
    <w:uiPriority w:val="99"/>
    <w:rsid w:val="00060470"/>
    <w:pPr>
      <w:pBdr>
        <w:left w:val="single" w:sz="8" w:space="0" w:color="auto"/>
        <w:bottom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79">
    <w:name w:val="xl79"/>
    <w:basedOn w:val="Normal"/>
    <w:uiPriority w:val="99"/>
    <w:rsid w:val="00060470"/>
    <w:pPr>
      <w:pBdr>
        <w:left w:val="single" w:sz="8" w:space="0" w:color="auto"/>
        <w:bottom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80">
    <w:name w:val="xl80"/>
    <w:basedOn w:val="Normal"/>
    <w:uiPriority w:val="99"/>
    <w:rsid w:val="00060470"/>
    <w:pPr>
      <w:pBdr>
        <w:bottom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81">
    <w:name w:val="xl81"/>
    <w:basedOn w:val="Normal"/>
    <w:uiPriority w:val="99"/>
    <w:rsid w:val="00060470"/>
    <w:pPr>
      <w:pBdr>
        <w:top w:val="double" w:sz="6" w:space="0" w:color="auto"/>
        <w:left w:val="single" w:sz="8" w:space="0" w:color="auto"/>
      </w:pBdr>
      <w:spacing w:before="100" w:beforeAutospacing="1" w:after="100" w:afterAutospacing="1" w:line="240" w:lineRule="auto"/>
      <w:ind w:firstLine="0"/>
      <w:contextualSpacing w:val="0"/>
      <w:jc w:val="left"/>
      <w:textAlignment w:val="center"/>
    </w:pPr>
    <w:rPr>
      <w:rFonts w:ascii="Times Armenian" w:hAnsi="Times Armenian"/>
      <w:b w:val="0"/>
      <w:bCs/>
      <w:sz w:val="16"/>
      <w:szCs w:val="16"/>
      <w:lang w:val="en-US" w:eastAsia="en-US"/>
    </w:rPr>
  </w:style>
  <w:style w:type="paragraph" w:customStyle="1" w:styleId="xl82">
    <w:name w:val="xl82"/>
    <w:basedOn w:val="Normal"/>
    <w:uiPriority w:val="99"/>
    <w:rsid w:val="00060470"/>
    <w:pPr>
      <w:pBdr>
        <w:top w:val="double" w:sz="6" w:space="0" w:color="auto"/>
        <w:right w:val="single" w:sz="8" w:space="0" w:color="auto"/>
      </w:pBdr>
      <w:spacing w:before="100" w:beforeAutospacing="1" w:after="100" w:afterAutospacing="1" w:line="240" w:lineRule="auto"/>
      <w:ind w:firstLine="0"/>
      <w:contextualSpacing w:val="0"/>
      <w:jc w:val="left"/>
      <w:textAlignment w:val="center"/>
    </w:pPr>
    <w:rPr>
      <w:rFonts w:ascii="Times Armenian" w:hAnsi="Times Armenian"/>
      <w:b w:val="0"/>
      <w:bCs/>
      <w:sz w:val="16"/>
      <w:szCs w:val="16"/>
      <w:lang w:val="en-US" w:eastAsia="en-US"/>
    </w:rPr>
  </w:style>
  <w:style w:type="paragraph" w:customStyle="1" w:styleId="xl83">
    <w:name w:val="xl83"/>
    <w:basedOn w:val="Normal"/>
    <w:uiPriority w:val="99"/>
    <w:rsid w:val="00060470"/>
    <w:pPr>
      <w:pBdr>
        <w:left w:val="single" w:sz="8" w:space="0" w:color="auto"/>
        <w:bottom w:val="double" w:sz="6" w:space="0" w:color="auto"/>
      </w:pBdr>
      <w:spacing w:before="100" w:beforeAutospacing="1" w:after="100" w:afterAutospacing="1" w:line="240" w:lineRule="auto"/>
      <w:ind w:firstLine="0"/>
      <w:contextualSpacing w:val="0"/>
      <w:jc w:val="left"/>
      <w:textAlignment w:val="center"/>
    </w:pPr>
    <w:rPr>
      <w:rFonts w:ascii="Times Armenian" w:hAnsi="Times Armenian"/>
      <w:color w:val="FF0000"/>
      <w:sz w:val="16"/>
      <w:szCs w:val="16"/>
      <w:lang w:val="en-US" w:eastAsia="en-US"/>
    </w:rPr>
  </w:style>
  <w:style w:type="paragraph" w:customStyle="1" w:styleId="xl84">
    <w:name w:val="xl84"/>
    <w:basedOn w:val="Normal"/>
    <w:uiPriority w:val="99"/>
    <w:rsid w:val="00060470"/>
    <w:pPr>
      <w:pBdr>
        <w:bottom w:val="double" w:sz="6" w:space="0" w:color="auto"/>
        <w:right w:val="single" w:sz="8" w:space="0" w:color="auto"/>
      </w:pBdr>
      <w:spacing w:before="100" w:beforeAutospacing="1" w:after="100" w:afterAutospacing="1" w:line="240" w:lineRule="auto"/>
      <w:ind w:firstLine="0"/>
      <w:contextualSpacing w:val="0"/>
      <w:jc w:val="left"/>
      <w:textAlignment w:val="center"/>
    </w:pPr>
    <w:rPr>
      <w:rFonts w:ascii="Times Armenian" w:hAnsi="Times Armenian"/>
      <w:color w:val="FF0000"/>
      <w:sz w:val="16"/>
      <w:szCs w:val="16"/>
      <w:lang w:val="en-US" w:eastAsia="en-US"/>
    </w:rPr>
  </w:style>
  <w:style w:type="paragraph" w:customStyle="1" w:styleId="xl85">
    <w:name w:val="xl85"/>
    <w:basedOn w:val="Normal"/>
    <w:uiPriority w:val="99"/>
    <w:rsid w:val="00060470"/>
    <w:pPr>
      <w:pBdr>
        <w:top w:val="double" w:sz="6" w:space="0" w:color="auto"/>
        <w:left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86">
    <w:name w:val="xl86"/>
    <w:basedOn w:val="Normal"/>
    <w:uiPriority w:val="99"/>
    <w:rsid w:val="00060470"/>
    <w:pPr>
      <w:pBdr>
        <w:top w:val="double" w:sz="6"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87">
    <w:name w:val="xl87"/>
    <w:basedOn w:val="Normal"/>
    <w:uiPriority w:val="99"/>
    <w:rsid w:val="00060470"/>
    <w:pPr>
      <w:pBdr>
        <w:left w:val="single" w:sz="8" w:space="0" w:color="auto"/>
      </w:pBdr>
      <w:spacing w:before="100" w:beforeAutospacing="1" w:after="100" w:afterAutospacing="1" w:line="240" w:lineRule="auto"/>
      <w:ind w:firstLine="0"/>
      <w:contextualSpacing w:val="0"/>
      <w:jc w:val="left"/>
      <w:textAlignment w:val="center"/>
    </w:pPr>
    <w:rPr>
      <w:rFonts w:ascii="Times Armenian" w:hAnsi="Times Armenian"/>
      <w:color w:val="FF0000"/>
      <w:sz w:val="16"/>
      <w:szCs w:val="16"/>
      <w:lang w:val="en-US" w:eastAsia="en-US"/>
    </w:rPr>
  </w:style>
  <w:style w:type="paragraph" w:customStyle="1" w:styleId="xl88">
    <w:name w:val="xl88"/>
    <w:basedOn w:val="Normal"/>
    <w:uiPriority w:val="99"/>
    <w:rsid w:val="00060470"/>
    <w:pPr>
      <w:pBdr>
        <w:right w:val="single" w:sz="8" w:space="0" w:color="auto"/>
      </w:pBdr>
      <w:spacing w:before="100" w:beforeAutospacing="1" w:after="100" w:afterAutospacing="1" w:line="240" w:lineRule="auto"/>
      <w:ind w:firstLine="0"/>
      <w:contextualSpacing w:val="0"/>
      <w:jc w:val="left"/>
      <w:textAlignment w:val="center"/>
    </w:pPr>
    <w:rPr>
      <w:rFonts w:ascii="Times Armenian" w:hAnsi="Times Armenian"/>
      <w:color w:val="FF0000"/>
      <w:sz w:val="16"/>
      <w:szCs w:val="16"/>
      <w:lang w:val="en-US" w:eastAsia="en-US"/>
    </w:rPr>
  </w:style>
  <w:style w:type="paragraph" w:customStyle="1" w:styleId="xl89">
    <w:name w:val="xl89"/>
    <w:basedOn w:val="Normal"/>
    <w:uiPriority w:val="99"/>
    <w:rsid w:val="00060470"/>
    <w:pPr>
      <w:pBdr>
        <w:left w:val="single" w:sz="8" w:space="0" w:color="auto"/>
        <w:bottom w:val="double" w:sz="6" w:space="0" w:color="auto"/>
      </w:pBdr>
      <w:spacing w:before="100" w:beforeAutospacing="1" w:after="100" w:afterAutospacing="1" w:line="240" w:lineRule="auto"/>
      <w:ind w:firstLine="0"/>
      <w:contextualSpacing w:val="0"/>
      <w:textAlignment w:val="center"/>
    </w:pPr>
    <w:rPr>
      <w:rFonts w:ascii="Times Armenian" w:hAnsi="Times Armenian"/>
      <w:sz w:val="16"/>
      <w:szCs w:val="16"/>
      <w:lang w:val="en-US" w:eastAsia="en-US"/>
    </w:rPr>
  </w:style>
  <w:style w:type="paragraph" w:customStyle="1" w:styleId="xl90">
    <w:name w:val="xl90"/>
    <w:basedOn w:val="Normal"/>
    <w:uiPriority w:val="99"/>
    <w:rsid w:val="00060470"/>
    <w:pPr>
      <w:pBdr>
        <w:bottom w:val="double" w:sz="6"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sz w:val="16"/>
      <w:szCs w:val="16"/>
      <w:lang w:val="en-US" w:eastAsia="en-US"/>
    </w:rPr>
  </w:style>
  <w:style w:type="paragraph" w:customStyle="1" w:styleId="xl91">
    <w:name w:val="xl91"/>
    <w:basedOn w:val="Normal"/>
    <w:uiPriority w:val="99"/>
    <w:rsid w:val="00060470"/>
    <w:pPr>
      <w:pBdr>
        <w:bottom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92">
    <w:name w:val="xl92"/>
    <w:basedOn w:val="Normal"/>
    <w:uiPriority w:val="99"/>
    <w:rsid w:val="00060470"/>
    <w:pPr>
      <w:pBdr>
        <w:left w:val="single" w:sz="8" w:space="0" w:color="auto"/>
        <w:bottom w:val="single" w:sz="8" w:space="0" w:color="auto"/>
      </w:pBdr>
      <w:spacing w:before="100" w:beforeAutospacing="1" w:after="100" w:afterAutospacing="1" w:line="240" w:lineRule="auto"/>
      <w:ind w:firstLine="0"/>
      <w:contextualSpacing w:val="0"/>
      <w:textAlignment w:val="center"/>
    </w:pPr>
    <w:rPr>
      <w:rFonts w:ascii="Times Armenian" w:hAnsi="Times Armenian"/>
      <w:color w:val="FF0000"/>
      <w:sz w:val="16"/>
      <w:szCs w:val="16"/>
      <w:lang w:val="en-US" w:eastAsia="en-US"/>
    </w:rPr>
  </w:style>
  <w:style w:type="paragraph" w:customStyle="1" w:styleId="xl93">
    <w:name w:val="xl93"/>
    <w:basedOn w:val="Normal"/>
    <w:uiPriority w:val="99"/>
    <w:rsid w:val="00060470"/>
    <w:pPr>
      <w:pBdr>
        <w:bottom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color w:val="FF0000"/>
      <w:sz w:val="16"/>
      <w:szCs w:val="16"/>
      <w:lang w:val="en-US" w:eastAsia="en-US"/>
    </w:rPr>
  </w:style>
  <w:style w:type="paragraph" w:customStyle="1" w:styleId="xl94">
    <w:name w:val="xl94"/>
    <w:basedOn w:val="Normal"/>
    <w:uiPriority w:val="99"/>
    <w:rsid w:val="00060470"/>
    <w:pPr>
      <w:pBdr>
        <w:top w:val="single" w:sz="8" w:space="0" w:color="auto"/>
        <w:left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95">
    <w:name w:val="xl95"/>
    <w:basedOn w:val="Normal"/>
    <w:uiPriority w:val="99"/>
    <w:rsid w:val="00060470"/>
    <w:pPr>
      <w:pBdr>
        <w:top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96">
    <w:name w:val="xl96"/>
    <w:basedOn w:val="Normal"/>
    <w:uiPriority w:val="99"/>
    <w:rsid w:val="00060470"/>
    <w:pPr>
      <w:pBdr>
        <w:left w:val="single" w:sz="8" w:space="0" w:color="auto"/>
      </w:pBdr>
      <w:spacing w:before="100" w:beforeAutospacing="1" w:after="100" w:afterAutospacing="1" w:line="240" w:lineRule="auto"/>
      <w:ind w:firstLine="0"/>
      <w:contextualSpacing w:val="0"/>
      <w:textAlignment w:val="center"/>
    </w:pPr>
    <w:rPr>
      <w:rFonts w:ascii="Times Armenian" w:hAnsi="Times Armenian"/>
      <w:sz w:val="16"/>
      <w:szCs w:val="16"/>
      <w:lang w:val="en-US" w:eastAsia="en-US"/>
    </w:rPr>
  </w:style>
  <w:style w:type="paragraph" w:customStyle="1" w:styleId="xl97">
    <w:name w:val="xl97"/>
    <w:basedOn w:val="Normal"/>
    <w:uiPriority w:val="99"/>
    <w:rsid w:val="00060470"/>
    <w:pPr>
      <w:pBdr>
        <w:right w:val="single" w:sz="8" w:space="0" w:color="auto"/>
      </w:pBdr>
      <w:spacing w:before="100" w:beforeAutospacing="1" w:after="100" w:afterAutospacing="1" w:line="240" w:lineRule="auto"/>
      <w:ind w:firstLine="0"/>
      <w:contextualSpacing w:val="0"/>
      <w:textAlignment w:val="center"/>
    </w:pPr>
    <w:rPr>
      <w:rFonts w:ascii="Times Armenian" w:hAnsi="Times Armenian"/>
      <w:sz w:val="16"/>
      <w:szCs w:val="16"/>
      <w:lang w:val="en-US" w:eastAsia="en-US"/>
    </w:rPr>
  </w:style>
  <w:style w:type="paragraph" w:customStyle="1" w:styleId="xl98">
    <w:name w:val="xl98"/>
    <w:basedOn w:val="Normal"/>
    <w:uiPriority w:val="99"/>
    <w:rsid w:val="00060470"/>
    <w:pPr>
      <w:pBdr>
        <w:right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99">
    <w:name w:val="xl99"/>
    <w:basedOn w:val="Normal"/>
    <w:uiPriority w:val="99"/>
    <w:rsid w:val="00060470"/>
    <w:pPr>
      <w:pBdr>
        <w:bottom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sz w:val="16"/>
      <w:szCs w:val="16"/>
      <w:lang w:val="en-US" w:eastAsia="en-US"/>
    </w:rPr>
  </w:style>
  <w:style w:type="paragraph" w:customStyle="1" w:styleId="xl100">
    <w:name w:val="xl100"/>
    <w:basedOn w:val="Normal"/>
    <w:uiPriority w:val="99"/>
    <w:rsid w:val="00060470"/>
    <w:pPr>
      <w:pBdr>
        <w:bottom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101">
    <w:name w:val="xl101"/>
    <w:basedOn w:val="Normal"/>
    <w:uiPriority w:val="99"/>
    <w:rsid w:val="00060470"/>
    <w:pPr>
      <w:pBdr>
        <w:left w:val="single" w:sz="8" w:space="0" w:color="auto"/>
      </w:pBdr>
      <w:spacing w:before="100" w:beforeAutospacing="1" w:after="100" w:afterAutospacing="1" w:line="240" w:lineRule="auto"/>
      <w:ind w:firstLine="0"/>
      <w:contextualSpacing w:val="0"/>
      <w:textAlignment w:val="center"/>
    </w:pPr>
    <w:rPr>
      <w:rFonts w:ascii="Times Armenian" w:hAnsi="Times Armenian"/>
      <w:color w:val="FF0000"/>
      <w:sz w:val="16"/>
      <w:szCs w:val="16"/>
      <w:lang w:val="en-US" w:eastAsia="en-US"/>
    </w:rPr>
  </w:style>
  <w:style w:type="paragraph" w:customStyle="1" w:styleId="xl102">
    <w:name w:val="xl102"/>
    <w:basedOn w:val="Normal"/>
    <w:uiPriority w:val="99"/>
    <w:rsid w:val="00060470"/>
    <w:pPr>
      <w:pBdr>
        <w:right w:val="single" w:sz="8" w:space="0" w:color="auto"/>
      </w:pBdr>
      <w:spacing w:before="100" w:beforeAutospacing="1" w:after="100" w:afterAutospacing="1" w:line="240" w:lineRule="auto"/>
      <w:ind w:firstLine="0"/>
      <w:contextualSpacing w:val="0"/>
      <w:textAlignment w:val="center"/>
    </w:pPr>
    <w:rPr>
      <w:rFonts w:ascii="Times Armenian" w:hAnsi="Times Armenian"/>
      <w:color w:val="FF0000"/>
      <w:sz w:val="16"/>
      <w:szCs w:val="16"/>
      <w:lang w:val="en-US" w:eastAsia="en-US"/>
    </w:rPr>
  </w:style>
  <w:style w:type="paragraph" w:customStyle="1" w:styleId="xl103">
    <w:name w:val="xl103"/>
    <w:basedOn w:val="Normal"/>
    <w:uiPriority w:val="99"/>
    <w:rsid w:val="00060470"/>
    <w:pPr>
      <w:pBdr>
        <w:bottom w:val="double" w:sz="6"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04">
    <w:name w:val="xl104"/>
    <w:basedOn w:val="Normal"/>
    <w:uiPriority w:val="99"/>
    <w:rsid w:val="00060470"/>
    <w:pPr>
      <w:spacing w:before="100" w:beforeAutospacing="1" w:after="100" w:afterAutospacing="1" w:line="240" w:lineRule="auto"/>
      <w:ind w:firstLine="0"/>
      <w:contextualSpacing w:val="0"/>
      <w:jc w:val="left"/>
      <w:textAlignment w:val="center"/>
    </w:pPr>
    <w:rPr>
      <w:rFonts w:ascii="Calibri" w:hAnsi="Calibri"/>
      <w:sz w:val="24"/>
      <w:lang w:val="en-US" w:eastAsia="en-US"/>
    </w:rPr>
  </w:style>
  <w:style w:type="paragraph" w:customStyle="1" w:styleId="xl105">
    <w:name w:val="xl105"/>
    <w:basedOn w:val="Normal"/>
    <w:uiPriority w:val="99"/>
    <w:rsid w:val="00060470"/>
    <w:pPr>
      <w:pBdr>
        <w:top w:val="single" w:sz="8" w:space="0" w:color="auto"/>
        <w:left w:val="single" w:sz="8" w:space="0" w:color="auto"/>
        <w:bottom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06">
    <w:name w:val="xl106"/>
    <w:basedOn w:val="Normal"/>
    <w:uiPriority w:val="99"/>
    <w:rsid w:val="00060470"/>
    <w:pPr>
      <w:pBdr>
        <w:top w:val="single" w:sz="8" w:space="0" w:color="auto"/>
        <w:bottom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07">
    <w:name w:val="xl107"/>
    <w:basedOn w:val="Normal"/>
    <w:uiPriority w:val="99"/>
    <w:rsid w:val="00060470"/>
    <w:pPr>
      <w:pBdr>
        <w:top w:val="single" w:sz="8" w:space="0" w:color="auto"/>
        <w:bottom w:val="double" w:sz="6"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08">
    <w:name w:val="xl108"/>
    <w:basedOn w:val="Normal"/>
    <w:uiPriority w:val="99"/>
    <w:rsid w:val="00060470"/>
    <w:pPr>
      <w:pBdr>
        <w:top w:val="double" w:sz="6" w:space="0" w:color="auto"/>
        <w:left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109">
    <w:name w:val="xl109"/>
    <w:basedOn w:val="Normal"/>
    <w:uiPriority w:val="99"/>
    <w:rsid w:val="00060470"/>
    <w:pPr>
      <w:pBdr>
        <w:top w:val="double" w:sz="6" w:space="0" w:color="auto"/>
        <w:left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10">
    <w:name w:val="xl110"/>
    <w:basedOn w:val="Normal"/>
    <w:uiPriority w:val="99"/>
    <w:rsid w:val="00060470"/>
    <w:pPr>
      <w:pBdr>
        <w:top w:val="double" w:sz="6" w:space="0" w:color="auto"/>
        <w:lef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11">
    <w:name w:val="xl111"/>
    <w:basedOn w:val="Normal"/>
    <w:uiPriority w:val="99"/>
    <w:rsid w:val="00060470"/>
    <w:pPr>
      <w:pBdr>
        <w:top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12">
    <w:name w:val="xl112"/>
    <w:basedOn w:val="Normal"/>
    <w:uiPriority w:val="99"/>
    <w:rsid w:val="00060470"/>
    <w:pPr>
      <w:pBdr>
        <w:top w:val="double" w:sz="6"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13">
    <w:name w:val="xl113"/>
    <w:basedOn w:val="Normal"/>
    <w:uiPriority w:val="99"/>
    <w:rsid w:val="00060470"/>
    <w:pPr>
      <w:pBdr>
        <w:left w:val="single" w:sz="8" w:space="0" w:color="auto"/>
        <w:bottom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14">
    <w:name w:val="xl114"/>
    <w:basedOn w:val="Normal"/>
    <w:uiPriority w:val="99"/>
    <w:rsid w:val="00060470"/>
    <w:pPr>
      <w:pBdr>
        <w:left w:val="single" w:sz="8" w:space="0" w:color="auto"/>
        <w:bottom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15">
    <w:name w:val="xl115"/>
    <w:basedOn w:val="Normal"/>
    <w:uiPriority w:val="99"/>
    <w:rsid w:val="00060470"/>
    <w:pPr>
      <w:pBdr>
        <w:left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16">
    <w:name w:val="xl116"/>
    <w:basedOn w:val="Normal"/>
    <w:uiPriority w:val="99"/>
    <w:rsid w:val="00060470"/>
    <w:pPr>
      <w:pBdr>
        <w:left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17">
    <w:name w:val="xl117"/>
    <w:basedOn w:val="Normal"/>
    <w:uiPriority w:val="99"/>
    <w:rsid w:val="00060470"/>
    <w:pPr>
      <w:pBdr>
        <w:lef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18">
    <w:name w:val="xl118"/>
    <w:basedOn w:val="Normal"/>
    <w:uiPriority w:val="99"/>
    <w:rsid w:val="00060470"/>
    <w:pPr>
      <w:pBdr>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19">
    <w:name w:val="xl119"/>
    <w:basedOn w:val="Normal"/>
    <w:uiPriority w:val="99"/>
    <w:rsid w:val="00060470"/>
    <w:pPr>
      <w:pBdr>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20">
    <w:name w:val="xl120"/>
    <w:basedOn w:val="Normal"/>
    <w:uiPriority w:val="99"/>
    <w:rsid w:val="00060470"/>
    <w:pPr>
      <w:pBdr>
        <w:left w:val="double" w:sz="6" w:space="0" w:color="auto"/>
        <w:bottom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21">
    <w:name w:val="xl121"/>
    <w:basedOn w:val="Normal"/>
    <w:uiPriority w:val="99"/>
    <w:rsid w:val="00060470"/>
    <w:pPr>
      <w:pBdr>
        <w:left w:val="single" w:sz="8" w:space="0" w:color="auto"/>
        <w:bottom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22">
    <w:name w:val="xl122"/>
    <w:basedOn w:val="Normal"/>
    <w:uiPriority w:val="99"/>
    <w:rsid w:val="00060470"/>
    <w:pPr>
      <w:pBdr>
        <w:left w:val="single" w:sz="8" w:space="0" w:color="auto"/>
        <w:bottom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23">
    <w:name w:val="xl123"/>
    <w:basedOn w:val="Normal"/>
    <w:uiPriority w:val="99"/>
    <w:rsid w:val="00060470"/>
    <w:pPr>
      <w:pBdr>
        <w:bottom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24">
    <w:name w:val="xl124"/>
    <w:basedOn w:val="Normal"/>
    <w:uiPriority w:val="99"/>
    <w:rsid w:val="00060470"/>
    <w:pPr>
      <w:pBdr>
        <w:bottom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25">
    <w:name w:val="xl125"/>
    <w:basedOn w:val="Normal"/>
    <w:uiPriority w:val="99"/>
    <w:rsid w:val="00060470"/>
    <w:pPr>
      <w:pBdr>
        <w:top w:val="single" w:sz="8" w:space="0" w:color="auto"/>
        <w:left w:val="double" w:sz="6"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26">
    <w:name w:val="xl126"/>
    <w:basedOn w:val="Normal"/>
    <w:uiPriority w:val="99"/>
    <w:rsid w:val="00060470"/>
    <w:pPr>
      <w:pBdr>
        <w:top w:val="single" w:sz="8" w:space="0" w:color="auto"/>
        <w:left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127">
    <w:name w:val="xl127"/>
    <w:basedOn w:val="Normal"/>
    <w:uiPriority w:val="99"/>
    <w:rsid w:val="00060470"/>
    <w:pPr>
      <w:pBdr>
        <w:top w:val="single" w:sz="8" w:space="0" w:color="auto"/>
        <w:left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28">
    <w:name w:val="xl128"/>
    <w:basedOn w:val="Normal"/>
    <w:uiPriority w:val="99"/>
    <w:rsid w:val="00060470"/>
    <w:pPr>
      <w:pBdr>
        <w:top w:val="single" w:sz="8" w:space="0" w:color="auto"/>
        <w:lef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29">
    <w:name w:val="xl129"/>
    <w:basedOn w:val="Normal"/>
    <w:uiPriority w:val="99"/>
    <w:rsid w:val="00060470"/>
    <w:pPr>
      <w:pBdr>
        <w:top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30">
    <w:name w:val="xl130"/>
    <w:basedOn w:val="Normal"/>
    <w:uiPriority w:val="99"/>
    <w:rsid w:val="00060470"/>
    <w:pPr>
      <w:pBdr>
        <w:top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31">
    <w:name w:val="xl131"/>
    <w:basedOn w:val="Normal"/>
    <w:uiPriority w:val="99"/>
    <w:rsid w:val="00060470"/>
    <w:pPr>
      <w:pBdr>
        <w:left w:val="single" w:sz="8" w:space="0" w:color="auto"/>
        <w:bottom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132">
    <w:name w:val="xl132"/>
    <w:basedOn w:val="Normal"/>
    <w:uiPriority w:val="99"/>
    <w:rsid w:val="00060470"/>
    <w:pPr>
      <w:pBdr>
        <w:top w:val="single" w:sz="8" w:space="0" w:color="auto"/>
        <w:left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sz w:val="16"/>
      <w:szCs w:val="16"/>
      <w:lang w:val="en-US" w:eastAsia="en-US"/>
    </w:rPr>
  </w:style>
  <w:style w:type="paragraph" w:customStyle="1" w:styleId="xl133">
    <w:name w:val="xl133"/>
    <w:basedOn w:val="Normal"/>
    <w:uiPriority w:val="99"/>
    <w:rsid w:val="00060470"/>
    <w:pPr>
      <w:pBdr>
        <w:top w:val="single" w:sz="8" w:space="0" w:color="auto"/>
        <w:left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34">
    <w:name w:val="xl134"/>
    <w:basedOn w:val="Normal"/>
    <w:uiPriority w:val="99"/>
    <w:rsid w:val="00060470"/>
    <w:pPr>
      <w:pBdr>
        <w:top w:val="single" w:sz="8" w:space="0" w:color="auto"/>
        <w:lef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35">
    <w:name w:val="xl135"/>
    <w:basedOn w:val="Normal"/>
    <w:uiPriority w:val="99"/>
    <w:rsid w:val="00060470"/>
    <w:pPr>
      <w:pBdr>
        <w:top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36">
    <w:name w:val="xl136"/>
    <w:basedOn w:val="Normal"/>
    <w:uiPriority w:val="99"/>
    <w:rsid w:val="00060470"/>
    <w:pPr>
      <w:pBdr>
        <w:top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37">
    <w:name w:val="xl137"/>
    <w:basedOn w:val="Normal"/>
    <w:uiPriority w:val="99"/>
    <w:rsid w:val="00060470"/>
    <w:pPr>
      <w:pBdr>
        <w:left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sz w:val="16"/>
      <w:szCs w:val="16"/>
      <w:lang w:val="en-US" w:eastAsia="en-US"/>
    </w:rPr>
  </w:style>
  <w:style w:type="paragraph" w:customStyle="1" w:styleId="xl138">
    <w:name w:val="xl138"/>
    <w:basedOn w:val="Normal"/>
    <w:uiPriority w:val="99"/>
    <w:rsid w:val="00060470"/>
    <w:pPr>
      <w:pBdr>
        <w:left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39">
    <w:name w:val="xl139"/>
    <w:basedOn w:val="Normal"/>
    <w:uiPriority w:val="99"/>
    <w:rsid w:val="00060470"/>
    <w:pPr>
      <w:pBdr>
        <w:lef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40">
    <w:name w:val="xl140"/>
    <w:basedOn w:val="Normal"/>
    <w:uiPriority w:val="99"/>
    <w:rsid w:val="00060470"/>
    <w:pPr>
      <w:pBdr>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41">
    <w:name w:val="xl141"/>
    <w:basedOn w:val="Normal"/>
    <w:uiPriority w:val="99"/>
    <w:rsid w:val="00060470"/>
    <w:pPr>
      <w:pBdr>
        <w:left w:val="single" w:sz="8" w:space="0" w:color="auto"/>
        <w:bottom w:val="single" w:sz="8" w:space="0" w:color="auto"/>
        <w:right w:val="single" w:sz="8" w:space="0" w:color="auto"/>
      </w:pBdr>
      <w:spacing w:before="100" w:beforeAutospacing="1" w:after="100" w:afterAutospacing="1" w:line="240" w:lineRule="auto"/>
      <w:ind w:firstLine="0"/>
      <w:contextualSpacing w:val="0"/>
      <w:textAlignment w:val="center"/>
    </w:pPr>
    <w:rPr>
      <w:rFonts w:ascii="Times Armenian" w:hAnsi="Times Armenian"/>
      <w:sz w:val="16"/>
      <w:szCs w:val="16"/>
      <w:lang w:val="en-US" w:eastAsia="en-US"/>
    </w:rPr>
  </w:style>
  <w:style w:type="paragraph" w:customStyle="1" w:styleId="xl142">
    <w:name w:val="xl142"/>
    <w:basedOn w:val="Normal"/>
    <w:uiPriority w:val="99"/>
    <w:rsid w:val="00060470"/>
    <w:pPr>
      <w:pBdr>
        <w:left w:val="single" w:sz="8" w:space="0" w:color="auto"/>
        <w:bottom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43">
    <w:name w:val="xl143"/>
    <w:basedOn w:val="Normal"/>
    <w:uiPriority w:val="99"/>
    <w:rsid w:val="00060470"/>
    <w:pPr>
      <w:pBdr>
        <w:left w:val="single" w:sz="8" w:space="0" w:color="auto"/>
        <w:bottom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44">
    <w:name w:val="xl144"/>
    <w:basedOn w:val="Normal"/>
    <w:uiPriority w:val="99"/>
    <w:rsid w:val="00060470"/>
    <w:pPr>
      <w:pBdr>
        <w:bottom w:val="single" w:sz="8" w:space="0" w:color="auto"/>
        <w:right w:val="single" w:sz="8"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45">
    <w:name w:val="xl145"/>
    <w:basedOn w:val="Normal"/>
    <w:uiPriority w:val="99"/>
    <w:rsid w:val="00060470"/>
    <w:pPr>
      <w:pBdr>
        <w:bottom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46">
    <w:name w:val="xl146"/>
    <w:basedOn w:val="Normal"/>
    <w:uiPriority w:val="99"/>
    <w:rsid w:val="00060470"/>
    <w:pPr>
      <w:pBdr>
        <w:left w:val="single" w:sz="8" w:space="0" w:color="auto"/>
        <w:bottom w:val="single" w:sz="8"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147">
    <w:name w:val="xl147"/>
    <w:basedOn w:val="Normal"/>
    <w:uiPriority w:val="99"/>
    <w:rsid w:val="00060470"/>
    <w:pPr>
      <w:pBdr>
        <w:top w:val="single" w:sz="8" w:space="0" w:color="auto"/>
        <w:left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48">
    <w:name w:val="xl148"/>
    <w:basedOn w:val="Normal"/>
    <w:uiPriority w:val="99"/>
    <w:rsid w:val="00060470"/>
    <w:pPr>
      <w:pBdr>
        <w:left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49">
    <w:name w:val="xl149"/>
    <w:basedOn w:val="Normal"/>
    <w:uiPriority w:val="99"/>
    <w:rsid w:val="00060470"/>
    <w:pPr>
      <w:pBdr>
        <w:left w:val="single" w:sz="8" w:space="0" w:color="auto"/>
        <w:bottom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50">
    <w:name w:val="xl150"/>
    <w:basedOn w:val="Normal"/>
    <w:uiPriority w:val="99"/>
    <w:rsid w:val="00060470"/>
    <w:pPr>
      <w:pBdr>
        <w:top w:val="double" w:sz="6" w:space="0" w:color="auto"/>
        <w:left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51">
    <w:name w:val="xl151"/>
    <w:basedOn w:val="Normal"/>
    <w:uiPriority w:val="99"/>
    <w:rsid w:val="00060470"/>
    <w:pPr>
      <w:pBdr>
        <w:left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52">
    <w:name w:val="xl152"/>
    <w:basedOn w:val="Normal"/>
    <w:uiPriority w:val="99"/>
    <w:rsid w:val="00060470"/>
    <w:pPr>
      <w:pBdr>
        <w:left w:val="single" w:sz="8" w:space="0" w:color="auto"/>
        <w:bottom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53">
    <w:name w:val="xl153"/>
    <w:basedOn w:val="Normal"/>
    <w:uiPriority w:val="99"/>
    <w:rsid w:val="00060470"/>
    <w:pPr>
      <w:pBdr>
        <w:top w:val="single" w:sz="8" w:space="0" w:color="auto"/>
        <w:left w:val="single" w:sz="8"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54">
    <w:name w:val="xl154"/>
    <w:basedOn w:val="Normal"/>
    <w:uiPriority w:val="99"/>
    <w:rsid w:val="00060470"/>
    <w:pPr>
      <w:spacing w:before="100" w:beforeAutospacing="1" w:after="100" w:afterAutospacing="1" w:line="240" w:lineRule="auto"/>
      <w:ind w:firstLine="0"/>
      <w:contextualSpacing w:val="0"/>
      <w:jc w:val="center"/>
      <w:textAlignment w:val="center"/>
    </w:pPr>
    <w:rPr>
      <w:rFonts w:ascii="Calibri" w:hAnsi="Calibri"/>
      <w:sz w:val="24"/>
      <w:lang w:val="en-US" w:eastAsia="en-US"/>
    </w:rPr>
  </w:style>
  <w:style w:type="paragraph" w:customStyle="1" w:styleId="xl155">
    <w:name w:val="xl155"/>
    <w:basedOn w:val="Normal"/>
    <w:uiPriority w:val="99"/>
    <w:rsid w:val="00060470"/>
    <w:pPr>
      <w:spacing w:before="100" w:beforeAutospacing="1" w:after="100" w:afterAutospacing="1" w:line="240" w:lineRule="auto"/>
      <w:ind w:firstLine="0"/>
      <w:contextualSpacing w:val="0"/>
      <w:jc w:val="left"/>
      <w:textAlignment w:val="center"/>
    </w:pPr>
    <w:rPr>
      <w:rFonts w:ascii="Times Armenian" w:hAnsi="Times Armenian"/>
      <w:b w:val="0"/>
      <w:bCs/>
      <w:sz w:val="18"/>
      <w:szCs w:val="18"/>
      <w:lang w:val="en-US" w:eastAsia="en-US"/>
    </w:rPr>
  </w:style>
  <w:style w:type="paragraph" w:customStyle="1" w:styleId="xl156">
    <w:name w:val="xl156"/>
    <w:basedOn w:val="Normal"/>
    <w:uiPriority w:val="99"/>
    <w:rsid w:val="00060470"/>
    <w:pPr>
      <w:pBdr>
        <w:top w:val="single" w:sz="8" w:space="0" w:color="auto"/>
        <w:left w:val="single" w:sz="8" w:space="0" w:color="auto"/>
        <w:bottom w:val="double" w:sz="6"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sz w:val="16"/>
      <w:szCs w:val="16"/>
      <w:lang w:val="en-US" w:eastAsia="en-US"/>
    </w:rPr>
  </w:style>
  <w:style w:type="paragraph" w:customStyle="1" w:styleId="xl157">
    <w:name w:val="xl157"/>
    <w:basedOn w:val="Normal"/>
    <w:uiPriority w:val="99"/>
    <w:rsid w:val="00060470"/>
    <w:pPr>
      <w:pBdr>
        <w:left w:val="single" w:sz="8" w:space="0" w:color="auto"/>
        <w:bottom w:val="double" w:sz="6" w:space="0" w:color="auto"/>
        <w:right w:val="double" w:sz="6" w:space="0" w:color="auto"/>
      </w:pBdr>
      <w:spacing w:before="100" w:beforeAutospacing="1" w:after="100" w:afterAutospacing="1" w:line="240" w:lineRule="auto"/>
      <w:ind w:firstLine="0"/>
      <w:contextualSpacing w:val="0"/>
      <w:jc w:val="center"/>
      <w:textAlignment w:val="center"/>
    </w:pPr>
    <w:rPr>
      <w:rFonts w:ascii="Times Armenian" w:hAnsi="Times Armenian"/>
      <w:b w:val="0"/>
      <w:bCs/>
      <w:sz w:val="16"/>
      <w:szCs w:val="16"/>
      <w:lang w:val="en-US" w:eastAsia="en-US"/>
    </w:rPr>
  </w:style>
  <w:style w:type="paragraph" w:customStyle="1" w:styleId="xl158">
    <w:name w:val="xl158"/>
    <w:basedOn w:val="Normal"/>
    <w:uiPriority w:val="99"/>
    <w:rsid w:val="00060470"/>
    <w:pPr>
      <w:pBdr>
        <w:top w:val="double" w:sz="6" w:space="0" w:color="auto"/>
        <w:left w:val="single" w:sz="8" w:space="0" w:color="auto"/>
        <w:right w:val="double" w:sz="6"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159">
    <w:name w:val="xl159"/>
    <w:basedOn w:val="Normal"/>
    <w:uiPriority w:val="99"/>
    <w:rsid w:val="00060470"/>
    <w:pPr>
      <w:pBdr>
        <w:left w:val="single" w:sz="8" w:space="0" w:color="auto"/>
        <w:bottom w:val="single" w:sz="8" w:space="0" w:color="auto"/>
        <w:right w:val="double" w:sz="6"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160">
    <w:name w:val="xl160"/>
    <w:basedOn w:val="Normal"/>
    <w:uiPriority w:val="99"/>
    <w:rsid w:val="00060470"/>
    <w:pPr>
      <w:pBdr>
        <w:top w:val="single" w:sz="8" w:space="0" w:color="auto"/>
        <w:left w:val="single" w:sz="8" w:space="0" w:color="auto"/>
        <w:right w:val="double" w:sz="6" w:space="0" w:color="auto"/>
      </w:pBdr>
      <w:spacing w:before="100" w:beforeAutospacing="1" w:after="100" w:afterAutospacing="1" w:line="240" w:lineRule="auto"/>
      <w:ind w:firstLine="0"/>
      <w:contextualSpacing w:val="0"/>
      <w:textAlignment w:val="center"/>
    </w:pPr>
    <w:rPr>
      <w:rFonts w:ascii="Times Armenian" w:hAnsi="Times Armenian"/>
      <w:b w:val="0"/>
      <w:bCs/>
      <w:sz w:val="16"/>
      <w:szCs w:val="16"/>
      <w:lang w:val="en-US" w:eastAsia="en-US"/>
    </w:rPr>
  </w:style>
  <w:style w:type="paragraph" w:customStyle="1" w:styleId="xl161">
    <w:name w:val="xl161"/>
    <w:basedOn w:val="Normal"/>
    <w:uiPriority w:val="99"/>
    <w:rsid w:val="00060470"/>
    <w:pPr>
      <w:spacing w:before="100" w:beforeAutospacing="1" w:after="100" w:afterAutospacing="1" w:line="240" w:lineRule="auto"/>
      <w:ind w:firstLine="0"/>
      <w:contextualSpacing w:val="0"/>
      <w:jc w:val="left"/>
      <w:textAlignment w:val="center"/>
    </w:pPr>
    <w:rPr>
      <w:rFonts w:ascii="Times Armenian" w:hAnsi="Times Armenian"/>
      <w:b w:val="0"/>
      <w:bCs/>
      <w:sz w:val="18"/>
      <w:szCs w:val="18"/>
      <w:u w:val="single"/>
      <w:lang w:val="en-US" w:eastAsia="en-US"/>
    </w:rPr>
  </w:style>
  <w:style w:type="paragraph" w:customStyle="1" w:styleId="xl24">
    <w:name w:val="xl24"/>
    <w:basedOn w:val="Normal"/>
    <w:uiPriority w:val="99"/>
    <w:rsid w:val="00060470"/>
    <w:pPr>
      <w:spacing w:before="100" w:beforeAutospacing="1" w:after="100" w:afterAutospacing="1" w:line="240" w:lineRule="auto"/>
      <w:ind w:firstLine="0"/>
      <w:contextualSpacing w:val="0"/>
      <w:jc w:val="left"/>
      <w:textAlignment w:val="top"/>
    </w:pPr>
    <w:rPr>
      <w:rFonts w:ascii="Times Armenian" w:eastAsia="Arial Unicode MS" w:hAnsi="Times Armenian" w:cs="Arial Unicode MS"/>
      <w:b w:val="0"/>
      <w:bCs/>
      <w:szCs w:val="22"/>
      <w:lang w:val="en-US" w:eastAsia="en-US"/>
    </w:rPr>
  </w:style>
  <w:style w:type="paragraph" w:customStyle="1" w:styleId="xl26">
    <w:name w:val="xl26"/>
    <w:basedOn w:val="Normal"/>
    <w:uiPriority w:val="99"/>
    <w:rsid w:val="00060470"/>
    <w:pPr>
      <w:pBdr>
        <w:left w:val="single" w:sz="4" w:space="0" w:color="auto"/>
        <w:bottom w:val="single" w:sz="4" w:space="0" w:color="auto"/>
        <w:right w:val="single" w:sz="4" w:space="0" w:color="auto"/>
      </w:pBdr>
      <w:spacing w:before="100" w:beforeAutospacing="1" w:after="100" w:afterAutospacing="1" w:line="240" w:lineRule="auto"/>
      <w:ind w:firstLine="0"/>
      <w:contextualSpacing w:val="0"/>
      <w:jc w:val="left"/>
      <w:textAlignment w:val="top"/>
    </w:pPr>
    <w:rPr>
      <w:rFonts w:ascii="Times Armenian" w:eastAsia="Arial Unicode MS" w:hAnsi="Times Armenian" w:cs="Arial Unicode MS"/>
      <w:b w:val="0"/>
      <w:bCs/>
      <w:szCs w:val="22"/>
      <w:lang w:val="en-US" w:eastAsia="en-US"/>
    </w:rPr>
  </w:style>
  <w:style w:type="paragraph" w:customStyle="1" w:styleId="xl27">
    <w:name w:val="xl27"/>
    <w:basedOn w:val="Normal"/>
    <w:uiPriority w:val="99"/>
    <w:rsid w:val="00060470"/>
    <w:pPr>
      <w:pBdr>
        <w:bottom w:val="single" w:sz="4" w:space="0" w:color="auto"/>
      </w:pBdr>
      <w:spacing w:before="100" w:beforeAutospacing="1" w:after="100" w:afterAutospacing="1" w:line="240" w:lineRule="auto"/>
      <w:ind w:firstLine="0"/>
      <w:contextualSpacing w:val="0"/>
      <w:jc w:val="left"/>
      <w:textAlignment w:val="top"/>
    </w:pPr>
    <w:rPr>
      <w:rFonts w:ascii="Times Armenian" w:eastAsia="Arial Unicode MS" w:hAnsi="Times Armenian" w:cs="Arial Unicode MS"/>
      <w:szCs w:val="22"/>
      <w:lang w:val="en-US" w:eastAsia="en-US"/>
    </w:rPr>
  </w:style>
  <w:style w:type="paragraph" w:customStyle="1" w:styleId="xl28">
    <w:name w:val="xl28"/>
    <w:basedOn w:val="Normal"/>
    <w:uiPriority w:val="99"/>
    <w:rsid w:val="00060470"/>
    <w:pPr>
      <w:pBdr>
        <w:left w:val="single" w:sz="4" w:space="0" w:color="auto"/>
        <w:bottom w:val="single" w:sz="4" w:space="0" w:color="auto"/>
        <w:right w:val="single" w:sz="4" w:space="0" w:color="auto"/>
      </w:pBdr>
      <w:spacing w:before="100" w:beforeAutospacing="1" w:after="100" w:afterAutospacing="1" w:line="240" w:lineRule="auto"/>
      <w:ind w:firstLine="0"/>
      <w:contextualSpacing w:val="0"/>
      <w:jc w:val="left"/>
      <w:textAlignment w:val="top"/>
    </w:pPr>
    <w:rPr>
      <w:rFonts w:ascii="Times Armenian" w:eastAsia="Arial Unicode MS" w:hAnsi="Times Armenian" w:cs="Arial Unicode MS"/>
      <w:szCs w:val="22"/>
      <w:lang w:val="en-US" w:eastAsia="en-US"/>
    </w:rPr>
  </w:style>
  <w:style w:type="paragraph" w:customStyle="1" w:styleId="xl29">
    <w:name w:val="xl29"/>
    <w:basedOn w:val="Normal"/>
    <w:uiPriority w:val="99"/>
    <w:rsid w:val="00060470"/>
    <w:pPr>
      <w:pBdr>
        <w:bottom w:val="single" w:sz="4" w:space="0" w:color="auto"/>
        <w:right w:val="single" w:sz="4" w:space="0" w:color="auto"/>
      </w:pBdr>
      <w:spacing w:before="100" w:beforeAutospacing="1" w:after="100" w:afterAutospacing="1" w:line="240" w:lineRule="auto"/>
      <w:ind w:firstLine="0"/>
      <w:contextualSpacing w:val="0"/>
      <w:jc w:val="left"/>
      <w:textAlignment w:val="top"/>
    </w:pPr>
    <w:rPr>
      <w:rFonts w:ascii="Times Armenian" w:eastAsia="Arial Unicode MS" w:hAnsi="Times Armenian" w:cs="Arial Unicode MS"/>
      <w:b w:val="0"/>
      <w:bCs/>
      <w:szCs w:val="22"/>
      <w:lang w:val="en-US" w:eastAsia="en-US"/>
    </w:rPr>
  </w:style>
  <w:style w:type="paragraph" w:customStyle="1" w:styleId="xl30">
    <w:name w:val="xl30"/>
    <w:basedOn w:val="Normal"/>
    <w:uiPriority w:val="99"/>
    <w:rsid w:val="00060470"/>
    <w:pPr>
      <w:pBdr>
        <w:bottom w:val="single" w:sz="4" w:space="0" w:color="auto"/>
      </w:pBdr>
      <w:spacing w:before="100" w:beforeAutospacing="1" w:after="100" w:afterAutospacing="1" w:line="240" w:lineRule="auto"/>
      <w:ind w:firstLine="0"/>
      <w:contextualSpacing w:val="0"/>
      <w:jc w:val="center"/>
      <w:textAlignment w:val="top"/>
    </w:pPr>
    <w:rPr>
      <w:rFonts w:ascii="Times Armenian" w:eastAsia="Arial Unicode MS" w:hAnsi="Times Armenian" w:cs="Arial Unicode MS"/>
      <w:b w:val="0"/>
      <w:bCs/>
      <w:szCs w:val="22"/>
      <w:lang w:val="en-US" w:eastAsia="en-US"/>
    </w:rPr>
  </w:style>
  <w:style w:type="paragraph" w:customStyle="1" w:styleId="xl31">
    <w:name w:val="xl31"/>
    <w:basedOn w:val="Normal"/>
    <w:uiPriority w:val="99"/>
    <w:rsid w:val="00060470"/>
    <w:pPr>
      <w:pBdr>
        <w:left w:val="single" w:sz="4" w:space="0" w:color="auto"/>
        <w:bottom w:val="single" w:sz="4" w:space="0" w:color="auto"/>
      </w:pBdr>
      <w:spacing w:before="100" w:beforeAutospacing="1" w:after="100" w:afterAutospacing="1" w:line="240" w:lineRule="auto"/>
      <w:ind w:firstLine="0"/>
      <w:contextualSpacing w:val="0"/>
      <w:jc w:val="center"/>
      <w:textAlignment w:val="top"/>
    </w:pPr>
    <w:rPr>
      <w:rFonts w:ascii="Times Armenian" w:eastAsia="Arial Unicode MS" w:hAnsi="Times Armenian" w:cs="Arial Unicode MS"/>
      <w:b w:val="0"/>
      <w:bCs/>
      <w:sz w:val="24"/>
      <w:lang w:val="en-US" w:eastAsia="en-US"/>
    </w:rPr>
  </w:style>
  <w:style w:type="paragraph" w:customStyle="1" w:styleId="xl32">
    <w:name w:val="xl32"/>
    <w:basedOn w:val="Normal"/>
    <w:uiPriority w:val="99"/>
    <w:rsid w:val="00060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left"/>
      <w:textAlignment w:val="top"/>
    </w:pPr>
    <w:rPr>
      <w:rFonts w:ascii="Times Armenian" w:eastAsia="Arial Unicode MS" w:hAnsi="Times Armenian" w:cs="Arial Unicode MS"/>
      <w:sz w:val="24"/>
      <w:lang w:val="en-US" w:eastAsia="en-US"/>
    </w:rPr>
  </w:style>
  <w:style w:type="paragraph" w:customStyle="1" w:styleId="xl33">
    <w:name w:val="xl33"/>
    <w:basedOn w:val="Normal"/>
    <w:uiPriority w:val="99"/>
    <w:rsid w:val="00060470"/>
    <w:pPr>
      <w:pBdr>
        <w:top w:val="single" w:sz="4" w:space="0" w:color="auto"/>
        <w:left w:val="single" w:sz="4" w:space="0" w:color="auto"/>
        <w:bottom w:val="single" w:sz="4" w:space="0" w:color="auto"/>
      </w:pBdr>
      <w:spacing w:before="100" w:beforeAutospacing="1" w:after="100" w:afterAutospacing="1" w:line="240" w:lineRule="auto"/>
      <w:ind w:firstLine="0"/>
      <w:contextualSpacing w:val="0"/>
      <w:jc w:val="left"/>
      <w:textAlignment w:val="top"/>
    </w:pPr>
    <w:rPr>
      <w:rFonts w:ascii="Times Armenian" w:eastAsia="Arial Unicode MS" w:hAnsi="Times Armenian" w:cs="Arial Unicode MS"/>
      <w:sz w:val="24"/>
      <w:lang w:val="en-US" w:eastAsia="en-US"/>
    </w:rPr>
  </w:style>
  <w:style w:type="paragraph" w:customStyle="1" w:styleId="xl34">
    <w:name w:val="xl34"/>
    <w:basedOn w:val="Normal"/>
    <w:uiPriority w:val="99"/>
    <w:rsid w:val="00060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left"/>
      <w:textAlignment w:val="top"/>
    </w:pPr>
    <w:rPr>
      <w:rFonts w:ascii="Times Armenian" w:eastAsia="Arial Unicode MS" w:hAnsi="Times Armenian" w:cs="Arial Unicode MS"/>
      <w:b w:val="0"/>
      <w:bCs/>
      <w:sz w:val="24"/>
      <w:lang w:val="en-US" w:eastAsia="en-US"/>
    </w:rPr>
  </w:style>
  <w:style w:type="paragraph" w:customStyle="1" w:styleId="xl35">
    <w:name w:val="xl35"/>
    <w:basedOn w:val="Normal"/>
    <w:uiPriority w:val="99"/>
    <w:rsid w:val="00060470"/>
    <w:pPr>
      <w:pBdr>
        <w:top w:val="single" w:sz="4" w:space="0" w:color="auto"/>
        <w:left w:val="single" w:sz="4" w:space="0" w:color="auto"/>
        <w:bottom w:val="single" w:sz="4" w:space="0" w:color="auto"/>
      </w:pBdr>
      <w:spacing w:before="100" w:beforeAutospacing="1" w:after="100" w:afterAutospacing="1" w:line="240" w:lineRule="auto"/>
      <w:ind w:firstLine="0"/>
      <w:contextualSpacing w:val="0"/>
      <w:jc w:val="left"/>
      <w:textAlignment w:val="top"/>
    </w:pPr>
    <w:rPr>
      <w:rFonts w:ascii="Times Armenian" w:eastAsia="Arial Unicode MS" w:hAnsi="Times Armenian" w:cs="Arial Unicode MS"/>
      <w:b w:val="0"/>
      <w:bCs/>
      <w:sz w:val="24"/>
      <w:lang w:val="en-US" w:eastAsia="en-US"/>
    </w:rPr>
  </w:style>
  <w:style w:type="paragraph" w:customStyle="1" w:styleId="xl36">
    <w:name w:val="xl36"/>
    <w:basedOn w:val="Normal"/>
    <w:rsid w:val="00060470"/>
    <w:pPr>
      <w:pBdr>
        <w:top w:val="single" w:sz="4" w:space="0" w:color="auto"/>
        <w:left w:val="single" w:sz="4" w:space="0" w:color="auto"/>
        <w:bottom w:val="single" w:sz="4" w:space="0" w:color="auto"/>
      </w:pBdr>
      <w:spacing w:before="100" w:beforeAutospacing="1" w:after="100" w:afterAutospacing="1" w:line="240" w:lineRule="auto"/>
      <w:ind w:firstLine="0"/>
      <w:contextualSpacing w:val="0"/>
      <w:jc w:val="left"/>
      <w:textAlignment w:val="top"/>
    </w:pPr>
    <w:rPr>
      <w:rFonts w:ascii="Times Armenian" w:eastAsia="Arial Unicode MS" w:hAnsi="Times Armenian" w:cs="Arial Unicode MS"/>
      <w:sz w:val="24"/>
      <w:lang w:val="en-US" w:eastAsia="en-US"/>
    </w:rPr>
  </w:style>
  <w:style w:type="paragraph" w:customStyle="1" w:styleId="xl23">
    <w:name w:val="xl23"/>
    <w:basedOn w:val="Normal"/>
    <w:uiPriority w:val="99"/>
    <w:rsid w:val="00060470"/>
    <w:pPr>
      <w:spacing w:before="100" w:beforeAutospacing="1" w:after="100" w:afterAutospacing="1" w:line="240" w:lineRule="auto"/>
      <w:ind w:firstLine="0"/>
      <w:contextualSpacing w:val="0"/>
      <w:jc w:val="center"/>
      <w:textAlignment w:val="center"/>
    </w:pPr>
    <w:rPr>
      <w:rFonts w:ascii="Times Armenian" w:hAnsi="Times Armenian"/>
      <w:sz w:val="24"/>
      <w:lang w:val="en-US" w:eastAsia="en-US"/>
    </w:rPr>
  </w:style>
  <w:style w:type="paragraph" w:customStyle="1" w:styleId="xl37">
    <w:name w:val="xl37"/>
    <w:basedOn w:val="Normal"/>
    <w:rsid w:val="00060470"/>
    <w:pPr>
      <w:spacing w:before="100" w:beforeAutospacing="1" w:after="100" w:afterAutospacing="1" w:line="240" w:lineRule="auto"/>
      <w:ind w:firstLine="0"/>
      <w:contextualSpacing w:val="0"/>
      <w:jc w:val="right"/>
      <w:textAlignment w:val="center"/>
    </w:pPr>
    <w:rPr>
      <w:rFonts w:ascii="Times Armenian" w:eastAsia="Arial Unicode MS" w:hAnsi="Times Armenian" w:cs="Arial Unicode MS"/>
      <w:szCs w:val="22"/>
      <w:lang w:val="en-US" w:eastAsia="en-US"/>
    </w:rPr>
  </w:style>
  <w:style w:type="paragraph" w:customStyle="1" w:styleId="xl38">
    <w:name w:val="xl38"/>
    <w:basedOn w:val="Normal"/>
    <w:rsid w:val="00060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center"/>
      <w:textAlignment w:val="center"/>
    </w:pPr>
    <w:rPr>
      <w:rFonts w:ascii="Times Armenian" w:eastAsia="Arial Unicode MS" w:hAnsi="Times Armenian" w:cs="Arial Unicode MS"/>
      <w:sz w:val="24"/>
      <w:lang w:val="en-US" w:eastAsia="en-US"/>
    </w:rPr>
  </w:style>
  <w:style w:type="paragraph" w:customStyle="1" w:styleId="xl39">
    <w:name w:val="xl39"/>
    <w:basedOn w:val="Normal"/>
    <w:rsid w:val="00060470"/>
    <w:pPr>
      <w:pBdr>
        <w:top w:val="single" w:sz="4" w:space="0" w:color="auto"/>
        <w:left w:val="single" w:sz="4" w:space="0" w:color="auto"/>
        <w:right w:val="single" w:sz="4" w:space="0" w:color="auto"/>
      </w:pBdr>
      <w:spacing w:before="100" w:beforeAutospacing="1" w:after="100" w:afterAutospacing="1" w:line="240" w:lineRule="auto"/>
      <w:ind w:firstLine="0"/>
      <w:contextualSpacing w:val="0"/>
      <w:jc w:val="center"/>
      <w:textAlignment w:val="center"/>
    </w:pPr>
    <w:rPr>
      <w:rFonts w:ascii="Times Armenian" w:eastAsia="Arial Unicode MS" w:hAnsi="Times Armenian" w:cs="Arial Unicode MS"/>
      <w:sz w:val="24"/>
      <w:lang w:val="en-US" w:eastAsia="en-US"/>
    </w:rPr>
  </w:style>
  <w:style w:type="paragraph" w:customStyle="1" w:styleId="xl40">
    <w:name w:val="xl40"/>
    <w:basedOn w:val="Normal"/>
    <w:rsid w:val="00060470"/>
    <w:pPr>
      <w:pBdr>
        <w:bottom w:val="single" w:sz="4" w:space="0" w:color="auto"/>
        <w:right w:val="single" w:sz="4" w:space="0" w:color="auto"/>
      </w:pBdr>
      <w:spacing w:before="100" w:beforeAutospacing="1" w:after="100" w:afterAutospacing="1" w:line="240" w:lineRule="auto"/>
      <w:ind w:firstLine="0"/>
      <w:contextualSpacing w:val="0"/>
      <w:jc w:val="left"/>
      <w:textAlignment w:val="center"/>
    </w:pPr>
    <w:rPr>
      <w:rFonts w:ascii="Times Armenian" w:eastAsia="Arial Unicode MS" w:hAnsi="Times Armenian" w:cs="Arial Unicode MS"/>
      <w:sz w:val="24"/>
      <w:lang w:val="en-US" w:eastAsia="en-US"/>
    </w:rPr>
  </w:style>
  <w:style w:type="paragraph" w:customStyle="1" w:styleId="xl41">
    <w:name w:val="xl41"/>
    <w:basedOn w:val="Normal"/>
    <w:rsid w:val="00060470"/>
    <w:pPr>
      <w:pBdr>
        <w:top w:val="single" w:sz="4" w:space="0" w:color="auto"/>
        <w:left w:val="single" w:sz="4" w:space="0" w:color="auto"/>
        <w:right w:val="single" w:sz="4" w:space="0" w:color="auto"/>
      </w:pBdr>
      <w:spacing w:before="100" w:beforeAutospacing="1" w:after="100" w:afterAutospacing="1" w:line="240" w:lineRule="auto"/>
      <w:ind w:firstLine="0"/>
      <w:contextualSpacing w:val="0"/>
      <w:jc w:val="left"/>
      <w:textAlignment w:val="center"/>
    </w:pPr>
    <w:rPr>
      <w:rFonts w:ascii="Times Armenian" w:eastAsia="Arial Unicode MS" w:hAnsi="Times Armenian" w:cs="Arial Unicode MS"/>
      <w:sz w:val="24"/>
      <w:lang w:val="en-US" w:eastAsia="en-US"/>
    </w:rPr>
  </w:style>
  <w:style w:type="paragraph" w:customStyle="1" w:styleId="xl42">
    <w:name w:val="xl42"/>
    <w:basedOn w:val="Normal"/>
    <w:rsid w:val="00060470"/>
    <w:pPr>
      <w:pBdr>
        <w:left w:val="single" w:sz="4" w:space="0" w:color="auto"/>
        <w:right w:val="single" w:sz="4" w:space="0" w:color="auto"/>
      </w:pBdr>
      <w:spacing w:before="100" w:beforeAutospacing="1" w:after="100" w:afterAutospacing="1" w:line="240" w:lineRule="auto"/>
      <w:ind w:firstLine="0"/>
      <w:contextualSpacing w:val="0"/>
      <w:jc w:val="left"/>
      <w:textAlignment w:val="center"/>
    </w:pPr>
    <w:rPr>
      <w:rFonts w:ascii="Times Armenian" w:eastAsia="Arial Unicode MS" w:hAnsi="Times Armenian" w:cs="Arial Unicode MS"/>
      <w:sz w:val="24"/>
      <w:lang w:val="en-US" w:eastAsia="en-US"/>
    </w:rPr>
  </w:style>
  <w:style w:type="paragraph" w:customStyle="1" w:styleId="xl45">
    <w:name w:val="xl45"/>
    <w:basedOn w:val="Normal"/>
    <w:rsid w:val="00060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center"/>
      <w:textAlignment w:val="center"/>
    </w:pPr>
    <w:rPr>
      <w:rFonts w:ascii="Times Armenian" w:eastAsia="Arial Unicode MS" w:hAnsi="Times Armenian" w:cs="Arial Unicode MS"/>
      <w:b w:val="0"/>
      <w:bCs/>
      <w:sz w:val="24"/>
      <w:lang w:val="en-US" w:eastAsia="en-US"/>
    </w:rPr>
  </w:style>
  <w:style w:type="paragraph" w:customStyle="1" w:styleId="xl46">
    <w:name w:val="xl46"/>
    <w:basedOn w:val="Normal"/>
    <w:rsid w:val="00060470"/>
    <w:pPr>
      <w:spacing w:before="100" w:beforeAutospacing="1" w:after="100" w:afterAutospacing="1" w:line="240" w:lineRule="auto"/>
      <w:ind w:firstLine="0"/>
      <w:contextualSpacing w:val="0"/>
      <w:jc w:val="center"/>
      <w:textAlignment w:val="center"/>
    </w:pPr>
    <w:rPr>
      <w:rFonts w:ascii="Times Armenian" w:eastAsia="Arial Unicode MS" w:hAnsi="Times Armenian" w:cs="Arial Unicode MS"/>
      <w:b w:val="0"/>
      <w:bCs/>
      <w:szCs w:val="22"/>
      <w:u w:val="single"/>
      <w:lang w:val="en-US" w:eastAsia="en-US"/>
    </w:rPr>
  </w:style>
  <w:style w:type="paragraph" w:customStyle="1" w:styleId="xl47">
    <w:name w:val="xl47"/>
    <w:basedOn w:val="Normal"/>
    <w:rsid w:val="00060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contextualSpacing w:val="0"/>
      <w:jc w:val="center"/>
      <w:textAlignment w:val="center"/>
    </w:pPr>
    <w:rPr>
      <w:rFonts w:ascii="Times Armenian" w:eastAsia="Arial Unicode MS" w:hAnsi="Times Armenian" w:cs="Arial Unicode MS"/>
      <w:sz w:val="24"/>
      <w:lang w:val="en-US" w:eastAsia="en-US"/>
    </w:rPr>
  </w:style>
  <w:style w:type="paragraph" w:customStyle="1" w:styleId="xl48">
    <w:name w:val="xl48"/>
    <w:basedOn w:val="Normal"/>
    <w:rsid w:val="00060470"/>
    <w:pPr>
      <w:spacing w:before="100" w:beforeAutospacing="1" w:after="100" w:afterAutospacing="1" w:line="240" w:lineRule="auto"/>
      <w:ind w:firstLine="0"/>
      <w:contextualSpacing w:val="0"/>
      <w:jc w:val="right"/>
      <w:textAlignment w:val="center"/>
    </w:pPr>
    <w:rPr>
      <w:rFonts w:ascii="Times Armenian" w:eastAsia="Arial Unicode MS" w:hAnsi="Times Armenian" w:cs="Arial Unicode MS"/>
      <w:szCs w:val="22"/>
      <w:lang w:val="en-US" w:eastAsia="en-US"/>
    </w:rPr>
  </w:style>
  <w:style w:type="paragraph" w:customStyle="1" w:styleId="StyleBodyTextArialAMChar">
    <w:name w:val="Style Body Text + Arial AM Char"/>
    <w:basedOn w:val="BodyText"/>
    <w:uiPriority w:val="99"/>
    <w:rsid w:val="00060470"/>
    <w:pPr>
      <w:spacing w:before="0" w:after="240" w:line="240" w:lineRule="auto"/>
      <w:ind w:firstLine="0"/>
      <w:contextualSpacing w:val="0"/>
      <w:jc w:val="both"/>
    </w:pPr>
    <w:rPr>
      <w:rFonts w:ascii="Arial AM" w:hAnsi="Arial AM"/>
      <w:spacing w:val="-5"/>
      <w:sz w:val="24"/>
      <w:lang w:val="en-GB" w:eastAsia="en-US"/>
    </w:rPr>
  </w:style>
  <w:style w:type="paragraph" w:customStyle="1" w:styleId="CharCharChar1">
    <w:name w:val="Char Char Char Знак Знак"/>
    <w:basedOn w:val="Normal"/>
    <w:uiPriority w:val="99"/>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CharCharChar">
    <w:name w:val="Char Char Char Char Char Знак Знак"/>
    <w:basedOn w:val="Normal"/>
    <w:uiPriority w:val="99"/>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a1">
    <w:name w:val="Абзац списка"/>
    <w:basedOn w:val="Normal"/>
    <w:uiPriority w:val="99"/>
    <w:qFormat/>
    <w:rsid w:val="00060470"/>
    <w:pPr>
      <w:spacing w:before="0" w:after="200" w:line="276" w:lineRule="auto"/>
      <w:ind w:left="720" w:firstLine="0"/>
      <w:jc w:val="left"/>
    </w:pPr>
    <w:rPr>
      <w:rFonts w:ascii="Calibri" w:eastAsia="Calibri" w:hAnsi="Calibri"/>
      <w:szCs w:val="22"/>
      <w:lang w:eastAsia="en-US"/>
    </w:rPr>
  </w:style>
  <w:style w:type="paragraph" w:styleId="NoSpacing">
    <w:name w:val="No Spacing"/>
    <w:link w:val="NoSpacingChar"/>
    <w:uiPriority w:val="99"/>
    <w:qFormat/>
    <w:rsid w:val="00060470"/>
    <w:rPr>
      <w:rFonts w:ascii="Calibri" w:eastAsia="Calibri" w:hAnsi="Calibri"/>
      <w:sz w:val="22"/>
      <w:szCs w:val="22"/>
    </w:rPr>
  </w:style>
  <w:style w:type="paragraph" w:customStyle="1" w:styleId="5">
    <w:name w:val="Знак Знак5"/>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subhead3">
    <w:name w:val="sub_head3"/>
    <w:basedOn w:val="Normal"/>
    <w:uiPriority w:val="99"/>
    <w:rsid w:val="00060470"/>
    <w:pPr>
      <w:spacing w:before="0" w:after="120"/>
      <w:ind w:firstLine="0"/>
      <w:contextualSpacing w:val="0"/>
    </w:pPr>
    <w:rPr>
      <w:rFonts w:ascii="Times Armenian" w:hAnsi="Times Armenian"/>
      <w:i/>
      <w:szCs w:val="22"/>
      <w:u w:val="single"/>
      <w:lang w:val="en-US"/>
    </w:rPr>
  </w:style>
  <w:style w:type="paragraph" w:customStyle="1" w:styleId="StyleHeading2ParanumTextLeft">
    <w:name w:val="Style Heading 2ParanumText + Left"/>
    <w:basedOn w:val="Heading2"/>
    <w:uiPriority w:val="99"/>
    <w:rsid w:val="00060470"/>
    <w:pPr>
      <w:widowControl w:val="0"/>
      <w:numPr>
        <w:numId w:val="4"/>
      </w:numPr>
      <w:tabs>
        <w:tab w:val="clear" w:pos="720"/>
        <w:tab w:val="num" w:pos="1440"/>
      </w:tabs>
      <w:spacing w:before="120" w:after="120" w:line="240" w:lineRule="auto"/>
      <w:ind w:left="1440"/>
      <w:contextualSpacing w:val="0"/>
      <w:jc w:val="left"/>
    </w:pPr>
    <w:rPr>
      <w:rFonts w:ascii="Times Armenian" w:hAnsi="Times Armenian"/>
      <w:bCs/>
      <w:kern w:val="28"/>
      <w:sz w:val="28"/>
      <w:szCs w:val="20"/>
      <w:lang w:val="en-GB"/>
    </w:rPr>
  </w:style>
  <w:style w:type="paragraph" w:customStyle="1" w:styleId="annexedhead">
    <w:name w:val="annexed head"/>
    <w:basedOn w:val="Heading2"/>
    <w:uiPriority w:val="99"/>
    <w:rsid w:val="00060470"/>
    <w:pPr>
      <w:widowControl w:val="0"/>
      <w:spacing w:before="120" w:after="120" w:line="240" w:lineRule="auto"/>
      <w:ind w:left="928" w:hanging="360"/>
      <w:contextualSpacing w:val="0"/>
      <w:jc w:val="left"/>
    </w:pPr>
    <w:rPr>
      <w:rFonts w:ascii="Times Armenian" w:hAnsi="Times Armenian"/>
      <w:kern w:val="28"/>
      <w:sz w:val="28"/>
      <w:szCs w:val="20"/>
      <w:lang w:val="en-GB"/>
    </w:rPr>
  </w:style>
  <w:style w:type="paragraph" w:customStyle="1" w:styleId="Tabletitle">
    <w:name w:val="Table_title"/>
    <w:basedOn w:val="Normal"/>
    <w:uiPriority w:val="99"/>
    <w:rsid w:val="00060470"/>
    <w:pPr>
      <w:tabs>
        <w:tab w:val="left" w:pos="9626"/>
        <w:tab w:val="left" w:pos="10916"/>
        <w:tab w:val="left" w:pos="12206"/>
        <w:tab w:val="left" w:pos="13496"/>
      </w:tabs>
      <w:spacing w:before="0" w:line="240" w:lineRule="auto"/>
      <w:ind w:left="108" w:firstLine="0"/>
      <w:contextualSpacing w:val="0"/>
      <w:jc w:val="left"/>
    </w:pPr>
    <w:rPr>
      <w:rFonts w:ascii="Times Armenian" w:hAnsi="Times Armenian" w:cs="Arial"/>
      <w:b w:val="0"/>
      <w:bCs/>
      <w:szCs w:val="22"/>
      <w:lang w:val="en-US"/>
    </w:rPr>
  </w:style>
  <w:style w:type="paragraph" w:customStyle="1" w:styleId="StyleHeading3CenteredtextLinespacingsingle">
    <w:name w:val="Style Heading 3Centered(text) + Line spacing:  single"/>
    <w:basedOn w:val="Heading3"/>
    <w:uiPriority w:val="99"/>
    <w:rsid w:val="00060470"/>
    <w:pPr>
      <w:widowControl w:val="0"/>
      <w:spacing w:before="0"/>
      <w:ind w:left="928" w:hanging="360"/>
      <w:contextualSpacing w:val="0"/>
    </w:pPr>
    <w:rPr>
      <w:rFonts w:ascii="Times Armenian" w:hAnsi="Times Armenian" w:cs="Times New Roman"/>
      <w:bCs w:val="0"/>
      <w:i/>
      <w:iCs/>
      <w:spacing w:val="-5"/>
      <w:szCs w:val="20"/>
    </w:rPr>
  </w:style>
  <w:style w:type="paragraph" w:customStyle="1" w:styleId="Titlefigure">
    <w:name w:val="Title_figure"/>
    <w:basedOn w:val="Caption"/>
    <w:next w:val="Normal"/>
    <w:uiPriority w:val="99"/>
    <w:rsid w:val="00060470"/>
    <w:pPr>
      <w:keepNext/>
      <w:spacing w:before="0" w:after="60" w:line="240" w:lineRule="auto"/>
      <w:ind w:firstLine="0"/>
      <w:contextualSpacing w:val="0"/>
      <w:jc w:val="left"/>
    </w:pPr>
    <w:rPr>
      <w:rFonts w:ascii="Times Armenian" w:hAnsi="Times Armenian"/>
      <w:color w:val="auto"/>
      <w:sz w:val="22"/>
      <w:szCs w:val="20"/>
      <w:lang w:val="en-US"/>
    </w:rPr>
  </w:style>
  <w:style w:type="paragraph" w:customStyle="1" w:styleId="ModelNrmlSingle">
    <w:name w:val="ModelNrmlSingle"/>
    <w:basedOn w:val="Normal"/>
    <w:uiPriority w:val="99"/>
    <w:rsid w:val="00060470"/>
    <w:pPr>
      <w:spacing w:before="0" w:after="240" w:line="240" w:lineRule="auto"/>
      <w:ind w:firstLine="720"/>
      <w:contextualSpacing w:val="0"/>
    </w:pPr>
    <w:rPr>
      <w:rFonts w:ascii="Times New Roman" w:hAnsi="Times New Roman"/>
      <w:szCs w:val="20"/>
      <w:lang w:val="en-US" w:eastAsia="en-US"/>
    </w:rPr>
  </w:style>
  <w:style w:type="paragraph" w:customStyle="1" w:styleId="CharCharCharCharCharCharCharCharCharCharCharCharCharCharChar">
    <w:name w:val="Char Char Char Char Знак Char Знак Char Char Char Char Char Char Char Char Char Char"/>
    <w:basedOn w:val="Normal"/>
    <w:uiPriority w:val="99"/>
    <w:rsid w:val="00060470"/>
    <w:pPr>
      <w:tabs>
        <w:tab w:val="left" w:pos="709"/>
      </w:tabs>
      <w:spacing w:before="0" w:line="240" w:lineRule="auto"/>
      <w:ind w:firstLine="0"/>
      <w:contextualSpacing w:val="0"/>
      <w:jc w:val="left"/>
    </w:pPr>
    <w:rPr>
      <w:rFonts w:ascii="Tahoma" w:hAnsi="Tahoma"/>
      <w:sz w:val="24"/>
      <w:lang w:val="pl-PL" w:eastAsia="pl-PL"/>
    </w:rPr>
  </w:style>
  <w:style w:type="character" w:customStyle="1" w:styleId="hps">
    <w:name w:val="hps"/>
    <w:basedOn w:val="DefaultParagraphFont"/>
    <w:rsid w:val="00060470"/>
  </w:style>
  <w:style w:type="character" w:customStyle="1" w:styleId="CharChar4">
    <w:name w:val="Char Char4"/>
    <w:uiPriority w:val="99"/>
    <w:locked/>
    <w:rsid w:val="00060470"/>
    <w:rPr>
      <w:rFonts w:ascii="Times Armenian" w:hAnsi="Times Armenian"/>
      <w:lang w:val="hy-AM" w:eastAsia="en-US" w:bidi="ar-SA"/>
    </w:rPr>
  </w:style>
  <w:style w:type="character" w:customStyle="1" w:styleId="normChar">
    <w:name w:val="norm Char"/>
    <w:link w:val="norm"/>
    <w:uiPriority w:val="99"/>
    <w:locked/>
    <w:rsid w:val="00060470"/>
    <w:rPr>
      <w:rFonts w:ascii="Arial Armenian" w:hAnsi="Arial Armenian"/>
      <w:sz w:val="22"/>
      <w:lang w:eastAsia="ru-RU"/>
    </w:rPr>
  </w:style>
  <w:style w:type="character" w:customStyle="1" w:styleId="Heading3Char1">
    <w:name w:val="Heading 3 Char1"/>
    <w:aliases w:val="Centered Char,(text) Char,(Sub-Chapter) Char,Heading 3 Char Char Char Char Char Char Char1,Centered Char1,(text) Char1,(Sub-Chapter) Char1"/>
    <w:uiPriority w:val="99"/>
    <w:rsid w:val="00060470"/>
    <w:rPr>
      <w:rFonts w:ascii="Times Armenian" w:hAnsi="Times Armenian"/>
      <w:sz w:val="24"/>
      <w:lang w:val="fr-FR" w:eastAsia="en-US" w:bidi="ar-SA"/>
    </w:rPr>
  </w:style>
  <w:style w:type="character" w:customStyle="1" w:styleId="CharChar16">
    <w:name w:val="Char Char16"/>
    <w:uiPriority w:val="99"/>
    <w:rsid w:val="00060470"/>
    <w:rPr>
      <w:b/>
      <w:sz w:val="32"/>
      <w:lang w:val="en-GB" w:eastAsia="en-US" w:bidi="ar-SA"/>
    </w:rPr>
  </w:style>
  <w:style w:type="character" w:customStyle="1" w:styleId="CharChar14">
    <w:name w:val="Char Char14"/>
    <w:uiPriority w:val="99"/>
    <w:rsid w:val="00060470"/>
    <w:rPr>
      <w:sz w:val="22"/>
      <w:lang w:val="en-GB" w:eastAsia="en-US" w:bidi="ar-SA"/>
    </w:rPr>
  </w:style>
  <w:style w:type="character" w:customStyle="1" w:styleId="CharChar15">
    <w:name w:val="Char Char15"/>
    <w:uiPriority w:val="99"/>
    <w:rsid w:val="00060470"/>
    <w:rPr>
      <w:sz w:val="36"/>
      <w:lang w:val="en-GB" w:eastAsia="en-US" w:bidi="ar-SA"/>
    </w:rPr>
  </w:style>
  <w:style w:type="character" w:customStyle="1" w:styleId="CharChar13">
    <w:name w:val="Char Char13"/>
    <w:uiPriority w:val="99"/>
    <w:rsid w:val="00060470"/>
    <w:rPr>
      <w:sz w:val="22"/>
      <w:lang w:val="en-GB" w:eastAsia="en-US" w:bidi="ar-SA"/>
    </w:rPr>
  </w:style>
  <w:style w:type="character" w:customStyle="1" w:styleId="CharChar12">
    <w:name w:val="Char Char12"/>
    <w:uiPriority w:val="99"/>
    <w:rsid w:val="00060470"/>
    <w:rPr>
      <w:sz w:val="22"/>
      <w:lang w:val="en-GB" w:eastAsia="en-US" w:bidi="ar-SA"/>
    </w:rPr>
  </w:style>
  <w:style w:type="character" w:customStyle="1" w:styleId="CharChar11">
    <w:name w:val="Char Char11"/>
    <w:uiPriority w:val="99"/>
    <w:rsid w:val="00060470"/>
    <w:rPr>
      <w:rFonts w:ascii="Times Armenian" w:hAnsi="Times Armenian"/>
      <w:b/>
      <w:bCs/>
      <w:sz w:val="32"/>
      <w:szCs w:val="24"/>
      <w:lang w:val="fr-FR" w:eastAsia="en-US" w:bidi="ar-SA"/>
    </w:rPr>
  </w:style>
  <w:style w:type="character" w:customStyle="1" w:styleId="CharChar10">
    <w:name w:val="Char Char10"/>
    <w:uiPriority w:val="99"/>
    <w:rsid w:val="00060470"/>
    <w:rPr>
      <w:rFonts w:ascii="Times Armenian" w:hAnsi="Times Armenian"/>
      <w:color w:val="993300"/>
      <w:sz w:val="22"/>
      <w:szCs w:val="24"/>
      <w:lang w:val="hy-AM" w:eastAsia="en-US" w:bidi="ar-SA"/>
    </w:rPr>
  </w:style>
  <w:style w:type="character" w:styleId="Emphasis">
    <w:name w:val="Emphasis"/>
    <w:uiPriority w:val="99"/>
    <w:qFormat/>
    <w:rsid w:val="00060470"/>
    <w:rPr>
      <w:i/>
      <w:iCs/>
    </w:rPr>
  </w:style>
  <w:style w:type="character" w:customStyle="1" w:styleId="CharChar9">
    <w:name w:val="Char Char9"/>
    <w:uiPriority w:val="99"/>
    <w:rsid w:val="00060470"/>
    <w:rPr>
      <w:rFonts w:ascii="Times Armenian" w:hAnsi="Times Armenian"/>
      <w:b/>
      <w:i/>
      <w:sz w:val="24"/>
      <w:u w:val="single"/>
      <w:lang w:val="hy-AM" w:eastAsia="en-US" w:bidi="ar-SA"/>
    </w:rPr>
  </w:style>
  <w:style w:type="character" w:customStyle="1" w:styleId="BodyTextChar1">
    <w:name w:val="Body Text Char1"/>
    <w:aliases w:val="(Main Text) Char1,date Char1,Body Text (Main text) Char1"/>
    <w:uiPriority w:val="99"/>
    <w:rsid w:val="00060470"/>
    <w:rPr>
      <w:rFonts w:eastAsia="Batang"/>
      <w:sz w:val="24"/>
      <w:szCs w:val="24"/>
    </w:rPr>
  </w:style>
  <w:style w:type="character" w:customStyle="1" w:styleId="NoSpacingChar">
    <w:name w:val="No Spacing Char"/>
    <w:link w:val="NoSpacing"/>
    <w:uiPriority w:val="99"/>
    <w:rsid w:val="00060470"/>
    <w:rPr>
      <w:rFonts w:ascii="Calibri" w:eastAsia="Calibri" w:hAnsi="Calibri"/>
      <w:sz w:val="22"/>
      <w:szCs w:val="22"/>
    </w:rPr>
  </w:style>
  <w:style w:type="character" w:customStyle="1" w:styleId="Heading4Char1">
    <w:name w:val="Heading 4 Char1"/>
    <w:aliases w:val="Centred Char1,Heading 4 Char2"/>
    <w:uiPriority w:val="99"/>
    <w:rsid w:val="00060470"/>
    <w:rPr>
      <w:rFonts w:ascii="Cambria" w:eastAsia="Times New Roman" w:hAnsi="Cambria" w:cs="Times New Roman"/>
      <w:b/>
      <w:bCs/>
      <w:i/>
      <w:iCs/>
      <w:color w:val="4F81BD"/>
      <w:sz w:val="24"/>
      <w:szCs w:val="24"/>
    </w:rPr>
  </w:style>
  <w:style w:type="character" w:customStyle="1" w:styleId="Heading5Char1">
    <w:name w:val="Heading 5 Char1"/>
    <w:aliases w:val="Side Char1"/>
    <w:uiPriority w:val="99"/>
    <w:rsid w:val="00060470"/>
    <w:rPr>
      <w:rFonts w:ascii="Cambria" w:eastAsia="Times New Roman" w:hAnsi="Cambria" w:cs="Times New Roman"/>
      <w:color w:val="243F60"/>
      <w:sz w:val="24"/>
      <w:szCs w:val="24"/>
    </w:rPr>
  </w:style>
  <w:style w:type="character" w:customStyle="1" w:styleId="SubtitleChar">
    <w:name w:val="Subtitle Char"/>
    <w:link w:val="Subtitle"/>
    <w:uiPriority w:val="99"/>
    <w:rsid w:val="00060470"/>
    <w:rPr>
      <w:rFonts w:ascii="Times Armenian" w:hAnsi="Times Armenian"/>
      <w:bCs/>
      <w:i/>
      <w:sz w:val="26"/>
    </w:rPr>
  </w:style>
  <w:style w:type="character" w:customStyle="1" w:styleId="BodyTextIndentChar2">
    <w:name w:val="Body Text Indent Char2"/>
    <w:aliases w:val="(Table Source)1 Char1"/>
    <w:uiPriority w:val="99"/>
    <w:locked/>
    <w:rsid w:val="00060470"/>
    <w:rPr>
      <w:rFonts w:ascii="Times New Roman" w:hAnsi="Times New Roman" w:cs="Times New Roman"/>
      <w:sz w:val="20"/>
      <w:szCs w:val="20"/>
      <w:lang w:val="en-GB"/>
    </w:rPr>
  </w:style>
  <w:style w:type="paragraph" w:customStyle="1" w:styleId="Char1CharCharCharCharCharCharCharCharCharCharCharChar2">
    <w:name w:val="Char1 Char Char Char Char Char Char Char Char Char Char Char Char2"/>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10">
    <w:name w:val="Char1"/>
    <w:basedOn w:val="Normal"/>
    <w:uiPriority w:val="99"/>
    <w:locked/>
    <w:rsid w:val="00060470"/>
    <w:pPr>
      <w:spacing w:before="0" w:after="160" w:line="240" w:lineRule="auto"/>
      <w:ind w:firstLine="0"/>
      <w:contextualSpacing w:val="0"/>
      <w:jc w:val="left"/>
    </w:pPr>
    <w:rPr>
      <w:rFonts w:ascii="Verdana" w:eastAsia="Batang" w:hAnsi="Verdana" w:cs="Verdana"/>
      <w:sz w:val="24"/>
      <w:lang w:val="en-US" w:eastAsia="en-US"/>
    </w:rPr>
  </w:style>
  <w:style w:type="paragraph" w:customStyle="1" w:styleId="CharCharChar2">
    <w:name w:val="Char Char Char2"/>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Char20">
    <w:name w:val="Char Char Char Знак Знак2"/>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CharCharChar2">
    <w:name w:val="Char Char Char Char Char Знак Знак2"/>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CharCharCharCharCharCharCharCharCharCharCharCharChar3">
    <w:name w:val="Char Char Char Char Знак Char Знак Char Char Char Char Char Char Char Char Char Char3"/>
    <w:basedOn w:val="Normal"/>
    <w:rsid w:val="00060470"/>
    <w:pPr>
      <w:tabs>
        <w:tab w:val="left" w:pos="709"/>
      </w:tabs>
      <w:spacing w:before="0" w:line="240" w:lineRule="auto"/>
      <w:ind w:firstLine="0"/>
      <w:contextualSpacing w:val="0"/>
      <w:jc w:val="left"/>
    </w:pPr>
    <w:rPr>
      <w:rFonts w:ascii="Tahoma" w:hAnsi="Tahoma"/>
      <w:sz w:val="24"/>
      <w:lang w:val="pl-PL" w:eastAsia="pl-PL"/>
    </w:rPr>
  </w:style>
  <w:style w:type="character" w:customStyle="1" w:styleId="CharChar162">
    <w:name w:val="Char Char162"/>
    <w:rsid w:val="00060470"/>
    <w:rPr>
      <w:b/>
      <w:sz w:val="32"/>
      <w:lang w:val="en-GB" w:eastAsia="en-US"/>
    </w:rPr>
  </w:style>
  <w:style w:type="character" w:customStyle="1" w:styleId="CharChar142">
    <w:name w:val="Char Char142"/>
    <w:rsid w:val="00060470"/>
    <w:rPr>
      <w:sz w:val="22"/>
      <w:lang w:val="en-GB" w:eastAsia="en-US"/>
    </w:rPr>
  </w:style>
  <w:style w:type="character" w:customStyle="1" w:styleId="CharChar152">
    <w:name w:val="Char Char152"/>
    <w:rsid w:val="00060470"/>
    <w:rPr>
      <w:sz w:val="36"/>
      <w:lang w:val="en-GB" w:eastAsia="en-US"/>
    </w:rPr>
  </w:style>
  <w:style w:type="character" w:customStyle="1" w:styleId="CharChar132">
    <w:name w:val="Char Char132"/>
    <w:rsid w:val="00060470"/>
    <w:rPr>
      <w:sz w:val="22"/>
      <w:lang w:val="en-GB" w:eastAsia="en-US"/>
    </w:rPr>
  </w:style>
  <w:style w:type="character" w:customStyle="1" w:styleId="CharChar122">
    <w:name w:val="Char Char122"/>
    <w:rsid w:val="00060470"/>
    <w:rPr>
      <w:sz w:val="22"/>
      <w:lang w:val="en-GB" w:eastAsia="en-US"/>
    </w:rPr>
  </w:style>
  <w:style w:type="character" w:customStyle="1" w:styleId="CharChar112">
    <w:name w:val="Char Char112"/>
    <w:rsid w:val="00060470"/>
    <w:rPr>
      <w:rFonts w:ascii="Times Armenian" w:hAnsi="Times Armenian"/>
      <w:b/>
      <w:sz w:val="24"/>
      <w:lang w:val="fr-FR" w:eastAsia="en-US"/>
    </w:rPr>
  </w:style>
  <w:style w:type="character" w:customStyle="1" w:styleId="CharChar102">
    <w:name w:val="Char Char102"/>
    <w:rsid w:val="00060470"/>
    <w:rPr>
      <w:rFonts w:ascii="Times Armenian" w:hAnsi="Times Armenian"/>
      <w:color w:val="993300"/>
      <w:sz w:val="24"/>
      <w:lang w:val="hy-AM" w:eastAsia="en-US"/>
    </w:rPr>
  </w:style>
  <w:style w:type="character" w:customStyle="1" w:styleId="CharChar92">
    <w:name w:val="Char Char92"/>
    <w:rsid w:val="00060470"/>
    <w:rPr>
      <w:rFonts w:ascii="Times Armenian" w:hAnsi="Times Armenian"/>
      <w:b/>
      <w:i/>
      <w:sz w:val="24"/>
      <w:u w:val="single"/>
      <w:lang w:val="hy-AM" w:eastAsia="en-US"/>
    </w:rPr>
  </w:style>
  <w:style w:type="character" w:customStyle="1" w:styleId="BodyText2Char1">
    <w:name w:val="Body Text 2 Char1"/>
    <w:aliases w:val="1Text Char1"/>
    <w:uiPriority w:val="99"/>
    <w:locked/>
    <w:rsid w:val="00060470"/>
    <w:rPr>
      <w:rFonts w:cs="Times New Roman"/>
    </w:rPr>
  </w:style>
  <w:style w:type="paragraph" w:customStyle="1" w:styleId="a2">
    <w:name w:val="Рецензия"/>
    <w:hidden/>
    <w:uiPriority w:val="99"/>
    <w:semiHidden/>
    <w:rsid w:val="00060470"/>
    <w:rPr>
      <w:rFonts w:ascii="Arial Armenian" w:hAnsi="Arial Armenian"/>
      <w:sz w:val="22"/>
      <w:szCs w:val="22"/>
      <w:lang w:eastAsia="ru-RU"/>
    </w:rPr>
  </w:style>
  <w:style w:type="character" w:customStyle="1" w:styleId="DocumentMapChar">
    <w:name w:val="Document Map Char"/>
    <w:link w:val="DocumentMap"/>
    <w:rsid w:val="00060470"/>
    <w:rPr>
      <w:rFonts w:ascii="Tahoma" w:hAnsi="Tahoma" w:cs="Tahoma"/>
      <w:shd w:val="clear" w:color="auto" w:fill="000080"/>
      <w:lang w:val="ru-RU" w:eastAsia="ru-RU"/>
    </w:rPr>
  </w:style>
  <w:style w:type="paragraph" w:customStyle="1" w:styleId="font11">
    <w:name w:val="font11"/>
    <w:basedOn w:val="Normal"/>
    <w:rsid w:val="00060470"/>
    <w:pPr>
      <w:spacing w:before="100" w:after="100" w:line="240" w:lineRule="auto"/>
      <w:ind w:firstLine="0"/>
      <w:contextualSpacing w:val="0"/>
      <w:jc w:val="left"/>
    </w:pPr>
    <w:rPr>
      <w:rFonts w:ascii="Times New Roman" w:eastAsia="SimSun" w:hAnsi="Times New Roman"/>
      <w:color w:val="000000"/>
      <w:sz w:val="16"/>
      <w:szCs w:val="16"/>
      <w:lang w:val="en-US" w:eastAsia="en-US"/>
    </w:rPr>
  </w:style>
  <w:style w:type="paragraph" w:customStyle="1" w:styleId="font12">
    <w:name w:val="font12"/>
    <w:basedOn w:val="Normal"/>
    <w:rsid w:val="00060470"/>
    <w:pPr>
      <w:spacing w:before="100" w:after="100" w:line="240" w:lineRule="auto"/>
      <w:ind w:firstLine="0"/>
      <w:contextualSpacing w:val="0"/>
      <w:jc w:val="left"/>
    </w:pPr>
    <w:rPr>
      <w:rFonts w:ascii="Times New Roman" w:eastAsia="SimSun" w:hAnsi="Times New Roman"/>
      <w:color w:val="000000"/>
      <w:sz w:val="16"/>
      <w:szCs w:val="16"/>
      <w:lang w:val="en-US" w:eastAsia="en-US"/>
    </w:rPr>
  </w:style>
  <w:style w:type="paragraph" w:customStyle="1" w:styleId="font13">
    <w:name w:val="font13"/>
    <w:basedOn w:val="Normal"/>
    <w:rsid w:val="00060470"/>
    <w:pPr>
      <w:spacing w:before="100" w:after="100" w:line="240" w:lineRule="auto"/>
      <w:ind w:firstLine="0"/>
      <w:contextualSpacing w:val="0"/>
      <w:jc w:val="left"/>
    </w:pPr>
    <w:rPr>
      <w:rFonts w:ascii="Times New Roman" w:eastAsia="SimSun" w:hAnsi="Times New Roman"/>
      <w:b w:val="0"/>
      <w:bCs/>
      <w:color w:val="000000"/>
      <w:sz w:val="16"/>
      <w:szCs w:val="16"/>
      <w:lang w:val="en-US" w:eastAsia="en-US"/>
    </w:rPr>
  </w:style>
  <w:style w:type="paragraph" w:customStyle="1" w:styleId="font14">
    <w:name w:val="font14"/>
    <w:basedOn w:val="Normal"/>
    <w:rsid w:val="00060470"/>
    <w:pPr>
      <w:spacing w:before="100" w:after="100" w:line="240" w:lineRule="auto"/>
      <w:ind w:firstLine="0"/>
      <w:contextualSpacing w:val="0"/>
      <w:jc w:val="left"/>
    </w:pPr>
    <w:rPr>
      <w:rFonts w:ascii="Times New Roman" w:eastAsia="SimSun" w:hAnsi="Times New Roman"/>
      <w:i/>
      <w:iCs/>
      <w:sz w:val="20"/>
      <w:szCs w:val="20"/>
      <w:lang w:val="en-US" w:eastAsia="en-US"/>
    </w:rPr>
  </w:style>
  <w:style w:type="paragraph" w:customStyle="1" w:styleId="font15">
    <w:name w:val="font15"/>
    <w:basedOn w:val="Normal"/>
    <w:rsid w:val="00060470"/>
    <w:pPr>
      <w:spacing w:before="100" w:after="100" w:line="240" w:lineRule="auto"/>
      <w:ind w:firstLine="0"/>
      <w:contextualSpacing w:val="0"/>
      <w:jc w:val="left"/>
    </w:pPr>
    <w:rPr>
      <w:rFonts w:ascii="Times New Roman" w:eastAsia="SimSun" w:hAnsi="Times New Roman"/>
      <w:i/>
      <w:iCs/>
      <w:sz w:val="28"/>
      <w:szCs w:val="28"/>
      <w:lang w:val="en-US" w:eastAsia="en-US"/>
    </w:rPr>
  </w:style>
  <w:style w:type="paragraph" w:customStyle="1" w:styleId="xl49">
    <w:name w:val="xl49"/>
    <w:basedOn w:val="Normal"/>
    <w:rsid w:val="00060470"/>
    <w:pPr>
      <w:pBdr>
        <w:top w:val="single" w:sz="4" w:space="0" w:color="auto"/>
        <w:left w:val="single" w:sz="8" w:space="21" w:color="auto"/>
        <w:bottom w:val="single" w:sz="4" w:space="0" w:color="auto"/>
        <w:right w:val="single" w:sz="4" w:space="0" w:color="auto"/>
      </w:pBdr>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50">
    <w:name w:val="xl50"/>
    <w:basedOn w:val="Normal"/>
    <w:rsid w:val="00060470"/>
    <w:pPr>
      <w:pBdr>
        <w:top w:val="single" w:sz="4" w:space="0" w:color="auto"/>
        <w:left w:val="single" w:sz="8" w:space="21" w:color="auto"/>
        <w:bottom w:val="single" w:sz="4" w:space="0" w:color="auto"/>
        <w:right w:val="single" w:sz="4" w:space="0" w:color="auto"/>
      </w:pBdr>
      <w:shd w:val="clear" w:color="auto" w:fill="C0C0C0"/>
      <w:spacing w:before="100" w:after="100" w:line="240" w:lineRule="auto"/>
      <w:ind w:firstLine="0"/>
      <w:contextualSpacing w:val="0"/>
      <w:jc w:val="left"/>
    </w:pPr>
    <w:rPr>
      <w:rFonts w:ascii="Times New Roman" w:eastAsia="SimSun" w:hAnsi="Times New Roman"/>
      <w:i/>
      <w:iCs/>
      <w:sz w:val="24"/>
      <w:lang w:val="en-US" w:eastAsia="en-US"/>
    </w:rPr>
  </w:style>
  <w:style w:type="paragraph" w:customStyle="1" w:styleId="xl51">
    <w:name w:val="xl51"/>
    <w:basedOn w:val="Normal"/>
    <w:rsid w:val="00060470"/>
    <w:pPr>
      <w:pBdr>
        <w:top w:val="single" w:sz="4" w:space="0" w:color="auto"/>
        <w:left w:val="single" w:sz="8" w:space="21" w:color="auto"/>
        <w:bottom w:val="single" w:sz="4" w:space="0" w:color="auto"/>
        <w:right w:val="single" w:sz="4" w:space="0" w:color="auto"/>
      </w:pBdr>
      <w:shd w:val="clear" w:color="auto" w:fill="C0C0C0"/>
      <w:spacing w:before="100" w:after="100" w:line="240" w:lineRule="auto"/>
      <w:ind w:firstLine="0"/>
      <w:contextualSpacing w:val="0"/>
      <w:jc w:val="left"/>
    </w:pPr>
    <w:rPr>
      <w:rFonts w:ascii="Times New Roman" w:eastAsia="SimSun" w:hAnsi="Times New Roman"/>
      <w:i/>
      <w:iCs/>
      <w:sz w:val="24"/>
      <w:lang w:val="en-US" w:eastAsia="en-US"/>
    </w:rPr>
  </w:style>
  <w:style w:type="paragraph" w:customStyle="1" w:styleId="xl52">
    <w:name w:val="xl52"/>
    <w:basedOn w:val="Normal"/>
    <w:rsid w:val="00060470"/>
    <w:pPr>
      <w:pBdr>
        <w:top w:val="single" w:sz="4" w:space="0" w:color="auto"/>
        <w:left w:val="single" w:sz="8" w:space="21" w:color="auto"/>
        <w:bottom w:val="single" w:sz="4" w:space="0" w:color="auto"/>
        <w:right w:val="single" w:sz="4" w:space="0" w:color="auto"/>
      </w:pBdr>
      <w:shd w:val="clear" w:color="auto" w:fill="FFFFFF"/>
      <w:spacing w:before="100" w:after="100" w:line="240" w:lineRule="auto"/>
      <w:ind w:firstLine="0"/>
      <w:contextualSpacing w:val="0"/>
      <w:jc w:val="left"/>
    </w:pPr>
    <w:rPr>
      <w:rFonts w:ascii="Times New Roman" w:eastAsia="SimSun" w:hAnsi="Times New Roman"/>
      <w:b w:val="0"/>
      <w:bCs/>
      <w:sz w:val="24"/>
      <w:lang w:val="en-US" w:eastAsia="en-US"/>
    </w:rPr>
  </w:style>
  <w:style w:type="paragraph" w:customStyle="1" w:styleId="xl53">
    <w:name w:val="xl53"/>
    <w:basedOn w:val="Normal"/>
    <w:rsid w:val="00060470"/>
    <w:pPr>
      <w:pBdr>
        <w:top w:val="single" w:sz="4" w:space="0" w:color="auto"/>
        <w:left w:val="single" w:sz="8" w:space="31" w:color="auto"/>
        <w:bottom w:val="single" w:sz="4" w:space="0" w:color="auto"/>
        <w:right w:val="single" w:sz="4" w:space="0" w:color="auto"/>
      </w:pBdr>
      <w:shd w:val="clear" w:color="auto" w:fill="FFFFFF"/>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54">
    <w:name w:val="xl54"/>
    <w:basedOn w:val="Normal"/>
    <w:rsid w:val="00060470"/>
    <w:pPr>
      <w:pBdr>
        <w:top w:val="single" w:sz="4" w:space="0" w:color="auto"/>
        <w:left w:val="single" w:sz="8" w:space="31" w:color="auto"/>
        <w:bottom w:val="single" w:sz="4" w:space="0" w:color="auto"/>
        <w:right w:val="single" w:sz="4" w:space="0" w:color="auto"/>
      </w:pBdr>
      <w:shd w:val="clear" w:color="auto" w:fill="C0C0C0"/>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55">
    <w:name w:val="xl55"/>
    <w:basedOn w:val="Normal"/>
    <w:rsid w:val="00060470"/>
    <w:pPr>
      <w:pBdr>
        <w:top w:val="single" w:sz="4" w:space="0" w:color="auto"/>
        <w:left w:val="single" w:sz="8" w:space="31" w:color="auto"/>
        <w:bottom w:val="single" w:sz="4" w:space="0" w:color="auto"/>
        <w:right w:val="single" w:sz="4" w:space="0" w:color="auto"/>
      </w:pBdr>
      <w:shd w:val="clear" w:color="auto" w:fill="C0C0C0"/>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56">
    <w:name w:val="xl56"/>
    <w:basedOn w:val="Normal"/>
    <w:rsid w:val="00060470"/>
    <w:pPr>
      <w:pBdr>
        <w:top w:val="single" w:sz="4" w:space="0" w:color="auto"/>
        <w:left w:val="single" w:sz="8" w:space="31" w:color="auto"/>
        <w:bottom w:val="single" w:sz="4" w:space="0" w:color="auto"/>
        <w:right w:val="single" w:sz="4" w:space="0" w:color="auto"/>
      </w:pBdr>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57">
    <w:name w:val="xl57"/>
    <w:basedOn w:val="Normal"/>
    <w:rsid w:val="00060470"/>
    <w:pPr>
      <w:pBdr>
        <w:top w:val="single" w:sz="4" w:space="0" w:color="auto"/>
        <w:left w:val="single" w:sz="8" w:space="31" w:color="auto"/>
        <w:bottom w:val="single" w:sz="4" w:space="0" w:color="auto"/>
        <w:right w:val="single" w:sz="4" w:space="0" w:color="auto"/>
      </w:pBdr>
      <w:shd w:val="clear" w:color="auto" w:fill="C0C0C0"/>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58">
    <w:name w:val="xl58"/>
    <w:basedOn w:val="Normal"/>
    <w:rsid w:val="00060470"/>
    <w:pPr>
      <w:pBdr>
        <w:top w:val="single" w:sz="4" w:space="0" w:color="auto"/>
        <w:left w:val="single" w:sz="8" w:space="31" w:color="auto"/>
        <w:bottom w:val="single" w:sz="4" w:space="0" w:color="auto"/>
        <w:right w:val="single" w:sz="4" w:space="0" w:color="auto"/>
      </w:pBdr>
      <w:shd w:val="clear" w:color="auto" w:fill="C0C0C0"/>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59">
    <w:name w:val="xl59"/>
    <w:basedOn w:val="Normal"/>
    <w:rsid w:val="00060470"/>
    <w:pPr>
      <w:pBdr>
        <w:top w:val="single" w:sz="4" w:space="0" w:color="auto"/>
        <w:left w:val="single" w:sz="8" w:space="31" w:color="auto"/>
        <w:bottom w:val="single" w:sz="4" w:space="0" w:color="auto"/>
        <w:right w:val="single" w:sz="4" w:space="0" w:color="auto"/>
      </w:pBdr>
      <w:shd w:val="clear" w:color="auto" w:fill="C0C0C0"/>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60">
    <w:name w:val="xl60"/>
    <w:basedOn w:val="Normal"/>
    <w:rsid w:val="00060470"/>
    <w:pPr>
      <w:pBdr>
        <w:top w:val="single" w:sz="4" w:space="0" w:color="auto"/>
        <w:left w:val="single" w:sz="8" w:space="31" w:color="auto"/>
        <w:bottom w:val="single" w:sz="4" w:space="0" w:color="auto"/>
        <w:right w:val="single" w:sz="4" w:space="0" w:color="auto"/>
      </w:pBdr>
      <w:shd w:val="clear" w:color="auto" w:fill="C0C0C0"/>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61">
    <w:name w:val="xl61"/>
    <w:basedOn w:val="Normal"/>
    <w:rsid w:val="00060470"/>
    <w:pPr>
      <w:pBdr>
        <w:top w:val="single" w:sz="4" w:space="0" w:color="auto"/>
        <w:left w:val="single" w:sz="8" w:space="11" w:color="auto"/>
        <w:bottom w:val="single" w:sz="4" w:space="0" w:color="auto"/>
        <w:right w:val="single" w:sz="4" w:space="0" w:color="auto"/>
      </w:pBdr>
      <w:spacing w:before="100" w:after="100" w:line="240" w:lineRule="auto"/>
      <w:ind w:firstLine="0"/>
      <w:contextualSpacing w:val="0"/>
      <w:jc w:val="left"/>
    </w:pPr>
    <w:rPr>
      <w:rFonts w:ascii="Times New Roman" w:eastAsia="SimSun" w:hAnsi="Times New Roman"/>
      <w:b w:val="0"/>
      <w:bCs/>
      <w:i/>
      <w:iCs/>
      <w:sz w:val="24"/>
      <w:lang w:val="en-US" w:eastAsia="en-US"/>
    </w:rPr>
  </w:style>
  <w:style w:type="paragraph" w:customStyle="1" w:styleId="xl62">
    <w:name w:val="xl62"/>
    <w:basedOn w:val="Normal"/>
    <w:rsid w:val="00060470"/>
    <w:pPr>
      <w:pBdr>
        <w:top w:val="single" w:sz="4" w:space="0" w:color="auto"/>
        <w:left w:val="single" w:sz="8" w:space="11" w:color="auto"/>
        <w:bottom w:val="single" w:sz="4" w:space="0" w:color="auto"/>
        <w:right w:val="single" w:sz="4" w:space="0" w:color="auto"/>
      </w:pBdr>
      <w:spacing w:before="100" w:after="100" w:line="240" w:lineRule="auto"/>
      <w:ind w:firstLine="0"/>
      <w:contextualSpacing w:val="0"/>
      <w:jc w:val="left"/>
    </w:pPr>
    <w:rPr>
      <w:rFonts w:ascii="Times New Roman" w:eastAsia="SimSun" w:hAnsi="Times New Roman"/>
      <w:b w:val="0"/>
      <w:bCs/>
      <w:sz w:val="24"/>
      <w:lang w:val="en-US" w:eastAsia="en-US"/>
    </w:rPr>
  </w:style>
  <w:style w:type="paragraph" w:customStyle="1" w:styleId="xl63">
    <w:name w:val="xl63"/>
    <w:basedOn w:val="Normal"/>
    <w:rsid w:val="00060470"/>
    <w:pPr>
      <w:pBdr>
        <w:top w:val="single" w:sz="4" w:space="0" w:color="auto"/>
        <w:left w:val="single" w:sz="8" w:space="0" w:color="auto"/>
        <w:bottom w:val="single" w:sz="4" w:space="0" w:color="auto"/>
        <w:right w:val="single" w:sz="4" w:space="0" w:color="auto"/>
      </w:pBdr>
      <w:spacing w:before="100" w:after="100" w:line="240" w:lineRule="auto"/>
      <w:ind w:firstLine="0"/>
      <w:contextualSpacing w:val="0"/>
      <w:jc w:val="left"/>
    </w:pPr>
    <w:rPr>
      <w:rFonts w:ascii="Times New Roman" w:eastAsia="SimSun" w:hAnsi="Times New Roman"/>
      <w:sz w:val="24"/>
      <w:lang w:val="en-US" w:eastAsia="en-US"/>
    </w:rPr>
  </w:style>
  <w:style w:type="paragraph" w:customStyle="1" w:styleId="xl64">
    <w:name w:val="xl64"/>
    <w:basedOn w:val="Normal"/>
    <w:rsid w:val="00060470"/>
    <w:pPr>
      <w:pBdr>
        <w:top w:val="single" w:sz="4" w:space="0" w:color="auto"/>
        <w:left w:val="single" w:sz="8" w:space="11" w:color="auto"/>
        <w:bottom w:val="single" w:sz="4" w:space="0" w:color="auto"/>
        <w:right w:val="single" w:sz="4" w:space="0" w:color="auto"/>
      </w:pBdr>
      <w:shd w:val="clear" w:color="auto" w:fill="C0C0C0"/>
      <w:spacing w:before="100" w:after="100" w:line="240" w:lineRule="auto"/>
      <w:ind w:firstLine="0"/>
      <w:contextualSpacing w:val="0"/>
      <w:jc w:val="left"/>
    </w:pPr>
    <w:rPr>
      <w:rFonts w:ascii="Times New Roman" w:eastAsia="SimSun" w:hAnsi="Times New Roman"/>
      <w:i/>
      <w:iCs/>
      <w:sz w:val="24"/>
      <w:lang w:val="en-US" w:eastAsia="en-US"/>
    </w:rPr>
  </w:style>
  <w:style w:type="paragraph" w:customStyle="1" w:styleId="paragraph">
    <w:name w:val="paragraph"/>
    <w:basedOn w:val="Normal"/>
    <w:rsid w:val="00060470"/>
    <w:pPr>
      <w:spacing w:before="100" w:beforeAutospacing="1" w:after="100" w:afterAutospacing="1" w:line="240" w:lineRule="auto"/>
      <w:ind w:firstLine="0"/>
      <w:contextualSpacing w:val="0"/>
      <w:jc w:val="left"/>
    </w:pPr>
    <w:rPr>
      <w:rFonts w:ascii="Times New Roman" w:hAnsi="Times New Roman"/>
      <w:sz w:val="24"/>
      <w:lang w:val="en-US" w:eastAsia="en-US"/>
    </w:rPr>
  </w:style>
  <w:style w:type="character" w:customStyle="1" w:styleId="normaltextrun">
    <w:name w:val="normaltextrun"/>
    <w:rsid w:val="00060470"/>
  </w:style>
  <w:style w:type="character" w:customStyle="1" w:styleId="BodyText2Char2">
    <w:name w:val="Body Text 2 Char2"/>
    <w:uiPriority w:val="99"/>
    <w:rsid w:val="00060470"/>
    <w:rPr>
      <w:sz w:val="24"/>
      <w:szCs w:val="24"/>
    </w:rPr>
  </w:style>
  <w:style w:type="numbering" w:customStyle="1" w:styleId="NoList2">
    <w:name w:val="No List2"/>
    <w:next w:val="NoList"/>
    <w:semiHidden/>
    <w:rsid w:val="00060470"/>
  </w:style>
  <w:style w:type="paragraph" w:customStyle="1" w:styleId="10">
    <w:name w:val="Рецензия1"/>
    <w:hidden/>
    <w:uiPriority w:val="99"/>
    <w:semiHidden/>
    <w:rsid w:val="00060470"/>
    <w:rPr>
      <w:rFonts w:ascii="Arial Armenian" w:hAnsi="Arial Armenian"/>
      <w:sz w:val="22"/>
      <w:szCs w:val="22"/>
      <w:lang w:eastAsia="ru-RU"/>
    </w:rPr>
  </w:style>
  <w:style w:type="character" w:customStyle="1" w:styleId="showhide1">
    <w:name w:val="showhide1"/>
    <w:rsid w:val="00060470"/>
    <w:rPr>
      <w:b/>
      <w:bCs/>
      <w:color w:val="000000"/>
      <w:sz w:val="21"/>
      <w:szCs w:val="21"/>
      <w:u w:val="single"/>
    </w:rPr>
  </w:style>
  <w:style w:type="paragraph" w:customStyle="1" w:styleId="alignright">
    <w:name w:val="alignright"/>
    <w:basedOn w:val="Normal"/>
    <w:rsid w:val="00060470"/>
    <w:pPr>
      <w:spacing w:before="100" w:beforeAutospacing="1" w:after="100" w:afterAutospacing="1" w:line="240" w:lineRule="auto"/>
      <w:ind w:firstLine="0"/>
      <w:contextualSpacing w:val="0"/>
      <w:jc w:val="left"/>
    </w:pPr>
    <w:rPr>
      <w:rFonts w:ascii="Times New Roman" w:hAnsi="Times New Roman"/>
      <w:sz w:val="24"/>
      <w:lang w:val="en-US" w:eastAsia="en-US"/>
    </w:rPr>
  </w:style>
  <w:style w:type="character" w:customStyle="1" w:styleId="BodyTextIndentChar3">
    <w:name w:val="Body Text Indent Char3"/>
    <w:aliases w:val="(Table Source)1 Char2,(Table Source)11 Char1"/>
    <w:uiPriority w:val="99"/>
    <w:locked/>
    <w:rsid w:val="00060470"/>
    <w:rPr>
      <w:rFonts w:ascii="Times New Roman" w:hAnsi="Times New Roman" w:cs="Times New Roman"/>
      <w:sz w:val="20"/>
      <w:szCs w:val="20"/>
      <w:lang w:val="en-GB" w:eastAsia="en-US"/>
    </w:rPr>
  </w:style>
  <w:style w:type="paragraph" w:customStyle="1" w:styleId="Char2">
    <w:name w:val="Char2"/>
    <w:basedOn w:val="Normal"/>
    <w:uiPriority w:val="99"/>
    <w:locked/>
    <w:rsid w:val="00060470"/>
    <w:pPr>
      <w:spacing w:before="0" w:after="160" w:line="240" w:lineRule="auto"/>
      <w:ind w:firstLine="0"/>
      <w:contextualSpacing w:val="0"/>
      <w:jc w:val="left"/>
    </w:pPr>
    <w:rPr>
      <w:rFonts w:ascii="Verdana" w:eastAsia="Batang" w:hAnsi="Verdana" w:cs="Verdana"/>
      <w:sz w:val="24"/>
      <w:lang w:val="en-US" w:eastAsia="en-US"/>
    </w:rPr>
  </w:style>
  <w:style w:type="paragraph" w:customStyle="1" w:styleId="CharChar1">
    <w:name w:val="Char Char1"/>
    <w:basedOn w:val="Normal"/>
    <w:uiPriority w:val="99"/>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1CharCharCharCharCharCharCharCharCharCharCharChar1">
    <w:name w:val="Char1 Char Char Char Char Char Char Char Char Char Char Char Char1"/>
    <w:basedOn w:val="Normal"/>
    <w:uiPriority w:val="99"/>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Char10">
    <w:name w:val="Char Char Char1"/>
    <w:basedOn w:val="Normal"/>
    <w:uiPriority w:val="99"/>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Char11">
    <w:name w:val="Char Char Char Знак Знак1"/>
    <w:basedOn w:val="Normal"/>
    <w:uiPriority w:val="99"/>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CharCharChar1">
    <w:name w:val="Char Char Char Char Char Знак Знак1"/>
    <w:basedOn w:val="Normal"/>
    <w:uiPriority w:val="99"/>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CharCharCharCharCharCharCharCharCharCharCharCharChar1">
    <w:name w:val="Char Char Char Char Знак Char Знак Char Char Char Char Char Char Char Char Char Char1"/>
    <w:basedOn w:val="Normal"/>
    <w:uiPriority w:val="99"/>
    <w:rsid w:val="00060470"/>
    <w:pPr>
      <w:tabs>
        <w:tab w:val="left" w:pos="709"/>
      </w:tabs>
      <w:spacing w:before="0" w:line="240" w:lineRule="auto"/>
      <w:ind w:firstLine="0"/>
      <w:contextualSpacing w:val="0"/>
      <w:jc w:val="left"/>
    </w:pPr>
    <w:rPr>
      <w:rFonts w:ascii="Tahoma" w:hAnsi="Tahoma"/>
      <w:sz w:val="24"/>
      <w:lang w:val="pl-PL" w:eastAsia="pl-PL"/>
    </w:rPr>
  </w:style>
  <w:style w:type="character" w:customStyle="1" w:styleId="CharChar161">
    <w:name w:val="Char Char161"/>
    <w:uiPriority w:val="99"/>
    <w:rsid w:val="00060470"/>
    <w:rPr>
      <w:b/>
      <w:sz w:val="32"/>
      <w:lang w:val="en-GB" w:eastAsia="en-US"/>
    </w:rPr>
  </w:style>
  <w:style w:type="character" w:customStyle="1" w:styleId="CharChar141">
    <w:name w:val="Char Char141"/>
    <w:uiPriority w:val="99"/>
    <w:rsid w:val="00060470"/>
    <w:rPr>
      <w:sz w:val="22"/>
      <w:lang w:val="en-GB" w:eastAsia="en-US"/>
    </w:rPr>
  </w:style>
  <w:style w:type="character" w:customStyle="1" w:styleId="CharChar151">
    <w:name w:val="Char Char151"/>
    <w:uiPriority w:val="99"/>
    <w:rsid w:val="00060470"/>
    <w:rPr>
      <w:sz w:val="36"/>
      <w:lang w:val="en-GB" w:eastAsia="en-US"/>
    </w:rPr>
  </w:style>
  <w:style w:type="character" w:customStyle="1" w:styleId="CharChar131">
    <w:name w:val="Char Char131"/>
    <w:uiPriority w:val="99"/>
    <w:rsid w:val="00060470"/>
    <w:rPr>
      <w:sz w:val="22"/>
      <w:lang w:val="en-GB" w:eastAsia="en-US"/>
    </w:rPr>
  </w:style>
  <w:style w:type="character" w:customStyle="1" w:styleId="CharChar121">
    <w:name w:val="Char Char121"/>
    <w:uiPriority w:val="99"/>
    <w:rsid w:val="00060470"/>
    <w:rPr>
      <w:sz w:val="22"/>
      <w:lang w:val="en-GB" w:eastAsia="en-US"/>
    </w:rPr>
  </w:style>
  <w:style w:type="character" w:customStyle="1" w:styleId="CharChar111">
    <w:name w:val="Char Char111"/>
    <w:uiPriority w:val="99"/>
    <w:rsid w:val="00060470"/>
    <w:rPr>
      <w:rFonts w:ascii="Times Armenian" w:hAnsi="Times Armenian"/>
      <w:b/>
      <w:sz w:val="24"/>
      <w:lang w:val="fr-FR" w:eastAsia="en-US"/>
    </w:rPr>
  </w:style>
  <w:style w:type="character" w:customStyle="1" w:styleId="CharChar101">
    <w:name w:val="Char Char101"/>
    <w:uiPriority w:val="99"/>
    <w:rsid w:val="00060470"/>
    <w:rPr>
      <w:rFonts w:ascii="Times Armenian" w:hAnsi="Times Armenian"/>
      <w:color w:val="993300"/>
      <w:sz w:val="24"/>
      <w:lang w:val="hy-AM" w:eastAsia="en-US"/>
    </w:rPr>
  </w:style>
  <w:style w:type="character" w:customStyle="1" w:styleId="CharChar91">
    <w:name w:val="Char Char91"/>
    <w:uiPriority w:val="99"/>
    <w:rsid w:val="00060470"/>
    <w:rPr>
      <w:rFonts w:ascii="Times Armenian" w:hAnsi="Times Armenian"/>
      <w:b/>
      <w:i/>
      <w:sz w:val="24"/>
      <w:u w:val="single"/>
      <w:lang w:val="hy-AM" w:eastAsia="en-US"/>
    </w:rPr>
  </w:style>
  <w:style w:type="character" w:customStyle="1" w:styleId="BodyText2Char3">
    <w:name w:val="Body Text 2 Char3"/>
    <w:uiPriority w:val="99"/>
    <w:semiHidden/>
    <w:rsid w:val="00060470"/>
  </w:style>
  <w:style w:type="character" w:customStyle="1" w:styleId="CharChar24">
    <w:name w:val="Char Char24"/>
    <w:rsid w:val="00060470"/>
    <w:rPr>
      <w:rFonts w:ascii="Garamond" w:hAnsi="Garamond"/>
      <w:sz w:val="16"/>
      <w:lang w:val="en-GB"/>
    </w:rPr>
  </w:style>
  <w:style w:type="character" w:customStyle="1" w:styleId="CharChar23">
    <w:name w:val="Char Char23"/>
    <w:rsid w:val="00060470"/>
    <w:rPr>
      <w:rFonts w:ascii="Garamond" w:hAnsi="Garamond"/>
      <w:i/>
      <w:spacing w:val="-5"/>
      <w:sz w:val="28"/>
      <w:shd w:val="pct5" w:color="auto" w:fill="auto"/>
      <w:lang w:val="en-GB"/>
    </w:rPr>
  </w:style>
  <w:style w:type="character" w:customStyle="1" w:styleId="CharChar22">
    <w:name w:val="Char Char22"/>
    <w:rsid w:val="00060470"/>
    <w:rPr>
      <w:rFonts w:ascii="Arial Black" w:hAnsi="Arial Black"/>
      <w:caps/>
      <w:spacing w:val="60"/>
      <w:position w:val="4"/>
      <w:sz w:val="14"/>
      <w:lang w:val="en-GB"/>
    </w:rPr>
  </w:style>
  <w:style w:type="character" w:customStyle="1" w:styleId="CharChar21">
    <w:name w:val="Char Char21"/>
    <w:rsid w:val="00060470"/>
    <w:rPr>
      <w:rFonts w:ascii="Garamond" w:hAnsi="Garamond"/>
      <w:b/>
      <w:i/>
      <w:kern w:val="28"/>
      <w:sz w:val="16"/>
      <w:lang w:val="en-GB"/>
    </w:rPr>
  </w:style>
  <w:style w:type="character" w:customStyle="1" w:styleId="CharChar17">
    <w:name w:val="Char Char17"/>
    <w:rsid w:val="00060470"/>
    <w:rPr>
      <w:lang w:val="en-GB" w:eastAsia="en-US" w:bidi="ar-SA"/>
    </w:rPr>
  </w:style>
  <w:style w:type="character" w:customStyle="1" w:styleId="CharChar20">
    <w:name w:val="Char Char20"/>
    <w:rsid w:val="00060470"/>
    <w:rPr>
      <w:rFonts w:ascii="Times Armenian" w:hAnsi="Times Armenian"/>
      <w:i/>
      <w:sz w:val="24"/>
      <w:lang w:val="hy-AM"/>
    </w:rPr>
  </w:style>
  <w:style w:type="character" w:customStyle="1" w:styleId="CharChar19">
    <w:name w:val="Char Char19"/>
    <w:locked/>
    <w:rsid w:val="00060470"/>
    <w:rPr>
      <w:rFonts w:ascii="Times Armenian" w:hAnsi="Times Armenian"/>
      <w:sz w:val="24"/>
      <w:u w:val="single"/>
    </w:rPr>
  </w:style>
  <w:style w:type="character" w:customStyle="1" w:styleId="CharChar18">
    <w:name w:val="Char Char18"/>
    <w:rsid w:val="00060470"/>
    <w:rPr>
      <w:sz w:val="16"/>
      <w:szCs w:val="16"/>
      <w:lang w:val="en-GB"/>
    </w:rPr>
  </w:style>
  <w:style w:type="numbering" w:customStyle="1" w:styleId="NoList3">
    <w:name w:val="No List3"/>
    <w:next w:val="NoList"/>
    <w:semiHidden/>
    <w:unhideWhenUsed/>
    <w:rsid w:val="00060470"/>
  </w:style>
  <w:style w:type="paragraph" w:customStyle="1" w:styleId="CharCharCharCharCharCharCharCharCharCharCharCharCharCharCharCharChar">
    <w:name w:val="Char Char Char Знак Char Char Char Char Char Знак Char Char Char Char Char Char Char Char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character" w:customStyle="1" w:styleId="apple-style-span">
    <w:name w:val="apple-style-span"/>
    <w:rsid w:val="00060470"/>
    <w:rPr>
      <w:rFonts w:cs="Times New Roman"/>
    </w:rPr>
  </w:style>
  <w:style w:type="character" w:customStyle="1" w:styleId="Style1Char">
    <w:name w:val="Style1 Char"/>
    <w:link w:val="Style1"/>
    <w:rsid w:val="00060470"/>
    <w:rPr>
      <w:rFonts w:ascii="Sylfaen" w:hAnsi="Sylfaen"/>
      <w:sz w:val="22"/>
      <w:szCs w:val="24"/>
    </w:rPr>
  </w:style>
  <w:style w:type="character" w:customStyle="1" w:styleId="FontStyle17">
    <w:name w:val="Font Style17"/>
    <w:rsid w:val="00060470"/>
    <w:rPr>
      <w:rFonts w:ascii="Arial Unicode MS" w:eastAsia="Arial Unicode MS" w:cs="Arial Unicode MS"/>
      <w:b/>
      <w:bCs/>
      <w:sz w:val="24"/>
      <w:szCs w:val="24"/>
    </w:rPr>
  </w:style>
  <w:style w:type="character" w:customStyle="1" w:styleId="Heading6Char1">
    <w:name w:val="Heading 6 Char1"/>
    <w:rsid w:val="00060470"/>
    <w:rPr>
      <w:rFonts w:ascii="Arial Armenian" w:eastAsia="Times New Roman" w:hAnsi="Arial Armenian" w:cs="Times New Roman"/>
      <w:i/>
      <w:szCs w:val="20"/>
      <w:u w:val="single"/>
      <w:lang w:val="en-GB"/>
    </w:rPr>
  </w:style>
  <w:style w:type="character" w:customStyle="1" w:styleId="Heading7Char1">
    <w:name w:val="Heading 7 Char1"/>
    <w:rsid w:val="00060470"/>
    <w:rPr>
      <w:rFonts w:ascii="Garamond" w:eastAsia="Times New Roman" w:hAnsi="Garamond" w:cs="Times New Roman"/>
      <w:i/>
      <w:spacing w:val="-5"/>
      <w:sz w:val="28"/>
      <w:szCs w:val="20"/>
      <w:shd w:val="pct5" w:color="auto" w:fill="auto"/>
      <w:lang w:val="en-GB"/>
    </w:rPr>
  </w:style>
  <w:style w:type="character" w:customStyle="1" w:styleId="Heading8Char1">
    <w:name w:val="Heading 8 Char1"/>
    <w:rsid w:val="00060470"/>
    <w:rPr>
      <w:rFonts w:ascii="Arial Black" w:eastAsia="Times New Roman" w:hAnsi="Arial Black" w:cs="Times New Roman"/>
      <w:caps/>
      <w:spacing w:val="60"/>
      <w:position w:val="4"/>
      <w:sz w:val="14"/>
      <w:szCs w:val="20"/>
      <w:lang w:val="en-GB"/>
    </w:rPr>
  </w:style>
  <w:style w:type="character" w:customStyle="1" w:styleId="Heading9Char1">
    <w:name w:val="Heading 9 Char1"/>
    <w:rsid w:val="00060470"/>
    <w:rPr>
      <w:rFonts w:ascii="Garamond" w:eastAsia="Times New Roman" w:hAnsi="Garamond" w:cs="Times New Roman"/>
      <w:b/>
      <w:i/>
      <w:kern w:val="28"/>
      <w:sz w:val="20"/>
      <w:szCs w:val="20"/>
      <w:lang w:val="en-GB"/>
    </w:rPr>
  </w:style>
  <w:style w:type="paragraph" w:customStyle="1" w:styleId="Tablefigure">
    <w:name w:val="Table_figure"/>
    <w:basedOn w:val="Normal"/>
    <w:rsid w:val="00060470"/>
    <w:pPr>
      <w:spacing w:before="60" w:line="240" w:lineRule="auto"/>
      <w:ind w:firstLine="0"/>
      <w:contextualSpacing w:val="0"/>
      <w:jc w:val="right"/>
    </w:pPr>
    <w:rPr>
      <w:rFonts w:ascii="Arial Armenian" w:hAnsi="Arial Armenian"/>
      <w:sz w:val="16"/>
      <w:szCs w:val="20"/>
      <w:lang w:val="en-GB" w:eastAsia="en-US"/>
    </w:rPr>
  </w:style>
  <w:style w:type="character" w:customStyle="1" w:styleId="BodyTextIndent2Char1">
    <w:name w:val="Body Text Indent 2 Char1"/>
    <w:rsid w:val="00060470"/>
    <w:rPr>
      <w:rFonts w:ascii="Arial Armenian" w:eastAsia="Times New Roman" w:hAnsi="Arial Armenian" w:cs="Times New Roman"/>
      <w:sz w:val="20"/>
      <w:szCs w:val="20"/>
      <w:lang w:val="en-GB"/>
    </w:rPr>
  </w:style>
  <w:style w:type="paragraph" w:customStyle="1" w:styleId="Specialnormal">
    <w:name w:val="Special normal"/>
    <w:basedOn w:val="Normal"/>
    <w:rsid w:val="00060470"/>
    <w:pPr>
      <w:overflowPunct w:val="0"/>
      <w:autoSpaceDE w:val="0"/>
      <w:autoSpaceDN w:val="0"/>
      <w:adjustRightInd w:val="0"/>
      <w:spacing w:before="0" w:line="240" w:lineRule="auto"/>
      <w:ind w:firstLine="0"/>
      <w:contextualSpacing w:val="0"/>
      <w:jc w:val="center"/>
      <w:textAlignment w:val="baseline"/>
    </w:pPr>
    <w:rPr>
      <w:rFonts w:ascii="Times New Roman" w:hAnsi="Times New Roman"/>
      <w:sz w:val="20"/>
      <w:szCs w:val="20"/>
      <w:lang w:val="en-GB" w:eastAsia="en-US"/>
    </w:rPr>
  </w:style>
  <w:style w:type="paragraph" w:customStyle="1" w:styleId="a3">
    <w:name w:val="???????? ????? ? ????????"/>
    <w:basedOn w:val="Normal"/>
    <w:rsid w:val="00060470"/>
    <w:pPr>
      <w:spacing w:before="0" w:line="240" w:lineRule="auto"/>
      <w:ind w:left="360" w:hanging="360"/>
      <w:contextualSpacing w:val="0"/>
    </w:pPr>
    <w:rPr>
      <w:rFonts w:ascii="Times Armenian" w:hAnsi="Times Armenian"/>
      <w:sz w:val="24"/>
      <w:szCs w:val="20"/>
      <w:lang w:val="en-US"/>
    </w:rPr>
  </w:style>
  <w:style w:type="character" w:customStyle="1" w:styleId="Char1">
    <w:name w:val="??????? Char"/>
    <w:link w:val="a0"/>
    <w:rsid w:val="00060470"/>
    <w:rPr>
      <w:lang w:val="ru-RU" w:eastAsia="ru-RU"/>
    </w:rPr>
  </w:style>
  <w:style w:type="paragraph" w:customStyle="1" w:styleId="20">
    <w:name w:val="???????2"/>
    <w:rsid w:val="00060470"/>
    <w:rPr>
      <w:rFonts w:ascii="Times Armenian" w:hAnsi="Times Armenian"/>
      <w:sz w:val="24"/>
      <w:lang w:eastAsia="ru-RU"/>
    </w:rPr>
  </w:style>
  <w:style w:type="paragraph" w:customStyle="1" w:styleId="a4">
    <w:name w:val="???????? ?????"/>
    <w:basedOn w:val="a0"/>
    <w:rsid w:val="00060470"/>
    <w:pPr>
      <w:jc w:val="center"/>
    </w:pPr>
    <w:rPr>
      <w:rFonts w:ascii="Times Armenian" w:hAnsi="Times Armenian"/>
      <w:i/>
      <w:sz w:val="32"/>
      <w:lang w:val="en-US"/>
    </w:rPr>
  </w:style>
  <w:style w:type="paragraph" w:customStyle="1" w:styleId="31">
    <w:name w:val="???????? ????? ? ???????? 31"/>
    <w:basedOn w:val="20"/>
    <w:rsid w:val="00060470"/>
    <w:pPr>
      <w:spacing w:line="360" w:lineRule="auto"/>
      <w:ind w:firstLine="360"/>
      <w:jc w:val="both"/>
    </w:pPr>
  </w:style>
  <w:style w:type="paragraph" w:customStyle="1" w:styleId="a5">
    <w:name w:val="??????"/>
    <w:basedOn w:val="20"/>
    <w:rsid w:val="00060470"/>
    <w:pPr>
      <w:spacing w:line="360" w:lineRule="auto"/>
      <w:ind w:left="-426" w:right="-619" w:firstLine="710"/>
      <w:jc w:val="both"/>
    </w:pPr>
    <w:rPr>
      <w:rFonts w:ascii="Arial LatArm" w:hAnsi="Arial LatArm"/>
      <w:i/>
      <w:lang w:val="en-AU"/>
    </w:rPr>
  </w:style>
  <w:style w:type="paragraph" w:customStyle="1" w:styleId="3">
    <w:name w:val="???????? ????? 3"/>
    <w:basedOn w:val="Normal"/>
    <w:rsid w:val="00060470"/>
    <w:pPr>
      <w:spacing w:before="0" w:line="240" w:lineRule="auto"/>
      <w:ind w:firstLine="0"/>
      <w:contextualSpacing w:val="0"/>
    </w:pPr>
    <w:rPr>
      <w:rFonts w:ascii="Times Armenian" w:hAnsi="Times Armenian"/>
      <w:sz w:val="24"/>
      <w:szCs w:val="20"/>
    </w:rPr>
  </w:style>
  <w:style w:type="paragraph" w:customStyle="1" w:styleId="21">
    <w:name w:val="???????? ????? ? ????????2"/>
    <w:basedOn w:val="20"/>
    <w:rsid w:val="00060470"/>
    <w:pPr>
      <w:spacing w:line="360" w:lineRule="auto"/>
      <w:ind w:firstLine="720"/>
      <w:jc w:val="both"/>
    </w:pPr>
    <w:rPr>
      <w:sz w:val="28"/>
    </w:rPr>
  </w:style>
  <w:style w:type="paragraph" w:customStyle="1" w:styleId="11">
    <w:name w:val="????????? 11"/>
    <w:basedOn w:val="20"/>
    <w:next w:val="20"/>
    <w:rsid w:val="00060470"/>
    <w:pPr>
      <w:keepNext/>
      <w:spacing w:line="360" w:lineRule="auto"/>
      <w:outlineLvl w:val="0"/>
    </w:pPr>
    <w:rPr>
      <w:rFonts w:ascii="Times LatArm" w:hAnsi="Times LatArm"/>
    </w:rPr>
  </w:style>
  <w:style w:type="paragraph" w:customStyle="1" w:styleId="12">
    <w:name w:val="????????1"/>
    <w:basedOn w:val="a0"/>
    <w:rsid w:val="00060470"/>
    <w:pPr>
      <w:jc w:val="center"/>
    </w:pPr>
    <w:rPr>
      <w:rFonts w:ascii="Times Armenian" w:hAnsi="Times Armenian"/>
      <w:i/>
      <w:sz w:val="28"/>
      <w:lang w:val="en-US"/>
    </w:rPr>
  </w:style>
  <w:style w:type="paragraph" w:customStyle="1" w:styleId="22">
    <w:name w:val="???????? ????? ? ???????? 2"/>
    <w:basedOn w:val="a0"/>
    <w:rsid w:val="00060470"/>
    <w:pPr>
      <w:ind w:right="-141" w:firstLine="567"/>
      <w:jc w:val="both"/>
    </w:pPr>
    <w:rPr>
      <w:rFonts w:ascii="Times Armenian" w:hAnsi="Times Armenian"/>
      <w:sz w:val="24"/>
    </w:rPr>
  </w:style>
  <w:style w:type="paragraph" w:customStyle="1" w:styleId="23">
    <w:name w:val="???????? ????? 2"/>
    <w:basedOn w:val="a0"/>
    <w:rsid w:val="00060470"/>
    <w:pPr>
      <w:spacing w:line="360" w:lineRule="auto"/>
      <w:jc w:val="both"/>
    </w:pPr>
    <w:rPr>
      <w:rFonts w:ascii="Times LatArm" w:hAnsi="Times LatArm"/>
      <w:b/>
      <w:i/>
      <w:sz w:val="28"/>
      <w:lang w:val="en-US"/>
    </w:rPr>
  </w:style>
  <w:style w:type="paragraph" w:customStyle="1" w:styleId="13">
    <w:name w:val="???????1"/>
    <w:rsid w:val="00060470"/>
    <w:rPr>
      <w:lang w:val="ru-RU" w:eastAsia="ru-RU"/>
    </w:rPr>
  </w:style>
  <w:style w:type="paragraph" w:customStyle="1" w:styleId="30">
    <w:name w:val="???????? ????? ? ????????3"/>
    <w:basedOn w:val="a0"/>
    <w:rsid w:val="00060470"/>
    <w:pPr>
      <w:ind w:left="360" w:hanging="360"/>
      <w:jc w:val="both"/>
    </w:pPr>
    <w:rPr>
      <w:rFonts w:ascii="Times Armenian" w:hAnsi="Times Armenian"/>
      <w:sz w:val="24"/>
      <w:lang w:val="en-US"/>
    </w:rPr>
  </w:style>
  <w:style w:type="paragraph" w:customStyle="1" w:styleId="StyleHeading2ChapterParanumTextSylfaen1">
    <w:name w:val="Style Heading 2.(Chapter).Paranum.Text + Sylfaen1"/>
    <w:basedOn w:val="Heading2ChapterParanumText"/>
    <w:link w:val="StyleHeading2ChapterParanumTextSylfaen1Char"/>
    <w:autoRedefine/>
    <w:rsid w:val="00060470"/>
    <w:pPr>
      <w:spacing w:before="240" w:after="120" w:line="240" w:lineRule="auto"/>
      <w:ind w:firstLine="567"/>
      <w:jc w:val="both"/>
    </w:pPr>
    <w:rPr>
      <w:rFonts w:ascii="GHEA Grapalat" w:hAnsi="GHEA Grapalat"/>
      <w:sz w:val="22"/>
      <w:szCs w:val="22"/>
      <w:lang w:val="pt-BR"/>
    </w:rPr>
  </w:style>
  <w:style w:type="paragraph" w:customStyle="1" w:styleId="Heading2ChapterParanumText">
    <w:name w:val="Heading 2.(Chapter).Paranum.Text"/>
    <w:basedOn w:val="Normal"/>
    <w:next w:val="BodyTextMainTextdateBodyTextMaintext"/>
    <w:link w:val="Heading2ChapterParanumTextChar"/>
    <w:rsid w:val="00060470"/>
    <w:pPr>
      <w:keepNext/>
      <w:widowControl w:val="0"/>
      <w:spacing w:before="0" w:after="240"/>
      <w:ind w:firstLine="0"/>
      <w:contextualSpacing w:val="0"/>
      <w:jc w:val="left"/>
      <w:outlineLvl w:val="1"/>
    </w:pPr>
    <w:rPr>
      <w:rFonts w:ascii="Times Armenian" w:hAnsi="Times Armenian"/>
      <w:b w:val="0"/>
      <w:spacing w:val="24"/>
      <w:kern w:val="28"/>
      <w:sz w:val="24"/>
      <w:lang w:val="it-IT" w:eastAsia="en-US"/>
    </w:rPr>
  </w:style>
  <w:style w:type="paragraph" w:customStyle="1" w:styleId="BodyTextMainTextdateBodyTextMaintext">
    <w:name w:val="Body Text.(Main Text).date.Body Text (Main text)"/>
    <w:basedOn w:val="Normal"/>
    <w:rsid w:val="00060470"/>
    <w:pPr>
      <w:widowControl w:val="0"/>
      <w:spacing w:before="0" w:after="120"/>
      <w:ind w:firstLine="652"/>
      <w:contextualSpacing w:val="0"/>
    </w:pPr>
    <w:rPr>
      <w:rFonts w:ascii="Arial Armenian" w:hAnsi="Arial Armenian"/>
      <w:sz w:val="20"/>
      <w:lang w:val="en-GB" w:eastAsia="en-US"/>
    </w:rPr>
  </w:style>
  <w:style w:type="character" w:customStyle="1" w:styleId="Heading2ChapterParanumTextChar">
    <w:name w:val="Heading 2.(Chapter).Paranum.Text Char"/>
    <w:link w:val="Heading2ChapterParanumText"/>
    <w:rsid w:val="00060470"/>
    <w:rPr>
      <w:rFonts w:ascii="Times Armenian" w:hAnsi="Times Armenian"/>
      <w:b/>
      <w:spacing w:val="24"/>
      <w:kern w:val="28"/>
      <w:sz w:val="24"/>
      <w:szCs w:val="24"/>
      <w:lang w:val="it-IT"/>
    </w:rPr>
  </w:style>
  <w:style w:type="character" w:customStyle="1" w:styleId="StyleHeading2ChapterParanumTextSylfaen1Char">
    <w:name w:val="Style Heading 2.(Chapter).Paranum.Text + Sylfaen1 Char"/>
    <w:link w:val="StyleHeading2ChapterParanumTextSylfaen1"/>
    <w:rsid w:val="00060470"/>
    <w:rPr>
      <w:rFonts w:ascii="GHEA Grapalat" w:hAnsi="GHEA Grapalat"/>
      <w:b/>
      <w:spacing w:val="24"/>
      <w:kern w:val="28"/>
      <w:sz w:val="22"/>
      <w:szCs w:val="22"/>
      <w:lang w:val="pt-BR"/>
    </w:rPr>
  </w:style>
  <w:style w:type="paragraph" w:customStyle="1" w:styleId="8">
    <w:name w:val="????????? 8"/>
    <w:basedOn w:val="a0"/>
    <w:next w:val="a0"/>
    <w:rsid w:val="00060470"/>
    <w:pPr>
      <w:keepNext/>
      <w:ind w:firstLine="426"/>
      <w:outlineLvl w:val="7"/>
    </w:pPr>
    <w:rPr>
      <w:rFonts w:ascii="Times Armenian" w:hAnsi="Times Armenian"/>
      <w:b/>
      <w:sz w:val="24"/>
      <w:lang w:val="en-US"/>
    </w:rPr>
  </w:style>
  <w:style w:type="paragraph" w:customStyle="1" w:styleId="210">
    <w:name w:val="???????? ????? ? ???????? 21"/>
    <w:basedOn w:val="20"/>
    <w:rsid w:val="00060470"/>
    <w:pPr>
      <w:spacing w:line="360" w:lineRule="auto"/>
      <w:ind w:firstLine="840"/>
      <w:jc w:val="both"/>
    </w:pPr>
    <w:rPr>
      <w:rFonts w:ascii="Arial LatArm" w:hAnsi="Arial LatArm"/>
    </w:rPr>
  </w:style>
  <w:style w:type="character" w:customStyle="1" w:styleId="BodyText3Char1">
    <w:name w:val="Body Text 3 Char1"/>
    <w:rsid w:val="00060470"/>
    <w:rPr>
      <w:rFonts w:ascii="Times New Roman" w:eastAsia="Times New Roman" w:hAnsi="Times New Roman" w:cs="Times New Roman"/>
      <w:sz w:val="16"/>
      <w:szCs w:val="16"/>
      <w:lang w:val="ru-RU" w:eastAsia="ru-RU"/>
    </w:rPr>
  </w:style>
  <w:style w:type="paragraph" w:customStyle="1" w:styleId="BSAPtext">
    <w:name w:val="BSAP text"/>
    <w:basedOn w:val="Normal"/>
    <w:rsid w:val="00060470"/>
    <w:pPr>
      <w:spacing w:before="0" w:line="312" w:lineRule="auto"/>
      <w:ind w:firstLine="0"/>
      <w:contextualSpacing w:val="0"/>
    </w:pPr>
    <w:rPr>
      <w:rFonts w:ascii="Bookman Old Style" w:hAnsi="Bookman Old Style"/>
      <w:szCs w:val="22"/>
      <w:lang w:val="en-US" w:eastAsia="en-US"/>
    </w:rPr>
  </w:style>
  <w:style w:type="paragraph" w:styleId="EndnoteText">
    <w:name w:val="endnote text"/>
    <w:basedOn w:val="Normal"/>
    <w:link w:val="EndnoteTextChar"/>
    <w:rsid w:val="00060470"/>
    <w:pPr>
      <w:spacing w:before="0" w:line="240" w:lineRule="auto"/>
      <w:ind w:firstLine="0"/>
      <w:contextualSpacing w:val="0"/>
      <w:jc w:val="left"/>
    </w:pPr>
    <w:rPr>
      <w:rFonts w:ascii="Times New Roman" w:hAnsi="Times New Roman"/>
      <w:sz w:val="20"/>
      <w:szCs w:val="20"/>
      <w:lang w:val="en-GB" w:eastAsia="en-US"/>
    </w:rPr>
  </w:style>
  <w:style w:type="character" w:customStyle="1" w:styleId="EndnoteTextChar">
    <w:name w:val="Endnote Text Char"/>
    <w:basedOn w:val="DefaultParagraphFont"/>
    <w:link w:val="EndnoteText"/>
    <w:rsid w:val="00060470"/>
    <w:rPr>
      <w:lang w:val="en-GB"/>
    </w:rPr>
  </w:style>
  <w:style w:type="character" w:customStyle="1" w:styleId="FooterChar2">
    <w:name w:val="Footer Char2"/>
    <w:rsid w:val="00060470"/>
    <w:rPr>
      <w:rFonts w:ascii="Times New Roman" w:eastAsia="Times New Roman" w:hAnsi="Times New Roman" w:cs="Times New Roman"/>
      <w:lang w:val="en-GB"/>
    </w:rPr>
  </w:style>
  <w:style w:type="paragraph" w:customStyle="1" w:styleId="CaptionTable">
    <w:name w:val="Caption_Table"/>
    <w:basedOn w:val="Caption"/>
    <w:rsid w:val="00060470"/>
    <w:pPr>
      <w:keepNext/>
      <w:widowControl w:val="0"/>
      <w:spacing w:before="0" w:after="0" w:line="240" w:lineRule="auto"/>
      <w:ind w:left="1325" w:hanging="1325"/>
      <w:contextualSpacing w:val="0"/>
      <w:jc w:val="left"/>
    </w:pPr>
    <w:rPr>
      <w:rFonts w:ascii="Arial Armenian" w:hAnsi="Arial Armenian" w:cs="Sylfaen"/>
      <w:color w:val="auto"/>
      <w:sz w:val="20"/>
      <w:szCs w:val="20"/>
      <w:lang w:val="en-GB" w:eastAsia="en-US"/>
    </w:rPr>
  </w:style>
  <w:style w:type="paragraph" w:customStyle="1" w:styleId="Tablefirstcolumn">
    <w:name w:val="Table_first column"/>
    <w:basedOn w:val="Normal"/>
    <w:rsid w:val="00060470"/>
    <w:pPr>
      <w:spacing w:before="60" w:line="240" w:lineRule="auto"/>
      <w:ind w:firstLine="0"/>
      <w:contextualSpacing w:val="0"/>
      <w:jc w:val="left"/>
    </w:pPr>
    <w:rPr>
      <w:rFonts w:ascii="Arial Armenian" w:hAnsi="Arial Armenian"/>
      <w:sz w:val="16"/>
      <w:szCs w:val="20"/>
      <w:lang w:val="en-GB" w:eastAsia="en-US"/>
    </w:rPr>
  </w:style>
  <w:style w:type="paragraph" w:customStyle="1" w:styleId="BodyTextIndentTableSourceTableSourceCharBodyTextIndentChar">
    <w:name w:val="Body Text Indent.(Table Source).(Table Source) Char.Body Text Indent Char"/>
    <w:basedOn w:val="BodyTextMainTextdateBodyTextMaintext"/>
    <w:next w:val="Normal"/>
    <w:rsid w:val="00060470"/>
    <w:pPr>
      <w:spacing w:before="60" w:after="60" w:line="240" w:lineRule="auto"/>
    </w:pPr>
    <w:rPr>
      <w:i/>
      <w:sz w:val="16"/>
    </w:rPr>
  </w:style>
  <w:style w:type="paragraph" w:customStyle="1" w:styleId="Tablefirstrow">
    <w:name w:val="Table_first row"/>
    <w:basedOn w:val="Normal"/>
    <w:rsid w:val="00060470"/>
    <w:pPr>
      <w:widowControl w:val="0"/>
      <w:spacing w:before="60" w:line="240" w:lineRule="auto"/>
      <w:ind w:firstLine="0"/>
      <w:contextualSpacing w:val="0"/>
      <w:jc w:val="right"/>
    </w:pPr>
    <w:rPr>
      <w:rFonts w:ascii="Arial Armenian" w:hAnsi="Arial Armenian"/>
      <w:b w:val="0"/>
      <w:sz w:val="16"/>
      <w:szCs w:val="20"/>
      <w:lang w:val="en-GB" w:eastAsia="en-US"/>
    </w:rPr>
  </w:style>
  <w:style w:type="paragraph" w:customStyle="1" w:styleId="FootnoteTextfnADBsinglespacefootnotetextCharFootnoteTextCharfnCharADBCharsinglespaceCharChar">
    <w:name w:val="Footnote Text.fn.ADB.single space.footnote text Char.Footnote Text Char.fn Char.ADB Char.single space Char Char"/>
    <w:basedOn w:val="Normal"/>
    <w:rsid w:val="00060470"/>
    <w:pPr>
      <w:spacing w:before="0" w:line="240" w:lineRule="auto"/>
      <w:ind w:firstLine="0"/>
      <w:contextualSpacing w:val="0"/>
    </w:pPr>
    <w:rPr>
      <w:rFonts w:ascii="Arial Armenian" w:hAnsi="Arial Armenian"/>
      <w:i/>
      <w:sz w:val="18"/>
      <w:lang w:val="en-GB" w:eastAsia="en-US"/>
    </w:rPr>
  </w:style>
  <w:style w:type="character" w:customStyle="1" w:styleId="HeaderChar1">
    <w:name w:val="Header Char1"/>
    <w:aliases w:val="Header Char Char Char Char Char Char Char Char Char Char Char,Header Char Char Char Char Char Char Char Char Char Char Char Char Char,h Char"/>
    <w:rsid w:val="00060470"/>
    <w:rPr>
      <w:rFonts w:ascii="Times New Roman" w:eastAsia="Times New Roman" w:hAnsi="Times New Roman" w:cs="Times New Roman"/>
      <w:sz w:val="24"/>
      <w:szCs w:val="24"/>
    </w:rPr>
  </w:style>
  <w:style w:type="paragraph" w:styleId="TOC5">
    <w:name w:val="toc 5"/>
    <w:basedOn w:val="Normal"/>
    <w:next w:val="Normal"/>
    <w:autoRedefine/>
    <w:uiPriority w:val="39"/>
    <w:rsid w:val="00060470"/>
    <w:pPr>
      <w:tabs>
        <w:tab w:val="right" w:leader="dot" w:pos="9072"/>
      </w:tabs>
      <w:spacing w:before="0" w:after="100" w:line="240" w:lineRule="auto"/>
      <w:ind w:left="851" w:firstLine="0"/>
      <w:contextualSpacing w:val="0"/>
      <w:jc w:val="left"/>
    </w:pPr>
    <w:rPr>
      <w:rFonts w:ascii="Times Armenian" w:hAnsi="Times Armenian"/>
      <w:b w:val="0"/>
      <w:sz w:val="18"/>
      <w:lang w:val="en-US" w:eastAsia="en-US"/>
    </w:rPr>
  </w:style>
  <w:style w:type="paragraph" w:customStyle="1" w:styleId="H1-intro">
    <w:name w:val="H1-intro"/>
    <w:basedOn w:val="Heading1"/>
    <w:autoRedefine/>
    <w:rsid w:val="00060470"/>
    <w:pPr>
      <w:widowControl w:val="0"/>
      <w:tabs>
        <w:tab w:val="left" w:pos="-284"/>
      </w:tabs>
      <w:spacing w:after="0" w:line="240" w:lineRule="auto"/>
      <w:ind w:right="-51"/>
      <w:contextualSpacing w:val="0"/>
    </w:pPr>
    <w:rPr>
      <w:rFonts w:ascii="Times Armenian" w:hAnsi="Times Armenian"/>
      <w:iCs/>
      <w:spacing w:val="60"/>
      <w:kern w:val="28"/>
      <w:szCs w:val="28"/>
      <w:lang w:val="es-ES" w:eastAsia="en-US"/>
    </w:rPr>
  </w:style>
  <w:style w:type="character" w:customStyle="1" w:styleId="TitleChar1">
    <w:name w:val="Title Char1"/>
    <w:rsid w:val="00060470"/>
    <w:rPr>
      <w:rFonts w:ascii="Arial Armenian" w:eastAsia="Times New Roman" w:hAnsi="Arial Armenian" w:cs="Times New Roman"/>
      <w:b/>
      <w:bCs/>
      <w:sz w:val="24"/>
      <w:szCs w:val="24"/>
      <w:lang w:val="fr-FR"/>
    </w:rPr>
  </w:style>
  <w:style w:type="paragraph" w:customStyle="1" w:styleId="CaptionGraph">
    <w:name w:val="Caption_Graph"/>
    <w:basedOn w:val="Caption"/>
    <w:rsid w:val="00060470"/>
    <w:pPr>
      <w:keepNext/>
      <w:keepLines/>
      <w:widowControl w:val="0"/>
      <w:spacing w:after="0" w:line="240" w:lineRule="auto"/>
      <w:ind w:left="1325" w:hanging="1325"/>
      <w:contextualSpacing w:val="0"/>
    </w:pPr>
    <w:rPr>
      <w:rFonts w:cs="Sylfaen"/>
      <w:bCs w:val="0"/>
      <w:color w:val="auto"/>
      <w:sz w:val="20"/>
      <w:szCs w:val="20"/>
      <w:lang w:val="it-IT" w:eastAsia="en-US"/>
    </w:rPr>
  </w:style>
  <w:style w:type="paragraph" w:customStyle="1" w:styleId="graphtable">
    <w:name w:val="graph&amp;table"/>
    <w:basedOn w:val="BodyText"/>
    <w:next w:val="BodyTextIndent"/>
    <w:rsid w:val="00060470"/>
    <w:pPr>
      <w:widowControl w:val="0"/>
      <w:spacing w:before="60" w:line="240" w:lineRule="auto"/>
      <w:ind w:firstLine="0"/>
      <w:contextualSpacing w:val="0"/>
      <w:jc w:val="both"/>
    </w:pPr>
    <w:rPr>
      <w:rFonts w:ascii="Arial Armenian" w:hAnsi="Arial Armenian"/>
      <w:sz w:val="20"/>
      <w:lang w:val="en-GB"/>
    </w:rPr>
  </w:style>
  <w:style w:type="paragraph" w:customStyle="1" w:styleId="BodyTextdate">
    <w:name w:val="Body Text.date"/>
    <w:basedOn w:val="Normal"/>
    <w:rsid w:val="00060470"/>
    <w:pPr>
      <w:widowControl w:val="0"/>
      <w:spacing w:before="0" w:after="120"/>
      <w:ind w:firstLine="0"/>
      <w:contextualSpacing w:val="0"/>
    </w:pPr>
    <w:rPr>
      <w:rFonts w:ascii="Arial Armenian" w:hAnsi="Arial Armenian"/>
      <w:spacing w:val="-5"/>
      <w:sz w:val="20"/>
      <w:szCs w:val="20"/>
      <w:lang w:val="en-GB" w:eastAsia="en-US"/>
    </w:rPr>
  </w:style>
  <w:style w:type="character" w:customStyle="1" w:styleId="CaptionGraphChar">
    <w:name w:val="Caption_Graph Char"/>
    <w:rsid w:val="00060470"/>
    <w:rPr>
      <w:rFonts w:ascii="Arial Armenian" w:hAnsi="Arial Armenian"/>
      <w:b/>
      <w:sz w:val="20"/>
    </w:rPr>
  </w:style>
  <w:style w:type="paragraph" w:customStyle="1" w:styleId="Heading5Side">
    <w:name w:val="Heading 5.Side"/>
    <w:basedOn w:val="Normal"/>
    <w:next w:val="Normal"/>
    <w:rsid w:val="00060470"/>
    <w:pPr>
      <w:keepNext/>
      <w:spacing w:before="0"/>
      <w:ind w:firstLine="0"/>
      <w:contextualSpacing w:val="0"/>
      <w:outlineLvl w:val="4"/>
    </w:pPr>
    <w:rPr>
      <w:rFonts w:ascii="Times LatArm" w:hAnsi="Times LatArm"/>
      <w:sz w:val="24"/>
      <w:szCs w:val="20"/>
      <w:lang w:val="en-NZ" w:eastAsia="en-US"/>
    </w:rPr>
  </w:style>
  <w:style w:type="paragraph" w:customStyle="1" w:styleId="24">
    <w:name w:val="çàãîëîâîê 2"/>
    <w:basedOn w:val="Normal"/>
    <w:next w:val="Normal"/>
    <w:rsid w:val="00060470"/>
    <w:pPr>
      <w:keepNext/>
      <w:overflowPunct w:val="0"/>
      <w:autoSpaceDE w:val="0"/>
      <w:autoSpaceDN w:val="0"/>
      <w:adjustRightInd w:val="0"/>
      <w:spacing w:before="0" w:line="240" w:lineRule="auto"/>
      <w:ind w:firstLine="0"/>
      <w:contextualSpacing w:val="0"/>
    </w:pPr>
    <w:rPr>
      <w:rFonts w:ascii="Arial Armenian" w:hAnsi="Arial Armenian"/>
      <w:sz w:val="24"/>
      <w:szCs w:val="20"/>
      <w:lang w:val="en-US" w:eastAsia="en-US"/>
    </w:rPr>
  </w:style>
  <w:style w:type="paragraph" w:customStyle="1" w:styleId="CaptionAnnexedTable">
    <w:name w:val="Caption_Annexed Table"/>
    <w:basedOn w:val="Caption"/>
    <w:rsid w:val="00060470"/>
    <w:pPr>
      <w:keepNext/>
      <w:keepLines/>
      <w:widowControl w:val="0"/>
      <w:spacing w:after="0" w:line="240" w:lineRule="auto"/>
      <w:ind w:left="1325" w:hanging="1325"/>
      <w:contextualSpacing w:val="0"/>
    </w:pPr>
    <w:rPr>
      <w:rFonts w:cs="Sylfaen"/>
      <w:bCs w:val="0"/>
      <w:color w:val="auto"/>
      <w:sz w:val="20"/>
      <w:szCs w:val="20"/>
      <w:lang w:val="en-US" w:eastAsia="en-US"/>
    </w:rPr>
  </w:style>
  <w:style w:type="paragraph" w:customStyle="1" w:styleId="Vernagir">
    <w:name w:val="Vernagir"/>
    <w:basedOn w:val="Normal"/>
    <w:next w:val="Normal"/>
    <w:rsid w:val="00060470"/>
    <w:pPr>
      <w:autoSpaceDE w:val="0"/>
      <w:autoSpaceDN w:val="0"/>
      <w:spacing w:before="240" w:after="120" w:line="240" w:lineRule="auto"/>
      <w:ind w:firstLine="0"/>
      <w:contextualSpacing w:val="0"/>
      <w:jc w:val="center"/>
    </w:pPr>
    <w:rPr>
      <w:rFonts w:ascii="Times Armenian" w:hAnsi="Times Armenian"/>
      <w:b w:val="0"/>
      <w:bCs/>
      <w:sz w:val="20"/>
      <w:lang w:val="en-US" w:eastAsia="en-US"/>
    </w:rPr>
  </w:style>
  <w:style w:type="paragraph" w:customStyle="1" w:styleId="Heading3Sub-ChapterCenteredtext">
    <w:name w:val="Heading 3.(Sub-Chapter).Centered.(text)"/>
    <w:basedOn w:val="Normal"/>
    <w:next w:val="BodyTextMainTextdateBodyTextMaintext"/>
    <w:rsid w:val="00060470"/>
    <w:pPr>
      <w:keepNext/>
      <w:widowControl w:val="0"/>
      <w:tabs>
        <w:tab w:val="left" w:pos="624"/>
      </w:tabs>
      <w:spacing w:before="240" w:after="240" w:line="240" w:lineRule="auto"/>
      <w:ind w:firstLine="0"/>
      <w:contextualSpacing w:val="0"/>
      <w:jc w:val="left"/>
      <w:outlineLvl w:val="2"/>
    </w:pPr>
    <w:rPr>
      <w:rFonts w:ascii="Times Armenian" w:hAnsi="Times Armenian"/>
      <w:b w:val="0"/>
      <w:lang w:val="af-ZA" w:eastAsia="en-US"/>
    </w:rPr>
  </w:style>
  <w:style w:type="paragraph" w:customStyle="1" w:styleId="BoxTitle">
    <w:name w:val="Box_Title"/>
    <w:basedOn w:val="Caption"/>
    <w:rsid w:val="00060470"/>
    <w:pPr>
      <w:keepNext/>
      <w:keepLines/>
      <w:widowControl w:val="0"/>
      <w:spacing w:before="60" w:after="120" w:line="240" w:lineRule="auto"/>
      <w:ind w:left="1325" w:hanging="1325"/>
      <w:contextualSpacing w:val="0"/>
    </w:pPr>
    <w:rPr>
      <w:rFonts w:cs="Sylfaen"/>
      <w:bCs w:val="0"/>
      <w:color w:val="auto"/>
      <w:sz w:val="20"/>
      <w:szCs w:val="20"/>
      <w:lang w:val="fr-FR" w:eastAsia="en-US"/>
    </w:rPr>
  </w:style>
  <w:style w:type="paragraph" w:styleId="TOC6">
    <w:name w:val="toc 6"/>
    <w:basedOn w:val="Normal"/>
    <w:next w:val="Normal"/>
    <w:autoRedefine/>
    <w:uiPriority w:val="39"/>
    <w:rsid w:val="00060470"/>
    <w:pPr>
      <w:spacing w:before="0" w:line="240" w:lineRule="auto"/>
      <w:ind w:left="1200" w:firstLine="0"/>
      <w:contextualSpacing w:val="0"/>
      <w:jc w:val="left"/>
    </w:pPr>
    <w:rPr>
      <w:rFonts w:ascii="Times New Roman" w:hAnsi="Times New Roman"/>
      <w:sz w:val="24"/>
      <w:lang w:val="en-US" w:eastAsia="en-US"/>
    </w:rPr>
  </w:style>
  <w:style w:type="paragraph" w:styleId="TOC7">
    <w:name w:val="toc 7"/>
    <w:basedOn w:val="Normal"/>
    <w:next w:val="Normal"/>
    <w:autoRedefine/>
    <w:uiPriority w:val="39"/>
    <w:rsid w:val="00060470"/>
    <w:pPr>
      <w:spacing w:before="0" w:line="240" w:lineRule="auto"/>
      <w:ind w:left="1440" w:firstLine="0"/>
      <w:contextualSpacing w:val="0"/>
      <w:jc w:val="left"/>
    </w:pPr>
    <w:rPr>
      <w:rFonts w:ascii="Times New Roman" w:hAnsi="Times New Roman"/>
      <w:sz w:val="24"/>
      <w:lang w:val="en-US" w:eastAsia="en-US"/>
    </w:rPr>
  </w:style>
  <w:style w:type="paragraph" w:styleId="TOC8">
    <w:name w:val="toc 8"/>
    <w:basedOn w:val="Normal"/>
    <w:next w:val="Normal"/>
    <w:autoRedefine/>
    <w:uiPriority w:val="39"/>
    <w:rsid w:val="00060470"/>
    <w:pPr>
      <w:spacing w:before="0" w:line="240" w:lineRule="auto"/>
      <w:ind w:left="1680" w:firstLine="0"/>
      <w:contextualSpacing w:val="0"/>
      <w:jc w:val="left"/>
    </w:pPr>
    <w:rPr>
      <w:rFonts w:ascii="Times New Roman" w:hAnsi="Times New Roman"/>
      <w:sz w:val="24"/>
      <w:lang w:val="en-US" w:eastAsia="en-US"/>
    </w:rPr>
  </w:style>
  <w:style w:type="paragraph" w:styleId="TOC9">
    <w:name w:val="toc 9"/>
    <w:basedOn w:val="Normal"/>
    <w:next w:val="Normal"/>
    <w:autoRedefine/>
    <w:uiPriority w:val="39"/>
    <w:rsid w:val="00060470"/>
    <w:pPr>
      <w:spacing w:before="0" w:line="240" w:lineRule="auto"/>
      <w:ind w:left="1920" w:firstLine="0"/>
      <w:contextualSpacing w:val="0"/>
      <w:jc w:val="left"/>
    </w:pPr>
    <w:rPr>
      <w:rFonts w:ascii="Times New Roman" w:hAnsi="Times New Roman"/>
      <w:sz w:val="24"/>
      <w:lang w:val="en-US" w:eastAsia="en-US"/>
    </w:rPr>
  </w:style>
  <w:style w:type="table" w:styleId="TableList7">
    <w:name w:val="Table List 7"/>
    <w:basedOn w:val="TableNormal"/>
    <w:rsid w:val="000604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Web3">
    <w:name w:val="Table Web 3"/>
    <w:basedOn w:val="TableNormal"/>
    <w:rsid w:val="000604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Elegant">
    <w:name w:val="Table Elegant"/>
    <w:basedOn w:val="TableNormal"/>
    <w:rsid w:val="000604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OCBase">
    <w:name w:val="TOC Base"/>
    <w:basedOn w:val="Normal"/>
    <w:rsid w:val="00060470"/>
    <w:pPr>
      <w:tabs>
        <w:tab w:val="right" w:leader="dot" w:pos="8505"/>
      </w:tabs>
      <w:overflowPunct w:val="0"/>
      <w:autoSpaceDE w:val="0"/>
      <w:autoSpaceDN w:val="0"/>
      <w:adjustRightInd w:val="0"/>
      <w:spacing w:before="0" w:line="240" w:lineRule="auto"/>
      <w:ind w:firstLine="0"/>
      <w:contextualSpacing w:val="0"/>
      <w:jc w:val="left"/>
      <w:textAlignment w:val="baseline"/>
    </w:pPr>
    <w:rPr>
      <w:rFonts w:ascii="Gill Sans" w:hAnsi="Gill Sans"/>
      <w:sz w:val="24"/>
      <w:szCs w:val="20"/>
      <w:lang w:val="en-US" w:eastAsia="en-US"/>
    </w:rPr>
  </w:style>
  <w:style w:type="paragraph" w:customStyle="1" w:styleId="Bulets">
    <w:name w:val="Bulets"/>
    <w:basedOn w:val="Normal"/>
    <w:next w:val="Normal"/>
    <w:rsid w:val="00060470"/>
    <w:pPr>
      <w:tabs>
        <w:tab w:val="num" w:pos="360"/>
      </w:tabs>
      <w:spacing w:before="0" w:line="240" w:lineRule="auto"/>
      <w:ind w:left="357" w:hanging="357"/>
      <w:contextualSpacing w:val="0"/>
    </w:pPr>
    <w:rPr>
      <w:rFonts w:ascii="Times Armenian" w:hAnsi="Times Armenian"/>
      <w:sz w:val="20"/>
      <w:szCs w:val="20"/>
      <w:lang w:val="en-US" w:eastAsia="en-US"/>
    </w:rPr>
  </w:style>
  <w:style w:type="paragraph" w:customStyle="1" w:styleId="Numbering1">
    <w:name w:val="Numbering 1"/>
    <w:basedOn w:val="Normal"/>
    <w:next w:val="Normal"/>
    <w:autoRedefine/>
    <w:qFormat/>
    <w:rsid w:val="003C4BB9"/>
    <w:pPr>
      <w:keepNext/>
      <w:spacing w:after="120" w:line="240" w:lineRule="auto"/>
      <w:ind w:left="567" w:firstLine="0"/>
      <w:contextualSpacing w:val="0"/>
      <w:jc w:val="left"/>
    </w:pPr>
    <w:rPr>
      <w:b w:val="0"/>
      <w:i/>
      <w:szCs w:val="20"/>
      <w:lang w:val="en-US" w:eastAsia="en-US"/>
    </w:rPr>
  </w:style>
  <w:style w:type="paragraph" w:customStyle="1" w:styleId="Bulet-2">
    <w:name w:val="Bulet-2"/>
    <w:basedOn w:val="Normal"/>
    <w:rsid w:val="00060470"/>
    <w:pPr>
      <w:tabs>
        <w:tab w:val="num" w:pos="454"/>
      </w:tabs>
      <w:spacing w:before="0" w:line="240" w:lineRule="auto"/>
      <w:ind w:left="454" w:hanging="454"/>
      <w:contextualSpacing w:val="0"/>
      <w:jc w:val="left"/>
    </w:pPr>
    <w:rPr>
      <w:rFonts w:ascii="Times Armenian" w:hAnsi="Times Armenian"/>
      <w:sz w:val="24"/>
      <w:lang w:val="en-US" w:eastAsia="en-US"/>
    </w:rPr>
  </w:style>
  <w:style w:type="paragraph" w:customStyle="1" w:styleId="BodyTextIndentTableSourceTableSourceCharBodyTextIndentCharCharTableSourceCharCharCharCharCharCharCharCharCharCharCharCharCharCharCharChar">
    <w:name w:val="Body Text Indent.(Table Source).(Table Source) Char.Body Text Indent Char Char.(Table Source) Char Char Char Char Char Char Char Char Char Char Char Char Char Char Char Char"/>
    <w:basedOn w:val="Normal"/>
    <w:rsid w:val="00060470"/>
    <w:pPr>
      <w:spacing w:before="0" w:after="120" w:line="240" w:lineRule="auto"/>
      <w:ind w:left="360" w:firstLine="0"/>
      <w:contextualSpacing w:val="0"/>
      <w:jc w:val="left"/>
    </w:pPr>
    <w:rPr>
      <w:rFonts w:ascii="Times New Roman" w:hAnsi="Times New Roman"/>
      <w:sz w:val="20"/>
      <w:lang w:val="en-US" w:eastAsia="en-US"/>
    </w:rPr>
  </w:style>
  <w:style w:type="paragraph" w:customStyle="1" w:styleId="StyleHeading120pt">
    <w:name w:val="Style Heading 1 + 20 pt"/>
    <w:basedOn w:val="Heading1"/>
    <w:rsid w:val="00060470"/>
    <w:pPr>
      <w:spacing w:after="0" w:line="240" w:lineRule="auto"/>
      <w:contextualSpacing w:val="0"/>
      <w:jc w:val="left"/>
    </w:pPr>
    <w:rPr>
      <w:rFonts w:ascii="Times Armenian" w:hAnsi="Times Armenian"/>
      <w:b w:val="0"/>
      <w:sz w:val="40"/>
      <w:szCs w:val="24"/>
      <w:lang w:eastAsia="en-US"/>
    </w:rPr>
  </w:style>
  <w:style w:type="paragraph" w:customStyle="1" w:styleId="StyleHeading216ptBoldLightBlueLeft025">
    <w:name w:val="Style Heading 2 + 16 pt Bold Light Blue Left:  0.25&quot;"/>
    <w:basedOn w:val="Heading2"/>
    <w:rsid w:val="00060470"/>
    <w:pPr>
      <w:tabs>
        <w:tab w:val="num" w:pos="0"/>
        <w:tab w:val="left" w:pos="993"/>
        <w:tab w:val="num" w:pos="1080"/>
        <w:tab w:val="right" w:pos="10208"/>
      </w:tabs>
      <w:spacing w:after="0"/>
      <w:ind w:left="360" w:firstLine="540"/>
      <w:jc w:val="left"/>
    </w:pPr>
    <w:rPr>
      <w:color w:val="3366FF"/>
      <w:spacing w:val="24"/>
      <w:kern w:val="16"/>
      <w:sz w:val="32"/>
      <w:szCs w:val="22"/>
      <w:lang w:val="en-US"/>
    </w:rPr>
  </w:style>
  <w:style w:type="paragraph" w:styleId="Index2">
    <w:name w:val="index 2"/>
    <w:basedOn w:val="Normal"/>
    <w:next w:val="Normal"/>
    <w:autoRedefine/>
    <w:rsid w:val="00060470"/>
    <w:pPr>
      <w:spacing w:before="0" w:line="240" w:lineRule="auto"/>
      <w:ind w:left="480" w:hanging="240"/>
      <w:contextualSpacing w:val="0"/>
      <w:jc w:val="left"/>
    </w:pPr>
    <w:rPr>
      <w:rFonts w:ascii="Times New Roman" w:hAnsi="Times New Roman"/>
      <w:sz w:val="24"/>
      <w:lang w:val="en-US" w:eastAsia="en-US"/>
    </w:rPr>
  </w:style>
  <w:style w:type="paragraph" w:styleId="Index3">
    <w:name w:val="index 3"/>
    <w:basedOn w:val="Normal"/>
    <w:next w:val="Normal"/>
    <w:autoRedefine/>
    <w:rsid w:val="00060470"/>
    <w:pPr>
      <w:spacing w:before="0" w:line="240" w:lineRule="auto"/>
      <w:ind w:left="720" w:hanging="240"/>
      <w:contextualSpacing w:val="0"/>
      <w:jc w:val="left"/>
    </w:pPr>
    <w:rPr>
      <w:rFonts w:ascii="Times New Roman" w:hAnsi="Times New Roman"/>
      <w:sz w:val="24"/>
      <w:lang w:val="en-US" w:eastAsia="en-US"/>
    </w:rPr>
  </w:style>
  <w:style w:type="paragraph" w:styleId="Index4">
    <w:name w:val="index 4"/>
    <w:basedOn w:val="Normal"/>
    <w:next w:val="Normal"/>
    <w:autoRedefine/>
    <w:rsid w:val="00060470"/>
    <w:pPr>
      <w:spacing w:before="0" w:line="240" w:lineRule="auto"/>
      <w:ind w:left="960" w:hanging="240"/>
      <w:contextualSpacing w:val="0"/>
      <w:jc w:val="left"/>
    </w:pPr>
    <w:rPr>
      <w:rFonts w:ascii="Times New Roman" w:hAnsi="Times New Roman"/>
      <w:sz w:val="24"/>
      <w:lang w:val="en-US" w:eastAsia="en-US"/>
    </w:rPr>
  </w:style>
  <w:style w:type="paragraph" w:styleId="Index5">
    <w:name w:val="index 5"/>
    <w:basedOn w:val="Normal"/>
    <w:next w:val="Normal"/>
    <w:autoRedefine/>
    <w:rsid w:val="00060470"/>
    <w:pPr>
      <w:spacing w:before="0" w:line="240" w:lineRule="auto"/>
      <w:ind w:left="1200" w:hanging="240"/>
      <w:contextualSpacing w:val="0"/>
      <w:jc w:val="left"/>
    </w:pPr>
    <w:rPr>
      <w:rFonts w:ascii="Times New Roman" w:hAnsi="Times New Roman"/>
      <w:sz w:val="24"/>
      <w:lang w:val="en-US" w:eastAsia="en-US"/>
    </w:rPr>
  </w:style>
  <w:style w:type="paragraph" w:styleId="Index6">
    <w:name w:val="index 6"/>
    <w:basedOn w:val="Normal"/>
    <w:next w:val="Normal"/>
    <w:autoRedefine/>
    <w:rsid w:val="00060470"/>
    <w:pPr>
      <w:spacing w:before="0" w:line="240" w:lineRule="auto"/>
      <w:ind w:left="1440" w:hanging="240"/>
      <w:contextualSpacing w:val="0"/>
      <w:jc w:val="left"/>
    </w:pPr>
    <w:rPr>
      <w:rFonts w:ascii="Times New Roman" w:hAnsi="Times New Roman"/>
      <w:sz w:val="24"/>
      <w:lang w:val="en-US" w:eastAsia="en-US"/>
    </w:rPr>
  </w:style>
  <w:style w:type="paragraph" w:styleId="Index7">
    <w:name w:val="index 7"/>
    <w:basedOn w:val="Normal"/>
    <w:next w:val="Normal"/>
    <w:autoRedefine/>
    <w:rsid w:val="00060470"/>
    <w:pPr>
      <w:spacing w:before="0" w:line="240" w:lineRule="auto"/>
      <w:ind w:left="1680" w:hanging="240"/>
      <w:contextualSpacing w:val="0"/>
      <w:jc w:val="left"/>
    </w:pPr>
    <w:rPr>
      <w:rFonts w:ascii="Times New Roman" w:hAnsi="Times New Roman"/>
      <w:sz w:val="24"/>
      <w:lang w:val="en-US" w:eastAsia="en-US"/>
    </w:rPr>
  </w:style>
  <w:style w:type="paragraph" w:styleId="Index8">
    <w:name w:val="index 8"/>
    <w:basedOn w:val="Normal"/>
    <w:next w:val="Normal"/>
    <w:autoRedefine/>
    <w:rsid w:val="00060470"/>
    <w:pPr>
      <w:spacing w:before="0" w:line="240" w:lineRule="auto"/>
      <w:ind w:left="1920" w:hanging="240"/>
      <w:contextualSpacing w:val="0"/>
      <w:jc w:val="left"/>
    </w:pPr>
    <w:rPr>
      <w:rFonts w:ascii="Times New Roman" w:hAnsi="Times New Roman"/>
      <w:sz w:val="24"/>
      <w:lang w:val="en-US" w:eastAsia="en-US"/>
    </w:rPr>
  </w:style>
  <w:style w:type="paragraph" w:styleId="Index9">
    <w:name w:val="index 9"/>
    <w:basedOn w:val="Normal"/>
    <w:next w:val="Normal"/>
    <w:autoRedefine/>
    <w:rsid w:val="00060470"/>
    <w:pPr>
      <w:spacing w:before="0" w:line="240" w:lineRule="auto"/>
      <w:ind w:left="2160" w:hanging="240"/>
      <w:contextualSpacing w:val="0"/>
      <w:jc w:val="left"/>
    </w:pPr>
    <w:rPr>
      <w:rFonts w:ascii="Times New Roman" w:hAnsi="Times New Roman"/>
      <w:sz w:val="24"/>
      <w:lang w:val="en-US" w:eastAsia="en-US"/>
    </w:rPr>
  </w:style>
  <w:style w:type="paragraph" w:customStyle="1" w:styleId="BodyTextIndentTableSource">
    <w:name w:val="Body Text Indent.(Table Source)"/>
    <w:basedOn w:val="Normal"/>
    <w:rsid w:val="00060470"/>
    <w:pPr>
      <w:spacing w:before="0"/>
      <w:ind w:firstLine="540"/>
      <w:contextualSpacing w:val="0"/>
      <w:jc w:val="left"/>
    </w:pPr>
    <w:rPr>
      <w:rFonts w:ascii="Times LatArm" w:hAnsi="Times LatArm"/>
      <w:szCs w:val="20"/>
      <w:lang w:val="en-US" w:eastAsia="en-US"/>
    </w:rPr>
  </w:style>
  <w:style w:type="character" w:customStyle="1" w:styleId="TableTitleCharCharCharCharCharCharCharCharCharCharChar">
    <w:name w:val="(Table Title) Char Char Char Char Char Char Char Char Char Char Char"/>
    <w:aliases w:val="Caption1,(Table Title)1"/>
    <w:rsid w:val="00060470"/>
    <w:rPr>
      <w:rFonts w:ascii="Arial Armenian" w:hAnsi="Arial Armenian"/>
      <w:b/>
      <w:noProof w:val="0"/>
      <w:lang w:val="en-GB" w:eastAsia="en-US" w:bidi="ar-SA"/>
    </w:rPr>
  </w:style>
  <w:style w:type="paragraph" w:customStyle="1" w:styleId="BoxText">
    <w:name w:val="Box Text"/>
    <w:basedOn w:val="BodyText"/>
    <w:rsid w:val="00060470"/>
    <w:pPr>
      <w:framePr w:w="9639" w:h="6855" w:hRule="exact" w:hSpace="181" w:wrap="notBeside" w:vAnchor="text" w:hAnchor="page" w:x="1124" w:y="7"/>
      <w:widowControl w:val="0"/>
      <w:pBdr>
        <w:top w:val="single" w:sz="12" w:space="7" w:color="auto"/>
        <w:left w:val="single" w:sz="12" w:space="7" w:color="auto"/>
        <w:bottom w:val="single" w:sz="12" w:space="7" w:color="auto"/>
        <w:right w:val="single" w:sz="12" w:space="7" w:color="auto"/>
      </w:pBdr>
      <w:spacing w:before="0" w:after="120"/>
      <w:ind w:firstLine="652"/>
      <w:contextualSpacing w:val="0"/>
      <w:suppressOverlap/>
      <w:jc w:val="both"/>
    </w:pPr>
    <w:rPr>
      <w:rFonts w:ascii="Arial Armenian" w:hAnsi="Arial Armenian"/>
      <w:noProof/>
      <w:sz w:val="20"/>
      <w:lang w:val="it-IT"/>
    </w:rPr>
  </w:style>
  <w:style w:type="paragraph" w:customStyle="1" w:styleId="BulletAB1">
    <w:name w:val="Bullet AB1"/>
    <w:basedOn w:val="Normal"/>
    <w:rsid w:val="00060470"/>
    <w:pPr>
      <w:tabs>
        <w:tab w:val="num" w:pos="360"/>
        <w:tab w:val="left" w:pos="1008"/>
      </w:tabs>
      <w:spacing w:before="0" w:line="240" w:lineRule="auto"/>
      <w:ind w:left="360" w:hanging="360"/>
      <w:contextualSpacing w:val="0"/>
    </w:pPr>
    <w:rPr>
      <w:rFonts w:ascii="Times New Roman" w:hAnsi="Times New Roman"/>
      <w:sz w:val="21"/>
      <w:szCs w:val="20"/>
      <w:lang w:val="en-GB" w:eastAsia="en-US"/>
    </w:rPr>
  </w:style>
  <w:style w:type="paragraph" w:customStyle="1" w:styleId="wolort">
    <w:name w:val="wolort"/>
    <w:basedOn w:val="Normal"/>
    <w:rsid w:val="00060470"/>
    <w:pPr>
      <w:spacing w:before="0" w:line="240" w:lineRule="auto"/>
      <w:ind w:firstLine="0"/>
      <w:contextualSpacing w:val="0"/>
      <w:jc w:val="center"/>
    </w:pPr>
    <w:rPr>
      <w:rFonts w:ascii="Arial Armenian" w:hAnsi="Arial Armenian"/>
      <w:b w:val="0"/>
      <w:sz w:val="24"/>
      <w:lang w:val="en-US" w:eastAsia="en-US"/>
    </w:rPr>
  </w:style>
  <w:style w:type="paragraph" w:customStyle="1" w:styleId="Tabletext0">
    <w:name w:val="Table text"/>
    <w:basedOn w:val="Normal"/>
    <w:rsid w:val="00060470"/>
    <w:pPr>
      <w:overflowPunct w:val="0"/>
      <w:autoSpaceDE w:val="0"/>
      <w:autoSpaceDN w:val="0"/>
      <w:adjustRightInd w:val="0"/>
      <w:spacing w:before="60" w:line="240" w:lineRule="atLeast"/>
      <w:ind w:firstLine="0"/>
      <w:contextualSpacing w:val="0"/>
      <w:jc w:val="left"/>
      <w:textAlignment w:val="baseline"/>
    </w:pPr>
    <w:rPr>
      <w:rFonts w:ascii="Times New Roman" w:hAnsi="Times New Roman"/>
      <w:sz w:val="18"/>
      <w:szCs w:val="20"/>
      <w:lang w:val="en-GB" w:eastAsia="en-US"/>
    </w:rPr>
  </w:style>
  <w:style w:type="paragraph" w:customStyle="1" w:styleId="MessageText">
    <w:name w:val="Message Text"/>
    <w:basedOn w:val="BodyText"/>
    <w:rsid w:val="00060470"/>
    <w:pPr>
      <w:widowControl w:val="0"/>
      <w:spacing w:before="0" w:after="120"/>
      <w:ind w:firstLine="652"/>
      <w:contextualSpacing w:val="0"/>
      <w:jc w:val="both"/>
    </w:pPr>
    <w:rPr>
      <w:rFonts w:ascii="Arial Armenian" w:hAnsi="Arial Armenian"/>
      <w:sz w:val="22"/>
      <w:lang w:val="en-GB"/>
    </w:rPr>
  </w:style>
  <w:style w:type="paragraph" w:customStyle="1" w:styleId="Heading41">
    <w:name w:val="Heading 41"/>
    <w:aliases w:val="Centred1"/>
    <w:basedOn w:val="Normal"/>
    <w:rsid w:val="00060470"/>
    <w:pPr>
      <w:widowControl w:val="0"/>
      <w:tabs>
        <w:tab w:val="num" w:pos="1080"/>
      </w:tabs>
      <w:spacing w:before="0" w:line="240" w:lineRule="auto"/>
      <w:ind w:left="737" w:hanging="737"/>
      <w:contextualSpacing w:val="0"/>
      <w:jc w:val="left"/>
    </w:pPr>
    <w:rPr>
      <w:rFonts w:ascii="Arial Armenian" w:hAnsi="Arial Armenian"/>
      <w:sz w:val="20"/>
      <w:szCs w:val="20"/>
      <w:lang w:val="en-GB" w:eastAsia="en-US"/>
    </w:rPr>
  </w:style>
  <w:style w:type="paragraph" w:customStyle="1" w:styleId="PRAMO">
    <w:name w:val="PRAMO"/>
    <w:basedOn w:val="Normal"/>
    <w:rsid w:val="00060470"/>
    <w:pPr>
      <w:tabs>
        <w:tab w:val="left" w:pos="216"/>
        <w:tab w:val="left" w:pos="360"/>
        <w:tab w:val="left" w:pos="1418"/>
        <w:tab w:val="left" w:pos="1800"/>
        <w:tab w:val="left" w:pos="2835"/>
        <w:tab w:val="left" w:pos="3240"/>
        <w:tab w:val="left" w:pos="3960"/>
        <w:tab w:val="left" w:pos="4680"/>
        <w:tab w:val="left" w:pos="5400"/>
        <w:tab w:val="left" w:pos="6120"/>
        <w:tab w:val="left" w:pos="6840"/>
        <w:tab w:val="left" w:pos="7560"/>
        <w:tab w:val="left" w:pos="8280"/>
      </w:tabs>
      <w:spacing w:before="0" w:line="240" w:lineRule="auto"/>
      <w:ind w:firstLine="0"/>
      <w:contextualSpacing w:val="0"/>
    </w:pPr>
    <w:rPr>
      <w:rFonts w:ascii="Arial" w:hAnsi="Arial"/>
      <w:sz w:val="24"/>
      <w:lang w:val="en-GB" w:eastAsia="en-US"/>
    </w:rPr>
  </w:style>
  <w:style w:type="paragraph" w:customStyle="1" w:styleId="bullet10">
    <w:name w:val="bullet1"/>
    <w:basedOn w:val="NormalIndent"/>
    <w:rsid w:val="00060470"/>
    <w:pPr>
      <w:tabs>
        <w:tab w:val="left" w:pos="1418"/>
        <w:tab w:val="left" w:pos="2835"/>
        <w:tab w:val="left" w:pos="5103"/>
        <w:tab w:val="left" w:pos="7371"/>
        <w:tab w:val="right" w:pos="9639"/>
      </w:tabs>
      <w:spacing w:line="240" w:lineRule="auto"/>
      <w:ind w:left="0"/>
      <w:jc w:val="left"/>
    </w:pPr>
    <w:rPr>
      <w:rFonts w:ascii="Times New Roman" w:hAnsi="Times New Roman"/>
      <w:sz w:val="22"/>
      <w:lang w:val="en-GB"/>
    </w:rPr>
  </w:style>
  <w:style w:type="paragraph" w:customStyle="1" w:styleId="a6">
    <w:name w:val="????????"/>
    <w:basedOn w:val="Normal"/>
    <w:rsid w:val="00060470"/>
    <w:pPr>
      <w:spacing w:before="0" w:line="240" w:lineRule="auto"/>
      <w:ind w:firstLine="0"/>
      <w:contextualSpacing w:val="0"/>
      <w:jc w:val="center"/>
    </w:pPr>
    <w:rPr>
      <w:rFonts w:ascii="Times Armenian" w:hAnsi="Times Armenian"/>
      <w:i/>
      <w:sz w:val="28"/>
      <w:szCs w:val="20"/>
      <w:lang w:val="en-US"/>
    </w:rPr>
  </w:style>
  <w:style w:type="paragraph" w:customStyle="1" w:styleId="15">
    <w:name w:val="???????? ????? ? ????????1"/>
    <w:basedOn w:val="20"/>
    <w:rsid w:val="00060470"/>
    <w:pPr>
      <w:spacing w:line="360" w:lineRule="auto"/>
      <w:ind w:firstLine="720"/>
      <w:jc w:val="both"/>
    </w:pPr>
    <w:rPr>
      <w:sz w:val="28"/>
    </w:rPr>
  </w:style>
  <w:style w:type="paragraph" w:customStyle="1" w:styleId="BodyTextIndentTableSource1">
    <w:name w:val="Body Text Indent.(Table Source)1"/>
    <w:basedOn w:val="Normal"/>
    <w:rsid w:val="00060470"/>
    <w:pPr>
      <w:spacing w:before="0" w:line="240" w:lineRule="auto"/>
      <w:ind w:firstLine="3"/>
      <w:contextualSpacing w:val="0"/>
    </w:pPr>
    <w:rPr>
      <w:rFonts w:ascii="Times Armenian" w:hAnsi="Times Armenian"/>
      <w:szCs w:val="20"/>
      <w:lang w:val="fr-FR" w:eastAsia="en-US"/>
    </w:rPr>
  </w:style>
  <w:style w:type="character" w:customStyle="1" w:styleId="Normal1">
    <w:name w:val="Normal1"/>
    <w:rsid w:val="00060470"/>
    <w:rPr>
      <w:rFonts w:ascii="Arial" w:hAnsi="Arial"/>
      <w:sz w:val="24"/>
      <w:szCs w:val="24"/>
    </w:rPr>
  </w:style>
  <w:style w:type="paragraph" w:customStyle="1" w:styleId="BulletblBulletL1bl1">
    <w:name w:val="Bullet.bl.Bullet L1.bl1"/>
    <w:basedOn w:val="Normal"/>
    <w:rsid w:val="00060470"/>
    <w:pPr>
      <w:tabs>
        <w:tab w:val="num" w:pos="360"/>
      </w:tabs>
      <w:autoSpaceDE w:val="0"/>
      <w:autoSpaceDN w:val="0"/>
      <w:spacing w:before="0" w:after="130" w:line="240" w:lineRule="auto"/>
      <w:ind w:left="360" w:hanging="360"/>
      <w:contextualSpacing w:val="0"/>
    </w:pPr>
    <w:rPr>
      <w:rFonts w:ascii="Times Armenian" w:hAnsi="Times Armenian"/>
      <w:szCs w:val="22"/>
      <w:lang w:val="en-GB"/>
    </w:rPr>
  </w:style>
  <w:style w:type="paragraph" w:customStyle="1" w:styleId="Heading3Centeredtext">
    <w:name w:val="Heading 3.Centered.(text)"/>
    <w:basedOn w:val="Normal"/>
    <w:next w:val="Heading2"/>
    <w:rsid w:val="00060470"/>
    <w:pPr>
      <w:keepNext/>
      <w:autoSpaceDE w:val="0"/>
      <w:autoSpaceDN w:val="0"/>
      <w:spacing w:before="0" w:after="220" w:line="240" w:lineRule="auto"/>
      <w:ind w:firstLine="0"/>
      <w:contextualSpacing w:val="0"/>
      <w:jc w:val="left"/>
      <w:outlineLvl w:val="2"/>
    </w:pPr>
    <w:rPr>
      <w:rFonts w:ascii="Times Armenian" w:hAnsi="Times Armenian"/>
      <w:b w:val="0"/>
      <w:bCs/>
      <w:sz w:val="24"/>
      <w:lang w:val="en-GB"/>
    </w:rPr>
  </w:style>
  <w:style w:type="paragraph" w:customStyle="1" w:styleId="16">
    <w:name w:val="çàãîëîâîê 1"/>
    <w:basedOn w:val="Normal"/>
    <w:next w:val="Normal"/>
    <w:rsid w:val="00060470"/>
    <w:pPr>
      <w:keepNext/>
      <w:overflowPunct w:val="0"/>
      <w:autoSpaceDE w:val="0"/>
      <w:autoSpaceDN w:val="0"/>
      <w:adjustRightInd w:val="0"/>
      <w:spacing w:before="0" w:line="240" w:lineRule="auto"/>
      <w:ind w:firstLine="0"/>
      <w:contextualSpacing w:val="0"/>
      <w:jc w:val="center"/>
    </w:pPr>
    <w:rPr>
      <w:rFonts w:ascii="Arial Armenian" w:hAnsi="Arial Armenian"/>
      <w:sz w:val="24"/>
      <w:szCs w:val="20"/>
      <w:lang w:val="en-US" w:eastAsia="en-US"/>
    </w:rPr>
  </w:style>
  <w:style w:type="paragraph" w:customStyle="1" w:styleId="BalloonText2">
    <w:name w:val="Balloon Text2"/>
    <w:basedOn w:val="Normal"/>
    <w:semiHidden/>
    <w:rsid w:val="00060470"/>
    <w:pPr>
      <w:spacing w:before="0" w:line="240" w:lineRule="auto"/>
      <w:ind w:left="2157" w:hanging="180"/>
      <w:contextualSpacing w:val="0"/>
      <w:jc w:val="left"/>
    </w:pPr>
    <w:rPr>
      <w:rFonts w:ascii="Tahoma" w:hAnsi="Tahoma" w:cs="Tahoma"/>
      <w:sz w:val="16"/>
      <w:szCs w:val="16"/>
      <w:lang w:val="en-US" w:eastAsia="en-US"/>
    </w:rPr>
  </w:style>
  <w:style w:type="paragraph" w:customStyle="1" w:styleId="WW-BodyText3">
    <w:name w:val="WW-Body Text 3"/>
    <w:basedOn w:val="Normal"/>
    <w:rsid w:val="00060470"/>
    <w:pPr>
      <w:suppressAutoHyphens/>
      <w:spacing w:before="0" w:line="240" w:lineRule="auto"/>
      <w:ind w:firstLine="0"/>
      <w:contextualSpacing w:val="0"/>
    </w:pPr>
    <w:rPr>
      <w:rFonts w:ascii="Times Armenian" w:hAnsi="Times Armenian"/>
      <w:sz w:val="24"/>
      <w:lang w:val="en-US" w:eastAsia="ar-SA"/>
    </w:rPr>
  </w:style>
  <w:style w:type="paragraph" w:customStyle="1" w:styleId="WW-BodyTextIndent2">
    <w:name w:val="WW-Body Text Indent 2"/>
    <w:basedOn w:val="Normal"/>
    <w:rsid w:val="00060470"/>
    <w:pPr>
      <w:suppressAutoHyphens/>
      <w:spacing w:before="0" w:line="240" w:lineRule="auto"/>
      <w:ind w:firstLine="720"/>
      <w:contextualSpacing w:val="0"/>
      <w:jc w:val="left"/>
    </w:pPr>
    <w:rPr>
      <w:rFonts w:ascii="Times LatArm" w:hAnsi="Times LatArm"/>
      <w:i/>
      <w:iCs/>
      <w:sz w:val="24"/>
      <w:lang w:val="en-US" w:eastAsia="ar-SA"/>
    </w:rPr>
  </w:style>
  <w:style w:type="paragraph" w:customStyle="1" w:styleId="BalloonText1">
    <w:name w:val="Balloon Text1"/>
    <w:basedOn w:val="Normal"/>
    <w:semiHidden/>
    <w:rsid w:val="00060470"/>
    <w:pPr>
      <w:spacing w:before="0" w:line="240" w:lineRule="auto"/>
      <w:ind w:firstLine="0"/>
      <w:contextualSpacing w:val="0"/>
      <w:jc w:val="left"/>
    </w:pPr>
    <w:rPr>
      <w:rFonts w:ascii="Tahoma" w:hAnsi="Tahoma" w:cs="Tahoma"/>
      <w:sz w:val="16"/>
      <w:szCs w:val="16"/>
      <w:lang w:val="en-US" w:eastAsia="en-US"/>
    </w:rPr>
  </w:style>
  <w:style w:type="paragraph" w:customStyle="1" w:styleId="BalloonText3">
    <w:name w:val="Balloon Text3"/>
    <w:basedOn w:val="Normal"/>
    <w:semiHidden/>
    <w:rsid w:val="00060470"/>
    <w:pPr>
      <w:spacing w:before="0" w:line="240" w:lineRule="auto"/>
      <w:ind w:firstLine="0"/>
      <w:contextualSpacing w:val="0"/>
      <w:jc w:val="left"/>
    </w:pPr>
    <w:rPr>
      <w:rFonts w:ascii="Tahoma" w:hAnsi="Tahoma" w:cs="Tahoma"/>
      <w:sz w:val="16"/>
      <w:szCs w:val="16"/>
      <w:lang w:val="en-US" w:eastAsia="en-US"/>
    </w:rPr>
  </w:style>
  <w:style w:type="paragraph" w:customStyle="1" w:styleId="StyleHeading5SideItalic">
    <w:name w:val="Style Heading 5Side + Italic"/>
    <w:basedOn w:val="Heading5"/>
    <w:rsid w:val="00060470"/>
    <w:pPr>
      <w:keepNext/>
      <w:widowControl w:val="0"/>
      <w:tabs>
        <w:tab w:val="clear" w:pos="720"/>
        <w:tab w:val="left" w:pos="1021"/>
      </w:tabs>
      <w:spacing w:after="120"/>
      <w:jc w:val="left"/>
    </w:pPr>
    <w:rPr>
      <w:bCs w:val="0"/>
      <w:i w:val="0"/>
      <w:iCs/>
      <w:spacing w:val="0"/>
      <w:sz w:val="20"/>
      <w:u w:val="single"/>
      <w:lang w:val="en-GB"/>
    </w:rPr>
  </w:style>
  <w:style w:type="paragraph" w:customStyle="1" w:styleId="CaptionTableTitle">
    <w:name w:val="Caption.(Table Title)"/>
    <w:basedOn w:val="Normal"/>
    <w:next w:val="Normal"/>
    <w:rsid w:val="00060470"/>
    <w:pPr>
      <w:keepNext/>
      <w:keepLines/>
      <w:spacing w:before="130" w:after="130" w:line="240" w:lineRule="auto"/>
      <w:ind w:firstLine="0"/>
      <w:contextualSpacing w:val="0"/>
      <w:jc w:val="left"/>
    </w:pPr>
    <w:rPr>
      <w:rFonts w:ascii="Times New Roman" w:hAnsi="Times New Roman"/>
      <w:b w:val="0"/>
      <w:szCs w:val="20"/>
      <w:lang w:val="en-GB" w:eastAsia="en-US"/>
    </w:rPr>
  </w:style>
  <w:style w:type="paragraph" w:customStyle="1" w:styleId="StyleHeading2ChapterParanumText10pt">
    <w:name w:val="Style Heading 2(Chapter)ParanumText + 10 pt"/>
    <w:basedOn w:val="Heading2"/>
    <w:rsid w:val="00060470"/>
    <w:pPr>
      <w:widowControl w:val="0"/>
      <w:tabs>
        <w:tab w:val="num" w:pos="0"/>
        <w:tab w:val="left" w:pos="993"/>
        <w:tab w:val="num" w:pos="1080"/>
        <w:tab w:val="right" w:pos="10208"/>
      </w:tabs>
      <w:spacing w:after="0"/>
      <w:ind w:firstLine="540"/>
    </w:pPr>
    <w:rPr>
      <w:kern w:val="16"/>
      <w:szCs w:val="22"/>
      <w:lang w:val="af-ZA"/>
    </w:rPr>
  </w:style>
  <w:style w:type="paragraph" w:customStyle="1" w:styleId="BodyText1">
    <w:name w:val="Body Text1"/>
    <w:basedOn w:val="Normal"/>
    <w:rsid w:val="00060470"/>
    <w:pPr>
      <w:numPr>
        <w:numId w:val="7"/>
      </w:numPr>
      <w:tabs>
        <w:tab w:val="clear" w:pos="360"/>
        <w:tab w:val="num" w:pos="0"/>
      </w:tabs>
      <w:spacing w:before="0" w:after="240" w:line="240" w:lineRule="auto"/>
      <w:contextualSpacing w:val="0"/>
    </w:pPr>
    <w:rPr>
      <w:rFonts w:ascii="Times Armenian" w:hAnsi="Times Armenian"/>
      <w:sz w:val="24"/>
      <w:lang w:val="en-US"/>
    </w:rPr>
  </w:style>
  <w:style w:type="table" w:styleId="TableWeb2">
    <w:name w:val="Table Web 2"/>
    <w:basedOn w:val="TableNormal"/>
    <w:rsid w:val="000604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0604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table">
    <w:name w:val="Title_table"/>
    <w:basedOn w:val="Caption"/>
    <w:rsid w:val="00060470"/>
    <w:pPr>
      <w:keepNext/>
      <w:spacing w:before="0" w:after="60" w:line="240" w:lineRule="auto"/>
      <w:ind w:firstLine="0"/>
      <w:contextualSpacing w:val="0"/>
      <w:jc w:val="left"/>
    </w:pPr>
    <w:rPr>
      <w:rFonts w:cs="Sylfaen"/>
      <w:color w:val="auto"/>
      <w:sz w:val="22"/>
      <w:szCs w:val="20"/>
      <w:lang w:val="en-US"/>
    </w:rPr>
  </w:style>
  <w:style w:type="paragraph" w:customStyle="1" w:styleId="ConsNonformat">
    <w:name w:val="ConsNonformat"/>
    <w:rsid w:val="00060470"/>
    <w:pPr>
      <w:widowControl w:val="0"/>
      <w:autoSpaceDE w:val="0"/>
      <w:autoSpaceDN w:val="0"/>
      <w:adjustRightInd w:val="0"/>
    </w:pPr>
    <w:rPr>
      <w:rFonts w:ascii="Courier New" w:hAnsi="Courier New"/>
      <w:lang w:val="ru-RU"/>
    </w:rPr>
  </w:style>
  <w:style w:type="paragraph" w:customStyle="1" w:styleId="Znak">
    <w:name w:val="Znak"/>
    <w:basedOn w:val="Normal"/>
    <w:rsid w:val="00060470"/>
    <w:pPr>
      <w:tabs>
        <w:tab w:val="left" w:pos="709"/>
      </w:tabs>
      <w:spacing w:before="0" w:line="240" w:lineRule="auto"/>
      <w:ind w:firstLine="0"/>
      <w:contextualSpacing w:val="0"/>
      <w:jc w:val="left"/>
    </w:pPr>
    <w:rPr>
      <w:rFonts w:ascii="Tahoma" w:hAnsi="Tahoma"/>
      <w:sz w:val="24"/>
      <w:lang w:val="pl-PL" w:eastAsia="pl-PL"/>
    </w:rPr>
  </w:style>
  <w:style w:type="character" w:customStyle="1" w:styleId="Char0">
    <w:name w:val="Знак Знак Char"/>
    <w:link w:val="a"/>
    <w:locked/>
    <w:rsid w:val="00060470"/>
    <w:rPr>
      <w:rFonts w:ascii="Arial" w:hAnsi="Arial" w:cs="Arial"/>
    </w:rPr>
  </w:style>
  <w:style w:type="character" w:customStyle="1" w:styleId="ParanumCharChar">
    <w:name w:val="Paranum Char Char"/>
    <w:rsid w:val="00060470"/>
    <w:rPr>
      <w:rFonts w:ascii="Arial" w:hAnsi="Arial" w:cs="Arial"/>
      <w:b/>
      <w:bCs/>
      <w:i/>
      <w:iCs/>
      <w:sz w:val="28"/>
      <w:szCs w:val="28"/>
      <w:lang w:val="en-US" w:eastAsia="en-US" w:bidi="ar-SA"/>
    </w:rPr>
  </w:style>
  <w:style w:type="character" w:customStyle="1" w:styleId="textinfo1">
    <w:name w:val="textinfo1"/>
    <w:rsid w:val="00060470"/>
    <w:rPr>
      <w:rFonts w:ascii="Arial AM" w:hAnsi="Arial AM" w:hint="default"/>
      <w:color w:val="000000"/>
      <w:sz w:val="18"/>
      <w:szCs w:val="18"/>
    </w:rPr>
  </w:style>
  <w:style w:type="paragraph" w:customStyle="1" w:styleId="CharCharCharCharCharCharCharChar">
    <w:name w:val="Char Char Char Char Char Char Char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Report-Title">
    <w:name w:val="Report-Title"/>
    <w:rsid w:val="00060470"/>
    <w:pPr>
      <w:spacing w:after="240"/>
    </w:pPr>
    <w:rPr>
      <w:rFonts w:ascii="Arial" w:eastAsia="MS Mincho" w:hAnsi="Arial" w:cs="Arial"/>
      <w:b/>
      <w:bCs/>
      <w:sz w:val="36"/>
      <w:szCs w:val="36"/>
    </w:rPr>
  </w:style>
  <w:style w:type="paragraph" w:customStyle="1" w:styleId="msonormalcxspmiddle">
    <w:name w:val="msonormalcxspmiddle"/>
    <w:basedOn w:val="Normal"/>
    <w:rsid w:val="00060470"/>
    <w:pPr>
      <w:spacing w:before="100" w:beforeAutospacing="1" w:after="100" w:afterAutospacing="1" w:line="240" w:lineRule="auto"/>
      <w:ind w:firstLine="0"/>
      <w:contextualSpacing w:val="0"/>
      <w:jc w:val="left"/>
    </w:pPr>
    <w:rPr>
      <w:rFonts w:ascii="Times New Roman" w:hAnsi="Times New Roman"/>
      <w:sz w:val="24"/>
      <w:lang w:val="en-US" w:eastAsia="en-US"/>
    </w:rPr>
  </w:style>
  <w:style w:type="paragraph" w:customStyle="1" w:styleId="a7">
    <w:name w:val="Стиль"/>
    <w:rsid w:val="00060470"/>
    <w:rPr>
      <w:rFonts w:ascii="Baltica" w:hAnsi="Baltica"/>
      <w:lang w:eastAsia="ru-RU"/>
    </w:rPr>
  </w:style>
  <w:style w:type="paragraph" w:customStyle="1" w:styleId="ConsNormal">
    <w:name w:val="ConsNormal"/>
    <w:rsid w:val="00060470"/>
    <w:pPr>
      <w:widowControl w:val="0"/>
      <w:autoSpaceDE w:val="0"/>
      <w:autoSpaceDN w:val="0"/>
      <w:adjustRightInd w:val="0"/>
      <w:ind w:firstLine="720"/>
    </w:pPr>
    <w:rPr>
      <w:rFonts w:ascii="Arial" w:hAnsi="Arial"/>
      <w:lang w:val="ru-RU"/>
    </w:rPr>
  </w:style>
  <w:style w:type="paragraph" w:customStyle="1" w:styleId="ListDash">
    <w:name w:val="List Dash"/>
    <w:basedOn w:val="Normal"/>
    <w:rsid w:val="00060470"/>
    <w:pPr>
      <w:numPr>
        <w:numId w:val="6"/>
      </w:numPr>
      <w:spacing w:after="120" w:line="240" w:lineRule="auto"/>
      <w:contextualSpacing w:val="0"/>
    </w:pPr>
    <w:rPr>
      <w:rFonts w:ascii="Times New Roman" w:hAnsi="Times New Roman"/>
      <w:sz w:val="24"/>
      <w:szCs w:val="20"/>
      <w:lang w:val="en-GB" w:eastAsia="en-US"/>
    </w:rPr>
  </w:style>
  <w:style w:type="paragraph" w:customStyle="1" w:styleId="CharCharCharCharCharCharChar">
    <w:name w:val="Char Char Char Char Char Char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2ndheading">
    <w:name w:val="2nd heading"/>
    <w:basedOn w:val="Normal"/>
    <w:next w:val="Normal"/>
    <w:rsid w:val="00060470"/>
    <w:pPr>
      <w:spacing w:before="0" w:line="240" w:lineRule="auto"/>
      <w:ind w:firstLine="0"/>
      <w:contextualSpacing w:val="0"/>
      <w:jc w:val="left"/>
    </w:pPr>
    <w:rPr>
      <w:rFonts w:ascii="Univers" w:hAnsi="Univers"/>
      <w:bCs/>
      <w:sz w:val="28"/>
      <w:szCs w:val="20"/>
      <w:lang w:val="en-GB" w:eastAsia="en-US"/>
    </w:rPr>
  </w:style>
  <w:style w:type="paragraph" w:styleId="BodyTextFirstIndent">
    <w:name w:val="Body Text First Indent"/>
    <w:basedOn w:val="BodyText"/>
    <w:link w:val="BodyTextFirstIndentChar2"/>
    <w:rsid w:val="00060470"/>
    <w:pPr>
      <w:spacing w:before="0" w:after="120" w:line="240" w:lineRule="auto"/>
      <w:ind w:firstLine="210"/>
      <w:contextualSpacing w:val="0"/>
      <w:jc w:val="left"/>
    </w:pPr>
    <w:rPr>
      <w:rFonts w:ascii="Times New Roman" w:hAnsi="Times New Roman"/>
      <w:sz w:val="24"/>
      <w:szCs w:val="24"/>
    </w:rPr>
  </w:style>
  <w:style w:type="character" w:customStyle="1" w:styleId="BodyTextFirstIndentChar">
    <w:name w:val="Body Text First Indent Char"/>
    <w:basedOn w:val="BodyTextChar"/>
    <w:rsid w:val="00060470"/>
    <w:rPr>
      <w:rFonts w:ascii="GHEA Grapalat" w:hAnsi="GHEA Grapalat"/>
      <w:sz w:val="22"/>
      <w:szCs w:val="24"/>
      <w:lang w:val="ru-RU" w:eastAsia="ru-RU"/>
    </w:rPr>
  </w:style>
  <w:style w:type="character" w:customStyle="1" w:styleId="BodyTextFirstIndentChar2">
    <w:name w:val="Body Text First Indent Char2"/>
    <w:link w:val="BodyTextFirstIndent"/>
    <w:rsid w:val="00060470"/>
    <w:rPr>
      <w:sz w:val="24"/>
      <w:szCs w:val="24"/>
      <w:lang w:val="ru-RU" w:eastAsia="ru-RU"/>
    </w:rPr>
  </w:style>
  <w:style w:type="character" w:customStyle="1" w:styleId="CommentSubjectChar2">
    <w:name w:val="Comment Subject Char2"/>
    <w:rsid w:val="00060470"/>
    <w:rPr>
      <w:rFonts w:ascii="Courier New" w:hAnsi="Courier New"/>
      <w:b/>
      <w:bCs/>
    </w:rPr>
  </w:style>
  <w:style w:type="table" w:styleId="TableGrid8">
    <w:name w:val="Table Grid 8"/>
    <w:basedOn w:val="TableNormal"/>
    <w:rsid w:val="000604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rsid w:val="000604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LineNumber">
    <w:name w:val="line number"/>
    <w:rsid w:val="00060470"/>
  </w:style>
  <w:style w:type="paragraph" w:customStyle="1" w:styleId="a8">
    <w:name w:val="Заголовок таблицы"/>
    <w:basedOn w:val="a9"/>
    <w:rsid w:val="00060470"/>
  </w:style>
  <w:style w:type="paragraph" w:customStyle="1" w:styleId="a9">
    <w:name w:val="Содержимое таблицы"/>
    <w:basedOn w:val="Normal"/>
    <w:rsid w:val="00060470"/>
    <w:pPr>
      <w:suppressLineNumbers/>
      <w:suppressAutoHyphens/>
      <w:spacing w:before="0" w:line="240" w:lineRule="auto"/>
      <w:ind w:firstLine="0"/>
      <w:contextualSpacing w:val="0"/>
      <w:jc w:val="left"/>
    </w:pPr>
    <w:rPr>
      <w:rFonts w:ascii="Times New Roman" w:hAnsi="Times New Roman"/>
      <w:sz w:val="24"/>
      <w:szCs w:val="20"/>
      <w:lang w:val="en-US" w:eastAsia="en-US"/>
    </w:rPr>
  </w:style>
  <w:style w:type="paragraph" w:customStyle="1" w:styleId="aa">
    <w:name w:val="??????? ??????????"/>
    <w:basedOn w:val="a0"/>
    <w:rsid w:val="00060470"/>
    <w:pPr>
      <w:tabs>
        <w:tab w:val="center" w:pos="4320"/>
        <w:tab w:val="right" w:pos="8640"/>
      </w:tabs>
    </w:pPr>
    <w:rPr>
      <w:rFonts w:ascii="Times Armenian" w:hAnsi="Times Armenian"/>
      <w:sz w:val="24"/>
      <w:lang w:val="en-US"/>
    </w:rPr>
  </w:style>
  <w:style w:type="paragraph" w:customStyle="1" w:styleId="BodyText22">
    <w:name w:val="Body Text 22"/>
    <w:basedOn w:val="Normal"/>
    <w:rsid w:val="00060470"/>
    <w:pPr>
      <w:overflowPunct w:val="0"/>
      <w:autoSpaceDE w:val="0"/>
      <w:autoSpaceDN w:val="0"/>
      <w:adjustRightInd w:val="0"/>
      <w:spacing w:before="0" w:line="240" w:lineRule="auto"/>
      <w:ind w:firstLine="0"/>
      <w:contextualSpacing w:val="0"/>
      <w:textAlignment w:val="baseline"/>
    </w:pPr>
    <w:rPr>
      <w:rFonts w:ascii="Times LatArm" w:hAnsi="Times LatArm"/>
      <w:szCs w:val="20"/>
      <w:lang w:val="en-GB"/>
    </w:rPr>
  </w:style>
  <w:style w:type="paragraph" w:customStyle="1" w:styleId="CM31">
    <w:name w:val="CM31"/>
    <w:basedOn w:val="Default"/>
    <w:next w:val="Default"/>
    <w:rsid w:val="00060470"/>
    <w:pPr>
      <w:widowControl/>
      <w:numPr>
        <w:numId w:val="5"/>
      </w:numPr>
      <w:tabs>
        <w:tab w:val="clear" w:pos="1429"/>
      </w:tabs>
      <w:ind w:left="0" w:firstLine="0"/>
    </w:pPr>
    <w:rPr>
      <w:rFonts w:ascii="GHEA Grapalat" w:hAnsi="GHEA Grapalat" w:cs="GHEA Grapalat"/>
      <w:lang w:val="ru-RU" w:eastAsia="ru-RU"/>
    </w:rPr>
  </w:style>
  <w:style w:type="paragraph" w:customStyle="1" w:styleId="StyleCaptionTimesArmenian11pt">
    <w:name w:val="Style Caption + Times Armenian 11 pt"/>
    <w:basedOn w:val="Caption"/>
    <w:link w:val="StyleCaptionTimesArmenian11ptChar"/>
    <w:rsid w:val="00060470"/>
    <w:pPr>
      <w:overflowPunct w:val="0"/>
      <w:autoSpaceDE w:val="0"/>
      <w:autoSpaceDN w:val="0"/>
      <w:adjustRightInd w:val="0"/>
      <w:spacing w:before="0" w:after="120" w:line="240" w:lineRule="auto"/>
      <w:ind w:firstLine="0"/>
      <w:contextualSpacing w:val="0"/>
      <w:jc w:val="left"/>
      <w:textAlignment w:val="baseline"/>
    </w:pPr>
    <w:rPr>
      <w:rFonts w:ascii="Arial Armenian" w:hAnsi="Arial Armenian"/>
      <w:color w:val="auto"/>
      <w:sz w:val="26"/>
      <w:szCs w:val="26"/>
      <w:lang w:val="en-US" w:eastAsia="en-US"/>
    </w:rPr>
  </w:style>
  <w:style w:type="character" w:customStyle="1" w:styleId="StyleCaptionTimesArmenian11ptChar">
    <w:name w:val="Style Caption + Times Armenian 11 pt Char"/>
    <w:link w:val="StyleCaptionTimesArmenian11pt"/>
    <w:rsid w:val="00060470"/>
    <w:rPr>
      <w:rFonts w:ascii="Arial Armenian" w:hAnsi="Arial Armenian"/>
      <w:b/>
      <w:bCs/>
      <w:sz w:val="26"/>
      <w:szCs w:val="26"/>
    </w:rPr>
  </w:style>
  <w:style w:type="paragraph" w:customStyle="1" w:styleId="StyleHeading120ptBlue">
    <w:name w:val="Style Heading 1 + 20 pt Blue"/>
    <w:basedOn w:val="Heading1"/>
    <w:rsid w:val="00060470"/>
    <w:pPr>
      <w:spacing w:before="240" w:after="60"/>
      <w:ind w:firstLine="720"/>
      <w:contextualSpacing w:val="0"/>
      <w:jc w:val="both"/>
    </w:pPr>
    <w:rPr>
      <w:rFonts w:ascii="Arial" w:hAnsi="Arial" w:cs="Arial"/>
      <w:bCs/>
      <w:kern w:val="32"/>
      <w:sz w:val="40"/>
      <w:szCs w:val="40"/>
      <w:lang w:val="en-GB" w:eastAsia="en-US"/>
    </w:rPr>
  </w:style>
  <w:style w:type="paragraph" w:customStyle="1" w:styleId="StyleHeading1TimesArmenian10ptNotBoldUnderline1">
    <w:name w:val="Style Heading 1 + Times Armenian 10 pt Not Bold Underline1"/>
    <w:basedOn w:val="Heading1"/>
    <w:autoRedefine/>
    <w:rsid w:val="00060470"/>
    <w:pPr>
      <w:tabs>
        <w:tab w:val="center" w:pos="-180"/>
        <w:tab w:val="left" w:pos="450"/>
      </w:tabs>
      <w:spacing w:before="240" w:after="60"/>
      <w:contextualSpacing w:val="0"/>
      <w:jc w:val="both"/>
    </w:pPr>
    <w:rPr>
      <w:rFonts w:cs="Sylfaen"/>
      <w:b w:val="0"/>
      <w:sz w:val="24"/>
      <w:szCs w:val="24"/>
      <w:lang w:eastAsia="en-US"/>
    </w:rPr>
  </w:style>
  <w:style w:type="paragraph" w:customStyle="1" w:styleId="CharCharCharCharCharCharCharCharCharChar">
    <w:name w:val="Char Char Char Char Char Char Char Char Char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Titlechart">
    <w:name w:val="Title_chart"/>
    <w:basedOn w:val="Caption"/>
    <w:rsid w:val="00060470"/>
    <w:pPr>
      <w:keepNext/>
      <w:spacing w:before="0" w:after="60" w:line="240" w:lineRule="auto"/>
      <w:ind w:firstLine="0"/>
      <w:contextualSpacing w:val="0"/>
      <w:jc w:val="left"/>
    </w:pPr>
    <w:rPr>
      <w:rFonts w:cs="Sylfaen"/>
      <w:color w:val="auto"/>
      <w:sz w:val="22"/>
      <w:szCs w:val="20"/>
      <w:lang w:val="en-US"/>
    </w:rPr>
  </w:style>
  <w:style w:type="paragraph" w:customStyle="1" w:styleId="CharCharCharCharCharCharCharCharCharCharCharCharChar">
    <w:name w:val="Char Char Char Char Char Char Char Char Char Char Char Char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StyleHeading1SectionSectionHeadingText11Chapterhead3">
    <w:name w:val="Style Heading 1(Section)Section Heading(Text)1 1Chapterhead3..."/>
    <w:basedOn w:val="Heading1"/>
    <w:link w:val="StyleHeading1SectionSectionHeadingText11Chapterhead3Char"/>
    <w:autoRedefine/>
    <w:rsid w:val="00060470"/>
    <w:pPr>
      <w:spacing w:after="0"/>
      <w:contextualSpacing w:val="0"/>
      <w:jc w:val="left"/>
    </w:pPr>
    <w:rPr>
      <w:bCs/>
      <w:kern w:val="32"/>
      <w:szCs w:val="28"/>
      <w:lang w:val="es-ES"/>
    </w:rPr>
  </w:style>
  <w:style w:type="character" w:customStyle="1" w:styleId="StyleHeading1SectionSectionHeadingText11Chapterhead3Char">
    <w:name w:val="Style Heading 1(Section)Section Heading(Text)1 1Chapterhead3... Char"/>
    <w:link w:val="StyleHeading1SectionSectionHeadingText11Chapterhead3"/>
    <w:rsid w:val="00060470"/>
    <w:rPr>
      <w:rFonts w:ascii="GHEA Grapalat" w:hAnsi="GHEA Grapalat"/>
      <w:b/>
      <w:bCs/>
      <w:kern w:val="32"/>
      <w:sz w:val="28"/>
      <w:szCs w:val="28"/>
      <w:lang w:val="es-ES"/>
    </w:rPr>
  </w:style>
  <w:style w:type="paragraph" w:customStyle="1" w:styleId="StyleHeading2ChapterParanumTextSylfaen">
    <w:name w:val="Style Heading 2.(Chapter).Paranum.Text + Sylfaen"/>
    <w:basedOn w:val="Heading2ChapterParanumText"/>
    <w:link w:val="StyleHeading2ChapterParanumTextSylfaenChar"/>
    <w:autoRedefine/>
    <w:rsid w:val="00060470"/>
    <w:pPr>
      <w:spacing w:before="120" w:after="120"/>
      <w:ind w:left="576" w:hanging="576"/>
    </w:pPr>
    <w:rPr>
      <w:rFonts w:ascii="Sylfaen" w:hAnsi="Sylfaen"/>
      <w:bCs/>
    </w:rPr>
  </w:style>
  <w:style w:type="character" w:customStyle="1" w:styleId="StyleHeading2ChapterParanumTextSylfaenChar">
    <w:name w:val="Style Heading 2.(Chapter).Paranum.Text + Sylfaen Char"/>
    <w:link w:val="StyleHeading2ChapterParanumTextSylfaen"/>
    <w:rsid w:val="00060470"/>
    <w:rPr>
      <w:rFonts w:ascii="Sylfaen" w:hAnsi="Sylfaen"/>
      <w:b/>
      <w:bCs/>
      <w:spacing w:val="24"/>
      <w:kern w:val="28"/>
      <w:sz w:val="24"/>
      <w:szCs w:val="24"/>
      <w:lang w:val="it-IT"/>
    </w:rPr>
  </w:style>
  <w:style w:type="paragraph" w:customStyle="1" w:styleId="StyleHeading3Sub-ChapterCenteredtextHeading3CharCharC">
    <w:name w:val="Style Heading 3(Sub-Chapter)Centered(text)Heading 3 Char Char C..."/>
    <w:basedOn w:val="Heading3"/>
    <w:autoRedefine/>
    <w:rsid w:val="00060470"/>
    <w:pPr>
      <w:widowControl w:val="0"/>
      <w:tabs>
        <w:tab w:val="left" w:pos="624"/>
      </w:tabs>
      <w:spacing w:before="120"/>
      <w:ind w:right="302"/>
      <w:contextualSpacing w:val="0"/>
    </w:pPr>
    <w:rPr>
      <w:rFonts w:cs="Times New Roman"/>
      <w:color w:val="000000"/>
      <w:szCs w:val="24"/>
      <w:lang w:val="es-ES"/>
    </w:rPr>
  </w:style>
  <w:style w:type="paragraph" w:customStyle="1" w:styleId="StyleStyleHeading1SectionSectionHeadingText11Chapterhead3">
    <w:name w:val="Style Style Heading 1(Section)Section Heading(Text)1 1Chapterhead3...."/>
    <w:basedOn w:val="StyleHeading1SectionSectionHeadingText11Chapterhead3"/>
    <w:link w:val="StyleStyleHeading1SectionSectionHeadingText11Chapterhead3Char"/>
    <w:autoRedefine/>
    <w:rsid w:val="00060470"/>
  </w:style>
  <w:style w:type="character" w:customStyle="1" w:styleId="StyleStyleHeading1SectionSectionHeadingText11Chapterhead3Char">
    <w:name w:val="Style Style Heading 1(Section)Section Heading(Text)1 1Chapterhead3.... Char"/>
    <w:link w:val="StyleStyleHeading1SectionSectionHeadingText11Chapterhead3"/>
    <w:rsid w:val="00060470"/>
    <w:rPr>
      <w:rFonts w:ascii="GHEA Grapalat" w:hAnsi="GHEA Grapalat"/>
      <w:b/>
      <w:bCs/>
      <w:kern w:val="32"/>
      <w:sz w:val="28"/>
      <w:szCs w:val="28"/>
      <w:lang w:val="es-ES"/>
    </w:rPr>
  </w:style>
  <w:style w:type="paragraph" w:customStyle="1" w:styleId="211">
    <w:name w:val="???????? ????? 21"/>
    <w:basedOn w:val="20"/>
    <w:rsid w:val="00060470"/>
    <w:pPr>
      <w:jc w:val="center"/>
    </w:pPr>
    <w:rPr>
      <w:b/>
      <w:sz w:val="28"/>
    </w:rPr>
  </w:style>
  <w:style w:type="paragraph" w:customStyle="1" w:styleId="Style15">
    <w:name w:val="Style1.5"/>
    <w:basedOn w:val="Normal"/>
    <w:rsid w:val="00060470"/>
    <w:pPr>
      <w:spacing w:before="0"/>
      <w:ind w:firstLine="709"/>
      <w:contextualSpacing w:val="0"/>
    </w:pPr>
    <w:rPr>
      <w:rFonts w:ascii="Arial Armenian" w:hAnsi="Arial Armenian"/>
      <w:lang w:val="en-US" w:eastAsia="en-US"/>
    </w:rPr>
  </w:style>
  <w:style w:type="paragraph" w:customStyle="1" w:styleId="russtyle">
    <w:name w:val="russtyle"/>
    <w:basedOn w:val="Normal"/>
    <w:rsid w:val="00060470"/>
    <w:pPr>
      <w:spacing w:before="0" w:line="240" w:lineRule="auto"/>
      <w:ind w:firstLine="0"/>
      <w:contextualSpacing w:val="0"/>
      <w:jc w:val="left"/>
    </w:pPr>
    <w:rPr>
      <w:rFonts w:ascii="Russian Baltica" w:hAnsi="Russian Baltica"/>
      <w:lang w:val="en-US" w:eastAsia="en-US"/>
    </w:rPr>
  </w:style>
  <w:style w:type="paragraph" w:customStyle="1" w:styleId="Style6">
    <w:name w:val="Style6"/>
    <w:basedOn w:val="mechtex"/>
    <w:rsid w:val="00060470"/>
    <w:pPr>
      <w:spacing w:before="0" w:line="240" w:lineRule="auto"/>
      <w:ind w:firstLine="0"/>
      <w:contextualSpacing w:val="0"/>
    </w:pPr>
    <w:rPr>
      <w:rFonts w:ascii="Times New Roman" w:hAnsi="Times New Roman"/>
      <w:szCs w:val="24"/>
      <w:lang w:eastAsia="en-US"/>
    </w:rPr>
  </w:style>
  <w:style w:type="paragraph" w:customStyle="1" w:styleId="1CharChar">
    <w:name w:val="Знак Знак1 Char Char Знак Знак"/>
    <w:basedOn w:val="Normal"/>
    <w:rsid w:val="00060470"/>
    <w:pPr>
      <w:tabs>
        <w:tab w:val="num" w:pos="840"/>
      </w:tabs>
      <w:spacing w:before="0" w:after="160" w:line="240" w:lineRule="exact"/>
      <w:ind w:left="840" w:hanging="360"/>
      <w:contextualSpacing w:val="0"/>
    </w:pPr>
    <w:rPr>
      <w:rFonts w:ascii="Verdana" w:hAnsi="Verdana"/>
      <w:sz w:val="20"/>
      <w:szCs w:val="20"/>
      <w:lang w:eastAsia="en-US"/>
    </w:rPr>
  </w:style>
  <w:style w:type="paragraph" w:customStyle="1" w:styleId="CharCharCharChar0">
    <w:name w:val="Знак Знак Char Char Знак Знак Char Char Знак Знак"/>
    <w:basedOn w:val="Normal"/>
    <w:autoRedefine/>
    <w:rsid w:val="00060470"/>
    <w:pPr>
      <w:spacing w:before="0" w:after="160" w:line="240" w:lineRule="exact"/>
      <w:ind w:firstLine="0"/>
      <w:contextualSpacing w:val="0"/>
      <w:jc w:val="left"/>
    </w:pPr>
    <w:rPr>
      <w:rFonts w:ascii="Times New Roman" w:hAnsi="Times New Roman"/>
      <w:sz w:val="28"/>
      <w:szCs w:val="20"/>
      <w:lang w:val="en-US" w:eastAsia="en-US"/>
    </w:rPr>
  </w:style>
  <w:style w:type="paragraph" w:customStyle="1" w:styleId="ab">
    <w:name w:val="Обычный"/>
    <w:rsid w:val="00060470"/>
    <w:pPr>
      <w:autoSpaceDE w:val="0"/>
      <w:autoSpaceDN w:val="0"/>
    </w:pPr>
    <w:rPr>
      <w:lang w:val="ru-RU" w:eastAsia="ru-RU"/>
    </w:rPr>
  </w:style>
  <w:style w:type="paragraph" w:customStyle="1" w:styleId="Char3">
    <w:name w:val="Знак Знак Знак Знак Знак Знак Знак Знак Знак Знак Знак Знак Знак Знак Знак Знак Знак Знак Char Знак Знак"/>
    <w:basedOn w:val="Normal"/>
    <w:autoRedefine/>
    <w:rsid w:val="00060470"/>
    <w:pPr>
      <w:spacing w:before="0" w:after="160" w:line="240" w:lineRule="exact"/>
      <w:ind w:firstLine="0"/>
      <w:contextualSpacing w:val="0"/>
      <w:jc w:val="left"/>
    </w:pPr>
    <w:rPr>
      <w:rFonts w:ascii="Times New Roman" w:hAnsi="Times New Roman"/>
      <w:sz w:val="28"/>
      <w:szCs w:val="20"/>
      <w:lang w:val="en-US" w:eastAsia="en-US"/>
    </w:rPr>
  </w:style>
  <w:style w:type="paragraph" w:customStyle="1" w:styleId="TitlePageHeader">
    <w:name w:val="TitlePage_Header"/>
    <w:basedOn w:val="Normal"/>
    <w:rsid w:val="00060470"/>
    <w:pPr>
      <w:spacing w:before="240" w:after="240" w:line="288" w:lineRule="auto"/>
      <w:ind w:left="3240" w:firstLine="0"/>
      <w:contextualSpacing w:val="0"/>
      <w:jc w:val="left"/>
    </w:pPr>
    <w:rPr>
      <w:rFonts w:ascii="Verdana" w:hAnsi="Verdana"/>
      <w:b w:val="0"/>
      <w:sz w:val="32"/>
      <w:szCs w:val="20"/>
      <w:lang w:val="en-US" w:eastAsia="fr-FR"/>
    </w:rPr>
  </w:style>
  <w:style w:type="character" w:customStyle="1" w:styleId="t101">
    <w:name w:val="t101"/>
    <w:rsid w:val="00060470"/>
    <w:rPr>
      <w:b/>
      <w:bCs/>
      <w:color w:val="0000FF"/>
    </w:rPr>
  </w:style>
  <w:style w:type="paragraph" w:customStyle="1" w:styleId="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Style40">
    <w:name w:val="Style 4"/>
    <w:basedOn w:val="Normal"/>
    <w:rsid w:val="00060470"/>
    <w:pPr>
      <w:tabs>
        <w:tab w:val="num" w:pos="1531"/>
      </w:tabs>
      <w:spacing w:before="0" w:after="240" w:line="240" w:lineRule="atLeast"/>
      <w:ind w:left="1531" w:hanging="1531"/>
      <w:contextualSpacing w:val="0"/>
      <w:jc w:val="left"/>
    </w:pPr>
    <w:rPr>
      <w:rFonts w:ascii="Garamond" w:hAnsi="Garamond"/>
      <w:szCs w:val="20"/>
      <w:lang w:val="en-US" w:eastAsia="en-US"/>
    </w:rPr>
  </w:style>
  <w:style w:type="paragraph" w:customStyle="1" w:styleId="NormalWeb1">
    <w:name w:val="Normal (Web)1"/>
    <w:basedOn w:val="Normal"/>
    <w:rsid w:val="00060470"/>
    <w:pPr>
      <w:spacing w:before="100" w:beforeAutospacing="1" w:after="100" w:afterAutospacing="1" w:line="240" w:lineRule="auto"/>
      <w:ind w:firstLine="0"/>
      <w:contextualSpacing w:val="0"/>
      <w:jc w:val="left"/>
    </w:pPr>
    <w:rPr>
      <w:rFonts w:ascii="Times New Roman" w:hAnsi="Times New Roman"/>
      <w:sz w:val="24"/>
    </w:rPr>
  </w:style>
  <w:style w:type="paragraph" w:customStyle="1" w:styleId="CharCharChar1Char">
    <w:name w:val="Char Char Char1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1CharCharChar1Char">
    <w:name w:val="Char Char1 Char Char Char1 Char"/>
    <w:basedOn w:val="Normal"/>
    <w:autoRedefine/>
    <w:rsid w:val="00060470"/>
    <w:pPr>
      <w:spacing w:before="0" w:line="240" w:lineRule="auto"/>
      <w:ind w:firstLine="0"/>
      <w:contextualSpacing w:val="0"/>
      <w:jc w:val="left"/>
    </w:pPr>
    <w:rPr>
      <w:rFonts w:ascii="Times New Roman" w:eastAsia="SimSun" w:hAnsi="Times New Roman"/>
      <w:sz w:val="20"/>
      <w:szCs w:val="20"/>
      <w:lang w:val="en-US"/>
    </w:rPr>
  </w:style>
  <w:style w:type="paragraph" w:customStyle="1" w:styleId="4">
    <w:name w:val="Знак Знак4"/>
    <w:basedOn w:val="Normal"/>
    <w:rsid w:val="00060470"/>
    <w:pPr>
      <w:tabs>
        <w:tab w:val="left" w:pos="709"/>
      </w:tabs>
      <w:spacing w:before="0" w:line="240" w:lineRule="auto"/>
      <w:ind w:firstLine="0"/>
      <w:contextualSpacing w:val="0"/>
      <w:jc w:val="left"/>
    </w:pPr>
    <w:rPr>
      <w:rFonts w:ascii="Tahoma" w:hAnsi="Tahoma"/>
      <w:sz w:val="24"/>
      <w:lang w:val="pl-PL" w:eastAsia="pl-PL"/>
    </w:rPr>
  </w:style>
  <w:style w:type="paragraph" w:customStyle="1" w:styleId="Char4">
    <w:name w:val="Знак Char Знак"/>
    <w:basedOn w:val="Normal"/>
    <w:rsid w:val="00060470"/>
    <w:pPr>
      <w:spacing w:before="0" w:after="160" w:line="240" w:lineRule="exact"/>
      <w:ind w:firstLine="0"/>
      <w:contextualSpacing w:val="0"/>
      <w:jc w:val="left"/>
    </w:pPr>
    <w:rPr>
      <w:rFonts w:ascii="Arial" w:eastAsia="Batang" w:hAnsi="Arial" w:cs="Arial"/>
      <w:sz w:val="20"/>
      <w:szCs w:val="20"/>
      <w:lang w:val="en-US" w:eastAsia="en-US"/>
    </w:rPr>
  </w:style>
  <w:style w:type="paragraph" w:customStyle="1" w:styleId="CharCharCharCharCharChar">
    <w:name w:val="Знак Знак Char Char Знак Знак Char Char Знак Знак Char Char"/>
    <w:basedOn w:val="Normal"/>
    <w:autoRedefine/>
    <w:rsid w:val="00060470"/>
    <w:pPr>
      <w:spacing w:before="0" w:after="160" w:line="240" w:lineRule="exact"/>
      <w:ind w:firstLine="0"/>
      <w:contextualSpacing w:val="0"/>
      <w:jc w:val="left"/>
    </w:pPr>
    <w:rPr>
      <w:rFonts w:ascii="Times New Roman" w:hAnsi="Times New Roman"/>
      <w:sz w:val="28"/>
      <w:szCs w:val="20"/>
      <w:lang w:val="en-US" w:eastAsia="en-US"/>
    </w:rPr>
  </w:style>
  <w:style w:type="paragraph" w:customStyle="1" w:styleId="hodvats">
    <w:name w:val="hodvats"/>
    <w:basedOn w:val="Normal"/>
    <w:rsid w:val="00060470"/>
    <w:pPr>
      <w:tabs>
        <w:tab w:val="left" w:pos="993"/>
        <w:tab w:val="left" w:pos="1985"/>
      </w:tabs>
      <w:spacing w:before="113" w:after="57" w:line="220" w:lineRule="exact"/>
      <w:contextualSpacing w:val="0"/>
    </w:pPr>
    <w:rPr>
      <w:rFonts w:ascii="Dallak Helv" w:hAnsi="Dallak Helv"/>
      <w:b w:val="0"/>
      <w:noProof/>
      <w:sz w:val="18"/>
      <w:szCs w:val="20"/>
      <w:lang w:val="en-US" w:eastAsia="en-US"/>
    </w:rPr>
  </w:style>
  <w:style w:type="paragraph" w:customStyle="1" w:styleId="CharCharCharCharChar0">
    <w:name w:val="Char Char Char Char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StyleHeading4CentredArialUnicode105pt">
    <w:name w:val="Style Heading 4Centred + Arial Unicode 10.5 pt"/>
    <w:basedOn w:val="Heading4"/>
    <w:link w:val="StyleHeading4CentredArialUnicode105ptChar"/>
    <w:autoRedefine/>
    <w:rsid w:val="00060470"/>
    <w:pPr>
      <w:spacing w:before="120"/>
      <w:ind w:left="0"/>
      <w:contextualSpacing w:val="0"/>
    </w:pPr>
    <w:rPr>
      <w:rFonts w:ascii="Arial Unicode" w:hAnsi="Arial Unicode"/>
      <w:bCs/>
      <w:szCs w:val="22"/>
      <w:lang w:val="af-ZA"/>
    </w:rPr>
  </w:style>
  <w:style w:type="character" w:customStyle="1" w:styleId="StyleHeading4CentredArialUnicode105ptChar">
    <w:name w:val="Style Heading 4Centred + Arial Unicode 10.5 pt Char"/>
    <w:link w:val="StyleHeading4CentredArialUnicode105pt"/>
    <w:rsid w:val="00060470"/>
    <w:rPr>
      <w:rFonts w:ascii="Arial Unicode" w:hAnsi="Arial Unicode"/>
      <w:b/>
      <w:bCs/>
      <w:sz w:val="22"/>
      <w:szCs w:val="22"/>
      <w:lang w:val="af-ZA"/>
    </w:rPr>
  </w:style>
  <w:style w:type="paragraph" w:customStyle="1" w:styleId="StyleStyleHeading3Sub-ChapterCenteredtextHeading3CharChar">
    <w:name w:val="Style Style Heading 3(Sub-Chapter)Centered(text)Heading 3 Char Char..."/>
    <w:basedOn w:val="StyleHeading3Sub-ChapterCenteredtextHeading3CharCharC"/>
    <w:autoRedefine/>
    <w:rsid w:val="00060470"/>
    <w:pPr>
      <w:tabs>
        <w:tab w:val="clear" w:pos="624"/>
        <w:tab w:val="left" w:pos="360"/>
      </w:tabs>
      <w:spacing w:before="240" w:after="240"/>
      <w:ind w:right="0"/>
    </w:pPr>
    <w:rPr>
      <w:caps/>
    </w:rPr>
  </w:style>
  <w:style w:type="paragraph" w:customStyle="1" w:styleId="StyleStyleHeading2ChapterParanumTextSylfaen1ArialUni">
    <w:name w:val="Style Style Heading 2.(Chapter).Paranum.Text + Sylfaen1 + Arial Uni..."/>
    <w:basedOn w:val="StyleHeading2ChapterParanumTextSylfaen1"/>
    <w:link w:val="StyleStyleHeading2ChapterParanumTextSylfaen1ArialUniChar"/>
    <w:autoRedefine/>
    <w:rsid w:val="00060470"/>
    <w:pPr>
      <w:spacing w:before="120"/>
    </w:pPr>
    <w:rPr>
      <w:bCs/>
      <w:sz w:val="24"/>
      <w:szCs w:val="24"/>
      <w:lang w:val="af-ZA"/>
    </w:rPr>
  </w:style>
  <w:style w:type="character" w:customStyle="1" w:styleId="StyleStyleHeading2ChapterParanumTextSylfaen1ArialUniChar">
    <w:name w:val="Style Style Heading 2.(Chapter).Paranum.Text + Sylfaen1 + Arial Uni... Char"/>
    <w:link w:val="StyleStyleHeading2ChapterParanumTextSylfaen1ArialUni"/>
    <w:rsid w:val="00060470"/>
    <w:rPr>
      <w:rFonts w:ascii="GHEA Grapalat" w:hAnsi="GHEA Grapalat"/>
      <w:b/>
      <w:bCs/>
      <w:spacing w:val="24"/>
      <w:kern w:val="28"/>
      <w:sz w:val="24"/>
      <w:szCs w:val="24"/>
      <w:lang w:val="af-ZA"/>
    </w:rPr>
  </w:style>
  <w:style w:type="paragraph" w:customStyle="1" w:styleId="StyleBodyTextMainTextdateBodyTextMaintextGHEAGrapa">
    <w:name w:val="Style Body Text(Main Text)dateBody Text (Main text) + GHEA Grapa..."/>
    <w:basedOn w:val="BodyText"/>
    <w:autoRedefine/>
    <w:rsid w:val="00060470"/>
    <w:pPr>
      <w:spacing w:before="0" w:after="120"/>
      <w:ind w:firstLine="0"/>
      <w:contextualSpacing w:val="0"/>
      <w:jc w:val="both"/>
    </w:pPr>
    <w:rPr>
      <w:rFonts w:ascii="GHEA Grapalat" w:hAnsi="GHEA Grapalat"/>
      <w:sz w:val="22"/>
      <w:szCs w:val="22"/>
    </w:rPr>
  </w:style>
  <w:style w:type="paragraph" w:customStyle="1" w:styleId="StyleStyleHeading2ChapterParanumTextSylfaen1ArialUni1">
    <w:name w:val="Style Style Heading 2.(Chapter).Paranum.Text + Sylfaen1 + Arial Uni...1"/>
    <w:basedOn w:val="StyleHeading2ChapterParanumTextSylfaen1"/>
    <w:autoRedefine/>
    <w:rsid w:val="00060470"/>
    <w:rPr>
      <w:bCs/>
      <w:sz w:val="24"/>
    </w:rPr>
  </w:style>
  <w:style w:type="paragraph" w:customStyle="1" w:styleId="StyleStyleHeading1SectionSectionHeadingText11Chapterhead31">
    <w:name w:val="Style Style Heading 1(Section)Section Heading(Text)1 1Chapterhead3....1"/>
    <w:basedOn w:val="StyleHeading1SectionSectionHeadingText11Chapterhead3"/>
    <w:rsid w:val="00060470"/>
    <w:rPr>
      <w:b w:val="0"/>
      <w:bCs w:val="0"/>
      <w:spacing w:val="40"/>
    </w:rPr>
  </w:style>
  <w:style w:type="paragraph" w:customStyle="1" w:styleId="StyleStyleHeading2ChapterParanumTextSylfaen1GHEAGrap">
    <w:name w:val="Style Style Heading 2.(Chapter).Paranum.Text + Sylfaen1 + GHEA Grap..."/>
    <w:basedOn w:val="StyleHeading2ChapterParanumTextSylfaen1"/>
    <w:link w:val="StyleStyleHeading2ChapterParanumTextSylfaen1GHEAGrapChar"/>
    <w:rsid w:val="00060470"/>
    <w:rPr>
      <w:bCs/>
    </w:rPr>
  </w:style>
  <w:style w:type="character" w:customStyle="1" w:styleId="StyleStyleHeading2ChapterParanumTextSylfaen1GHEAGrapChar">
    <w:name w:val="Style Style Heading 2.(Chapter).Paranum.Text + Sylfaen1 + GHEA Grap... Char"/>
    <w:link w:val="StyleStyleHeading2ChapterParanumTextSylfaen1GHEAGrap"/>
    <w:rsid w:val="00060470"/>
    <w:rPr>
      <w:rFonts w:ascii="GHEA Grapalat" w:hAnsi="GHEA Grapalat"/>
      <w:b/>
      <w:bCs/>
      <w:spacing w:val="24"/>
      <w:kern w:val="28"/>
      <w:sz w:val="22"/>
      <w:szCs w:val="22"/>
      <w:lang w:val="pt-BR"/>
    </w:rPr>
  </w:style>
  <w:style w:type="character" w:customStyle="1" w:styleId="CharChar181">
    <w:name w:val="Char Char181"/>
    <w:rsid w:val="00060470"/>
    <w:rPr>
      <w:rFonts w:ascii="Arial Armenian" w:eastAsia="Times New Roman" w:hAnsi="Arial Armenian"/>
      <w:i/>
      <w:sz w:val="22"/>
      <w:u w:val="single"/>
      <w:lang w:val="en-GB"/>
    </w:rPr>
  </w:style>
  <w:style w:type="character" w:customStyle="1" w:styleId="FontStyle29">
    <w:name w:val="Font Style29"/>
    <w:rsid w:val="00060470"/>
    <w:rPr>
      <w:rFonts w:ascii="Tahoma" w:hAnsi="Tahoma" w:cs="Tahoma"/>
      <w:color w:val="000000"/>
      <w:sz w:val="16"/>
      <w:szCs w:val="16"/>
    </w:rPr>
  </w:style>
  <w:style w:type="character" w:customStyle="1" w:styleId="CharChar191">
    <w:name w:val="Char Char191"/>
    <w:rsid w:val="00060470"/>
    <w:rPr>
      <w:b/>
      <w:sz w:val="32"/>
      <w:lang w:val="en-GB" w:eastAsia="en-US" w:bidi="ar-SA"/>
    </w:rPr>
  </w:style>
  <w:style w:type="paragraph" w:customStyle="1" w:styleId="rmcptlkhmsonormal">
    <w:name w:val="rmcptlkh msonormal"/>
    <w:basedOn w:val="Normal"/>
    <w:rsid w:val="00060470"/>
    <w:pPr>
      <w:spacing w:before="100" w:beforeAutospacing="1" w:after="100" w:afterAutospacing="1" w:line="240" w:lineRule="auto"/>
      <w:ind w:firstLine="0"/>
      <w:contextualSpacing w:val="0"/>
      <w:jc w:val="left"/>
    </w:pPr>
    <w:rPr>
      <w:rFonts w:ascii="Times New Roman" w:eastAsia="Batang" w:hAnsi="Times New Roman"/>
      <w:sz w:val="24"/>
      <w:lang w:eastAsia="ko-KR"/>
    </w:rPr>
  </w:style>
  <w:style w:type="character" w:customStyle="1" w:styleId="CharChar211">
    <w:name w:val="Char Char211"/>
    <w:rsid w:val="00060470"/>
    <w:rPr>
      <w:rFonts w:ascii="Arial Armenian" w:hAnsi="Arial Armenian"/>
      <w:i/>
      <w:sz w:val="22"/>
      <w:u w:val="single"/>
      <w:lang w:val="en-GB" w:eastAsia="en-US" w:bidi="ar-SA"/>
    </w:rPr>
  </w:style>
  <w:style w:type="character" w:customStyle="1" w:styleId="CharChar201">
    <w:name w:val="Char Char201"/>
    <w:rsid w:val="00060470"/>
    <w:rPr>
      <w:rFonts w:ascii="Garamond" w:hAnsi="Garamond"/>
      <w:i/>
      <w:spacing w:val="-5"/>
      <w:sz w:val="28"/>
      <w:lang w:val="en-GB" w:eastAsia="en-US" w:bidi="ar-SA"/>
    </w:rPr>
  </w:style>
  <w:style w:type="paragraph" w:customStyle="1" w:styleId="CM33">
    <w:name w:val="CM33"/>
    <w:basedOn w:val="Normal"/>
    <w:next w:val="Normal"/>
    <w:rsid w:val="00060470"/>
    <w:pPr>
      <w:widowControl w:val="0"/>
      <w:autoSpaceDE w:val="0"/>
      <w:autoSpaceDN w:val="0"/>
      <w:adjustRightInd w:val="0"/>
      <w:spacing w:before="0" w:after="343" w:line="240" w:lineRule="auto"/>
      <w:ind w:firstLine="0"/>
      <w:contextualSpacing w:val="0"/>
      <w:jc w:val="left"/>
    </w:pPr>
    <w:rPr>
      <w:rFonts w:ascii="Arial Armenian" w:hAnsi="Arial Armenian" w:cs="Arial Armenian"/>
      <w:sz w:val="24"/>
      <w:lang w:val="en-US" w:eastAsia="en-US"/>
    </w:rPr>
  </w:style>
  <w:style w:type="paragraph" w:customStyle="1" w:styleId="listparagraphcxspmiddle">
    <w:name w:val="listparagraphcxspmiddle"/>
    <w:basedOn w:val="Normal"/>
    <w:rsid w:val="00060470"/>
    <w:pPr>
      <w:spacing w:before="100" w:beforeAutospacing="1" w:after="100" w:afterAutospacing="1" w:line="240" w:lineRule="auto"/>
      <w:ind w:firstLine="0"/>
      <w:contextualSpacing w:val="0"/>
      <w:jc w:val="left"/>
    </w:pPr>
    <w:rPr>
      <w:rFonts w:ascii="Times New Roman" w:hAnsi="Times New Roman"/>
      <w:sz w:val="24"/>
      <w:lang w:val="en-US" w:eastAsia="en-US"/>
    </w:rPr>
  </w:style>
  <w:style w:type="paragraph" w:customStyle="1" w:styleId="listparagraphcxsplast">
    <w:name w:val="listparagraphcxsplast"/>
    <w:basedOn w:val="Normal"/>
    <w:rsid w:val="00060470"/>
    <w:pPr>
      <w:spacing w:before="100" w:beforeAutospacing="1" w:after="100" w:afterAutospacing="1" w:line="240" w:lineRule="auto"/>
      <w:ind w:firstLine="0"/>
      <w:contextualSpacing w:val="0"/>
      <w:jc w:val="left"/>
    </w:pPr>
    <w:rPr>
      <w:rFonts w:ascii="Times New Roman" w:hAnsi="Times New Roman"/>
      <w:sz w:val="24"/>
      <w:lang w:val="en-US" w:eastAsia="en-US"/>
    </w:rPr>
  </w:style>
  <w:style w:type="paragraph" w:customStyle="1" w:styleId="CharCharCharCharChar3">
    <w:name w:val="Знак Char Char Знак Char Char Char"/>
    <w:aliases w:val=" Знак Char Char Знак Char Char1 Знак,Знак Char Char Знак Char Char1 Знак"/>
    <w:basedOn w:val="Normal"/>
    <w:next w:val="Normal"/>
    <w:semiHidden/>
    <w:rsid w:val="00060470"/>
    <w:pPr>
      <w:spacing w:before="0" w:after="160" w:line="240" w:lineRule="exact"/>
      <w:ind w:firstLine="0"/>
      <w:contextualSpacing w:val="0"/>
    </w:pPr>
    <w:rPr>
      <w:rFonts w:ascii="Arial" w:hAnsi="Arial" w:cs="Arial"/>
      <w:b w:val="0"/>
      <w:sz w:val="20"/>
      <w:szCs w:val="20"/>
      <w:lang w:val="en-GB" w:eastAsia="en-US"/>
    </w:rPr>
  </w:style>
  <w:style w:type="character" w:customStyle="1" w:styleId="BodyTextFirstIndentChar1">
    <w:name w:val="Body Text First Indent Char1"/>
    <w:uiPriority w:val="99"/>
    <w:rsid w:val="00060470"/>
    <w:rPr>
      <w:rFonts w:ascii="Times Armenian" w:hAnsi="Times Armenian"/>
      <w:sz w:val="24"/>
      <w:szCs w:val="24"/>
      <w:lang w:val="ru-RU" w:eastAsia="ru-RU" w:bidi="ar-SA"/>
    </w:rPr>
  </w:style>
  <w:style w:type="character" w:customStyle="1" w:styleId="CommentSubjectChar1">
    <w:name w:val="Comment Subject Char1"/>
    <w:uiPriority w:val="99"/>
    <w:rsid w:val="00060470"/>
    <w:rPr>
      <w:rFonts w:ascii="Courier New" w:hAnsi="Courier New"/>
      <w:b/>
      <w:bCs/>
      <w:lang w:val="en-US" w:eastAsia="en-US" w:bidi="ar-SA"/>
    </w:rPr>
  </w:style>
  <w:style w:type="paragraph" w:customStyle="1" w:styleId="CharCharChar1CharCharCharCharCharCharCharCharCharCharCharCharCharCharChar">
    <w:name w:val="Char Char Char1 Char Char Char Char Char Char Char Char Char Char Char Char Char Char Char"/>
    <w:basedOn w:val="Normal"/>
    <w:rsid w:val="00060470"/>
    <w:pPr>
      <w:spacing w:before="0" w:after="160" w:line="240" w:lineRule="exact"/>
      <w:ind w:firstLine="0"/>
      <w:contextualSpacing w:val="0"/>
      <w:jc w:val="left"/>
    </w:pPr>
    <w:rPr>
      <w:rFonts w:ascii="Verdana" w:eastAsia="MS Mincho" w:hAnsi="Verdana"/>
      <w:sz w:val="20"/>
      <w:szCs w:val="20"/>
      <w:lang w:val="en-GB" w:eastAsia="en-US"/>
    </w:rPr>
  </w:style>
  <w:style w:type="character" w:customStyle="1" w:styleId="textexposedshow">
    <w:name w:val="text_exposed_show"/>
    <w:rsid w:val="00060470"/>
    <w:rPr>
      <w:rFonts w:cs="Times New Roman"/>
    </w:rPr>
  </w:style>
  <w:style w:type="paragraph" w:customStyle="1" w:styleId="formtext">
    <w:name w:val="formtext"/>
    <w:basedOn w:val="Normal"/>
    <w:rsid w:val="00060470"/>
    <w:pPr>
      <w:spacing w:after="120" w:line="240" w:lineRule="exact"/>
      <w:ind w:firstLine="0"/>
      <w:contextualSpacing w:val="0"/>
      <w:jc w:val="left"/>
    </w:pPr>
    <w:rPr>
      <w:rFonts w:ascii="Arial" w:eastAsia="SimSun" w:hAnsi="Arial"/>
      <w:szCs w:val="22"/>
      <w:lang w:val="en-US" w:eastAsia="fr-FR"/>
    </w:rPr>
  </w:style>
  <w:style w:type="paragraph" w:customStyle="1" w:styleId="italic">
    <w:name w:val="italic"/>
    <w:basedOn w:val="Normal"/>
    <w:rsid w:val="00060470"/>
    <w:pPr>
      <w:spacing w:before="100" w:beforeAutospacing="1" w:after="100" w:afterAutospacing="1" w:line="240" w:lineRule="auto"/>
      <w:ind w:firstLine="0"/>
      <w:contextualSpacing w:val="0"/>
      <w:jc w:val="left"/>
    </w:pPr>
    <w:rPr>
      <w:rFonts w:ascii="Calibri" w:hAnsi="Calibri" w:cs="Calibri"/>
      <w:sz w:val="24"/>
      <w:lang w:val="en-US" w:eastAsia="en-US"/>
    </w:rPr>
  </w:style>
  <w:style w:type="paragraph" w:customStyle="1" w:styleId="ecxmsonormal">
    <w:name w:val="ecxmsonormal"/>
    <w:basedOn w:val="Normal"/>
    <w:rsid w:val="00060470"/>
    <w:pPr>
      <w:spacing w:before="100" w:beforeAutospacing="1" w:after="100" w:afterAutospacing="1" w:line="240" w:lineRule="auto"/>
      <w:ind w:firstLine="0"/>
      <w:contextualSpacing w:val="0"/>
      <w:jc w:val="left"/>
    </w:pPr>
    <w:rPr>
      <w:rFonts w:ascii="Calibri" w:hAnsi="Calibri" w:cs="Calibri"/>
      <w:sz w:val="24"/>
      <w:lang w:val="en-US" w:eastAsia="en-US"/>
    </w:rPr>
  </w:style>
  <w:style w:type="paragraph" w:customStyle="1" w:styleId="CharCharChar3">
    <w:name w:val="Char Char Char Знак Знак Знак Знак Знак"/>
    <w:basedOn w:val="Normal"/>
    <w:rsid w:val="00060470"/>
    <w:pPr>
      <w:spacing w:before="0" w:after="160" w:line="240" w:lineRule="exact"/>
      <w:ind w:firstLine="0"/>
      <w:contextualSpacing w:val="0"/>
      <w:jc w:val="left"/>
    </w:pPr>
    <w:rPr>
      <w:rFonts w:ascii="Arial" w:hAnsi="Arial" w:cs="Arial"/>
      <w:color w:val="000000"/>
      <w:sz w:val="20"/>
      <w:szCs w:val="20"/>
      <w:lang w:val="en-GB" w:eastAsia="en-US"/>
    </w:rPr>
  </w:style>
  <w:style w:type="character" w:customStyle="1" w:styleId="title1">
    <w:name w:val="title1"/>
    <w:rsid w:val="00060470"/>
    <w:rPr>
      <w:rFonts w:ascii="Verdana" w:hAnsi="Verdana"/>
      <w:b/>
      <w:color w:val="000000"/>
      <w:sz w:val="12"/>
      <w:u w:val="none"/>
      <w:effect w:val="none"/>
    </w:rPr>
  </w:style>
  <w:style w:type="character" w:customStyle="1" w:styleId="st">
    <w:name w:val="st"/>
    <w:rsid w:val="00060470"/>
    <w:rPr>
      <w:rFonts w:cs="Times New Roman"/>
    </w:rPr>
  </w:style>
  <w:style w:type="paragraph" w:customStyle="1" w:styleId="bodytext0">
    <w:name w:val="bodytext"/>
    <w:basedOn w:val="Normal"/>
    <w:rsid w:val="00060470"/>
    <w:pPr>
      <w:spacing w:before="100" w:beforeAutospacing="1" w:after="100" w:afterAutospacing="1" w:line="240" w:lineRule="auto"/>
      <w:ind w:firstLine="0"/>
      <w:contextualSpacing w:val="0"/>
      <w:jc w:val="left"/>
    </w:pPr>
    <w:rPr>
      <w:rFonts w:ascii="Calibri" w:hAnsi="Calibri" w:cs="Calibri"/>
      <w:sz w:val="24"/>
      <w:lang w:val="en-US" w:eastAsia="en-US"/>
    </w:rPr>
  </w:style>
  <w:style w:type="character" w:customStyle="1" w:styleId="CharChar2">
    <w:name w:val="Char Char2"/>
    <w:rsid w:val="00060470"/>
    <w:rPr>
      <w:rFonts w:ascii="Calibri" w:hAnsi="Calibri" w:cs="Calibri"/>
      <w:sz w:val="22"/>
      <w:szCs w:val="22"/>
      <w:lang w:val="en-US" w:eastAsia="en-US"/>
    </w:rPr>
  </w:style>
  <w:style w:type="paragraph" w:customStyle="1" w:styleId="num02">
    <w:name w:val="Énum02"/>
    <w:basedOn w:val="Normal"/>
    <w:rsid w:val="00060470"/>
    <w:pPr>
      <w:numPr>
        <w:numId w:val="8"/>
      </w:numPr>
      <w:spacing w:before="0" w:after="120" w:line="260" w:lineRule="exact"/>
      <w:contextualSpacing w:val="0"/>
    </w:pPr>
    <w:rPr>
      <w:rFonts w:ascii="Arial" w:hAnsi="Arial" w:cs="Arial"/>
      <w:szCs w:val="22"/>
      <w:lang w:val="en-US" w:eastAsia="fr-FR"/>
    </w:rPr>
  </w:style>
  <w:style w:type="character" w:customStyle="1" w:styleId="arg">
    <w:name w:val="arg"/>
    <w:rsid w:val="00060470"/>
    <w:rPr>
      <w:rFonts w:cs="Times New Roman"/>
    </w:rPr>
  </w:style>
  <w:style w:type="character" w:customStyle="1" w:styleId="fulltext">
    <w:name w:val="fulltext"/>
    <w:rsid w:val="00060470"/>
    <w:rPr>
      <w:rFonts w:cs="Times New Roman"/>
    </w:rPr>
  </w:style>
  <w:style w:type="paragraph" w:customStyle="1" w:styleId="innewsdate">
    <w:name w:val="in_news_date"/>
    <w:basedOn w:val="Normal"/>
    <w:rsid w:val="00060470"/>
    <w:pPr>
      <w:spacing w:before="100" w:beforeAutospacing="1" w:after="100" w:afterAutospacing="1" w:line="240" w:lineRule="auto"/>
      <w:ind w:firstLine="0"/>
      <w:contextualSpacing w:val="0"/>
      <w:jc w:val="left"/>
    </w:pPr>
    <w:rPr>
      <w:rFonts w:ascii="Times New Roman" w:hAnsi="Times New Roman"/>
      <w:sz w:val="24"/>
      <w:lang w:val="en-US" w:eastAsia="en-US"/>
    </w:rPr>
  </w:style>
  <w:style w:type="character" w:customStyle="1" w:styleId="gr">
    <w:name w:val="gr"/>
    <w:rsid w:val="00060470"/>
    <w:rPr>
      <w:rFonts w:cs="Times New Roman"/>
    </w:rPr>
  </w:style>
  <w:style w:type="character" w:customStyle="1" w:styleId="opennewstext">
    <w:name w:val="opennewstext"/>
    <w:rsid w:val="00060470"/>
    <w:rPr>
      <w:rFonts w:cs="Times New Roman"/>
    </w:rPr>
  </w:style>
  <w:style w:type="character" w:customStyle="1" w:styleId="fulltext0">
    <w:name w:val="full_text"/>
    <w:rsid w:val="00060470"/>
    <w:rPr>
      <w:rFonts w:cs="Times New Roman"/>
    </w:rPr>
  </w:style>
  <w:style w:type="character" w:customStyle="1" w:styleId="wrc116">
    <w:name w:val="wrc116"/>
    <w:rsid w:val="00060470"/>
    <w:rPr>
      <w:rFonts w:cs="Times New Roman"/>
      <w:vanish/>
    </w:rPr>
  </w:style>
  <w:style w:type="character" w:customStyle="1" w:styleId="editsection">
    <w:name w:val="editsection"/>
    <w:rsid w:val="00060470"/>
    <w:rPr>
      <w:rFonts w:cs="Times New Roman"/>
    </w:rPr>
  </w:style>
  <w:style w:type="character" w:customStyle="1" w:styleId="mw-headline">
    <w:name w:val="mw-headline"/>
    <w:rsid w:val="00060470"/>
    <w:rPr>
      <w:rFonts w:cs="Times New Roman"/>
    </w:rPr>
  </w:style>
  <w:style w:type="paragraph" w:styleId="ListNumber">
    <w:name w:val="List Number"/>
    <w:basedOn w:val="Normal"/>
    <w:rsid w:val="00060470"/>
    <w:pPr>
      <w:numPr>
        <w:numId w:val="9"/>
      </w:numPr>
      <w:spacing w:before="0" w:line="240" w:lineRule="auto"/>
      <w:contextualSpacing w:val="0"/>
      <w:jc w:val="left"/>
    </w:pPr>
    <w:rPr>
      <w:rFonts w:ascii="Times New Roman" w:hAnsi="Times New Roman"/>
      <w:sz w:val="24"/>
      <w:lang w:val="en-US" w:eastAsia="en-US"/>
    </w:rPr>
  </w:style>
  <w:style w:type="character" w:customStyle="1" w:styleId="il">
    <w:name w:val="il"/>
    <w:rsid w:val="00060470"/>
  </w:style>
  <w:style w:type="paragraph" w:customStyle="1" w:styleId="Listenabsatz">
    <w:name w:val="Listenabsatz"/>
    <w:basedOn w:val="Normal"/>
    <w:rsid w:val="00060470"/>
    <w:pPr>
      <w:spacing w:before="0" w:line="240" w:lineRule="auto"/>
      <w:ind w:left="720" w:firstLine="0"/>
      <w:jc w:val="left"/>
    </w:pPr>
    <w:rPr>
      <w:rFonts w:ascii="Cambria" w:hAnsi="Cambria"/>
      <w:sz w:val="24"/>
      <w:lang w:val="de-DE" w:eastAsia="en-US"/>
    </w:rPr>
  </w:style>
  <w:style w:type="paragraph" w:customStyle="1" w:styleId="Style5">
    <w:name w:val="Style5"/>
    <w:basedOn w:val="TOC3"/>
    <w:autoRedefine/>
    <w:rsid w:val="00060470"/>
    <w:pPr>
      <w:tabs>
        <w:tab w:val="right" w:leader="dot" w:pos="10200"/>
      </w:tabs>
      <w:spacing w:before="0" w:line="240" w:lineRule="auto"/>
      <w:ind w:left="142"/>
      <w:contextualSpacing w:val="0"/>
    </w:pPr>
    <w:rPr>
      <w:rFonts w:cs="Sylfaen"/>
      <w:b w:val="0"/>
      <w:noProof/>
      <w:sz w:val="20"/>
      <w:lang w:val="en-US" w:eastAsia="en-US"/>
    </w:rPr>
  </w:style>
  <w:style w:type="paragraph" w:customStyle="1" w:styleId="Style7">
    <w:name w:val="Style7"/>
    <w:basedOn w:val="TOC3"/>
    <w:autoRedefine/>
    <w:rsid w:val="00060470"/>
    <w:pPr>
      <w:tabs>
        <w:tab w:val="right" w:leader="dot" w:pos="10200"/>
      </w:tabs>
      <w:spacing w:before="0" w:line="240" w:lineRule="auto"/>
      <w:ind w:left="142"/>
      <w:contextualSpacing w:val="0"/>
    </w:pPr>
    <w:rPr>
      <w:rFonts w:cs="Sylfaen"/>
      <w:b w:val="0"/>
      <w:noProof/>
      <w:sz w:val="20"/>
      <w:lang w:val="en-US" w:eastAsia="en-US"/>
    </w:rPr>
  </w:style>
  <w:style w:type="paragraph" w:customStyle="1" w:styleId="Style8">
    <w:name w:val="Style8"/>
    <w:basedOn w:val="TOC1"/>
    <w:autoRedefine/>
    <w:rsid w:val="00060470"/>
    <w:pPr>
      <w:tabs>
        <w:tab w:val="right" w:leader="dot" w:pos="10200"/>
      </w:tabs>
      <w:spacing w:before="240" w:after="120" w:line="240" w:lineRule="auto"/>
      <w:contextualSpacing w:val="0"/>
      <w:jc w:val="left"/>
    </w:pPr>
    <w:rPr>
      <w:b w:val="0"/>
      <w:i/>
      <w:noProof/>
      <w:sz w:val="24"/>
      <w:lang w:val="en-US" w:eastAsia="en-US"/>
    </w:rPr>
  </w:style>
  <w:style w:type="paragraph" w:customStyle="1" w:styleId="Style9">
    <w:name w:val="Style9"/>
    <w:basedOn w:val="TOC1"/>
    <w:autoRedefine/>
    <w:rsid w:val="00060470"/>
    <w:pPr>
      <w:tabs>
        <w:tab w:val="right" w:leader="dot" w:pos="10200"/>
      </w:tabs>
      <w:spacing w:before="240" w:after="120" w:line="240" w:lineRule="auto"/>
      <w:contextualSpacing w:val="0"/>
      <w:jc w:val="left"/>
    </w:pPr>
    <w:rPr>
      <w:b w:val="0"/>
      <w:noProof/>
      <w:sz w:val="24"/>
      <w:lang w:val="en-US" w:eastAsia="en-US"/>
    </w:rPr>
  </w:style>
  <w:style w:type="character" w:customStyle="1" w:styleId="CharChar5">
    <w:name w:val="Char Char5"/>
    <w:uiPriority w:val="99"/>
    <w:rsid w:val="00060470"/>
    <w:rPr>
      <w:rFonts w:ascii="Arial Armenian" w:hAnsi="Arial Armenian" w:cs="Sylfaen"/>
      <w:sz w:val="24"/>
      <w:szCs w:val="24"/>
      <w:lang w:val="ru-RU" w:eastAsia="ru-RU"/>
    </w:rPr>
  </w:style>
  <w:style w:type="character" w:customStyle="1" w:styleId="CharChar171">
    <w:name w:val="Char Char171"/>
    <w:rsid w:val="00060470"/>
    <w:rPr>
      <w:rFonts w:ascii="Arial Armenian" w:hAnsi="Arial Armenian"/>
      <w:i/>
      <w:sz w:val="22"/>
      <w:u w:val="single"/>
      <w:lang w:val="en-GB" w:eastAsia="en-US" w:bidi="ar-SA"/>
    </w:rPr>
  </w:style>
  <w:style w:type="paragraph" w:customStyle="1" w:styleId="text0">
    <w:name w:val="text"/>
    <w:basedOn w:val="Normal"/>
    <w:link w:val="textChar0"/>
    <w:rsid w:val="00060470"/>
    <w:pPr>
      <w:spacing w:before="0" w:line="240" w:lineRule="auto"/>
      <w:ind w:firstLine="454"/>
      <w:contextualSpacing w:val="0"/>
    </w:pPr>
    <w:rPr>
      <w:rFonts w:ascii="GHEA Mariam" w:hAnsi="GHEA Mariam"/>
      <w:sz w:val="20"/>
      <w:szCs w:val="20"/>
      <w:lang w:val="en-GB"/>
    </w:rPr>
  </w:style>
  <w:style w:type="character" w:customStyle="1" w:styleId="textChar0">
    <w:name w:val="text Char"/>
    <w:link w:val="text0"/>
    <w:rsid w:val="00060470"/>
    <w:rPr>
      <w:rFonts w:ascii="GHEA Mariam" w:hAnsi="GHEA Mariam"/>
      <w:lang w:val="en-GB" w:eastAsia="ru-RU"/>
    </w:rPr>
  </w:style>
  <w:style w:type="paragraph" w:customStyle="1" w:styleId="Char40">
    <w:name w:val="Char4"/>
    <w:basedOn w:val="Normal"/>
    <w:rsid w:val="00060470"/>
    <w:pPr>
      <w:spacing w:before="0" w:after="160" w:line="240" w:lineRule="exact"/>
      <w:ind w:firstLine="0"/>
      <w:contextualSpacing w:val="0"/>
      <w:jc w:val="left"/>
    </w:pPr>
    <w:rPr>
      <w:rFonts w:ascii="Arial" w:eastAsia="Calibri" w:hAnsi="Arial" w:cs="Arial"/>
      <w:sz w:val="20"/>
      <w:szCs w:val="20"/>
      <w:lang w:val="en-US" w:eastAsia="en-US"/>
    </w:rPr>
  </w:style>
  <w:style w:type="paragraph" w:customStyle="1" w:styleId="p2">
    <w:name w:val="p2"/>
    <w:basedOn w:val="Normal"/>
    <w:rsid w:val="00060470"/>
    <w:pPr>
      <w:spacing w:before="100" w:beforeAutospacing="1" w:after="100" w:afterAutospacing="1" w:line="240" w:lineRule="auto"/>
      <w:ind w:firstLine="0"/>
      <w:contextualSpacing w:val="0"/>
      <w:jc w:val="left"/>
    </w:pPr>
    <w:rPr>
      <w:rFonts w:ascii="Times New Roman" w:eastAsia="Calibri" w:hAnsi="Times New Roman"/>
      <w:sz w:val="24"/>
      <w:lang w:val="en-US" w:eastAsia="en-US"/>
    </w:rPr>
  </w:style>
  <w:style w:type="paragraph" w:customStyle="1" w:styleId="Char30">
    <w:name w:val="Char3"/>
    <w:basedOn w:val="Normal"/>
    <w:rsid w:val="00060470"/>
    <w:pPr>
      <w:spacing w:before="0" w:after="160" w:line="240" w:lineRule="exact"/>
      <w:ind w:firstLine="0"/>
      <w:contextualSpacing w:val="0"/>
      <w:jc w:val="left"/>
    </w:pPr>
    <w:rPr>
      <w:rFonts w:ascii="Arial" w:eastAsia="Calibri" w:hAnsi="Arial" w:cs="Arial"/>
      <w:sz w:val="20"/>
      <w:szCs w:val="20"/>
      <w:lang w:val="en-US" w:eastAsia="en-US"/>
    </w:rPr>
  </w:style>
  <w:style w:type="character" w:customStyle="1" w:styleId="32ptExact">
    <w:name w:val="Основной текст (3) + Интервал 2 pt Exact"/>
    <w:rsid w:val="00060470"/>
    <w:rPr>
      <w:rFonts w:ascii="Sylfaen" w:hAnsi="Sylfaen" w:cs="Sylfaen"/>
      <w:spacing w:val="40"/>
      <w:sz w:val="20"/>
      <w:szCs w:val="20"/>
      <w:u w:val="none"/>
      <w:lang w:val="ru-RU" w:eastAsia="ru-RU"/>
    </w:rPr>
  </w:style>
  <w:style w:type="paragraph" w:customStyle="1" w:styleId="CharCharCharCharChar4">
    <w:name w:val="Char Char Char Знак Знак Char Char Знак Знак"/>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CharCharCharChar0">
    <w:name w:val="Char Char Char Char Char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character" w:customStyle="1" w:styleId="BodyTextIndent3Char1">
    <w:name w:val="Body Text Indent 3 Char1"/>
    <w:uiPriority w:val="99"/>
    <w:locked/>
    <w:rsid w:val="00060470"/>
    <w:rPr>
      <w:rFonts w:ascii="Times New Roman" w:hAnsi="Times New Roman"/>
      <w:sz w:val="16"/>
    </w:rPr>
  </w:style>
  <w:style w:type="character" w:customStyle="1" w:styleId="PlainTextChar1">
    <w:name w:val="Plain Text Char1"/>
    <w:uiPriority w:val="99"/>
    <w:locked/>
    <w:rsid w:val="00060470"/>
    <w:rPr>
      <w:rFonts w:ascii="Courier New" w:hAnsi="Courier New"/>
      <w:sz w:val="20"/>
    </w:rPr>
  </w:style>
  <w:style w:type="character" w:customStyle="1" w:styleId="CommentTextChar1">
    <w:name w:val="Comment Text Char1"/>
    <w:uiPriority w:val="99"/>
    <w:locked/>
    <w:rsid w:val="00060470"/>
    <w:rPr>
      <w:rFonts w:ascii="Times New Roman" w:hAnsi="Times New Roman"/>
      <w:sz w:val="20"/>
      <w:lang w:val="en-GB"/>
    </w:rPr>
  </w:style>
  <w:style w:type="character" w:customStyle="1" w:styleId="SubtitleChar1">
    <w:name w:val="Subtitle Char1"/>
    <w:uiPriority w:val="99"/>
    <w:locked/>
    <w:rsid w:val="00060470"/>
    <w:rPr>
      <w:rFonts w:ascii="Times LatArm" w:hAnsi="Times LatArm"/>
      <w:b/>
      <w:sz w:val="24"/>
    </w:rPr>
  </w:style>
  <w:style w:type="character" w:customStyle="1" w:styleId="BalloonTextChar1">
    <w:name w:val="Balloon Text Char1"/>
    <w:uiPriority w:val="99"/>
    <w:semiHidden/>
    <w:locked/>
    <w:rsid w:val="00060470"/>
    <w:rPr>
      <w:rFonts w:ascii="Tahoma" w:hAnsi="Tahoma"/>
      <w:sz w:val="16"/>
    </w:rPr>
  </w:style>
  <w:style w:type="character" w:customStyle="1" w:styleId="EndnoteTextChar1">
    <w:name w:val="Endnote Text Char1"/>
    <w:uiPriority w:val="99"/>
    <w:semiHidden/>
    <w:locked/>
    <w:rsid w:val="00060470"/>
    <w:rPr>
      <w:rFonts w:ascii="Times New Roman" w:hAnsi="Times New Roman"/>
      <w:sz w:val="20"/>
      <w:lang w:val="en-GB"/>
    </w:rPr>
  </w:style>
  <w:style w:type="character" w:customStyle="1" w:styleId="estilo2">
    <w:name w:val="estilo2"/>
    <w:uiPriority w:val="99"/>
    <w:rsid w:val="00060470"/>
  </w:style>
  <w:style w:type="character" w:customStyle="1" w:styleId="CharChar3">
    <w:name w:val="Char Char3"/>
    <w:uiPriority w:val="99"/>
    <w:locked/>
    <w:rsid w:val="00060470"/>
    <w:rPr>
      <w:rFonts w:cs="Times New Roman"/>
      <w:sz w:val="22"/>
      <w:lang w:val="en-GB" w:eastAsia="en-US" w:bidi="ar-SA"/>
    </w:rPr>
  </w:style>
  <w:style w:type="character" w:customStyle="1" w:styleId="CharChar51">
    <w:name w:val="Char Char51"/>
    <w:uiPriority w:val="99"/>
    <w:locked/>
    <w:rsid w:val="00060470"/>
    <w:rPr>
      <w:sz w:val="22"/>
      <w:lang w:val="en-GB" w:eastAsia="en-US"/>
    </w:rPr>
  </w:style>
  <w:style w:type="paragraph" w:customStyle="1" w:styleId="Numberedtext">
    <w:name w:val="Numbered text"/>
    <w:basedOn w:val="BodyText"/>
    <w:uiPriority w:val="99"/>
    <w:rsid w:val="00060470"/>
    <w:pPr>
      <w:numPr>
        <w:numId w:val="10"/>
      </w:numPr>
      <w:tabs>
        <w:tab w:val="clear" w:pos="1004"/>
        <w:tab w:val="num" w:pos="360"/>
      </w:tabs>
      <w:spacing w:before="0" w:after="120" w:line="240" w:lineRule="auto"/>
      <w:ind w:left="0" w:firstLine="0"/>
      <w:contextualSpacing w:val="0"/>
      <w:jc w:val="both"/>
    </w:pPr>
    <w:rPr>
      <w:rFonts w:ascii="Calibri" w:hAnsi="Calibri" w:cs="Calibri"/>
      <w:sz w:val="24"/>
      <w:szCs w:val="24"/>
      <w:lang w:eastAsia="en-NZ"/>
    </w:rPr>
  </w:style>
  <w:style w:type="character" w:customStyle="1" w:styleId="DocumentMapChar1">
    <w:name w:val="Document Map Char1"/>
    <w:locked/>
    <w:rsid w:val="00060470"/>
    <w:rPr>
      <w:rFonts w:ascii="Tahoma" w:eastAsia="Times New Roman" w:hAnsi="Tahoma" w:cs="Times New Roman"/>
      <w:sz w:val="24"/>
      <w:szCs w:val="20"/>
      <w:shd w:val="clear" w:color="auto" w:fill="000080"/>
      <w:lang w:val="en-GB" w:eastAsia="ru-RU"/>
    </w:rPr>
  </w:style>
  <w:style w:type="paragraph" w:styleId="TOCHeading">
    <w:name w:val="TOC Heading"/>
    <w:basedOn w:val="Heading1"/>
    <w:next w:val="Normal"/>
    <w:uiPriority w:val="39"/>
    <w:qFormat/>
    <w:rsid w:val="00060470"/>
    <w:pPr>
      <w:keepLines/>
      <w:spacing w:before="480" w:after="0" w:line="276" w:lineRule="auto"/>
      <w:contextualSpacing w:val="0"/>
      <w:jc w:val="left"/>
      <w:outlineLvl w:val="9"/>
    </w:pPr>
    <w:rPr>
      <w:rFonts w:ascii="Cambria" w:hAnsi="Cambria"/>
      <w:bCs/>
      <w:color w:val="365F91"/>
      <w:szCs w:val="28"/>
      <w:lang w:eastAsia="en-US"/>
    </w:rPr>
  </w:style>
  <w:style w:type="character" w:customStyle="1" w:styleId="FontStyle32">
    <w:name w:val="Font Style32"/>
    <w:uiPriority w:val="99"/>
    <w:rsid w:val="00060470"/>
    <w:rPr>
      <w:rFonts w:ascii="Tahoma" w:hAnsi="Tahoma" w:cs="Tahoma"/>
      <w:sz w:val="20"/>
      <w:szCs w:val="20"/>
    </w:rPr>
  </w:style>
  <w:style w:type="paragraph" w:customStyle="1" w:styleId="Text2">
    <w:name w:val="Text 2"/>
    <w:basedOn w:val="Normal"/>
    <w:rsid w:val="00060470"/>
    <w:pPr>
      <w:spacing w:after="120" w:line="240" w:lineRule="auto"/>
      <w:ind w:left="850" w:firstLine="0"/>
      <w:contextualSpacing w:val="0"/>
    </w:pPr>
    <w:rPr>
      <w:rFonts w:ascii="Times New Roman" w:hAnsi="Times New Roman"/>
      <w:sz w:val="24"/>
      <w:lang w:val="en-GB" w:eastAsia="zh-CN"/>
    </w:rPr>
  </w:style>
  <w:style w:type="paragraph" w:customStyle="1" w:styleId="article-type">
    <w:name w:val="article-type"/>
    <w:basedOn w:val="Normal"/>
    <w:rsid w:val="00060470"/>
    <w:pPr>
      <w:spacing w:before="100" w:beforeAutospacing="1" w:after="100" w:afterAutospacing="1" w:line="240" w:lineRule="auto"/>
      <w:ind w:firstLine="0"/>
      <w:contextualSpacing w:val="0"/>
      <w:jc w:val="left"/>
    </w:pPr>
    <w:rPr>
      <w:rFonts w:ascii="Times New Roman" w:hAnsi="Times New Roman"/>
      <w:sz w:val="24"/>
    </w:rPr>
  </w:style>
  <w:style w:type="paragraph" w:customStyle="1" w:styleId="wpn-byline">
    <w:name w:val="wpn-byline"/>
    <w:basedOn w:val="Normal"/>
    <w:rsid w:val="00060470"/>
    <w:pPr>
      <w:spacing w:before="100" w:beforeAutospacing="1" w:after="100" w:afterAutospacing="1" w:line="240" w:lineRule="auto"/>
      <w:ind w:firstLine="0"/>
      <w:contextualSpacing w:val="0"/>
      <w:jc w:val="left"/>
    </w:pPr>
    <w:rPr>
      <w:rFonts w:ascii="Times New Roman" w:hAnsi="Times New Roman"/>
      <w:sz w:val="24"/>
    </w:rPr>
  </w:style>
  <w:style w:type="paragraph" w:customStyle="1" w:styleId="headline10margin-bottom-20">
    <w:name w:val="headline10 margin-bottom-20"/>
    <w:basedOn w:val="Normal"/>
    <w:rsid w:val="00060470"/>
    <w:pPr>
      <w:spacing w:before="100" w:beforeAutospacing="1" w:after="100" w:afterAutospacing="1" w:line="240" w:lineRule="auto"/>
      <w:ind w:firstLine="0"/>
      <w:contextualSpacing w:val="0"/>
      <w:jc w:val="left"/>
    </w:pPr>
    <w:rPr>
      <w:rFonts w:ascii="Times New Roman" w:hAnsi="Times New Roman"/>
      <w:sz w:val="24"/>
    </w:rPr>
  </w:style>
  <w:style w:type="character" w:customStyle="1" w:styleId="published">
    <w:name w:val="published"/>
    <w:rsid w:val="00060470"/>
  </w:style>
  <w:style w:type="character" w:customStyle="1" w:styleId="divider">
    <w:name w:val="divider"/>
    <w:rsid w:val="00060470"/>
  </w:style>
  <w:style w:type="character" w:customStyle="1" w:styleId="authorvcard">
    <w:name w:val="author vcard"/>
    <w:rsid w:val="00060470"/>
  </w:style>
  <w:style w:type="character" w:customStyle="1" w:styleId="category">
    <w:name w:val="category"/>
    <w:rsid w:val="00060470"/>
  </w:style>
  <w:style w:type="character" w:customStyle="1" w:styleId="before">
    <w:name w:val="before"/>
    <w:rsid w:val="00060470"/>
  </w:style>
  <w:style w:type="character" w:customStyle="1" w:styleId="aqj">
    <w:name w:val="aqj"/>
    <w:rsid w:val="00060470"/>
  </w:style>
  <w:style w:type="character" w:customStyle="1" w:styleId="gd">
    <w:name w:val="gd"/>
    <w:rsid w:val="00060470"/>
  </w:style>
  <w:style w:type="character" w:customStyle="1" w:styleId="g3">
    <w:name w:val="g3"/>
    <w:rsid w:val="00060470"/>
  </w:style>
  <w:style w:type="character" w:customStyle="1" w:styleId="goa1h">
    <w:name w:val="go a1h"/>
    <w:rsid w:val="00060470"/>
  </w:style>
  <w:style w:type="character" w:customStyle="1" w:styleId="hb">
    <w:name w:val="hb"/>
    <w:rsid w:val="00060470"/>
  </w:style>
  <w:style w:type="character" w:customStyle="1" w:styleId="g2">
    <w:name w:val="g2"/>
    <w:rsid w:val="00060470"/>
  </w:style>
  <w:style w:type="character" w:customStyle="1" w:styleId="sizzle">
    <w:name w:val="sizzle"/>
    <w:rsid w:val="00060470"/>
  </w:style>
  <w:style w:type="paragraph" w:customStyle="1" w:styleId="17">
    <w:name w:val="Абзац списка1"/>
    <w:basedOn w:val="Normal"/>
    <w:qFormat/>
    <w:rsid w:val="00060470"/>
    <w:pPr>
      <w:spacing w:before="0" w:line="240" w:lineRule="auto"/>
      <w:ind w:left="720" w:firstLine="0"/>
      <w:contextualSpacing w:val="0"/>
      <w:jc w:val="left"/>
    </w:pPr>
    <w:rPr>
      <w:rFonts w:ascii="Times New Roman" w:hAnsi="Times New Roman"/>
      <w:sz w:val="24"/>
      <w:lang w:val="en-US" w:eastAsia="en-US"/>
    </w:rPr>
  </w:style>
  <w:style w:type="paragraph" w:customStyle="1" w:styleId="StyleGHEAGrapalatJustifiedAfter6ptLinespacingMultip">
    <w:name w:val="Style GHEA Grapalat Justified After:  6 pt Line spacing:  Multip..."/>
    <w:basedOn w:val="Normal"/>
    <w:rsid w:val="00060470"/>
    <w:pPr>
      <w:numPr>
        <w:numId w:val="11"/>
      </w:numPr>
      <w:spacing w:before="240" w:after="240" w:line="240" w:lineRule="auto"/>
      <w:contextualSpacing w:val="0"/>
    </w:pPr>
    <w:rPr>
      <w:sz w:val="24"/>
      <w:szCs w:val="20"/>
      <w:lang w:val="hy-AM"/>
    </w:rPr>
  </w:style>
  <w:style w:type="paragraph" w:customStyle="1" w:styleId="StyleStyleHeading2ChapterParanumTextSylfaenGHEAGrapa">
    <w:name w:val="Style Style Heading 2.(Chapter).Paranum.Text + Sylfaen + GHEA Grapa..."/>
    <w:basedOn w:val="StyleHeading2ChapterParanumTextSylfaen"/>
    <w:uiPriority w:val="99"/>
    <w:qFormat/>
    <w:rsid w:val="00060470"/>
    <w:rPr>
      <w:rFonts w:ascii="GHEA Grapalat" w:hAnsi="GHEA Grapalat"/>
      <w:sz w:val="22"/>
    </w:rPr>
  </w:style>
  <w:style w:type="paragraph" w:customStyle="1" w:styleId="ac">
    <w:name w:val="Без интервала"/>
    <w:link w:val="ad"/>
    <w:uiPriority w:val="1"/>
    <w:qFormat/>
    <w:rsid w:val="00060470"/>
    <w:rPr>
      <w:rFonts w:ascii="Calibri" w:hAnsi="Calibri"/>
      <w:sz w:val="22"/>
      <w:szCs w:val="22"/>
    </w:rPr>
  </w:style>
  <w:style w:type="character" w:customStyle="1" w:styleId="ad">
    <w:name w:val="Без интервала Знак"/>
    <w:link w:val="ac"/>
    <w:uiPriority w:val="1"/>
    <w:rsid w:val="00060470"/>
    <w:rPr>
      <w:rFonts w:ascii="Calibri" w:hAnsi="Calibri"/>
      <w:sz w:val="22"/>
      <w:szCs w:val="22"/>
    </w:rPr>
  </w:style>
  <w:style w:type="paragraph" w:customStyle="1" w:styleId="18">
    <w:name w:val="Обычный1"/>
    <w:rsid w:val="00060470"/>
    <w:pPr>
      <w:autoSpaceDE w:val="0"/>
      <w:autoSpaceDN w:val="0"/>
    </w:pPr>
    <w:rPr>
      <w:lang w:val="ru-RU" w:eastAsia="ru-RU"/>
    </w:rPr>
  </w:style>
  <w:style w:type="paragraph" w:customStyle="1" w:styleId="32">
    <w:name w:val="???????? ????? ? ???????? 3"/>
    <w:basedOn w:val="a0"/>
    <w:uiPriority w:val="99"/>
    <w:rsid w:val="00060470"/>
    <w:pPr>
      <w:ind w:firstLine="360"/>
      <w:jc w:val="both"/>
    </w:pPr>
    <w:rPr>
      <w:rFonts w:ascii="Times Armenian" w:hAnsi="Times Armenian"/>
      <w:sz w:val="24"/>
      <w:lang w:val="af-ZA"/>
    </w:rPr>
  </w:style>
  <w:style w:type="paragraph" w:customStyle="1" w:styleId="6">
    <w:name w:val="????????? 6"/>
    <w:basedOn w:val="a0"/>
    <w:next w:val="a0"/>
    <w:uiPriority w:val="99"/>
    <w:rsid w:val="00060470"/>
    <w:pPr>
      <w:keepNext/>
      <w:jc w:val="center"/>
      <w:outlineLvl w:val="5"/>
    </w:pPr>
    <w:rPr>
      <w:rFonts w:ascii="Times Armenian" w:hAnsi="Times Armenian"/>
      <w:i/>
      <w:lang w:val="en-US"/>
    </w:rPr>
  </w:style>
  <w:style w:type="paragraph" w:customStyle="1" w:styleId="310">
    <w:name w:val="???????? ????? 31"/>
    <w:basedOn w:val="a0"/>
    <w:uiPriority w:val="99"/>
    <w:rsid w:val="00060470"/>
    <w:pPr>
      <w:jc w:val="center"/>
    </w:pPr>
    <w:rPr>
      <w:rFonts w:ascii="Arial Armenian" w:hAnsi="Arial Armenian"/>
      <w:sz w:val="24"/>
      <w:lang w:val="en-AU"/>
    </w:rPr>
  </w:style>
  <w:style w:type="paragraph" w:customStyle="1" w:styleId="25">
    <w:name w:val="????????? 2"/>
    <w:basedOn w:val="a0"/>
    <w:next w:val="a0"/>
    <w:uiPriority w:val="99"/>
    <w:rsid w:val="00060470"/>
    <w:pPr>
      <w:keepNext/>
      <w:ind w:firstLine="720"/>
      <w:outlineLvl w:val="1"/>
    </w:pPr>
    <w:rPr>
      <w:rFonts w:ascii="Times LatArm" w:hAnsi="Times LatArm"/>
      <w:b/>
      <w:i/>
      <w:sz w:val="28"/>
      <w:lang w:val="en-US"/>
    </w:rPr>
  </w:style>
  <w:style w:type="paragraph" w:customStyle="1" w:styleId="40">
    <w:name w:val="????????? 4"/>
    <w:basedOn w:val="a0"/>
    <w:next w:val="a0"/>
    <w:uiPriority w:val="99"/>
    <w:rsid w:val="00060470"/>
    <w:pPr>
      <w:keepNext/>
      <w:spacing w:line="360" w:lineRule="auto"/>
      <w:ind w:firstLine="360"/>
      <w:jc w:val="both"/>
      <w:outlineLvl w:val="3"/>
    </w:pPr>
    <w:rPr>
      <w:rFonts w:ascii="Times LatArm" w:hAnsi="Times LatArm"/>
      <w:i/>
      <w:noProof/>
      <w:sz w:val="24"/>
    </w:rPr>
  </w:style>
  <w:style w:type="paragraph" w:customStyle="1" w:styleId="19">
    <w:name w:val="????????? 1"/>
    <w:basedOn w:val="Normal"/>
    <w:next w:val="Normal"/>
    <w:rsid w:val="00060470"/>
    <w:pPr>
      <w:keepNext/>
      <w:spacing w:before="0" w:line="240" w:lineRule="auto"/>
      <w:ind w:firstLine="0"/>
      <w:contextualSpacing w:val="0"/>
      <w:outlineLvl w:val="0"/>
    </w:pPr>
    <w:rPr>
      <w:rFonts w:ascii="Times Armenian" w:hAnsi="Times Armenian"/>
      <w:i/>
      <w:sz w:val="24"/>
      <w:szCs w:val="20"/>
      <w:lang w:val="en-US"/>
    </w:rPr>
  </w:style>
  <w:style w:type="paragraph" w:customStyle="1" w:styleId="CharChar0">
    <w:name w:val="Знак Знак Char Char"/>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CharChar8">
    <w:name w:val="Знак Знак Char Char Знак Знак"/>
    <w:basedOn w:val="Normal"/>
    <w:rsid w:val="00060470"/>
    <w:pPr>
      <w:spacing w:before="0" w:after="160" w:line="240" w:lineRule="exact"/>
      <w:ind w:firstLine="0"/>
      <w:contextualSpacing w:val="0"/>
      <w:jc w:val="left"/>
    </w:pPr>
    <w:rPr>
      <w:rFonts w:ascii="Arial" w:hAnsi="Arial" w:cs="Arial"/>
      <w:sz w:val="20"/>
      <w:szCs w:val="20"/>
      <w:lang w:val="en-US" w:eastAsia="en-US"/>
    </w:rPr>
  </w:style>
  <w:style w:type="paragraph" w:customStyle="1" w:styleId="Para">
    <w:name w:val="Para"/>
    <w:basedOn w:val="Normal"/>
    <w:autoRedefine/>
    <w:rsid w:val="00060470"/>
    <w:pPr>
      <w:suppressAutoHyphens/>
      <w:spacing w:before="0" w:line="240" w:lineRule="auto"/>
      <w:ind w:firstLine="0"/>
      <w:contextualSpacing w:val="0"/>
    </w:pPr>
    <w:rPr>
      <w:rFonts w:eastAsia="Calibri" w:cs="Sylfaen"/>
      <w:bCs/>
      <w:kern w:val="1"/>
      <w:sz w:val="24"/>
      <w:lang w:val="hy-AM" w:eastAsia="en-US"/>
    </w:rPr>
  </w:style>
  <w:style w:type="paragraph" w:customStyle="1" w:styleId="Char5">
    <w:name w:val="Char5"/>
    <w:basedOn w:val="Normal"/>
    <w:rsid w:val="00060470"/>
    <w:pPr>
      <w:spacing w:before="0" w:after="160" w:line="240" w:lineRule="exact"/>
      <w:ind w:firstLine="0"/>
      <w:contextualSpacing w:val="0"/>
      <w:jc w:val="left"/>
    </w:pPr>
    <w:rPr>
      <w:rFonts w:ascii="Arial" w:eastAsia="Calibri" w:hAnsi="Arial" w:cs="Arial"/>
      <w:sz w:val="20"/>
      <w:szCs w:val="20"/>
      <w:lang w:val="en-US" w:eastAsia="en-US"/>
    </w:rPr>
  </w:style>
  <w:style w:type="paragraph" w:customStyle="1" w:styleId="33">
    <w:name w:val="Знак Знак3"/>
    <w:basedOn w:val="Normal"/>
    <w:link w:val="Char11"/>
    <w:rsid w:val="00060470"/>
    <w:pPr>
      <w:spacing w:before="0" w:after="160" w:line="240" w:lineRule="exact"/>
      <w:ind w:firstLine="0"/>
      <w:contextualSpacing w:val="0"/>
      <w:jc w:val="left"/>
    </w:pPr>
    <w:rPr>
      <w:rFonts w:ascii="Arial" w:eastAsia="Calibri" w:hAnsi="Arial"/>
      <w:sz w:val="20"/>
      <w:szCs w:val="20"/>
      <w:lang w:val="en-GB"/>
    </w:rPr>
  </w:style>
  <w:style w:type="character" w:customStyle="1" w:styleId="Char11">
    <w:name w:val="Знак Знак Char1"/>
    <w:link w:val="33"/>
    <w:locked/>
    <w:rsid w:val="00060470"/>
    <w:rPr>
      <w:rFonts w:ascii="Arial" w:eastAsia="Calibri" w:hAnsi="Arial"/>
      <w:lang w:val="en-GB"/>
    </w:rPr>
  </w:style>
  <w:style w:type="paragraph" w:customStyle="1" w:styleId="Znak1">
    <w:name w:val="Znak1"/>
    <w:basedOn w:val="Normal"/>
    <w:rsid w:val="00060470"/>
    <w:pPr>
      <w:tabs>
        <w:tab w:val="left" w:pos="709"/>
      </w:tabs>
      <w:spacing w:before="0" w:line="240" w:lineRule="auto"/>
      <w:ind w:firstLine="0"/>
      <w:contextualSpacing w:val="0"/>
      <w:jc w:val="left"/>
    </w:pPr>
    <w:rPr>
      <w:rFonts w:ascii="Tahoma" w:eastAsia="Calibri" w:hAnsi="Tahoma"/>
      <w:sz w:val="24"/>
      <w:lang w:val="pl-PL" w:eastAsia="pl-PL"/>
    </w:rPr>
  </w:style>
  <w:style w:type="paragraph" w:customStyle="1" w:styleId="CharCharCharCharCharCharCharCharCharCharCharCharChar1">
    <w:name w:val="Char Char Char Char Char Char Char Char Char Char Char Char Char1"/>
    <w:basedOn w:val="Normal"/>
    <w:rsid w:val="00060470"/>
    <w:pPr>
      <w:spacing w:before="0" w:after="160" w:line="240" w:lineRule="exact"/>
      <w:ind w:firstLine="0"/>
      <w:contextualSpacing w:val="0"/>
      <w:jc w:val="left"/>
    </w:pPr>
    <w:rPr>
      <w:rFonts w:ascii="Arial" w:eastAsia="Calibri" w:hAnsi="Arial" w:cs="Arial"/>
      <w:sz w:val="20"/>
      <w:szCs w:val="20"/>
      <w:lang w:val="en-US" w:eastAsia="en-US"/>
    </w:rPr>
  </w:style>
  <w:style w:type="paragraph" w:customStyle="1" w:styleId="Char12">
    <w:name w:val="Знак Знак Знак Знак Знак Знак Знак Знак Знак Знак Знак Знак Знак Знак Знак Знак Знак Знак Char Знак Знак1"/>
    <w:basedOn w:val="Normal"/>
    <w:autoRedefine/>
    <w:rsid w:val="00060470"/>
    <w:pPr>
      <w:spacing w:before="0" w:after="160" w:line="240" w:lineRule="exact"/>
      <w:ind w:firstLine="0"/>
      <w:contextualSpacing w:val="0"/>
      <w:jc w:val="left"/>
    </w:pPr>
    <w:rPr>
      <w:rFonts w:ascii="Times New Roman" w:eastAsia="Calibri" w:hAnsi="Times New Roman"/>
      <w:sz w:val="28"/>
      <w:szCs w:val="20"/>
      <w:lang w:val="en-US" w:eastAsia="en-US"/>
    </w:rPr>
  </w:style>
  <w:style w:type="paragraph" w:customStyle="1" w:styleId="CharCharChar12">
    <w:name w:val="Char Char Char Знак1"/>
    <w:basedOn w:val="Normal"/>
    <w:next w:val="Normal"/>
    <w:rsid w:val="00060470"/>
    <w:pPr>
      <w:spacing w:before="0" w:after="160" w:line="240" w:lineRule="exact"/>
      <w:ind w:firstLine="0"/>
      <w:contextualSpacing w:val="0"/>
      <w:jc w:val="left"/>
    </w:pPr>
    <w:rPr>
      <w:rFonts w:ascii="Tahoma" w:eastAsia="Calibri" w:hAnsi="Tahoma"/>
      <w:sz w:val="24"/>
      <w:szCs w:val="20"/>
      <w:lang w:val="en-US" w:eastAsia="en-US"/>
    </w:rPr>
  </w:style>
  <w:style w:type="paragraph" w:customStyle="1" w:styleId="CharCharCharCharCharCharCharChar1">
    <w:name w:val="Char Char Char Char Char Char Char Char1"/>
    <w:basedOn w:val="Normal"/>
    <w:rsid w:val="00060470"/>
    <w:pPr>
      <w:spacing w:before="0" w:after="160" w:line="240" w:lineRule="exact"/>
      <w:ind w:firstLine="0"/>
      <w:contextualSpacing w:val="0"/>
      <w:jc w:val="left"/>
    </w:pPr>
    <w:rPr>
      <w:rFonts w:ascii="Arial" w:eastAsia="Calibri" w:hAnsi="Arial" w:cs="Arial"/>
      <w:sz w:val="20"/>
      <w:szCs w:val="20"/>
      <w:lang w:val="en-US" w:eastAsia="en-US"/>
    </w:rPr>
  </w:style>
  <w:style w:type="paragraph" w:customStyle="1" w:styleId="CharCharCharCharCharCharCharCharCharCharCharCharCharCharChar2">
    <w:name w:val="Char Char Char Char Знак Char Знак Char Char Char Char Char Char Char Char Char Char2"/>
    <w:basedOn w:val="Normal"/>
    <w:rsid w:val="00060470"/>
    <w:pPr>
      <w:tabs>
        <w:tab w:val="left" w:pos="709"/>
      </w:tabs>
      <w:spacing w:before="0" w:line="240" w:lineRule="auto"/>
      <w:ind w:firstLine="0"/>
      <w:contextualSpacing w:val="0"/>
      <w:jc w:val="left"/>
    </w:pPr>
    <w:rPr>
      <w:rFonts w:ascii="Tahoma" w:eastAsia="Calibri" w:hAnsi="Tahoma"/>
      <w:sz w:val="24"/>
      <w:lang w:val="pl-PL" w:eastAsia="pl-PL"/>
    </w:rPr>
  </w:style>
  <w:style w:type="paragraph" w:customStyle="1" w:styleId="CharCharCharCharCharCharChar1">
    <w:name w:val="Char Char Char Char Char Char Char1"/>
    <w:basedOn w:val="Normal"/>
    <w:rsid w:val="00060470"/>
    <w:pPr>
      <w:spacing w:before="0" w:after="160" w:line="240" w:lineRule="exact"/>
      <w:ind w:firstLine="0"/>
      <w:contextualSpacing w:val="0"/>
      <w:jc w:val="left"/>
    </w:pPr>
    <w:rPr>
      <w:rFonts w:ascii="Arial" w:eastAsia="Calibri" w:hAnsi="Arial" w:cs="Arial"/>
      <w:sz w:val="20"/>
      <w:szCs w:val="20"/>
      <w:lang w:val="en-US" w:eastAsia="en-US"/>
    </w:rPr>
  </w:style>
  <w:style w:type="paragraph" w:customStyle="1" w:styleId="CharCharCharCharCharCharCharCharCharChar1">
    <w:name w:val="Char Char Char Char Char Char Char Char Char Char1"/>
    <w:basedOn w:val="Normal"/>
    <w:rsid w:val="00060470"/>
    <w:pPr>
      <w:spacing w:before="0" w:after="160" w:line="240" w:lineRule="exact"/>
      <w:ind w:firstLine="0"/>
      <w:contextualSpacing w:val="0"/>
      <w:jc w:val="left"/>
    </w:pPr>
    <w:rPr>
      <w:rFonts w:ascii="Arial" w:eastAsia="Calibri" w:hAnsi="Arial" w:cs="Arial"/>
      <w:sz w:val="20"/>
      <w:szCs w:val="20"/>
      <w:lang w:val="en-US" w:eastAsia="en-US"/>
    </w:rPr>
  </w:style>
  <w:style w:type="paragraph" w:customStyle="1" w:styleId="1CharChar1">
    <w:name w:val="Знак Знак1 Char Char Знак Знак1"/>
    <w:basedOn w:val="Normal"/>
    <w:rsid w:val="00060470"/>
    <w:pPr>
      <w:tabs>
        <w:tab w:val="num" w:pos="840"/>
      </w:tabs>
      <w:spacing w:before="0" w:after="160" w:line="240" w:lineRule="exact"/>
      <w:ind w:left="840" w:hanging="360"/>
      <w:contextualSpacing w:val="0"/>
    </w:pPr>
    <w:rPr>
      <w:rFonts w:ascii="Verdana" w:eastAsia="Calibri" w:hAnsi="Verdana"/>
      <w:sz w:val="20"/>
      <w:szCs w:val="20"/>
      <w:lang w:eastAsia="en-US"/>
    </w:rPr>
  </w:style>
  <w:style w:type="paragraph" w:customStyle="1" w:styleId="CharCharCharChar1">
    <w:name w:val="Знак Знак Char Char Знак Знак Char Char Знак Знак1"/>
    <w:basedOn w:val="Normal"/>
    <w:autoRedefine/>
    <w:rsid w:val="00060470"/>
    <w:pPr>
      <w:spacing w:before="0" w:after="160" w:line="240" w:lineRule="exact"/>
      <w:ind w:firstLine="0"/>
      <w:contextualSpacing w:val="0"/>
      <w:jc w:val="left"/>
    </w:pPr>
    <w:rPr>
      <w:rFonts w:ascii="Times New Roman" w:eastAsia="Calibri" w:hAnsi="Times New Roman"/>
      <w:sz w:val="28"/>
      <w:szCs w:val="20"/>
      <w:lang w:val="en-US" w:eastAsia="en-US"/>
    </w:rPr>
  </w:style>
  <w:style w:type="paragraph" w:customStyle="1" w:styleId="CharCharChar1Char1">
    <w:name w:val="Char Char Char1 Char1"/>
    <w:basedOn w:val="Normal"/>
    <w:rsid w:val="00060470"/>
    <w:pPr>
      <w:spacing w:before="0" w:after="160" w:line="240" w:lineRule="exact"/>
      <w:ind w:firstLine="0"/>
      <w:contextualSpacing w:val="0"/>
      <w:jc w:val="left"/>
    </w:pPr>
    <w:rPr>
      <w:rFonts w:ascii="Arial" w:eastAsia="Calibri" w:hAnsi="Arial" w:cs="Arial"/>
      <w:sz w:val="20"/>
      <w:szCs w:val="20"/>
      <w:lang w:val="en-US" w:eastAsia="en-US"/>
    </w:rPr>
  </w:style>
  <w:style w:type="paragraph" w:customStyle="1" w:styleId="110">
    <w:name w:val="Знак Знак11"/>
    <w:basedOn w:val="Normal"/>
    <w:rsid w:val="00060470"/>
    <w:pPr>
      <w:spacing w:before="0" w:after="160" w:line="240" w:lineRule="exact"/>
      <w:ind w:firstLine="0"/>
      <w:contextualSpacing w:val="0"/>
      <w:jc w:val="left"/>
    </w:pPr>
    <w:rPr>
      <w:rFonts w:ascii="Arial" w:eastAsia="MS Mincho" w:hAnsi="Arial" w:cs="Arial"/>
      <w:sz w:val="20"/>
      <w:szCs w:val="20"/>
      <w:lang w:val="en-US" w:eastAsia="en-US"/>
    </w:rPr>
  </w:style>
  <w:style w:type="paragraph" w:customStyle="1" w:styleId="CharChar1CharCharChar1Char1">
    <w:name w:val="Char Char1 Char Char Char1 Char1"/>
    <w:basedOn w:val="Normal"/>
    <w:autoRedefine/>
    <w:rsid w:val="00060470"/>
    <w:pPr>
      <w:spacing w:before="0" w:line="240" w:lineRule="auto"/>
      <w:ind w:firstLine="0"/>
      <w:contextualSpacing w:val="0"/>
      <w:jc w:val="left"/>
    </w:pPr>
    <w:rPr>
      <w:rFonts w:ascii="Times New Roman" w:eastAsia="SimSun" w:hAnsi="Times New Roman"/>
      <w:sz w:val="20"/>
      <w:szCs w:val="20"/>
      <w:lang w:val="en-US"/>
    </w:rPr>
  </w:style>
  <w:style w:type="paragraph" w:customStyle="1" w:styleId="41">
    <w:name w:val="Знак Знак41"/>
    <w:basedOn w:val="Normal"/>
    <w:rsid w:val="00060470"/>
    <w:pPr>
      <w:tabs>
        <w:tab w:val="left" w:pos="709"/>
      </w:tabs>
      <w:spacing w:before="0" w:line="240" w:lineRule="auto"/>
      <w:ind w:firstLine="0"/>
      <w:contextualSpacing w:val="0"/>
      <w:jc w:val="left"/>
    </w:pPr>
    <w:rPr>
      <w:rFonts w:ascii="Tahoma" w:eastAsia="Calibri" w:hAnsi="Tahoma"/>
      <w:sz w:val="24"/>
      <w:lang w:val="pl-PL" w:eastAsia="pl-PL"/>
    </w:rPr>
  </w:style>
  <w:style w:type="paragraph" w:customStyle="1" w:styleId="Char13">
    <w:name w:val="Знак Char Знак1"/>
    <w:basedOn w:val="Normal"/>
    <w:rsid w:val="00060470"/>
    <w:pPr>
      <w:spacing w:before="0" w:after="160" w:line="240" w:lineRule="exact"/>
      <w:ind w:firstLine="0"/>
      <w:contextualSpacing w:val="0"/>
      <w:jc w:val="left"/>
    </w:pPr>
    <w:rPr>
      <w:rFonts w:ascii="Arial" w:eastAsia="Batang" w:hAnsi="Arial" w:cs="Arial"/>
      <w:sz w:val="20"/>
      <w:szCs w:val="20"/>
      <w:lang w:val="en-US" w:eastAsia="en-US"/>
    </w:rPr>
  </w:style>
  <w:style w:type="paragraph" w:customStyle="1" w:styleId="CharCharCharCharCharChar1">
    <w:name w:val="Знак Знак Char Char Знак Знак Char Char Знак Знак Char Char1"/>
    <w:basedOn w:val="Normal"/>
    <w:autoRedefine/>
    <w:rsid w:val="00060470"/>
    <w:pPr>
      <w:spacing w:before="0" w:after="160" w:line="240" w:lineRule="exact"/>
      <w:ind w:firstLine="0"/>
      <w:contextualSpacing w:val="0"/>
      <w:jc w:val="left"/>
    </w:pPr>
    <w:rPr>
      <w:rFonts w:ascii="Times New Roman" w:eastAsia="Calibri" w:hAnsi="Times New Roman"/>
      <w:sz w:val="28"/>
      <w:szCs w:val="20"/>
      <w:lang w:val="en-US" w:eastAsia="en-US"/>
    </w:rPr>
  </w:style>
  <w:style w:type="paragraph" w:customStyle="1" w:styleId="212">
    <w:name w:val="Знак Знак21"/>
    <w:basedOn w:val="Normal"/>
    <w:rsid w:val="00060470"/>
    <w:pPr>
      <w:spacing w:before="0" w:after="160" w:line="240" w:lineRule="exact"/>
      <w:ind w:firstLine="0"/>
      <w:contextualSpacing w:val="0"/>
      <w:jc w:val="left"/>
    </w:pPr>
    <w:rPr>
      <w:rFonts w:ascii="Arial" w:eastAsia="Calibri" w:hAnsi="Arial" w:cs="Arial"/>
      <w:sz w:val="20"/>
      <w:szCs w:val="20"/>
      <w:lang w:val="en-US" w:eastAsia="en-US"/>
    </w:rPr>
  </w:style>
  <w:style w:type="paragraph" w:customStyle="1" w:styleId="CharCharCharCharChar10">
    <w:name w:val="Char Char Char Char Char1"/>
    <w:basedOn w:val="Normal"/>
    <w:rsid w:val="00060470"/>
    <w:pPr>
      <w:spacing w:before="0" w:after="160" w:line="240" w:lineRule="exact"/>
      <w:ind w:firstLine="0"/>
      <w:contextualSpacing w:val="0"/>
      <w:jc w:val="left"/>
    </w:pPr>
    <w:rPr>
      <w:rFonts w:ascii="Arial" w:eastAsia="Calibri" w:hAnsi="Arial" w:cs="Arial"/>
      <w:sz w:val="20"/>
      <w:szCs w:val="20"/>
      <w:lang w:val="en-US" w:eastAsia="en-US"/>
    </w:rPr>
  </w:style>
  <w:style w:type="paragraph" w:styleId="Quote">
    <w:name w:val="Quote"/>
    <w:basedOn w:val="Normal"/>
    <w:next w:val="Normal"/>
    <w:link w:val="QuoteChar"/>
    <w:uiPriority w:val="29"/>
    <w:qFormat/>
    <w:rsid w:val="00060470"/>
    <w:pPr>
      <w:spacing w:before="0" w:line="240" w:lineRule="auto"/>
      <w:ind w:firstLine="0"/>
      <w:contextualSpacing w:val="0"/>
      <w:jc w:val="left"/>
    </w:pPr>
    <w:rPr>
      <w:rFonts w:ascii="Times New Roman" w:hAnsi="Times New Roman"/>
      <w:i/>
      <w:iCs/>
      <w:color w:val="000000"/>
      <w:sz w:val="24"/>
    </w:rPr>
  </w:style>
  <w:style w:type="character" w:customStyle="1" w:styleId="QuoteChar">
    <w:name w:val="Quote Char"/>
    <w:basedOn w:val="DefaultParagraphFont"/>
    <w:link w:val="Quote"/>
    <w:uiPriority w:val="29"/>
    <w:rsid w:val="00060470"/>
    <w:rPr>
      <w:i/>
      <w:iCs/>
      <w:color w:val="000000"/>
      <w:sz w:val="24"/>
      <w:szCs w:val="24"/>
    </w:rPr>
  </w:style>
  <w:style w:type="character" w:styleId="IntenseEmphasis">
    <w:name w:val="Intense Emphasis"/>
    <w:uiPriority w:val="21"/>
    <w:qFormat/>
    <w:rsid w:val="00060470"/>
    <w:rPr>
      <w:b/>
      <w:bCs/>
      <w:i/>
      <w:iCs/>
      <w:color w:val="4F81BD"/>
    </w:rPr>
  </w:style>
  <w:style w:type="table" w:styleId="LightList-Accent1">
    <w:name w:val="Light List Accent 1"/>
    <w:basedOn w:val="TableNormal"/>
    <w:uiPriority w:val="61"/>
    <w:rsid w:val="0006047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7">
    <w:name w:val="Table Grid 7"/>
    <w:basedOn w:val="TableNormal"/>
    <w:rsid w:val="000604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ColorfulGrid-Accent1">
    <w:name w:val="Colorful Grid Accent 1"/>
    <w:basedOn w:val="TableNormal"/>
    <w:uiPriority w:val="73"/>
    <w:rsid w:val="0006047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List-Accent5">
    <w:name w:val="Light List Accent 5"/>
    <w:basedOn w:val="TableNormal"/>
    <w:uiPriority w:val="61"/>
    <w:rsid w:val="0006047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TableSimple3">
    <w:name w:val="Table Simple 3"/>
    <w:basedOn w:val="TableNormal"/>
    <w:rsid w:val="000604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Grid5">
    <w:name w:val="Table Grid 5"/>
    <w:basedOn w:val="TableNormal"/>
    <w:rsid w:val="000604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3">
    <w:name w:val="Table Grid 3"/>
    <w:basedOn w:val="TableNormal"/>
    <w:rsid w:val="000604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0">
    <w:name w:val="Table Grid 1"/>
    <w:basedOn w:val="TableNormal"/>
    <w:rsid w:val="000604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olumns5">
    <w:name w:val="Table Columns 5"/>
    <w:basedOn w:val="TableNormal"/>
    <w:rsid w:val="000604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ListParagraph2">
    <w:name w:val="List Paragraph2"/>
    <w:basedOn w:val="Normal"/>
    <w:uiPriority w:val="99"/>
    <w:qFormat/>
    <w:rsid w:val="00060470"/>
    <w:pPr>
      <w:spacing w:before="0" w:line="240" w:lineRule="auto"/>
      <w:ind w:left="720" w:firstLine="0"/>
      <w:jc w:val="left"/>
    </w:pPr>
    <w:rPr>
      <w:rFonts w:ascii="Times New Roman" w:hAnsi="Times New Roman"/>
      <w:sz w:val="24"/>
    </w:rPr>
  </w:style>
  <w:style w:type="character" w:customStyle="1" w:styleId="A00">
    <w:name w:val="A0"/>
    <w:rsid w:val="00060470"/>
    <w:rPr>
      <w:color w:val="000000"/>
      <w:sz w:val="56"/>
      <w:szCs w:val="56"/>
    </w:rPr>
  </w:style>
  <w:style w:type="character" w:customStyle="1" w:styleId="1a">
    <w:name w:val="Текст сноски Знак1"/>
    <w:semiHidden/>
    <w:rsid w:val="00060470"/>
    <w:rPr>
      <w:sz w:val="20"/>
      <w:szCs w:val="20"/>
    </w:rPr>
  </w:style>
  <w:style w:type="character" w:customStyle="1" w:styleId="CharChar28">
    <w:name w:val="Char Char28"/>
    <w:rsid w:val="00060470"/>
    <w:rPr>
      <w:rFonts w:ascii="Arial Armenian" w:hAnsi="Arial Armenian"/>
      <w:i/>
      <w:sz w:val="22"/>
      <w:u w:val="single"/>
      <w:lang w:val="en-GB"/>
    </w:rPr>
  </w:style>
  <w:style w:type="character" w:customStyle="1" w:styleId="CharChar27">
    <w:name w:val="Char Char27"/>
    <w:rsid w:val="00060470"/>
    <w:rPr>
      <w:rFonts w:ascii="Garamond" w:hAnsi="Garamond"/>
      <w:i/>
      <w:spacing w:val="-5"/>
      <w:sz w:val="28"/>
      <w:shd w:val="pct5" w:color="auto" w:fill="auto"/>
      <w:lang w:val="en-GB"/>
    </w:rPr>
  </w:style>
  <w:style w:type="character" w:customStyle="1" w:styleId="CharChar26">
    <w:name w:val="Char Char26"/>
    <w:rsid w:val="00060470"/>
    <w:rPr>
      <w:rFonts w:ascii="Arial Black" w:hAnsi="Arial Black"/>
      <w:caps/>
      <w:spacing w:val="60"/>
      <w:position w:val="4"/>
      <w:sz w:val="14"/>
      <w:lang w:val="en-GB"/>
    </w:rPr>
  </w:style>
  <w:style w:type="character" w:customStyle="1" w:styleId="CharChar25">
    <w:name w:val="Char Char25"/>
    <w:rsid w:val="00060470"/>
    <w:rPr>
      <w:rFonts w:ascii="Garamond" w:hAnsi="Garamond"/>
      <w:b/>
      <w:i/>
      <w:kern w:val="28"/>
      <w:lang w:val="en-GB"/>
    </w:rPr>
  </w:style>
  <w:style w:type="character" w:customStyle="1" w:styleId="CharChar241">
    <w:name w:val="Char Char241"/>
    <w:rsid w:val="00060470"/>
    <w:rPr>
      <w:rFonts w:ascii="Arial Armenian" w:hAnsi="Arial Armenian"/>
      <w:noProof/>
      <w:lang w:val="en-US" w:eastAsia="en-US" w:bidi="ar-SA"/>
    </w:rPr>
  </w:style>
  <w:style w:type="character" w:customStyle="1" w:styleId="CharChar231">
    <w:name w:val="Char Char231"/>
    <w:rsid w:val="00060470"/>
    <w:rPr>
      <w:rFonts w:ascii="Arial Armenian" w:hAnsi="Arial Armenian"/>
      <w:lang w:val="en-GB" w:eastAsia="en-US" w:bidi="ar-SA"/>
    </w:rPr>
  </w:style>
  <w:style w:type="character" w:customStyle="1" w:styleId="CharChar221">
    <w:name w:val="Char Char221"/>
    <w:rsid w:val="00060470"/>
    <w:rPr>
      <w:rFonts w:ascii="Arial Armenian" w:hAnsi="Arial Armenian"/>
      <w:lang w:val="ru-RU" w:eastAsia="ru-RU" w:bidi="ar-SA"/>
    </w:rPr>
  </w:style>
  <w:style w:type="paragraph" w:customStyle="1" w:styleId="Outline">
    <w:name w:val="Outline"/>
    <w:basedOn w:val="Normal"/>
    <w:rsid w:val="00060470"/>
    <w:pPr>
      <w:spacing w:before="240" w:line="240" w:lineRule="auto"/>
      <w:ind w:firstLine="0"/>
      <w:contextualSpacing w:val="0"/>
      <w:jc w:val="left"/>
    </w:pPr>
    <w:rPr>
      <w:rFonts w:ascii="Times New Roman" w:hAnsi="Times New Roman"/>
      <w:kern w:val="28"/>
      <w:sz w:val="24"/>
      <w:szCs w:val="20"/>
      <w:lang w:val="en-US" w:eastAsia="en-US"/>
    </w:rPr>
  </w:style>
  <w:style w:type="paragraph" w:customStyle="1" w:styleId="ae">
    <w:name w:val="Îáû÷íûé"/>
    <w:rsid w:val="00060470"/>
    <w:rPr>
      <w:rFonts w:ascii="Times Armenian" w:hAnsi="Times Armenian"/>
      <w:sz w:val="24"/>
    </w:rPr>
  </w:style>
  <w:style w:type="paragraph" w:customStyle="1" w:styleId="Style13">
    <w:name w:val="Style13"/>
    <w:basedOn w:val="Normal"/>
    <w:rsid w:val="00060470"/>
    <w:pPr>
      <w:widowControl w:val="0"/>
      <w:autoSpaceDE w:val="0"/>
      <w:autoSpaceDN w:val="0"/>
      <w:adjustRightInd w:val="0"/>
      <w:spacing w:before="0" w:line="240" w:lineRule="auto"/>
      <w:ind w:firstLine="0"/>
      <w:contextualSpacing w:val="0"/>
      <w:jc w:val="left"/>
    </w:pPr>
    <w:rPr>
      <w:rFonts w:ascii="Tahoma" w:eastAsia="SimSun" w:hAnsi="Tahoma" w:cs="Tahoma"/>
      <w:sz w:val="24"/>
      <w:lang w:val="en-US" w:eastAsia="en-US"/>
    </w:rPr>
  </w:style>
  <w:style w:type="character" w:customStyle="1" w:styleId="FontStyle27">
    <w:name w:val="Font Style27"/>
    <w:rsid w:val="00060470"/>
    <w:rPr>
      <w:rFonts w:ascii="Tahoma" w:hAnsi="Tahoma" w:cs="Tahoma" w:hint="default"/>
      <w:sz w:val="14"/>
      <w:szCs w:val="14"/>
    </w:rPr>
  </w:style>
  <w:style w:type="paragraph" w:customStyle="1" w:styleId="Style14">
    <w:name w:val="Style14"/>
    <w:basedOn w:val="Normal"/>
    <w:rsid w:val="00060470"/>
    <w:pPr>
      <w:widowControl w:val="0"/>
      <w:autoSpaceDE w:val="0"/>
      <w:autoSpaceDN w:val="0"/>
      <w:adjustRightInd w:val="0"/>
      <w:spacing w:before="0" w:line="211" w:lineRule="exact"/>
      <w:ind w:firstLine="0"/>
      <w:contextualSpacing w:val="0"/>
      <w:jc w:val="left"/>
    </w:pPr>
    <w:rPr>
      <w:rFonts w:ascii="Tahoma" w:eastAsia="SimSun" w:hAnsi="Tahoma" w:cs="Tahoma"/>
      <w:sz w:val="24"/>
      <w:lang w:val="en-US" w:eastAsia="en-US"/>
    </w:rPr>
  </w:style>
  <w:style w:type="character" w:customStyle="1" w:styleId="FontStyle26">
    <w:name w:val="Font Style26"/>
    <w:rsid w:val="00060470"/>
    <w:rPr>
      <w:rFonts w:ascii="Tahoma" w:hAnsi="Tahoma" w:cs="Tahoma" w:hint="default"/>
      <w:i/>
      <w:iCs/>
      <w:spacing w:val="10"/>
      <w:sz w:val="16"/>
      <w:szCs w:val="16"/>
    </w:rPr>
  </w:style>
  <w:style w:type="character" w:customStyle="1" w:styleId="FontStyle53">
    <w:name w:val="Font Style53"/>
    <w:rsid w:val="00060470"/>
    <w:rPr>
      <w:rFonts w:ascii="Sylfaen" w:hAnsi="Sylfaen"/>
      <w:sz w:val="18"/>
    </w:rPr>
  </w:style>
  <w:style w:type="character" w:customStyle="1" w:styleId="shorttext">
    <w:name w:val="short_text"/>
    <w:rsid w:val="00060470"/>
    <w:rPr>
      <w:rFonts w:cs="Times New Roman"/>
    </w:rPr>
  </w:style>
  <w:style w:type="table" w:customStyle="1" w:styleId="LightList-Accent11">
    <w:name w:val="Light List - Accent 11"/>
    <w:basedOn w:val="TableNormal"/>
    <w:uiPriority w:val="61"/>
    <w:rsid w:val="0006047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b">
    <w:name w:val="Нет списка1"/>
    <w:next w:val="NoList"/>
    <w:semiHidden/>
    <w:unhideWhenUsed/>
    <w:rsid w:val="00060470"/>
  </w:style>
  <w:style w:type="paragraph" w:customStyle="1" w:styleId="NoSpacing1">
    <w:name w:val="No Spacing1"/>
    <w:uiPriority w:val="99"/>
    <w:qFormat/>
    <w:rsid w:val="00060470"/>
    <w:rPr>
      <w:rFonts w:ascii="Calibri" w:hAnsi="Calibri"/>
      <w:sz w:val="22"/>
      <w:szCs w:val="22"/>
    </w:rPr>
  </w:style>
  <w:style w:type="paragraph" w:customStyle="1" w:styleId="26">
    <w:name w:val="Обычный2"/>
    <w:rsid w:val="00060470"/>
    <w:pPr>
      <w:autoSpaceDE w:val="0"/>
      <w:autoSpaceDN w:val="0"/>
    </w:pPr>
    <w:rPr>
      <w:lang w:val="ru-RU" w:eastAsia="ru-RU"/>
    </w:rPr>
  </w:style>
  <w:style w:type="paragraph" w:customStyle="1" w:styleId="Revision1">
    <w:name w:val="Revision1"/>
    <w:hidden/>
    <w:semiHidden/>
    <w:rsid w:val="00060470"/>
    <w:rPr>
      <w:rFonts w:ascii="Arial Armenian" w:hAnsi="Arial Armenian" w:cs="Sylfaen"/>
      <w:sz w:val="24"/>
      <w:szCs w:val="24"/>
      <w:lang w:val="ru-RU" w:eastAsia="ru-RU"/>
    </w:rPr>
  </w:style>
  <w:style w:type="paragraph" w:customStyle="1" w:styleId="TOCHeading1">
    <w:name w:val="TOC Heading1"/>
    <w:basedOn w:val="Heading1"/>
    <w:next w:val="Normal"/>
    <w:uiPriority w:val="99"/>
    <w:qFormat/>
    <w:rsid w:val="00060470"/>
    <w:pPr>
      <w:keepLines/>
      <w:spacing w:before="480" w:after="0" w:line="276" w:lineRule="auto"/>
      <w:contextualSpacing w:val="0"/>
      <w:jc w:val="left"/>
      <w:outlineLvl w:val="9"/>
    </w:pPr>
    <w:rPr>
      <w:rFonts w:ascii="Cambria" w:hAnsi="Cambria"/>
      <w:bCs/>
      <w:color w:val="365F91"/>
      <w:szCs w:val="28"/>
      <w:lang w:eastAsia="en-US"/>
    </w:rPr>
  </w:style>
  <w:style w:type="character" w:customStyle="1" w:styleId="NoSpacingChar1">
    <w:name w:val="No Spacing Char1"/>
    <w:rsid w:val="00060470"/>
    <w:rPr>
      <w:rFonts w:ascii="Calibri" w:eastAsia="Times New Roman" w:hAnsi="Calibri" w:cs="Times New Roman"/>
      <w:lang w:val="en-US"/>
    </w:rPr>
  </w:style>
  <w:style w:type="paragraph" w:customStyle="1" w:styleId="Quote1">
    <w:name w:val="Quote1"/>
    <w:basedOn w:val="Normal"/>
    <w:next w:val="Normal"/>
    <w:uiPriority w:val="99"/>
    <w:qFormat/>
    <w:rsid w:val="00060470"/>
    <w:pPr>
      <w:spacing w:before="0" w:line="240" w:lineRule="auto"/>
      <w:ind w:firstLine="0"/>
      <w:contextualSpacing w:val="0"/>
      <w:jc w:val="left"/>
    </w:pPr>
    <w:rPr>
      <w:rFonts w:ascii="Times New Roman" w:hAnsi="Times New Roman"/>
      <w:i/>
      <w:iCs/>
      <w:color w:val="000000"/>
      <w:sz w:val="24"/>
    </w:rPr>
  </w:style>
  <w:style w:type="character" w:customStyle="1" w:styleId="IntenseEmphasis1">
    <w:name w:val="Intense Emphasis1"/>
    <w:qFormat/>
    <w:rsid w:val="00060470"/>
    <w:rPr>
      <w:b/>
      <w:bCs/>
      <w:i/>
      <w:iCs/>
      <w:color w:val="4F81BD"/>
    </w:rPr>
  </w:style>
  <w:style w:type="table" w:customStyle="1" w:styleId="ColorfulGrid-Accent11">
    <w:name w:val="Colorful Grid - Accent 11"/>
    <w:basedOn w:val="TableNormal"/>
    <w:rsid w:val="00060470"/>
    <w:rPr>
      <w:color w:val="00000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
    <w:name w:val="Light List - Accent 51"/>
    <w:basedOn w:val="TableNormal"/>
    <w:rsid w:val="00060470"/>
    <w:rPr>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tandard">
    <w:name w:val="Standard"/>
    <w:rsid w:val="00060470"/>
    <w:pPr>
      <w:widowControl w:val="0"/>
      <w:suppressAutoHyphens/>
      <w:autoSpaceDN w:val="0"/>
      <w:textAlignment w:val="baseline"/>
    </w:pPr>
    <w:rPr>
      <w:rFonts w:ascii="Calibri" w:hAnsi="Calibri"/>
      <w:kern w:val="3"/>
      <w:sz w:val="24"/>
      <w:szCs w:val="24"/>
    </w:rPr>
  </w:style>
  <w:style w:type="character" w:customStyle="1" w:styleId="PageNumber1">
    <w:name w:val="Page Number1"/>
    <w:rsid w:val="00060470"/>
    <w:rPr>
      <w:rFonts w:cs="Times New Roman"/>
    </w:rPr>
  </w:style>
  <w:style w:type="character" w:customStyle="1" w:styleId="af">
    <w:name w:val="Основной текст_"/>
    <w:rsid w:val="00060470"/>
    <w:rPr>
      <w:rFonts w:ascii="Sylfaen" w:hAnsi="Sylfaen" w:cs="Sylfaen"/>
      <w:spacing w:val="20"/>
      <w:w w:val="80"/>
      <w:shd w:val="clear" w:color="auto" w:fill="FFFFFF"/>
    </w:rPr>
  </w:style>
  <w:style w:type="character" w:customStyle="1" w:styleId="27">
    <w:name w:val="Основной текст (2)_"/>
    <w:rsid w:val="00060470"/>
    <w:rPr>
      <w:rFonts w:ascii="Sylfaen" w:hAnsi="Sylfaen" w:cs="Sylfaen"/>
      <w:i/>
      <w:iCs/>
      <w:shd w:val="clear" w:color="auto" w:fill="FFFFFF"/>
    </w:rPr>
  </w:style>
  <w:style w:type="character" w:customStyle="1" w:styleId="34">
    <w:name w:val="Основной текст (3)_"/>
    <w:rsid w:val="00060470"/>
    <w:rPr>
      <w:rFonts w:ascii="Sylfaen" w:hAnsi="Sylfaen" w:cs="Sylfaen"/>
      <w:spacing w:val="20"/>
      <w:w w:val="80"/>
      <w:sz w:val="21"/>
      <w:szCs w:val="21"/>
      <w:shd w:val="clear" w:color="auto" w:fill="FFFFFF"/>
    </w:rPr>
  </w:style>
  <w:style w:type="character" w:customStyle="1" w:styleId="311pt">
    <w:name w:val="Основной текст (3) + 11 pt"/>
    <w:rsid w:val="00060470"/>
    <w:rPr>
      <w:rFonts w:ascii="Sylfaen" w:hAnsi="Sylfaen" w:cs="Sylfaen"/>
      <w:i/>
      <w:iCs/>
      <w:spacing w:val="0"/>
      <w:w w:val="100"/>
      <w:sz w:val="22"/>
      <w:szCs w:val="22"/>
      <w:shd w:val="clear" w:color="auto" w:fill="FFFFFF"/>
    </w:rPr>
  </w:style>
  <w:style w:type="character" w:customStyle="1" w:styleId="311pt1">
    <w:name w:val="Основной текст (3) + 11 pt1"/>
    <w:rsid w:val="00060470"/>
    <w:rPr>
      <w:rFonts w:ascii="Sylfaen" w:hAnsi="Sylfaen" w:cs="Sylfaen"/>
      <w:spacing w:val="0"/>
      <w:w w:val="100"/>
      <w:sz w:val="22"/>
      <w:szCs w:val="22"/>
      <w:shd w:val="clear" w:color="auto" w:fill="FFFFFF"/>
    </w:rPr>
  </w:style>
  <w:style w:type="character" w:customStyle="1" w:styleId="28">
    <w:name w:val="Основной текст2"/>
    <w:rsid w:val="00060470"/>
  </w:style>
  <w:style w:type="character" w:customStyle="1" w:styleId="42">
    <w:name w:val="Основной текст (4)_"/>
    <w:rsid w:val="00060470"/>
    <w:rPr>
      <w:rFonts w:ascii="Sylfaen" w:hAnsi="Sylfaen" w:cs="Sylfaen"/>
      <w:spacing w:val="20"/>
      <w:w w:val="80"/>
      <w:shd w:val="clear" w:color="auto" w:fill="FFFFFF"/>
    </w:rPr>
  </w:style>
  <w:style w:type="character" w:customStyle="1" w:styleId="4pt">
    <w:name w:val="Основной текст + 4 pt"/>
    <w:rsid w:val="00060470"/>
    <w:rPr>
      <w:rFonts w:ascii="Sylfaen" w:hAnsi="Sylfaen" w:cs="Sylfaen"/>
      <w:i/>
      <w:iCs/>
      <w:spacing w:val="0"/>
      <w:w w:val="100"/>
      <w:sz w:val="8"/>
      <w:szCs w:val="8"/>
      <w:shd w:val="clear" w:color="auto" w:fill="FFFFFF"/>
    </w:rPr>
  </w:style>
  <w:style w:type="character" w:customStyle="1" w:styleId="1c">
    <w:name w:val="Заголовок №1_"/>
    <w:rsid w:val="00060470"/>
    <w:rPr>
      <w:rFonts w:ascii="Sylfaen" w:hAnsi="Sylfaen" w:cs="Sylfaen"/>
      <w:i/>
      <w:iCs/>
      <w:spacing w:val="-30"/>
      <w:sz w:val="31"/>
      <w:szCs w:val="31"/>
      <w:shd w:val="clear" w:color="auto" w:fill="FFFFFF"/>
    </w:rPr>
  </w:style>
  <w:style w:type="character" w:customStyle="1" w:styleId="111">
    <w:name w:val="Заголовок №1 + 11"/>
    <w:rsid w:val="00060470"/>
    <w:rPr>
      <w:rFonts w:ascii="Sylfaen" w:hAnsi="Sylfaen" w:cs="Sylfaen"/>
      <w:i/>
      <w:iCs/>
      <w:spacing w:val="-20"/>
      <w:sz w:val="23"/>
      <w:szCs w:val="23"/>
      <w:shd w:val="clear" w:color="auto" w:fill="FFFFFF"/>
    </w:rPr>
  </w:style>
  <w:style w:type="character" w:customStyle="1" w:styleId="Sylfaen2">
    <w:name w:val="Основной текст + Sylfaen2"/>
    <w:rsid w:val="00060470"/>
    <w:rPr>
      <w:rFonts w:ascii="Sylfaen" w:hAnsi="Sylfaen" w:cs="Sylfaen"/>
      <w:spacing w:val="20"/>
      <w:w w:val="80"/>
      <w:sz w:val="22"/>
      <w:szCs w:val="22"/>
      <w:u w:val="none"/>
      <w:shd w:val="clear" w:color="auto" w:fill="FFFFFF"/>
    </w:rPr>
  </w:style>
  <w:style w:type="character" w:customStyle="1" w:styleId="Sylfaen1">
    <w:name w:val="Основной текст + Sylfaen1"/>
    <w:rsid w:val="00060470"/>
    <w:rPr>
      <w:rFonts w:ascii="Sylfaen" w:hAnsi="Sylfaen" w:cs="Sylfaen"/>
      <w:spacing w:val="20"/>
      <w:w w:val="80"/>
      <w:sz w:val="20"/>
      <w:szCs w:val="20"/>
      <w:u w:val="none"/>
      <w:shd w:val="clear" w:color="auto" w:fill="FFFFFF"/>
    </w:rPr>
  </w:style>
  <w:style w:type="character" w:customStyle="1" w:styleId="af0">
    <w:name w:val="Основной текст + Полужирный"/>
    <w:rsid w:val="00060470"/>
    <w:rPr>
      <w:rFonts w:ascii="Sylfaen" w:hAnsi="Sylfaen" w:cs="Sylfaen"/>
      <w:b/>
      <w:bCs/>
      <w:spacing w:val="20"/>
      <w:w w:val="80"/>
      <w:sz w:val="21"/>
      <w:szCs w:val="21"/>
      <w:u w:val="none"/>
      <w:shd w:val="clear" w:color="auto" w:fill="FFFFFF"/>
    </w:rPr>
  </w:style>
  <w:style w:type="character" w:customStyle="1" w:styleId="ListLabel1">
    <w:name w:val="ListLabel 1"/>
    <w:rsid w:val="00060470"/>
    <w:rPr>
      <w:rFonts w:eastAsia="Times New Roman"/>
      <w:color w:val="000000"/>
    </w:rPr>
  </w:style>
  <w:style w:type="character" w:customStyle="1" w:styleId="ListLabel2">
    <w:name w:val="ListLabel 2"/>
    <w:rsid w:val="00060470"/>
  </w:style>
  <w:style w:type="character" w:customStyle="1" w:styleId="ListLabel3">
    <w:name w:val="ListLabel 3"/>
    <w:rsid w:val="00060470"/>
  </w:style>
  <w:style w:type="character" w:customStyle="1" w:styleId="ListLabel4">
    <w:name w:val="ListLabel 4"/>
    <w:rsid w:val="00060470"/>
  </w:style>
  <w:style w:type="character" w:customStyle="1" w:styleId="ListLabel5">
    <w:name w:val="ListLabel 5"/>
    <w:rsid w:val="00060470"/>
    <w:rPr>
      <w:color w:val="auto"/>
    </w:rPr>
  </w:style>
  <w:style w:type="character" w:customStyle="1" w:styleId="ListLabel6">
    <w:name w:val="ListLabel 6"/>
    <w:rsid w:val="00060470"/>
    <w:rPr>
      <w:b/>
      <w:i/>
    </w:rPr>
  </w:style>
  <w:style w:type="character" w:customStyle="1" w:styleId="ListLabel7">
    <w:name w:val="ListLabel 7"/>
    <w:rsid w:val="00060470"/>
    <w:rPr>
      <w:sz w:val="24"/>
    </w:rPr>
  </w:style>
  <w:style w:type="character" w:customStyle="1" w:styleId="ListLabel8">
    <w:name w:val="ListLabel 8"/>
    <w:rsid w:val="00060470"/>
    <w:rPr>
      <w:rFonts w:eastAsia="Times New Roman"/>
    </w:rPr>
  </w:style>
  <w:style w:type="paragraph" w:customStyle="1" w:styleId="Heading">
    <w:name w:val="Heading"/>
    <w:basedOn w:val="Normal"/>
    <w:next w:val="BodyText"/>
    <w:rsid w:val="00060470"/>
    <w:pPr>
      <w:keepNext/>
      <w:suppressAutoHyphens/>
      <w:spacing w:before="240" w:after="120" w:line="276" w:lineRule="auto"/>
      <w:ind w:firstLine="0"/>
      <w:contextualSpacing w:val="0"/>
      <w:jc w:val="left"/>
    </w:pPr>
    <w:rPr>
      <w:rFonts w:ascii="Liberation Sans" w:hAnsi="Liberation Sans" w:cs="Liberation Sans"/>
      <w:kern w:val="1"/>
      <w:sz w:val="28"/>
      <w:szCs w:val="28"/>
      <w:lang w:val="en-US" w:eastAsia="en-US"/>
    </w:rPr>
  </w:style>
  <w:style w:type="paragraph" w:styleId="List">
    <w:name w:val="List"/>
    <w:basedOn w:val="BodyText"/>
    <w:rsid w:val="00060470"/>
    <w:pPr>
      <w:suppressAutoHyphens/>
      <w:spacing w:before="0" w:after="120" w:line="288" w:lineRule="auto"/>
      <w:ind w:firstLine="0"/>
      <w:contextualSpacing w:val="0"/>
      <w:jc w:val="left"/>
    </w:pPr>
    <w:rPr>
      <w:rFonts w:ascii="GHEA Grapalat" w:hAnsi="GHEA Grapalat" w:cs="GHEA Grapalat"/>
      <w:kern w:val="1"/>
      <w:sz w:val="22"/>
      <w:szCs w:val="22"/>
    </w:rPr>
  </w:style>
  <w:style w:type="paragraph" w:customStyle="1" w:styleId="Index">
    <w:name w:val="Index"/>
    <w:basedOn w:val="Normal"/>
    <w:rsid w:val="00060470"/>
    <w:pPr>
      <w:suppressLineNumbers/>
      <w:suppressAutoHyphens/>
      <w:spacing w:before="0" w:after="200" w:line="276" w:lineRule="auto"/>
      <w:ind w:firstLine="0"/>
      <w:contextualSpacing w:val="0"/>
      <w:jc w:val="left"/>
    </w:pPr>
    <w:rPr>
      <w:rFonts w:ascii="Calibri" w:hAnsi="Calibri" w:cs="Calibri"/>
      <w:kern w:val="1"/>
      <w:szCs w:val="22"/>
      <w:lang w:val="en-US" w:eastAsia="en-US"/>
    </w:rPr>
  </w:style>
  <w:style w:type="paragraph" w:customStyle="1" w:styleId="af1">
    <w:name w:val="Стиль Знак"/>
    <w:basedOn w:val="Normal"/>
    <w:rsid w:val="00060470"/>
    <w:pPr>
      <w:suppressAutoHyphens/>
      <w:spacing w:before="0" w:after="160" w:line="240" w:lineRule="exact"/>
      <w:ind w:firstLine="0"/>
      <w:contextualSpacing w:val="0"/>
      <w:jc w:val="left"/>
    </w:pPr>
    <w:rPr>
      <w:rFonts w:ascii="Arial" w:hAnsi="Arial" w:cs="Arial"/>
      <w:kern w:val="1"/>
      <w:sz w:val="20"/>
      <w:szCs w:val="20"/>
      <w:lang w:val="en-US" w:eastAsia="en-US"/>
    </w:rPr>
  </w:style>
  <w:style w:type="paragraph" w:customStyle="1" w:styleId="1d">
    <w:name w:val="Без интервала1"/>
    <w:qFormat/>
    <w:rsid w:val="00060470"/>
    <w:pPr>
      <w:suppressAutoHyphens/>
    </w:pPr>
    <w:rPr>
      <w:rFonts w:ascii="GHEA Grapalat" w:hAnsi="GHEA Grapalat" w:cs="GHEA Grapalat"/>
      <w:kern w:val="1"/>
      <w:sz w:val="22"/>
      <w:szCs w:val="22"/>
    </w:rPr>
  </w:style>
  <w:style w:type="paragraph" w:customStyle="1" w:styleId="Iacaaiea">
    <w:name w:val="Iacaaiea"/>
    <w:basedOn w:val="Normal"/>
    <w:rsid w:val="00060470"/>
    <w:pPr>
      <w:widowControl w:val="0"/>
      <w:suppressAutoHyphens/>
      <w:spacing w:before="0" w:line="240" w:lineRule="auto"/>
      <w:ind w:firstLine="0"/>
      <w:contextualSpacing w:val="0"/>
      <w:jc w:val="center"/>
    </w:pPr>
    <w:rPr>
      <w:rFonts w:ascii="Times LatArm" w:hAnsi="Times LatArm" w:cs="Times LatArm"/>
      <w:kern w:val="1"/>
      <w:sz w:val="24"/>
      <w:lang w:val="en-US" w:eastAsia="en-US"/>
    </w:rPr>
  </w:style>
  <w:style w:type="paragraph" w:customStyle="1" w:styleId="1e">
    <w:name w:val="Основной текст1"/>
    <w:basedOn w:val="Normal"/>
    <w:rsid w:val="00060470"/>
    <w:pPr>
      <w:suppressAutoHyphens/>
      <w:spacing w:before="0" w:after="200" w:line="276" w:lineRule="auto"/>
      <w:ind w:firstLine="0"/>
      <w:contextualSpacing w:val="0"/>
      <w:jc w:val="left"/>
    </w:pPr>
    <w:rPr>
      <w:rFonts w:ascii="Sylfaen" w:hAnsi="Sylfaen" w:cs="Sylfaen"/>
      <w:spacing w:val="20"/>
      <w:w w:val="80"/>
      <w:kern w:val="1"/>
      <w:sz w:val="20"/>
      <w:szCs w:val="20"/>
      <w:shd w:val="clear" w:color="auto" w:fill="FFFFFF"/>
    </w:rPr>
  </w:style>
  <w:style w:type="paragraph" w:customStyle="1" w:styleId="29">
    <w:name w:val="Основной текст (2)"/>
    <w:basedOn w:val="Normal"/>
    <w:rsid w:val="00060470"/>
    <w:pPr>
      <w:suppressAutoHyphens/>
      <w:spacing w:before="0" w:after="200" w:line="276" w:lineRule="auto"/>
      <w:ind w:firstLine="0"/>
      <w:contextualSpacing w:val="0"/>
      <w:jc w:val="left"/>
    </w:pPr>
    <w:rPr>
      <w:rFonts w:ascii="Sylfaen" w:hAnsi="Sylfaen" w:cs="Sylfaen"/>
      <w:i/>
      <w:iCs/>
      <w:kern w:val="1"/>
      <w:sz w:val="20"/>
      <w:szCs w:val="20"/>
      <w:shd w:val="clear" w:color="auto" w:fill="FFFFFF"/>
    </w:rPr>
  </w:style>
  <w:style w:type="paragraph" w:customStyle="1" w:styleId="35">
    <w:name w:val="Основной текст (3)"/>
    <w:basedOn w:val="Normal"/>
    <w:rsid w:val="00060470"/>
    <w:pPr>
      <w:suppressAutoHyphens/>
      <w:spacing w:before="0" w:after="200" w:line="276" w:lineRule="auto"/>
      <w:ind w:firstLine="0"/>
      <w:contextualSpacing w:val="0"/>
      <w:jc w:val="left"/>
    </w:pPr>
    <w:rPr>
      <w:rFonts w:ascii="Sylfaen" w:hAnsi="Sylfaen" w:cs="Sylfaen"/>
      <w:spacing w:val="20"/>
      <w:w w:val="80"/>
      <w:kern w:val="1"/>
      <w:sz w:val="21"/>
      <w:szCs w:val="21"/>
      <w:shd w:val="clear" w:color="auto" w:fill="FFFFFF"/>
    </w:rPr>
  </w:style>
  <w:style w:type="paragraph" w:customStyle="1" w:styleId="43">
    <w:name w:val="Основной текст (4)"/>
    <w:basedOn w:val="Normal"/>
    <w:rsid w:val="00060470"/>
    <w:pPr>
      <w:suppressAutoHyphens/>
      <w:spacing w:before="0" w:after="200" w:line="276" w:lineRule="auto"/>
      <w:ind w:firstLine="0"/>
      <w:contextualSpacing w:val="0"/>
      <w:jc w:val="left"/>
    </w:pPr>
    <w:rPr>
      <w:rFonts w:ascii="Sylfaen" w:hAnsi="Sylfaen" w:cs="Sylfaen"/>
      <w:spacing w:val="20"/>
      <w:w w:val="80"/>
      <w:kern w:val="1"/>
      <w:sz w:val="20"/>
      <w:szCs w:val="20"/>
      <w:shd w:val="clear" w:color="auto" w:fill="FFFFFF"/>
    </w:rPr>
  </w:style>
  <w:style w:type="paragraph" w:customStyle="1" w:styleId="1f">
    <w:name w:val="Заголовок №1"/>
    <w:basedOn w:val="Normal"/>
    <w:rsid w:val="00060470"/>
    <w:pPr>
      <w:suppressAutoHyphens/>
      <w:spacing w:before="0" w:after="200" w:line="276" w:lineRule="auto"/>
      <w:ind w:firstLine="0"/>
      <w:contextualSpacing w:val="0"/>
      <w:jc w:val="left"/>
    </w:pPr>
    <w:rPr>
      <w:rFonts w:ascii="Sylfaen" w:hAnsi="Sylfaen" w:cs="Sylfaen"/>
      <w:i/>
      <w:iCs/>
      <w:spacing w:val="-30"/>
      <w:kern w:val="1"/>
      <w:sz w:val="31"/>
      <w:szCs w:val="31"/>
      <w:shd w:val="clear" w:color="auto" w:fill="FFFFFF"/>
    </w:rPr>
  </w:style>
  <w:style w:type="paragraph" w:customStyle="1" w:styleId="CharCharCharCharChar11">
    <w:name w:val="Char Char Char Знак Знак Char Char Знак Знак1"/>
    <w:basedOn w:val="Normal"/>
    <w:rsid w:val="00060470"/>
    <w:pPr>
      <w:suppressAutoHyphens/>
      <w:spacing w:before="0" w:after="160" w:line="240" w:lineRule="exact"/>
      <w:ind w:firstLine="0"/>
      <w:contextualSpacing w:val="0"/>
      <w:jc w:val="left"/>
    </w:pPr>
    <w:rPr>
      <w:rFonts w:ascii="Arial" w:hAnsi="Arial" w:cs="Arial"/>
      <w:kern w:val="1"/>
      <w:sz w:val="20"/>
      <w:szCs w:val="20"/>
      <w:lang w:val="en-US" w:eastAsia="en-US"/>
    </w:rPr>
  </w:style>
  <w:style w:type="paragraph" w:customStyle="1" w:styleId="FrameContents">
    <w:name w:val="Frame Contents"/>
    <w:basedOn w:val="Normal"/>
    <w:rsid w:val="00060470"/>
    <w:pPr>
      <w:suppressAutoHyphens/>
      <w:spacing w:before="0" w:after="200" w:line="276" w:lineRule="auto"/>
      <w:ind w:firstLine="0"/>
      <w:contextualSpacing w:val="0"/>
      <w:jc w:val="left"/>
    </w:pPr>
    <w:rPr>
      <w:rFonts w:ascii="Calibri" w:hAnsi="Calibri" w:cs="Calibri"/>
      <w:kern w:val="1"/>
      <w:szCs w:val="22"/>
      <w:lang w:val="en-US" w:eastAsia="en-US"/>
    </w:rPr>
  </w:style>
  <w:style w:type="paragraph" w:customStyle="1" w:styleId="NoSpacing2">
    <w:name w:val="No Spacing2"/>
    <w:rsid w:val="00060470"/>
    <w:rPr>
      <w:rFonts w:ascii="Arial Armenian" w:hAnsi="Arial Armenian" w:cs="Arial Armenian"/>
      <w:sz w:val="24"/>
      <w:szCs w:val="24"/>
      <w:lang w:val="ru-RU"/>
    </w:rPr>
  </w:style>
  <w:style w:type="character" w:customStyle="1" w:styleId="user-name">
    <w:name w:val="user-name"/>
    <w:rsid w:val="00060470"/>
    <w:rPr>
      <w:rFonts w:cs="Times New Roman"/>
    </w:rPr>
  </w:style>
  <w:style w:type="character" w:customStyle="1" w:styleId="Heading2Char2">
    <w:name w:val="Heading 2 Char2"/>
    <w:aliases w:val="Paranum Char2,(Chapter) Char2,(Chapter) Char Char"/>
    <w:locked/>
    <w:rsid w:val="00060470"/>
    <w:rPr>
      <w:rFonts w:ascii="Cambria" w:hAnsi="Cambria" w:cs="Times New Roman"/>
      <w:b/>
      <w:color w:val="4F81BD"/>
      <w:sz w:val="26"/>
    </w:rPr>
  </w:style>
  <w:style w:type="character" w:customStyle="1" w:styleId="BodyTextChar3">
    <w:name w:val="Body Text Char3"/>
    <w:aliases w:val="(Main Text) Char3,date Char3,Body Text (Main text) Char3,Body Text (Main text) Char Char"/>
    <w:semiHidden/>
    <w:locked/>
    <w:rsid w:val="00060470"/>
    <w:rPr>
      <w:rFonts w:ascii="Times New Roman" w:hAnsi="Times New Roman" w:cs="Times New Roman"/>
      <w:sz w:val="24"/>
      <w:szCs w:val="24"/>
    </w:rPr>
  </w:style>
  <w:style w:type="character" w:customStyle="1" w:styleId="BodyTextChar2">
    <w:name w:val="Body Text Char2"/>
    <w:aliases w:val="(Main Text) Char2,date Char2,Body Text (Main text) Char2"/>
    <w:locked/>
    <w:rsid w:val="00060470"/>
    <w:rPr>
      <w:rFonts w:ascii="Times New Roman" w:hAnsi="Times New Roman" w:cs="Times New Roman"/>
      <w:sz w:val="24"/>
    </w:rPr>
  </w:style>
  <w:style w:type="character" w:customStyle="1" w:styleId="fsl">
    <w:name w:val="fsl"/>
    <w:rsid w:val="00060470"/>
  </w:style>
  <w:style w:type="paragraph" w:styleId="IntenseQuote">
    <w:name w:val="Intense Quote"/>
    <w:basedOn w:val="Normal"/>
    <w:next w:val="Normal"/>
    <w:link w:val="IntenseQuoteChar"/>
    <w:uiPriority w:val="99"/>
    <w:qFormat/>
    <w:rsid w:val="00060470"/>
    <w:pPr>
      <w:pBdr>
        <w:bottom w:val="single" w:sz="4" w:space="4" w:color="4F81BD"/>
      </w:pBdr>
      <w:spacing w:before="200" w:after="280" w:line="240" w:lineRule="auto"/>
      <w:ind w:left="936" w:right="936" w:firstLine="0"/>
      <w:contextualSpacing w:val="0"/>
      <w:jc w:val="left"/>
    </w:pPr>
    <w:rPr>
      <w:rFonts w:ascii="Times New Roman" w:hAnsi="Times New Roman"/>
      <w:b w:val="0"/>
      <w:bCs/>
      <w:i/>
      <w:iCs/>
      <w:color w:val="4F81BD"/>
      <w:sz w:val="24"/>
    </w:rPr>
  </w:style>
  <w:style w:type="character" w:customStyle="1" w:styleId="IntenseQuoteChar">
    <w:name w:val="Intense Quote Char"/>
    <w:basedOn w:val="DefaultParagraphFont"/>
    <w:link w:val="IntenseQuote"/>
    <w:uiPriority w:val="99"/>
    <w:rsid w:val="00060470"/>
    <w:rPr>
      <w:b/>
      <w:bCs/>
      <w:i/>
      <w:iCs/>
      <w:color w:val="4F81BD"/>
      <w:sz w:val="24"/>
      <w:szCs w:val="24"/>
    </w:rPr>
  </w:style>
  <w:style w:type="character" w:styleId="SubtleEmphasis">
    <w:name w:val="Subtle Emphasis"/>
    <w:qFormat/>
    <w:rsid w:val="00060470"/>
    <w:rPr>
      <w:rFonts w:cs="Times New Roman"/>
      <w:i/>
      <w:iCs/>
      <w:color w:val="808080"/>
    </w:rPr>
  </w:style>
  <w:style w:type="character" w:styleId="SubtleReference">
    <w:name w:val="Subtle Reference"/>
    <w:qFormat/>
    <w:rsid w:val="00060470"/>
    <w:rPr>
      <w:rFonts w:cs="Times New Roman"/>
      <w:smallCaps/>
      <w:color w:val="C0504D"/>
      <w:u w:val="single"/>
    </w:rPr>
  </w:style>
  <w:style w:type="character" w:styleId="IntenseReference">
    <w:name w:val="Intense Reference"/>
    <w:qFormat/>
    <w:rsid w:val="00060470"/>
    <w:rPr>
      <w:rFonts w:cs="Times New Roman"/>
      <w:b/>
      <w:bCs/>
      <w:smallCaps/>
      <w:color w:val="C0504D"/>
      <w:spacing w:val="5"/>
      <w:u w:val="single"/>
    </w:rPr>
  </w:style>
  <w:style w:type="character" w:styleId="BookTitle">
    <w:name w:val="Book Title"/>
    <w:qFormat/>
    <w:rsid w:val="00060470"/>
    <w:rPr>
      <w:rFonts w:cs="Times New Roman"/>
      <w:b/>
      <w:bCs/>
      <w:smallCaps/>
      <w:spacing w:val="5"/>
    </w:rPr>
  </w:style>
  <w:style w:type="paragraph" w:customStyle="1" w:styleId="ColorfulList-Accent11">
    <w:name w:val="Colorful List - Accent 11"/>
    <w:basedOn w:val="Normal"/>
    <w:qFormat/>
    <w:rsid w:val="00060470"/>
    <w:pPr>
      <w:spacing w:before="0" w:after="200" w:line="276" w:lineRule="auto"/>
      <w:ind w:left="720" w:firstLine="0"/>
      <w:jc w:val="left"/>
    </w:pPr>
    <w:rPr>
      <w:rFonts w:ascii="Calibri" w:eastAsia="Calibri" w:hAnsi="Calibri"/>
      <w:szCs w:val="22"/>
      <w:lang w:eastAsia="en-US"/>
    </w:rPr>
  </w:style>
  <w:style w:type="character" w:customStyle="1" w:styleId="spellingerror">
    <w:name w:val="spellingerror"/>
    <w:rsid w:val="00060470"/>
  </w:style>
  <w:style w:type="character" w:customStyle="1" w:styleId="CharChar31">
    <w:name w:val="Char Char31"/>
    <w:locked/>
    <w:rsid w:val="00060470"/>
    <w:rPr>
      <w:sz w:val="22"/>
      <w:lang w:val="en-GB" w:eastAsia="en-US"/>
    </w:rPr>
  </w:style>
  <w:style w:type="character" w:customStyle="1" w:styleId="red-block">
    <w:name w:val="red-block"/>
    <w:rsid w:val="00060470"/>
    <w:rPr>
      <w:rFonts w:cs="Times New Roman"/>
    </w:rPr>
  </w:style>
  <w:style w:type="character" w:customStyle="1" w:styleId="accent">
    <w:name w:val="accent"/>
    <w:rsid w:val="00060470"/>
    <w:rPr>
      <w:rFonts w:cs="Times New Roman"/>
    </w:rPr>
  </w:style>
  <w:style w:type="character" w:customStyle="1" w:styleId="FontStyle37">
    <w:name w:val="Font Style37"/>
    <w:rsid w:val="00060470"/>
    <w:rPr>
      <w:rFonts w:ascii="Sylfaen" w:hAnsi="Sylfaen"/>
      <w:sz w:val="22"/>
    </w:rPr>
  </w:style>
  <w:style w:type="numbering" w:customStyle="1" w:styleId="NoList4">
    <w:name w:val="No List4"/>
    <w:next w:val="NoList"/>
    <w:semiHidden/>
    <w:rsid w:val="00060470"/>
  </w:style>
  <w:style w:type="paragraph" w:customStyle="1" w:styleId="StyleHeading3Sub-ChapterCenteredtextHeading3CharCharC1">
    <w:name w:val="Style Heading 3(Sub-Chapter)Centered(text)Heading 3 Char Char C...1"/>
    <w:basedOn w:val="Heading3"/>
    <w:rsid w:val="00060470"/>
    <w:pPr>
      <w:widowControl w:val="0"/>
      <w:tabs>
        <w:tab w:val="left" w:pos="624"/>
      </w:tabs>
      <w:spacing w:before="120"/>
      <w:ind w:right="301"/>
      <w:contextualSpacing w:val="0"/>
    </w:pPr>
    <w:rPr>
      <w:rFonts w:cs="Times New Roman"/>
      <w:color w:val="000000"/>
      <w:szCs w:val="22"/>
      <w:u w:val="single"/>
      <w:lang w:val="es-ES"/>
    </w:rPr>
  </w:style>
  <w:style w:type="paragraph" w:customStyle="1" w:styleId="1MTEF">
    <w:name w:val="1. MTEF"/>
    <w:basedOn w:val="StyleStyleHeading1SectionSectionHeadingText11Chapterhead31"/>
    <w:rsid w:val="00060470"/>
    <w:rPr>
      <w:b/>
      <w:bCs/>
    </w:rPr>
  </w:style>
  <w:style w:type="character" w:customStyle="1" w:styleId="CharChar35">
    <w:name w:val="Char Char35"/>
    <w:rsid w:val="00060470"/>
    <w:rPr>
      <w:rFonts w:ascii="Arial Armenian" w:hAnsi="Arial Armenian"/>
      <w:i/>
      <w:sz w:val="22"/>
      <w:u w:val="single"/>
      <w:lang w:val="en-GB"/>
    </w:rPr>
  </w:style>
  <w:style w:type="character" w:customStyle="1" w:styleId="CharChar34">
    <w:name w:val="Char Char34"/>
    <w:rsid w:val="00060470"/>
    <w:rPr>
      <w:rFonts w:ascii="Garamond" w:hAnsi="Garamond"/>
      <w:i/>
      <w:spacing w:val="-5"/>
      <w:sz w:val="28"/>
      <w:shd w:val="pct5" w:color="auto" w:fill="auto"/>
      <w:lang w:val="en-GB"/>
    </w:rPr>
  </w:style>
  <w:style w:type="character" w:customStyle="1" w:styleId="CharChar33">
    <w:name w:val="Char Char33"/>
    <w:rsid w:val="00060470"/>
    <w:rPr>
      <w:rFonts w:ascii="Arial Black" w:hAnsi="Arial Black"/>
      <w:caps/>
      <w:spacing w:val="60"/>
      <w:position w:val="4"/>
      <w:sz w:val="14"/>
      <w:lang w:val="en-GB"/>
    </w:rPr>
  </w:style>
  <w:style w:type="character" w:customStyle="1" w:styleId="CharChar32">
    <w:name w:val="Char Char32"/>
    <w:rsid w:val="00060470"/>
    <w:rPr>
      <w:rFonts w:ascii="Garamond" w:hAnsi="Garamond"/>
      <w:b/>
      <w:i/>
      <w:kern w:val="28"/>
      <w:lang w:val="en-GB"/>
    </w:rPr>
  </w:style>
  <w:style w:type="character" w:customStyle="1" w:styleId="CharChar30">
    <w:name w:val="Char Char30"/>
    <w:rsid w:val="00060470"/>
    <w:rPr>
      <w:rFonts w:ascii="Arial Armenian" w:hAnsi="Arial Armenian"/>
      <w:lang w:val="en-GB" w:eastAsia="en-US" w:bidi="ar-SA"/>
    </w:rPr>
  </w:style>
  <w:style w:type="character" w:customStyle="1" w:styleId="CharChar29">
    <w:name w:val="Char Char29"/>
    <w:rsid w:val="00060470"/>
    <w:rPr>
      <w:rFonts w:ascii="Arial Armenian" w:hAnsi="Arial Armenian"/>
      <w:lang w:val="ru-RU" w:eastAsia="ru-RU" w:bidi="ar-SA"/>
    </w:rPr>
  </w:style>
  <w:style w:type="paragraph" w:customStyle="1" w:styleId="CharChar5CharCharCharCharCharChar">
    <w:name w:val="Char Char5 Char Char Char Char Char Char"/>
    <w:basedOn w:val="Normal"/>
    <w:rsid w:val="00060470"/>
    <w:pPr>
      <w:tabs>
        <w:tab w:val="left" w:pos="709"/>
      </w:tabs>
      <w:spacing w:before="0" w:line="240" w:lineRule="auto"/>
      <w:ind w:firstLine="0"/>
      <w:contextualSpacing w:val="0"/>
      <w:jc w:val="left"/>
    </w:pPr>
    <w:rPr>
      <w:rFonts w:ascii="Tahoma" w:hAnsi="Tahoma"/>
      <w:sz w:val="24"/>
      <w:lang w:val="pl-PL" w:eastAsia="pl-PL"/>
    </w:rPr>
  </w:style>
  <w:style w:type="paragraph" w:customStyle="1" w:styleId="CharChar5CharCharCharChar">
    <w:name w:val="Char Char5 Char Char Char Char"/>
    <w:basedOn w:val="Normal"/>
    <w:rsid w:val="00060470"/>
    <w:pPr>
      <w:tabs>
        <w:tab w:val="left" w:pos="709"/>
      </w:tabs>
      <w:spacing w:before="0" w:line="240" w:lineRule="auto"/>
      <w:ind w:firstLine="0"/>
      <w:contextualSpacing w:val="0"/>
      <w:jc w:val="left"/>
    </w:pPr>
    <w:rPr>
      <w:rFonts w:ascii="Tahoma" w:hAnsi="Tahoma"/>
      <w:sz w:val="24"/>
      <w:lang w:val="pl-PL" w:eastAsia="pl-PL"/>
    </w:rPr>
  </w:style>
  <w:style w:type="table" w:styleId="Table3Deffects3">
    <w:name w:val="Table 3D effects 3"/>
    <w:basedOn w:val="TableNormal"/>
    <w:rsid w:val="000604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5CharChar">
    <w:name w:val="Char Char5 Char Char"/>
    <w:basedOn w:val="Normal"/>
    <w:rsid w:val="00060470"/>
    <w:pPr>
      <w:tabs>
        <w:tab w:val="left" w:pos="709"/>
      </w:tabs>
      <w:spacing w:before="0" w:line="240" w:lineRule="auto"/>
      <w:ind w:firstLine="0"/>
      <w:contextualSpacing w:val="0"/>
      <w:jc w:val="left"/>
    </w:pPr>
    <w:rPr>
      <w:rFonts w:ascii="Tahoma" w:hAnsi="Tahoma"/>
      <w:sz w:val="24"/>
      <w:lang w:val="pl-PL" w:eastAsia="pl-PL"/>
    </w:rPr>
  </w:style>
  <w:style w:type="character" w:customStyle="1" w:styleId="tocnumber">
    <w:name w:val="tocnumber"/>
    <w:rsid w:val="00060470"/>
  </w:style>
  <w:style w:type="character" w:customStyle="1" w:styleId="toctext">
    <w:name w:val="toctext"/>
    <w:rsid w:val="00060470"/>
  </w:style>
  <w:style w:type="character" w:customStyle="1" w:styleId="mw-editsection">
    <w:name w:val="mw-editsection"/>
    <w:rsid w:val="00060470"/>
  </w:style>
  <w:style w:type="character" w:customStyle="1" w:styleId="mw-editsection-bracket">
    <w:name w:val="mw-editsection-bracket"/>
    <w:rsid w:val="00060470"/>
  </w:style>
  <w:style w:type="character" w:customStyle="1" w:styleId="mw-editsection-divider">
    <w:name w:val="mw-editsection-divider"/>
    <w:rsid w:val="00060470"/>
  </w:style>
  <w:style w:type="character" w:customStyle="1" w:styleId="reference-text">
    <w:name w:val="reference-text"/>
    <w:rsid w:val="00060470"/>
  </w:style>
  <w:style w:type="paragraph" w:styleId="z-TopofForm">
    <w:name w:val="HTML Top of Form"/>
    <w:basedOn w:val="Normal"/>
    <w:next w:val="Normal"/>
    <w:link w:val="z-TopofFormChar"/>
    <w:hidden/>
    <w:uiPriority w:val="99"/>
    <w:unhideWhenUsed/>
    <w:rsid w:val="00060470"/>
    <w:pPr>
      <w:pBdr>
        <w:bottom w:val="single" w:sz="6" w:space="1" w:color="auto"/>
      </w:pBdr>
      <w:spacing w:before="0" w:line="240" w:lineRule="auto"/>
      <w:ind w:firstLine="0"/>
      <w:contextualSpacing w:val="0"/>
      <w:jc w:val="center"/>
    </w:pPr>
    <w:rPr>
      <w:rFonts w:ascii="Arial" w:hAnsi="Arial"/>
      <w:vanish/>
      <w:sz w:val="16"/>
      <w:szCs w:val="16"/>
    </w:rPr>
  </w:style>
  <w:style w:type="character" w:customStyle="1" w:styleId="z-TopofFormChar">
    <w:name w:val="z-Top of Form Char"/>
    <w:basedOn w:val="DefaultParagraphFont"/>
    <w:link w:val="z-TopofForm"/>
    <w:uiPriority w:val="99"/>
    <w:rsid w:val="00060470"/>
    <w:rPr>
      <w:rFonts w:ascii="Arial" w:hAnsi="Arial"/>
      <w:vanish/>
      <w:sz w:val="16"/>
      <w:szCs w:val="16"/>
    </w:rPr>
  </w:style>
  <w:style w:type="paragraph" w:styleId="z-BottomofForm">
    <w:name w:val="HTML Bottom of Form"/>
    <w:basedOn w:val="Normal"/>
    <w:next w:val="Normal"/>
    <w:link w:val="z-BottomofFormChar"/>
    <w:hidden/>
    <w:uiPriority w:val="99"/>
    <w:unhideWhenUsed/>
    <w:rsid w:val="00060470"/>
    <w:pPr>
      <w:pBdr>
        <w:top w:val="single" w:sz="6" w:space="1" w:color="auto"/>
      </w:pBdr>
      <w:spacing w:before="0" w:line="240" w:lineRule="auto"/>
      <w:ind w:firstLine="0"/>
      <w:contextualSpacing w:val="0"/>
      <w:jc w:val="center"/>
    </w:pPr>
    <w:rPr>
      <w:rFonts w:ascii="Arial" w:hAnsi="Arial"/>
      <w:vanish/>
      <w:sz w:val="16"/>
      <w:szCs w:val="16"/>
    </w:rPr>
  </w:style>
  <w:style w:type="character" w:customStyle="1" w:styleId="z-BottomofFormChar">
    <w:name w:val="z-Bottom of Form Char"/>
    <w:basedOn w:val="DefaultParagraphFont"/>
    <w:link w:val="z-BottomofForm"/>
    <w:uiPriority w:val="99"/>
    <w:rsid w:val="00060470"/>
    <w:rPr>
      <w:rFonts w:ascii="Arial" w:hAnsi="Arial"/>
      <w:vanish/>
      <w:sz w:val="16"/>
      <w:szCs w:val="16"/>
    </w:rPr>
  </w:style>
  <w:style w:type="character" w:customStyle="1" w:styleId="wb-langlinks-edit">
    <w:name w:val="wb-langlinks-edit"/>
    <w:rsid w:val="00060470"/>
  </w:style>
  <w:style w:type="character" w:customStyle="1" w:styleId="noprint">
    <w:name w:val="noprint"/>
    <w:rsid w:val="00060470"/>
  </w:style>
  <w:style w:type="character" w:customStyle="1" w:styleId="pg">
    <w:name w:val="pg"/>
    <w:rsid w:val="00060470"/>
  </w:style>
  <w:style w:type="paragraph" w:customStyle="1" w:styleId="DecimalAligned">
    <w:name w:val="Decimal Aligned"/>
    <w:basedOn w:val="Normal"/>
    <w:uiPriority w:val="40"/>
    <w:qFormat/>
    <w:rsid w:val="00060470"/>
    <w:pPr>
      <w:tabs>
        <w:tab w:val="decimal" w:pos="360"/>
      </w:tabs>
      <w:spacing w:before="0" w:after="200" w:line="276" w:lineRule="auto"/>
      <w:ind w:firstLine="0"/>
      <w:contextualSpacing w:val="0"/>
      <w:jc w:val="left"/>
    </w:pPr>
    <w:rPr>
      <w:rFonts w:ascii="Calibri" w:eastAsia="Calibri" w:hAnsi="Calibri"/>
      <w:szCs w:val="22"/>
      <w:lang w:val="en-US" w:eastAsia="ja-JP"/>
    </w:rPr>
  </w:style>
  <w:style w:type="paragraph" w:styleId="HTMLPreformatted">
    <w:name w:val="HTML Preformatted"/>
    <w:basedOn w:val="Normal"/>
    <w:link w:val="HTMLPreformattedChar"/>
    <w:uiPriority w:val="99"/>
    <w:unhideWhenUsed/>
    <w:rsid w:val="00060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contextualSpacing w:val="0"/>
      <w:jc w:val="left"/>
    </w:pPr>
    <w:rPr>
      <w:rFonts w:ascii="Arial Unicode" w:hAnsi="Arial Unicode"/>
      <w:sz w:val="20"/>
      <w:szCs w:val="20"/>
    </w:rPr>
  </w:style>
  <w:style w:type="character" w:customStyle="1" w:styleId="HTMLPreformattedChar">
    <w:name w:val="HTML Preformatted Char"/>
    <w:basedOn w:val="DefaultParagraphFont"/>
    <w:link w:val="HTMLPreformatted"/>
    <w:uiPriority w:val="99"/>
    <w:rsid w:val="00060470"/>
    <w:rPr>
      <w:rFonts w:ascii="Arial Unicode" w:hAnsi="Arial Unicode"/>
    </w:rPr>
  </w:style>
  <w:style w:type="paragraph" w:customStyle="1" w:styleId="StyleCaption11pt">
    <w:name w:val="Style Caption + 11 pt"/>
    <w:basedOn w:val="Caption"/>
    <w:link w:val="StyleCaption11ptChar"/>
    <w:rsid w:val="00060470"/>
    <w:pPr>
      <w:spacing w:before="360" w:after="120" w:line="240" w:lineRule="auto"/>
      <w:ind w:left="1350" w:hanging="1350"/>
      <w:contextualSpacing w:val="0"/>
      <w:jc w:val="left"/>
    </w:pPr>
    <w:rPr>
      <w:color w:val="auto"/>
      <w:sz w:val="20"/>
      <w:szCs w:val="20"/>
    </w:rPr>
  </w:style>
  <w:style w:type="character" w:customStyle="1" w:styleId="StyleCaption11ptChar">
    <w:name w:val="Style Caption + 11 pt Char"/>
    <w:link w:val="StyleCaption11pt"/>
    <w:rsid w:val="00060470"/>
    <w:rPr>
      <w:rFonts w:ascii="GHEA Grapalat" w:hAnsi="GHEA Grapalat"/>
      <w:b/>
      <w:bCs/>
      <w:lang w:eastAsia="ru-RU"/>
    </w:rPr>
  </w:style>
  <w:style w:type="paragraph" w:customStyle="1" w:styleId="StyleHeading3GHEAGrapalatJustified">
    <w:name w:val="Style Heading 3 + GHEA Grapalat Justified"/>
    <w:basedOn w:val="Heading3"/>
    <w:rsid w:val="00060470"/>
    <w:pPr>
      <w:tabs>
        <w:tab w:val="num" w:pos="384"/>
        <w:tab w:val="num" w:pos="737"/>
      </w:tabs>
      <w:spacing w:after="240"/>
      <w:ind w:left="1248" w:hanging="708"/>
      <w:contextualSpacing w:val="0"/>
    </w:pPr>
    <w:rPr>
      <w:rFonts w:cs="Times New Roman"/>
      <w:szCs w:val="22"/>
      <w:lang w:eastAsia="ru-RU"/>
    </w:rPr>
  </w:style>
  <w:style w:type="paragraph" w:customStyle="1" w:styleId="TitleNew">
    <w:name w:val="Title New"/>
    <w:basedOn w:val="Normal"/>
    <w:rsid w:val="00060470"/>
    <w:pPr>
      <w:widowControl w:val="0"/>
      <w:spacing w:before="0" w:line="360" w:lineRule="atLeast"/>
      <w:ind w:firstLine="0"/>
      <w:contextualSpacing w:val="0"/>
    </w:pPr>
    <w:rPr>
      <w:rFonts w:ascii="Times New Roman" w:eastAsia="ヒラギノ角ゴ Pro W3" w:hAnsi="Times New Roman"/>
      <w:b w:val="0"/>
      <w:color w:val="000000"/>
      <w:sz w:val="44"/>
      <w:lang w:val="en-US" w:eastAsia="en-US"/>
    </w:rPr>
  </w:style>
  <w:style w:type="paragraph" w:customStyle="1" w:styleId="36">
    <w:name w:val="Абзац списка3"/>
    <w:basedOn w:val="Normal"/>
    <w:uiPriority w:val="99"/>
    <w:qFormat/>
    <w:rsid w:val="00060470"/>
    <w:pPr>
      <w:spacing w:before="0" w:line="240" w:lineRule="auto"/>
      <w:ind w:left="720" w:firstLine="0"/>
      <w:jc w:val="left"/>
    </w:pPr>
    <w:rPr>
      <w:rFonts w:ascii="Times New Roman" w:hAnsi="Times New Roman"/>
      <w:sz w:val="24"/>
    </w:rPr>
  </w:style>
  <w:style w:type="character" w:customStyle="1" w:styleId="af2">
    <w:name w:val="Основной текст"/>
    <w:rsid w:val="00060470"/>
    <w:rPr>
      <w:rFonts w:ascii="Arial Unicode MS" w:eastAsia="Arial Unicode MS" w:hAnsi="Arial Unicode MS" w:cs="Arial Unicode MS"/>
      <w:b w:val="0"/>
      <w:bCs w:val="0"/>
      <w:i w:val="0"/>
      <w:iCs w:val="0"/>
      <w:smallCaps w:val="0"/>
      <w:strike w:val="0"/>
      <w:color w:val="000000"/>
      <w:spacing w:val="0"/>
      <w:w w:val="100"/>
      <w:position w:val="0"/>
      <w:sz w:val="30"/>
      <w:szCs w:val="30"/>
      <w:u w:val="none"/>
      <w:lang w:val="hy-AM"/>
    </w:rPr>
  </w:style>
  <w:style w:type="paragraph" w:customStyle="1" w:styleId="NormalGHEAGrapalat">
    <w:name w:val="Normal + GHEA Grapalat"/>
    <w:aliases w:val="11 pt,Bold,Italic"/>
    <w:basedOn w:val="Normal"/>
    <w:rsid w:val="00060470"/>
    <w:pPr>
      <w:autoSpaceDE w:val="0"/>
      <w:autoSpaceDN w:val="0"/>
      <w:adjustRightInd w:val="0"/>
      <w:spacing w:before="0" w:line="240" w:lineRule="auto"/>
      <w:ind w:firstLine="180"/>
      <w:contextualSpacing w:val="0"/>
    </w:pPr>
    <w:rPr>
      <w:b w:val="0"/>
      <w:i/>
      <w:szCs w:val="22"/>
      <w:lang w:val="hy-AM"/>
    </w:rPr>
  </w:style>
  <w:style w:type="character" w:customStyle="1" w:styleId="CommentTextChar2">
    <w:name w:val="Comment Text Char2"/>
    <w:rsid w:val="00060470"/>
    <w:rPr>
      <w:rFonts w:ascii="Arial Armenian" w:hAnsi="Arial Armenian"/>
      <w:lang w:val="ru-RU" w:eastAsia="ru-RU" w:bidi="ar-SA"/>
    </w:rPr>
  </w:style>
  <w:style w:type="character" w:customStyle="1" w:styleId="BalloonTextChar2">
    <w:name w:val="Balloon Text Char2"/>
    <w:rsid w:val="00060470"/>
    <w:rPr>
      <w:rFonts w:ascii="Tahoma" w:hAnsi="Tahoma"/>
      <w:sz w:val="16"/>
      <w:szCs w:val="16"/>
      <w:lang w:bidi="ar-SA"/>
    </w:rPr>
  </w:style>
  <w:style w:type="character" w:customStyle="1" w:styleId="Bodytext20">
    <w:name w:val="Body text (2)_"/>
    <w:link w:val="Bodytext21"/>
    <w:uiPriority w:val="99"/>
    <w:locked/>
    <w:rsid w:val="00060470"/>
    <w:rPr>
      <w:rFonts w:ascii="Tahoma" w:hAnsi="Tahoma" w:cs="Tahoma"/>
      <w:sz w:val="21"/>
      <w:szCs w:val="21"/>
      <w:shd w:val="clear" w:color="auto" w:fill="FFFFFF"/>
    </w:rPr>
  </w:style>
  <w:style w:type="paragraph" w:customStyle="1" w:styleId="Bodytext21">
    <w:name w:val="Body text (2)"/>
    <w:basedOn w:val="Normal"/>
    <w:link w:val="Bodytext20"/>
    <w:uiPriority w:val="99"/>
    <w:rsid w:val="00060470"/>
    <w:pPr>
      <w:widowControl w:val="0"/>
      <w:shd w:val="clear" w:color="auto" w:fill="FFFFFF"/>
      <w:spacing w:before="720" w:line="485" w:lineRule="exact"/>
      <w:ind w:firstLine="0"/>
      <w:contextualSpacing w:val="0"/>
    </w:pPr>
    <w:rPr>
      <w:rFonts w:ascii="Tahoma" w:hAnsi="Tahoma" w:cs="Tahoma"/>
      <w:sz w:val="21"/>
      <w:szCs w:val="21"/>
      <w:lang w:val="en-US" w:eastAsia="en-US"/>
    </w:rPr>
  </w:style>
  <w:style w:type="paragraph" w:customStyle="1" w:styleId="Appendix">
    <w:name w:val="Appendix"/>
    <w:basedOn w:val="Normal"/>
    <w:next w:val="Normal"/>
    <w:uiPriority w:val="6"/>
    <w:qFormat/>
    <w:rsid w:val="00060470"/>
    <w:pPr>
      <w:spacing w:before="0" w:after="240" w:line="264" w:lineRule="auto"/>
      <w:ind w:firstLine="0"/>
      <w:contextualSpacing w:val="0"/>
      <w:jc w:val="center"/>
    </w:pPr>
    <w:rPr>
      <w:rFonts w:ascii="Segoe UI" w:eastAsia="SimSun" w:hAnsi="Segoe UI"/>
      <w:b w:val="0"/>
      <w:color w:val="C45911"/>
      <w:sz w:val="32"/>
      <w:szCs w:val="20"/>
      <w:lang w:val="en-US" w:eastAsia="en-US"/>
    </w:rPr>
  </w:style>
  <w:style w:type="paragraph" w:customStyle="1" w:styleId="dec-date">
    <w:name w:val="dec-date"/>
    <w:basedOn w:val="Normal"/>
    <w:uiPriority w:val="99"/>
    <w:rsid w:val="00060470"/>
    <w:pPr>
      <w:spacing w:before="100" w:beforeAutospacing="1" w:after="100" w:afterAutospacing="1" w:line="240" w:lineRule="auto"/>
      <w:ind w:firstLine="0"/>
      <w:contextualSpacing w:val="0"/>
      <w:jc w:val="left"/>
    </w:pPr>
    <w:rPr>
      <w:rFonts w:ascii="Times New Roman" w:hAnsi="Times New Roman"/>
      <w:sz w:val="24"/>
      <w:lang w:val="en-US" w:eastAsia="en-US"/>
    </w:rPr>
  </w:style>
  <w:style w:type="paragraph" w:customStyle="1" w:styleId="37">
    <w:name w:val="Обычный3"/>
    <w:rsid w:val="00060470"/>
    <w:pPr>
      <w:autoSpaceDE w:val="0"/>
      <w:autoSpaceDN w:val="0"/>
    </w:pPr>
    <w:rPr>
      <w:lang w:val="ru-RU" w:eastAsia="ru-RU"/>
    </w:rPr>
  </w:style>
  <w:style w:type="paragraph" w:customStyle="1" w:styleId="1f0">
    <w:name w:val="Заголовок оглавления1"/>
    <w:basedOn w:val="Heading1"/>
    <w:next w:val="Normal"/>
    <w:uiPriority w:val="39"/>
    <w:unhideWhenUsed/>
    <w:qFormat/>
    <w:rsid w:val="00060470"/>
    <w:pPr>
      <w:keepLines/>
      <w:spacing w:before="480" w:after="0" w:line="276" w:lineRule="auto"/>
      <w:contextualSpacing w:val="0"/>
      <w:jc w:val="left"/>
      <w:outlineLvl w:val="9"/>
    </w:pPr>
    <w:rPr>
      <w:rFonts w:ascii="Cambria" w:hAnsi="Cambria"/>
      <w:bCs/>
      <w:color w:val="365F91"/>
      <w:szCs w:val="28"/>
      <w:lang w:eastAsia="en-US"/>
    </w:rPr>
  </w:style>
  <w:style w:type="paragraph" w:customStyle="1" w:styleId="213">
    <w:name w:val="Цитата 21"/>
    <w:basedOn w:val="Normal"/>
    <w:next w:val="Normal"/>
    <w:uiPriority w:val="29"/>
    <w:qFormat/>
    <w:rsid w:val="00060470"/>
    <w:pPr>
      <w:spacing w:before="0" w:line="240" w:lineRule="auto"/>
      <w:ind w:firstLine="0"/>
      <w:contextualSpacing w:val="0"/>
      <w:jc w:val="left"/>
    </w:pPr>
    <w:rPr>
      <w:rFonts w:ascii="Times New Roman" w:hAnsi="Times New Roman"/>
      <w:i/>
      <w:iCs/>
      <w:color w:val="000000"/>
      <w:sz w:val="24"/>
    </w:rPr>
  </w:style>
  <w:style w:type="character" w:customStyle="1" w:styleId="1f1">
    <w:name w:val="Сильное выделение1"/>
    <w:uiPriority w:val="21"/>
    <w:qFormat/>
    <w:rsid w:val="00060470"/>
    <w:rPr>
      <w:b/>
      <w:bCs/>
      <w:i/>
      <w:iCs/>
      <w:color w:val="4F81BD"/>
    </w:rPr>
  </w:style>
  <w:style w:type="numbering" w:customStyle="1" w:styleId="112">
    <w:name w:val="Нет списка11"/>
    <w:next w:val="NoList"/>
    <w:semiHidden/>
    <w:unhideWhenUsed/>
    <w:rsid w:val="00060470"/>
  </w:style>
  <w:style w:type="paragraph" w:customStyle="1" w:styleId="1f2">
    <w:name w:val="Выделенная цитата1"/>
    <w:basedOn w:val="Normal"/>
    <w:next w:val="Normal"/>
    <w:qFormat/>
    <w:rsid w:val="00060470"/>
    <w:pPr>
      <w:pBdr>
        <w:bottom w:val="single" w:sz="4" w:space="4" w:color="4F81BD"/>
      </w:pBdr>
      <w:spacing w:before="200" w:after="280" w:line="240" w:lineRule="auto"/>
      <w:ind w:left="936" w:right="936" w:firstLine="0"/>
      <w:contextualSpacing w:val="0"/>
      <w:jc w:val="left"/>
    </w:pPr>
    <w:rPr>
      <w:rFonts w:ascii="Times New Roman" w:hAnsi="Times New Roman"/>
      <w:b w:val="0"/>
      <w:bCs/>
      <w:i/>
      <w:iCs/>
      <w:color w:val="4F81BD"/>
      <w:sz w:val="24"/>
    </w:rPr>
  </w:style>
  <w:style w:type="character" w:customStyle="1" w:styleId="1f3">
    <w:name w:val="Слабое выделение1"/>
    <w:qFormat/>
    <w:rsid w:val="00060470"/>
    <w:rPr>
      <w:rFonts w:cs="Times New Roman"/>
      <w:i/>
      <w:iCs/>
      <w:color w:val="808080"/>
    </w:rPr>
  </w:style>
  <w:style w:type="character" w:customStyle="1" w:styleId="1f4">
    <w:name w:val="Слабая ссылка1"/>
    <w:qFormat/>
    <w:rsid w:val="00060470"/>
    <w:rPr>
      <w:rFonts w:cs="Times New Roman"/>
      <w:smallCaps/>
      <w:color w:val="C0504D"/>
      <w:u w:val="single"/>
    </w:rPr>
  </w:style>
  <w:style w:type="character" w:customStyle="1" w:styleId="1f5">
    <w:name w:val="Сильная ссылка1"/>
    <w:qFormat/>
    <w:rsid w:val="00060470"/>
    <w:rPr>
      <w:rFonts w:cs="Times New Roman"/>
      <w:b/>
      <w:bCs/>
      <w:smallCaps/>
      <w:color w:val="C0504D"/>
      <w:spacing w:val="5"/>
      <w:u w:val="single"/>
    </w:rPr>
  </w:style>
  <w:style w:type="character" w:customStyle="1" w:styleId="1f6">
    <w:name w:val="Название книги1"/>
    <w:qFormat/>
    <w:rsid w:val="00060470"/>
    <w:rPr>
      <w:rFonts w:cs="Times New Roman"/>
      <w:b/>
      <w:bCs/>
      <w:smallCaps/>
      <w:spacing w:val="5"/>
    </w:rPr>
  </w:style>
  <w:style w:type="character" w:customStyle="1" w:styleId="SubtitleChar2">
    <w:name w:val="Subtitle Char2"/>
    <w:rsid w:val="00060470"/>
    <w:rPr>
      <w:rFonts w:ascii="Times Armenian" w:hAnsi="Times Armenian"/>
      <w:b/>
      <w:sz w:val="28"/>
      <w:szCs w:val="24"/>
      <w:lang w:eastAsia="ru-RU"/>
    </w:rPr>
  </w:style>
  <w:style w:type="paragraph" w:customStyle="1" w:styleId="2a">
    <w:name w:val="Рецензия2"/>
    <w:hidden/>
    <w:semiHidden/>
    <w:rsid w:val="00060470"/>
    <w:rPr>
      <w:rFonts w:ascii="Arial Armenian" w:hAnsi="Arial Armenian"/>
      <w:sz w:val="22"/>
      <w:szCs w:val="22"/>
      <w:lang w:eastAsia="ru-RU"/>
    </w:rPr>
  </w:style>
  <w:style w:type="character" w:customStyle="1" w:styleId="TextChar">
    <w:name w:val="Text Char"/>
    <w:link w:val="Text"/>
    <w:uiPriority w:val="99"/>
    <w:locked/>
    <w:rsid w:val="00060470"/>
    <w:rPr>
      <w:rFonts w:ascii="GHEA Grapalat" w:hAnsi="GHEA Grapalat"/>
      <w:b/>
      <w:sz w:val="22"/>
      <w:lang w:val="en-GB"/>
    </w:rPr>
  </w:style>
  <w:style w:type="numbering" w:customStyle="1" w:styleId="NoList5">
    <w:name w:val="No List5"/>
    <w:next w:val="NoList"/>
    <w:uiPriority w:val="99"/>
    <w:semiHidden/>
    <w:unhideWhenUsed/>
    <w:rsid w:val="004D6E4C"/>
  </w:style>
  <w:style w:type="numbering" w:customStyle="1" w:styleId="NoList12">
    <w:name w:val="No List12"/>
    <w:next w:val="NoList"/>
    <w:semiHidden/>
    <w:rsid w:val="004D6E4C"/>
  </w:style>
  <w:style w:type="paragraph" w:customStyle="1" w:styleId="Bullet">
    <w:name w:val="Bullet"/>
    <w:aliases w:val="bl,Bullet L1,bl1"/>
    <w:basedOn w:val="Normal"/>
    <w:uiPriority w:val="99"/>
    <w:rsid w:val="004D6E4C"/>
    <w:pPr>
      <w:overflowPunct w:val="0"/>
      <w:autoSpaceDE w:val="0"/>
      <w:autoSpaceDN w:val="0"/>
      <w:adjustRightInd w:val="0"/>
      <w:spacing w:before="0" w:after="130" w:line="240" w:lineRule="auto"/>
      <w:ind w:left="283" w:hanging="283"/>
      <w:contextualSpacing w:val="0"/>
      <w:textAlignment w:val="baseline"/>
    </w:pPr>
    <w:rPr>
      <w:rFonts w:ascii="Times New Roman" w:hAnsi="Times New Roman"/>
      <w:szCs w:val="20"/>
      <w:lang w:val="en-GB" w:eastAsia="en-US"/>
    </w:rPr>
  </w:style>
  <w:style w:type="numbering" w:customStyle="1" w:styleId="NoList112">
    <w:name w:val="No List112"/>
    <w:next w:val="NoList"/>
    <w:semiHidden/>
    <w:rsid w:val="004D6E4C"/>
  </w:style>
  <w:style w:type="numbering" w:customStyle="1" w:styleId="NoList1111">
    <w:name w:val="No List1111"/>
    <w:next w:val="NoList"/>
    <w:semiHidden/>
    <w:rsid w:val="004D6E4C"/>
  </w:style>
  <w:style w:type="numbering" w:customStyle="1" w:styleId="NoList21">
    <w:name w:val="No List21"/>
    <w:next w:val="NoList"/>
    <w:semiHidden/>
    <w:rsid w:val="004D6E4C"/>
  </w:style>
  <w:style w:type="table" w:customStyle="1" w:styleId="TableGrid2">
    <w:name w:val="Table Grid2"/>
    <w:basedOn w:val="TableNormal"/>
    <w:next w:val="TableGrid"/>
    <w:rsid w:val="004D6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4D6E4C"/>
  </w:style>
  <w:style w:type="paragraph" w:customStyle="1" w:styleId="Char6">
    <w:name w:val="Char6"/>
    <w:basedOn w:val="Normal"/>
    <w:rsid w:val="008F52AF"/>
    <w:pPr>
      <w:spacing w:before="0" w:after="160" w:line="240" w:lineRule="exact"/>
      <w:ind w:firstLine="0"/>
      <w:contextualSpacing w:val="0"/>
      <w:jc w:val="left"/>
    </w:pPr>
    <w:rPr>
      <w:rFonts w:ascii="Arial" w:hAnsi="Arial" w:cs="Arial"/>
      <w:sz w:val="20"/>
      <w:szCs w:val="20"/>
      <w:lang w:val="en-US" w:eastAsia="en-US"/>
    </w:rPr>
  </w:style>
  <w:style w:type="paragraph" w:customStyle="1" w:styleId="1f7">
    <w:name w:val="1.Աղյուսակ Տեքստ"/>
    <w:basedOn w:val="Normal"/>
    <w:link w:val="1Char"/>
    <w:qFormat/>
    <w:rsid w:val="00681E45"/>
    <w:pPr>
      <w:spacing w:before="0" w:line="240" w:lineRule="auto"/>
      <w:ind w:firstLine="0"/>
      <w:jc w:val="center"/>
    </w:pPr>
    <w:rPr>
      <w:rFonts w:cs="Courier New"/>
      <w:b w:val="0"/>
      <w:color w:val="000000"/>
      <w:sz w:val="20"/>
      <w:szCs w:val="22"/>
      <w:lang w:val="en-US"/>
    </w:rPr>
  </w:style>
  <w:style w:type="character" w:customStyle="1" w:styleId="1Char">
    <w:name w:val="1.Աղյուսակ Տեքստ Char"/>
    <w:basedOn w:val="DefaultParagraphFont"/>
    <w:link w:val="1f7"/>
    <w:rsid w:val="00681E45"/>
    <w:rPr>
      <w:rFonts w:ascii="GHEA Grapalat" w:hAnsi="GHEA Grapalat" w:cs="Courier New"/>
      <w:color w:val="000000"/>
      <w:szCs w:val="22"/>
      <w:lang w:eastAsia="ru-RU"/>
    </w:rPr>
  </w:style>
  <w:style w:type="paragraph" w:customStyle="1" w:styleId="N">
    <w:name w:val="Աղյուսակ N"/>
    <w:basedOn w:val="BodyText2"/>
    <w:link w:val="NChar"/>
    <w:qFormat/>
    <w:rsid w:val="00FF291F"/>
  </w:style>
  <w:style w:type="character" w:customStyle="1" w:styleId="NChar">
    <w:name w:val="Աղյուսակ N Char"/>
    <w:basedOn w:val="BodyText2Char"/>
    <w:link w:val="N"/>
    <w:rsid w:val="00FF291F"/>
    <w:rPr>
      <w:rFonts w:ascii="GHEA Grapalat" w:eastAsia="Calibri" w:hAnsi="GHEA Grapalat"/>
      <w:sz w:val="22"/>
      <w:szCs w:val="24"/>
      <w:lang w:val="hy-AM" w:eastAsia="ru-RU"/>
    </w:rPr>
  </w:style>
  <w:style w:type="numbering" w:customStyle="1" w:styleId="NoList6">
    <w:name w:val="No List6"/>
    <w:next w:val="NoList"/>
    <w:uiPriority w:val="99"/>
    <w:semiHidden/>
    <w:unhideWhenUsed/>
    <w:rsid w:val="004163F2"/>
  </w:style>
  <w:style w:type="character" w:customStyle="1" w:styleId="BodyTextIndentChar1">
    <w:name w:val="Body Text Indent Char1"/>
    <w:aliases w:val="(Table Source) Char1,(Table Source) Char Char"/>
    <w:uiPriority w:val="99"/>
    <w:rsid w:val="004163F2"/>
    <w:rPr>
      <w:rFonts w:eastAsia="Batang"/>
      <w:sz w:val="24"/>
    </w:rPr>
  </w:style>
  <w:style w:type="numbering" w:customStyle="1" w:styleId="NoList7">
    <w:name w:val="No List7"/>
    <w:next w:val="NoList"/>
    <w:uiPriority w:val="99"/>
    <w:semiHidden/>
    <w:unhideWhenUsed/>
    <w:rsid w:val="003E71C9"/>
  </w:style>
  <w:style w:type="table" w:customStyle="1" w:styleId="TableGrid30">
    <w:name w:val="Table Grid3"/>
    <w:basedOn w:val="TableNormal"/>
    <w:next w:val="TableGrid"/>
    <w:rsid w:val="003E71C9"/>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semiHidden/>
    <w:unhideWhenUsed/>
    <w:rsid w:val="003E71C9"/>
  </w:style>
  <w:style w:type="numbering" w:customStyle="1" w:styleId="NoList113">
    <w:name w:val="No List113"/>
    <w:next w:val="NoList"/>
    <w:semiHidden/>
    <w:rsid w:val="003E71C9"/>
  </w:style>
  <w:style w:type="table" w:customStyle="1" w:styleId="TableGrid11">
    <w:name w:val="Table Grid11"/>
    <w:basedOn w:val="TableNormal"/>
    <w:next w:val="TableGrid"/>
    <w:rsid w:val="003E71C9"/>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3E71C9"/>
  </w:style>
  <w:style w:type="numbering" w:customStyle="1" w:styleId="NoList22">
    <w:name w:val="No List22"/>
    <w:next w:val="NoList"/>
    <w:semiHidden/>
    <w:rsid w:val="003E71C9"/>
  </w:style>
  <w:style w:type="numbering" w:customStyle="1" w:styleId="NoList32">
    <w:name w:val="No List32"/>
    <w:next w:val="NoList"/>
    <w:semiHidden/>
    <w:unhideWhenUsed/>
    <w:rsid w:val="003E71C9"/>
  </w:style>
  <w:style w:type="table" w:customStyle="1" w:styleId="TableList71">
    <w:name w:val="Table List 71"/>
    <w:basedOn w:val="TableNormal"/>
    <w:next w:val="TableList7"/>
    <w:rsid w:val="003E71C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1">
    <w:name w:val="Table Web 31"/>
    <w:basedOn w:val="TableNormal"/>
    <w:next w:val="TableWeb3"/>
    <w:rsid w:val="003E71C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3E71C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3E71C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1">
    <w:name w:val="Table Web 11"/>
    <w:basedOn w:val="TableNormal"/>
    <w:next w:val="TableWeb1"/>
    <w:rsid w:val="003E71C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3E71C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1">
    <w:name w:val="Table Contemporary1"/>
    <w:basedOn w:val="TableNormal"/>
    <w:next w:val="TableContemporary"/>
    <w:rsid w:val="003E71C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List-Accent12">
    <w:name w:val="Light List - Accent 12"/>
    <w:basedOn w:val="TableNormal"/>
    <w:next w:val="LightList-Accent1"/>
    <w:uiPriority w:val="61"/>
    <w:rsid w:val="003E71C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
    <w:name w:val="Table Grid 71"/>
    <w:basedOn w:val="TableNormal"/>
    <w:next w:val="TableGrid7"/>
    <w:rsid w:val="003E71C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2">
    <w:name w:val="Colorful Grid - Accent 12"/>
    <w:basedOn w:val="TableNormal"/>
    <w:next w:val="ColorfulGrid-Accent1"/>
    <w:uiPriority w:val="73"/>
    <w:rsid w:val="003E71C9"/>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2">
    <w:name w:val="Light List - Accent 52"/>
    <w:basedOn w:val="TableNormal"/>
    <w:next w:val="LightList-Accent5"/>
    <w:uiPriority w:val="61"/>
    <w:rsid w:val="003E71C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1">
    <w:name w:val="Table Simple 31"/>
    <w:basedOn w:val="TableNormal"/>
    <w:next w:val="TableSimple3"/>
    <w:rsid w:val="003E71C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1">
    <w:name w:val="Table Grid 51"/>
    <w:basedOn w:val="TableNormal"/>
    <w:next w:val="TableGrid5"/>
    <w:rsid w:val="003E71C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1">
    <w:name w:val="Table Grid 31"/>
    <w:basedOn w:val="TableNormal"/>
    <w:next w:val="TableGrid3"/>
    <w:rsid w:val="003E71C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3E71C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1">
    <w:name w:val="Table Columns 51"/>
    <w:basedOn w:val="TableNormal"/>
    <w:next w:val="TableColumns5"/>
    <w:rsid w:val="003E71C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1">
    <w:name w:val="Light List - Accent 111"/>
    <w:basedOn w:val="TableNormal"/>
    <w:uiPriority w:val="61"/>
    <w:rsid w:val="003E71C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20">
    <w:name w:val="Нет списка12"/>
    <w:next w:val="NoList"/>
    <w:semiHidden/>
    <w:unhideWhenUsed/>
    <w:rsid w:val="003E71C9"/>
  </w:style>
  <w:style w:type="table" w:customStyle="1" w:styleId="ColorfulGrid-Accent111">
    <w:name w:val="Colorful Grid - Accent 111"/>
    <w:basedOn w:val="TableNormal"/>
    <w:rsid w:val="003E71C9"/>
    <w:rPr>
      <w:color w:val="00000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1">
    <w:name w:val="Light List - Accent 511"/>
    <w:basedOn w:val="TableNormal"/>
    <w:rsid w:val="003E71C9"/>
    <w:rPr>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1">
    <w:name w:val="No List41"/>
    <w:next w:val="NoList"/>
    <w:semiHidden/>
    <w:rsid w:val="003E71C9"/>
  </w:style>
  <w:style w:type="table" w:customStyle="1" w:styleId="Table3Deffects31">
    <w:name w:val="Table 3D effects 31"/>
    <w:basedOn w:val="TableNormal"/>
    <w:next w:val="Table3Deffects3"/>
    <w:rsid w:val="003E71C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
    <w:name w:val="Нет списка111"/>
    <w:next w:val="NoList"/>
    <w:semiHidden/>
    <w:unhideWhenUsed/>
    <w:rsid w:val="003E71C9"/>
  </w:style>
  <w:style w:type="numbering" w:customStyle="1" w:styleId="NoList51">
    <w:name w:val="No List51"/>
    <w:next w:val="NoList"/>
    <w:uiPriority w:val="99"/>
    <w:semiHidden/>
    <w:unhideWhenUsed/>
    <w:rsid w:val="003E71C9"/>
  </w:style>
  <w:style w:type="numbering" w:customStyle="1" w:styleId="NoList121">
    <w:name w:val="No List121"/>
    <w:next w:val="NoList"/>
    <w:semiHidden/>
    <w:rsid w:val="003E71C9"/>
  </w:style>
  <w:style w:type="numbering" w:customStyle="1" w:styleId="NoList1121">
    <w:name w:val="No List1121"/>
    <w:next w:val="NoList"/>
    <w:semiHidden/>
    <w:rsid w:val="003E71C9"/>
  </w:style>
  <w:style w:type="numbering" w:customStyle="1" w:styleId="NoList11111">
    <w:name w:val="No List11111"/>
    <w:next w:val="NoList"/>
    <w:semiHidden/>
    <w:rsid w:val="003E71C9"/>
  </w:style>
  <w:style w:type="numbering" w:customStyle="1" w:styleId="NoList211">
    <w:name w:val="No List211"/>
    <w:next w:val="NoList"/>
    <w:semiHidden/>
    <w:rsid w:val="003E71C9"/>
  </w:style>
  <w:style w:type="table" w:customStyle="1" w:styleId="TableGrid21">
    <w:name w:val="Table Grid21"/>
    <w:basedOn w:val="TableNormal"/>
    <w:next w:val="TableGrid"/>
    <w:rsid w:val="003E7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3E71C9"/>
  </w:style>
  <w:style w:type="numbering" w:customStyle="1" w:styleId="NoList8">
    <w:name w:val="No List8"/>
    <w:next w:val="NoList"/>
    <w:uiPriority w:val="99"/>
    <w:semiHidden/>
    <w:unhideWhenUsed/>
    <w:rsid w:val="00243A0B"/>
  </w:style>
  <w:style w:type="numbering" w:customStyle="1" w:styleId="NoList9">
    <w:name w:val="No List9"/>
    <w:next w:val="NoList"/>
    <w:uiPriority w:val="99"/>
    <w:semiHidden/>
    <w:unhideWhenUsed/>
    <w:rsid w:val="000E5840"/>
  </w:style>
  <w:style w:type="table" w:customStyle="1" w:styleId="TableGrid4">
    <w:name w:val="Table Grid4"/>
    <w:basedOn w:val="TableNormal"/>
    <w:next w:val="TableGrid"/>
    <w:rsid w:val="000E5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72">
    <w:name w:val="Table List 72"/>
    <w:basedOn w:val="TableNormal"/>
    <w:next w:val="TableList7"/>
    <w:rsid w:val="000E584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2">
    <w:name w:val="Table Web 32"/>
    <w:basedOn w:val="TableNormal"/>
    <w:next w:val="TableWeb3"/>
    <w:rsid w:val="000E584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0E584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umbering">
    <w:name w:val="Numbering"/>
    <w:basedOn w:val="Normal"/>
    <w:next w:val="Normal"/>
    <w:rsid w:val="000E5840"/>
    <w:pPr>
      <w:tabs>
        <w:tab w:val="num" w:pos="360"/>
      </w:tabs>
      <w:spacing w:before="0" w:line="240" w:lineRule="auto"/>
      <w:ind w:left="360" w:hanging="360"/>
      <w:contextualSpacing w:val="0"/>
      <w:jc w:val="left"/>
    </w:pPr>
    <w:rPr>
      <w:rFonts w:ascii="Times Armenian" w:hAnsi="Times Armenian"/>
      <w:b w:val="0"/>
      <w:sz w:val="20"/>
      <w:szCs w:val="20"/>
      <w:lang w:val="en-US" w:eastAsia="en-US"/>
    </w:rPr>
  </w:style>
  <w:style w:type="table" w:customStyle="1" w:styleId="TableWeb22">
    <w:name w:val="Table Web 22"/>
    <w:basedOn w:val="TableNormal"/>
    <w:next w:val="TableWeb2"/>
    <w:rsid w:val="000E58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2">
    <w:name w:val="Table Web 12"/>
    <w:basedOn w:val="TableNormal"/>
    <w:next w:val="TableWeb1"/>
    <w:rsid w:val="000E58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E584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2">
    <w:name w:val="Table Contemporary2"/>
    <w:basedOn w:val="TableNormal"/>
    <w:next w:val="TableContemporary"/>
    <w:rsid w:val="000E584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NoList14">
    <w:name w:val="No List14"/>
    <w:next w:val="NoList"/>
    <w:semiHidden/>
    <w:unhideWhenUsed/>
    <w:rsid w:val="000E5840"/>
  </w:style>
  <w:style w:type="numbering" w:customStyle="1" w:styleId="NoList23">
    <w:name w:val="No List23"/>
    <w:next w:val="NoList"/>
    <w:semiHidden/>
    <w:unhideWhenUsed/>
    <w:rsid w:val="000E5840"/>
  </w:style>
  <w:style w:type="numbering" w:customStyle="1" w:styleId="NoList33">
    <w:name w:val="No List33"/>
    <w:next w:val="NoList"/>
    <w:semiHidden/>
    <w:unhideWhenUsed/>
    <w:rsid w:val="000E5840"/>
  </w:style>
  <w:style w:type="character" w:customStyle="1" w:styleId="Heading1Char1">
    <w:name w:val="Heading 1 Char1"/>
    <w:aliases w:val="(Section) Char1,Section Heading Char1,(Text) Char1,1 Char1,Chapter Char1,head3 Char1"/>
    <w:uiPriority w:val="99"/>
    <w:locked/>
    <w:rsid w:val="000E5840"/>
    <w:rPr>
      <w:rFonts w:ascii="Arial" w:hAnsi="Arial"/>
      <w:b/>
      <w:kern w:val="32"/>
      <w:sz w:val="32"/>
    </w:rPr>
  </w:style>
  <w:style w:type="table" w:customStyle="1" w:styleId="LightList-Accent13">
    <w:name w:val="Light List - Accent 13"/>
    <w:basedOn w:val="TableNormal"/>
    <w:next w:val="LightList-Accent1"/>
    <w:uiPriority w:val="61"/>
    <w:rsid w:val="000E584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2">
    <w:name w:val="Table Grid 72"/>
    <w:basedOn w:val="TableNormal"/>
    <w:next w:val="TableGrid7"/>
    <w:rsid w:val="000E584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3">
    <w:name w:val="Colorful Grid - Accent 13"/>
    <w:basedOn w:val="TableNormal"/>
    <w:next w:val="ColorfulGrid-Accent1"/>
    <w:uiPriority w:val="73"/>
    <w:rsid w:val="000E584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3">
    <w:name w:val="Light List - Accent 53"/>
    <w:basedOn w:val="TableNormal"/>
    <w:next w:val="LightList-Accent5"/>
    <w:uiPriority w:val="61"/>
    <w:rsid w:val="000E584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2">
    <w:name w:val="Table Simple 32"/>
    <w:basedOn w:val="TableNormal"/>
    <w:next w:val="TableSimple3"/>
    <w:rsid w:val="000E584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2">
    <w:name w:val="Table Grid 52"/>
    <w:basedOn w:val="TableNormal"/>
    <w:next w:val="TableGrid5"/>
    <w:rsid w:val="000E584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2">
    <w:name w:val="Table Grid 32"/>
    <w:basedOn w:val="TableNormal"/>
    <w:next w:val="TableGrid3"/>
    <w:rsid w:val="000E584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2">
    <w:name w:val="Table Grid 12"/>
    <w:basedOn w:val="TableNormal"/>
    <w:next w:val="TableGrid10"/>
    <w:rsid w:val="000E584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2">
    <w:name w:val="Table Columns 52"/>
    <w:basedOn w:val="TableNormal"/>
    <w:next w:val="TableColumns5"/>
    <w:rsid w:val="000E584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2">
    <w:name w:val="Light List - Accent 112"/>
    <w:basedOn w:val="TableNormal"/>
    <w:uiPriority w:val="61"/>
    <w:rsid w:val="000E584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30">
    <w:name w:val="Нет списка13"/>
    <w:next w:val="NoList"/>
    <w:semiHidden/>
    <w:unhideWhenUsed/>
    <w:rsid w:val="000E5840"/>
  </w:style>
  <w:style w:type="table" w:customStyle="1" w:styleId="ColorfulGrid-Accent112">
    <w:name w:val="Colorful Grid - Accent 112"/>
    <w:basedOn w:val="TableNormal"/>
    <w:rsid w:val="000E5840"/>
    <w:rPr>
      <w:color w:val="00000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2">
    <w:name w:val="Light List - Accent 512"/>
    <w:basedOn w:val="TableNormal"/>
    <w:rsid w:val="000E5840"/>
    <w:rPr>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2">
    <w:name w:val="No List42"/>
    <w:next w:val="NoList"/>
    <w:semiHidden/>
    <w:rsid w:val="000E5840"/>
  </w:style>
  <w:style w:type="numbering" w:customStyle="1" w:styleId="NoList114">
    <w:name w:val="No List114"/>
    <w:next w:val="NoList"/>
    <w:semiHidden/>
    <w:unhideWhenUsed/>
    <w:rsid w:val="000E5840"/>
  </w:style>
  <w:style w:type="table" w:customStyle="1" w:styleId="Table3Deffects32">
    <w:name w:val="Table 3D effects 32"/>
    <w:basedOn w:val="TableNormal"/>
    <w:next w:val="Table3Deffects3"/>
    <w:rsid w:val="000E584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0">
    <w:name w:val="Нет списка112"/>
    <w:next w:val="NoList"/>
    <w:semiHidden/>
    <w:unhideWhenUsed/>
    <w:rsid w:val="000E5840"/>
  </w:style>
  <w:style w:type="numbering" w:customStyle="1" w:styleId="NoList10">
    <w:name w:val="No List10"/>
    <w:next w:val="NoList"/>
    <w:uiPriority w:val="99"/>
    <w:semiHidden/>
    <w:unhideWhenUsed/>
    <w:rsid w:val="00BD032A"/>
  </w:style>
  <w:style w:type="table" w:customStyle="1" w:styleId="TableGrid50">
    <w:name w:val="Table Grid5"/>
    <w:basedOn w:val="TableNormal"/>
    <w:next w:val="TableGrid"/>
    <w:rsid w:val="00BD032A"/>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semiHidden/>
    <w:unhideWhenUsed/>
    <w:rsid w:val="00BD032A"/>
  </w:style>
  <w:style w:type="numbering" w:customStyle="1" w:styleId="NoList115">
    <w:name w:val="No List115"/>
    <w:next w:val="NoList"/>
    <w:semiHidden/>
    <w:rsid w:val="00BD032A"/>
  </w:style>
  <w:style w:type="table" w:customStyle="1" w:styleId="TableGrid120">
    <w:name w:val="Table Grid12"/>
    <w:basedOn w:val="TableNormal"/>
    <w:next w:val="TableGrid"/>
    <w:rsid w:val="00BD032A"/>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semiHidden/>
    <w:rsid w:val="00BD032A"/>
  </w:style>
  <w:style w:type="numbering" w:customStyle="1" w:styleId="NoList24">
    <w:name w:val="No List24"/>
    <w:next w:val="NoList"/>
    <w:semiHidden/>
    <w:rsid w:val="00BD032A"/>
  </w:style>
  <w:style w:type="numbering" w:customStyle="1" w:styleId="NoList34">
    <w:name w:val="No List34"/>
    <w:next w:val="NoList"/>
    <w:semiHidden/>
    <w:unhideWhenUsed/>
    <w:rsid w:val="00BD032A"/>
  </w:style>
  <w:style w:type="table" w:customStyle="1" w:styleId="TableList73">
    <w:name w:val="Table List 73"/>
    <w:basedOn w:val="TableNormal"/>
    <w:next w:val="TableList7"/>
    <w:rsid w:val="00BD032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3">
    <w:name w:val="Table Web 33"/>
    <w:basedOn w:val="TableNormal"/>
    <w:next w:val="TableWeb3"/>
    <w:rsid w:val="00BD032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BD032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BD032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3">
    <w:name w:val="Table Web 13"/>
    <w:basedOn w:val="TableNormal"/>
    <w:next w:val="TableWeb1"/>
    <w:rsid w:val="00BD032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BD032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3">
    <w:name w:val="Table Contemporary3"/>
    <w:basedOn w:val="TableNormal"/>
    <w:next w:val="TableContemporary"/>
    <w:rsid w:val="00BD032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List-Accent14">
    <w:name w:val="Light List - Accent 14"/>
    <w:basedOn w:val="TableNormal"/>
    <w:next w:val="LightList-Accent1"/>
    <w:uiPriority w:val="61"/>
    <w:rsid w:val="00BD032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3">
    <w:name w:val="Table Grid 73"/>
    <w:basedOn w:val="TableNormal"/>
    <w:next w:val="TableGrid7"/>
    <w:rsid w:val="00BD032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4">
    <w:name w:val="Colorful Grid - Accent 14"/>
    <w:basedOn w:val="TableNormal"/>
    <w:next w:val="ColorfulGrid-Accent1"/>
    <w:uiPriority w:val="73"/>
    <w:rsid w:val="00BD032A"/>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4">
    <w:name w:val="Light List - Accent 54"/>
    <w:basedOn w:val="TableNormal"/>
    <w:next w:val="LightList-Accent5"/>
    <w:uiPriority w:val="61"/>
    <w:rsid w:val="00BD032A"/>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3">
    <w:name w:val="Table Simple 33"/>
    <w:basedOn w:val="TableNormal"/>
    <w:next w:val="TableSimple3"/>
    <w:rsid w:val="00BD032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3">
    <w:name w:val="Table Grid 53"/>
    <w:basedOn w:val="TableNormal"/>
    <w:next w:val="TableGrid5"/>
    <w:rsid w:val="00BD032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3">
    <w:name w:val="Table Grid 33"/>
    <w:basedOn w:val="TableNormal"/>
    <w:next w:val="TableGrid3"/>
    <w:rsid w:val="00BD032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3">
    <w:name w:val="Table Grid 13"/>
    <w:basedOn w:val="TableNormal"/>
    <w:next w:val="TableGrid10"/>
    <w:rsid w:val="00BD03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3">
    <w:name w:val="Table Columns 53"/>
    <w:basedOn w:val="TableNormal"/>
    <w:next w:val="TableColumns5"/>
    <w:rsid w:val="00BD032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3">
    <w:name w:val="Light List - Accent 113"/>
    <w:basedOn w:val="TableNormal"/>
    <w:uiPriority w:val="61"/>
    <w:rsid w:val="00BD032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40">
    <w:name w:val="Нет списка14"/>
    <w:next w:val="NoList"/>
    <w:semiHidden/>
    <w:unhideWhenUsed/>
    <w:rsid w:val="00BD032A"/>
  </w:style>
  <w:style w:type="table" w:customStyle="1" w:styleId="ColorfulGrid-Accent113">
    <w:name w:val="Colorful Grid - Accent 113"/>
    <w:basedOn w:val="TableNormal"/>
    <w:rsid w:val="00BD032A"/>
    <w:rPr>
      <w:color w:val="00000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3">
    <w:name w:val="Light List - Accent 513"/>
    <w:basedOn w:val="TableNormal"/>
    <w:rsid w:val="00BD032A"/>
    <w:rPr>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3">
    <w:name w:val="No List43"/>
    <w:next w:val="NoList"/>
    <w:semiHidden/>
    <w:rsid w:val="00BD032A"/>
  </w:style>
  <w:style w:type="table" w:customStyle="1" w:styleId="Table3Deffects33">
    <w:name w:val="Table 3D effects 33"/>
    <w:basedOn w:val="TableNormal"/>
    <w:next w:val="Table3Deffects3"/>
    <w:rsid w:val="00BD032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
    <w:name w:val="Нет списка113"/>
    <w:next w:val="NoList"/>
    <w:semiHidden/>
    <w:unhideWhenUsed/>
    <w:rsid w:val="00BD032A"/>
  </w:style>
  <w:style w:type="numbering" w:customStyle="1" w:styleId="NoList52">
    <w:name w:val="No List52"/>
    <w:next w:val="NoList"/>
    <w:uiPriority w:val="99"/>
    <w:semiHidden/>
    <w:unhideWhenUsed/>
    <w:rsid w:val="00BD032A"/>
  </w:style>
  <w:style w:type="numbering" w:customStyle="1" w:styleId="NoList122">
    <w:name w:val="No List122"/>
    <w:next w:val="NoList"/>
    <w:semiHidden/>
    <w:rsid w:val="00BD032A"/>
  </w:style>
  <w:style w:type="numbering" w:customStyle="1" w:styleId="NoList1122">
    <w:name w:val="No List1122"/>
    <w:next w:val="NoList"/>
    <w:semiHidden/>
    <w:rsid w:val="00BD032A"/>
  </w:style>
  <w:style w:type="numbering" w:customStyle="1" w:styleId="NoList11112">
    <w:name w:val="No List11112"/>
    <w:next w:val="NoList"/>
    <w:semiHidden/>
    <w:rsid w:val="00BD032A"/>
  </w:style>
  <w:style w:type="numbering" w:customStyle="1" w:styleId="NoList212">
    <w:name w:val="No List212"/>
    <w:next w:val="NoList"/>
    <w:semiHidden/>
    <w:rsid w:val="00BD032A"/>
  </w:style>
  <w:style w:type="table" w:customStyle="1" w:styleId="TableGrid22">
    <w:name w:val="Table Grid22"/>
    <w:basedOn w:val="TableNormal"/>
    <w:next w:val="TableGrid"/>
    <w:rsid w:val="00BD0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BD032A"/>
  </w:style>
  <w:style w:type="table" w:styleId="LightShading-Accent1">
    <w:name w:val="Light Shading Accent 1"/>
    <w:basedOn w:val="TableNormal"/>
    <w:uiPriority w:val="60"/>
    <w:rsid w:val="007660E4"/>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2-Accent1">
    <w:name w:val="Medium Grid 2 Accent 1"/>
    <w:basedOn w:val="TableNormal"/>
    <w:uiPriority w:val="68"/>
    <w:rsid w:val="007660E4"/>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List2-Accent5">
    <w:name w:val="Medium List 2 Accent 5"/>
    <w:basedOn w:val="TableNormal"/>
    <w:uiPriority w:val="66"/>
    <w:rsid w:val="007660E4"/>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List-Accent15">
    <w:name w:val="Light List - Accent 15"/>
    <w:basedOn w:val="TableNormal"/>
    <w:next w:val="LightList-Accent1"/>
    <w:uiPriority w:val="61"/>
    <w:rsid w:val="007660E4"/>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3-Accent5">
    <w:name w:val="Medium Grid 3 Accent 5"/>
    <w:basedOn w:val="TableNormal"/>
    <w:uiPriority w:val="69"/>
    <w:rsid w:val="007660E4"/>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ghtShading-Accent5">
    <w:name w:val="Light Shading Accent 5"/>
    <w:basedOn w:val="TableNormal"/>
    <w:uiPriority w:val="60"/>
    <w:rsid w:val="007660E4"/>
    <w:rPr>
      <w:rFonts w:asciiTheme="minorHAnsi" w:eastAsiaTheme="minorHAnsi" w:hAnsiTheme="minorHAnsi" w:cstheme="minorBid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Grid2-Accent5">
    <w:name w:val="Medium Grid 2 Accent 5"/>
    <w:basedOn w:val="TableNormal"/>
    <w:uiPriority w:val="68"/>
    <w:rsid w:val="007660E4"/>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LightGrid-Accent1">
    <w:name w:val="Light Grid Accent 1"/>
    <w:basedOn w:val="TableNormal"/>
    <w:uiPriority w:val="62"/>
    <w:rsid w:val="007660E4"/>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List4">
    <w:name w:val="Table List 4"/>
    <w:basedOn w:val="TableNormal"/>
    <w:rsid w:val="0086441C"/>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ParagraphNumbering">
    <w:name w:val="Paragraph Numbering"/>
    <w:basedOn w:val="Normal"/>
    <w:link w:val="ParagraphNumberingChar"/>
    <w:qFormat/>
    <w:rsid w:val="0086441C"/>
    <w:pPr>
      <w:numPr>
        <w:numId w:val="15"/>
      </w:numPr>
      <w:spacing w:before="0" w:after="240" w:line="240" w:lineRule="auto"/>
      <w:contextualSpacing w:val="0"/>
      <w:jc w:val="left"/>
    </w:pPr>
    <w:rPr>
      <w:rFonts w:ascii="Segoe UI" w:eastAsia="MS Mincho" w:hAnsi="Segoe UI"/>
      <w:b w:val="0"/>
      <w:sz w:val="21"/>
      <w:lang w:val="en-US" w:eastAsia="en-US"/>
    </w:rPr>
  </w:style>
  <w:style w:type="character" w:customStyle="1" w:styleId="ParagraphNumberingChar">
    <w:name w:val="Paragraph Numbering Char"/>
    <w:link w:val="ParagraphNumbering"/>
    <w:rsid w:val="0086441C"/>
    <w:rPr>
      <w:rFonts w:ascii="Segoe UI" w:eastAsia="MS Mincho" w:hAnsi="Segoe UI"/>
      <w:sz w:val="21"/>
      <w:szCs w:val="24"/>
    </w:rPr>
  </w:style>
  <w:style w:type="table" w:customStyle="1" w:styleId="TableList41">
    <w:name w:val="Table List 41"/>
    <w:basedOn w:val="TableNormal"/>
    <w:next w:val="TableList4"/>
    <w:rsid w:val="0086441C"/>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Theme">
    <w:name w:val="Table Theme"/>
    <w:basedOn w:val="TableNormal"/>
    <w:rsid w:val="00864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86441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6">
    <w:name w:val="Table Grid 6"/>
    <w:basedOn w:val="TableNormal"/>
    <w:rsid w:val="0086441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42">
    <w:name w:val="Table List 42"/>
    <w:basedOn w:val="TableNormal"/>
    <w:next w:val="TableList4"/>
    <w:rsid w:val="0086441C"/>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411">
    <w:name w:val="Table List 411"/>
    <w:basedOn w:val="TableNormal"/>
    <w:next w:val="TableList4"/>
    <w:rsid w:val="0086441C"/>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Style11">
    <w:name w:val="Style11"/>
    <w:basedOn w:val="TableElegant"/>
    <w:uiPriority w:val="99"/>
    <w:rsid w:val="0086441C"/>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tyle21">
    <w:name w:val="Style21"/>
    <w:basedOn w:val="TableGrid5"/>
    <w:uiPriority w:val="99"/>
    <w:rsid w:val="0086441C"/>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Style211">
    <w:name w:val="Style211"/>
    <w:basedOn w:val="TableGrid5"/>
    <w:uiPriority w:val="99"/>
    <w:rsid w:val="0086441C"/>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16">
    <w:name w:val="No List16"/>
    <w:next w:val="NoList"/>
    <w:uiPriority w:val="99"/>
    <w:semiHidden/>
    <w:unhideWhenUsed/>
    <w:rsid w:val="0006050F"/>
  </w:style>
  <w:style w:type="table" w:customStyle="1" w:styleId="TableGrid60">
    <w:name w:val="Table Grid6"/>
    <w:basedOn w:val="TableNormal"/>
    <w:next w:val="TableGrid"/>
    <w:uiPriority w:val="39"/>
    <w:rsid w:val="00060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06050F"/>
  </w:style>
  <w:style w:type="numbering" w:customStyle="1" w:styleId="NoList116">
    <w:name w:val="No List116"/>
    <w:next w:val="NoList"/>
    <w:semiHidden/>
    <w:rsid w:val="0006050F"/>
  </w:style>
  <w:style w:type="table" w:customStyle="1" w:styleId="TableGrid130">
    <w:name w:val="Table Grid13"/>
    <w:basedOn w:val="TableNormal"/>
    <w:next w:val="TableGrid"/>
    <w:uiPriority w:val="59"/>
    <w:rsid w:val="00060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next w:val="LightShading-Accent1"/>
    <w:uiPriority w:val="60"/>
    <w:rsid w:val="0010572B"/>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2-Accent11">
    <w:name w:val="Medium Grid 2 - Accent 11"/>
    <w:basedOn w:val="TableNormal"/>
    <w:next w:val="MediumGrid2-Accent1"/>
    <w:uiPriority w:val="68"/>
    <w:rsid w:val="0010572B"/>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List2-Accent51">
    <w:name w:val="Medium List 2 - Accent 51"/>
    <w:basedOn w:val="TableNormal"/>
    <w:next w:val="MediumList2-Accent5"/>
    <w:uiPriority w:val="66"/>
    <w:rsid w:val="0010572B"/>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List-Accent16">
    <w:name w:val="Light List - Accent 16"/>
    <w:basedOn w:val="TableNormal"/>
    <w:next w:val="LightList-Accent1"/>
    <w:uiPriority w:val="61"/>
    <w:rsid w:val="0010572B"/>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Grid3-Accent51">
    <w:name w:val="Medium Grid 3 - Accent 51"/>
    <w:basedOn w:val="TableNormal"/>
    <w:next w:val="MediumGrid3-Accent5"/>
    <w:uiPriority w:val="69"/>
    <w:rsid w:val="0010572B"/>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LightShading-Accent51">
    <w:name w:val="Light Shading - Accent 51"/>
    <w:basedOn w:val="TableNormal"/>
    <w:next w:val="LightShading-Accent5"/>
    <w:uiPriority w:val="60"/>
    <w:rsid w:val="0010572B"/>
    <w:rPr>
      <w:rFonts w:asciiTheme="minorHAnsi" w:eastAsiaTheme="minorHAnsi" w:hAnsiTheme="minorHAnsi" w:cstheme="minorBid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MediumGrid2-Accent51">
    <w:name w:val="Medium Grid 2 - Accent 51"/>
    <w:basedOn w:val="TableNormal"/>
    <w:next w:val="MediumGrid2-Accent5"/>
    <w:uiPriority w:val="68"/>
    <w:rsid w:val="0010572B"/>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LightGrid-Accent11">
    <w:name w:val="Light Grid - Accent 11"/>
    <w:basedOn w:val="TableNormal"/>
    <w:next w:val="LightGrid-Accent1"/>
    <w:uiPriority w:val="62"/>
    <w:rsid w:val="0010572B"/>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2">
    <w:name w:val="Light Shading - Accent 12"/>
    <w:basedOn w:val="TableNormal"/>
    <w:next w:val="LightShading-Accent1"/>
    <w:uiPriority w:val="60"/>
    <w:rsid w:val="00360620"/>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2-Accent12">
    <w:name w:val="Medium Grid 2 - Accent 12"/>
    <w:basedOn w:val="TableNormal"/>
    <w:next w:val="MediumGrid2-Accent1"/>
    <w:uiPriority w:val="68"/>
    <w:rsid w:val="00360620"/>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List2-Accent52">
    <w:name w:val="Medium List 2 - Accent 52"/>
    <w:basedOn w:val="TableNormal"/>
    <w:next w:val="MediumList2-Accent5"/>
    <w:uiPriority w:val="66"/>
    <w:rsid w:val="00360620"/>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List-Accent17">
    <w:name w:val="Light List - Accent 17"/>
    <w:basedOn w:val="TableNormal"/>
    <w:next w:val="LightList-Accent1"/>
    <w:uiPriority w:val="61"/>
    <w:rsid w:val="00360620"/>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Grid3-Accent52">
    <w:name w:val="Medium Grid 3 - Accent 52"/>
    <w:basedOn w:val="TableNormal"/>
    <w:next w:val="MediumGrid3-Accent5"/>
    <w:uiPriority w:val="69"/>
    <w:rsid w:val="00360620"/>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LightShading-Accent52">
    <w:name w:val="Light Shading - Accent 52"/>
    <w:basedOn w:val="TableNormal"/>
    <w:next w:val="LightShading-Accent5"/>
    <w:uiPriority w:val="60"/>
    <w:rsid w:val="00360620"/>
    <w:rPr>
      <w:rFonts w:asciiTheme="minorHAnsi" w:eastAsiaTheme="minorHAnsi" w:hAnsiTheme="minorHAnsi" w:cstheme="minorBid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MediumGrid2-Accent52">
    <w:name w:val="Medium Grid 2 - Accent 52"/>
    <w:basedOn w:val="TableNormal"/>
    <w:next w:val="MediumGrid2-Accent5"/>
    <w:uiPriority w:val="68"/>
    <w:rsid w:val="00360620"/>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LightGrid-Accent12">
    <w:name w:val="Light Grid - Accent 12"/>
    <w:basedOn w:val="TableNormal"/>
    <w:next w:val="LightGrid-Accent1"/>
    <w:uiPriority w:val="62"/>
    <w:rsid w:val="00360620"/>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18">
    <w:name w:val="No List18"/>
    <w:next w:val="NoList"/>
    <w:uiPriority w:val="99"/>
    <w:semiHidden/>
    <w:unhideWhenUsed/>
    <w:rsid w:val="00006BCE"/>
  </w:style>
  <w:style w:type="table" w:customStyle="1" w:styleId="TableGrid70">
    <w:name w:val="Table Grid7"/>
    <w:basedOn w:val="TableNormal"/>
    <w:next w:val="TableGrid"/>
    <w:rsid w:val="00006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74">
    <w:name w:val="Table List 74"/>
    <w:basedOn w:val="TableNormal"/>
    <w:next w:val="TableList7"/>
    <w:rsid w:val="00006BC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4">
    <w:name w:val="Table Web 34"/>
    <w:basedOn w:val="TableNormal"/>
    <w:next w:val="TableWeb3"/>
    <w:rsid w:val="00006BC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4">
    <w:name w:val="Table Elegant4"/>
    <w:basedOn w:val="TableNormal"/>
    <w:next w:val="TableElegant"/>
    <w:rsid w:val="00006BC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006BC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4">
    <w:name w:val="Table Web 14"/>
    <w:basedOn w:val="TableNormal"/>
    <w:next w:val="TableWeb1"/>
    <w:rsid w:val="00006BC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06BC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4">
    <w:name w:val="Table Contemporary4"/>
    <w:basedOn w:val="TableNormal"/>
    <w:next w:val="TableContemporary"/>
    <w:rsid w:val="00006BC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NoList19">
    <w:name w:val="No List19"/>
    <w:next w:val="NoList"/>
    <w:semiHidden/>
    <w:unhideWhenUsed/>
    <w:rsid w:val="00006BCE"/>
  </w:style>
  <w:style w:type="numbering" w:customStyle="1" w:styleId="NoList25">
    <w:name w:val="No List25"/>
    <w:next w:val="NoList"/>
    <w:semiHidden/>
    <w:unhideWhenUsed/>
    <w:rsid w:val="00006BCE"/>
  </w:style>
  <w:style w:type="numbering" w:customStyle="1" w:styleId="NoList35">
    <w:name w:val="No List35"/>
    <w:next w:val="NoList"/>
    <w:semiHidden/>
    <w:unhideWhenUsed/>
    <w:rsid w:val="00006BCE"/>
  </w:style>
  <w:style w:type="table" w:customStyle="1" w:styleId="LightList-Accent18">
    <w:name w:val="Light List - Accent 18"/>
    <w:basedOn w:val="TableNormal"/>
    <w:next w:val="LightList-Accent1"/>
    <w:uiPriority w:val="61"/>
    <w:rsid w:val="00006BC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4">
    <w:name w:val="Table Grid 74"/>
    <w:basedOn w:val="TableNormal"/>
    <w:next w:val="TableGrid7"/>
    <w:rsid w:val="00006BC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5">
    <w:name w:val="Colorful Grid - Accent 15"/>
    <w:basedOn w:val="TableNormal"/>
    <w:next w:val="ColorfulGrid-Accent1"/>
    <w:uiPriority w:val="73"/>
    <w:rsid w:val="00006BCE"/>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5">
    <w:name w:val="Light List - Accent 55"/>
    <w:basedOn w:val="TableNormal"/>
    <w:next w:val="LightList-Accent5"/>
    <w:uiPriority w:val="61"/>
    <w:rsid w:val="00006BCE"/>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4">
    <w:name w:val="Table Simple 34"/>
    <w:basedOn w:val="TableNormal"/>
    <w:next w:val="TableSimple3"/>
    <w:rsid w:val="00006BC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4">
    <w:name w:val="Table Grid 54"/>
    <w:basedOn w:val="TableNormal"/>
    <w:next w:val="TableGrid5"/>
    <w:rsid w:val="00006BC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4">
    <w:name w:val="Table Grid 34"/>
    <w:basedOn w:val="TableNormal"/>
    <w:next w:val="TableGrid3"/>
    <w:rsid w:val="00006BC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4">
    <w:name w:val="Table Grid 14"/>
    <w:basedOn w:val="TableNormal"/>
    <w:next w:val="TableGrid10"/>
    <w:rsid w:val="00006BC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4">
    <w:name w:val="Table Columns 54"/>
    <w:basedOn w:val="TableNormal"/>
    <w:next w:val="TableColumns5"/>
    <w:rsid w:val="00006BC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4">
    <w:name w:val="Light List - Accent 114"/>
    <w:basedOn w:val="TableNormal"/>
    <w:uiPriority w:val="61"/>
    <w:rsid w:val="00006BC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50">
    <w:name w:val="Нет списка15"/>
    <w:next w:val="NoList"/>
    <w:semiHidden/>
    <w:unhideWhenUsed/>
    <w:rsid w:val="00006BCE"/>
  </w:style>
  <w:style w:type="table" w:customStyle="1" w:styleId="ColorfulGrid-Accent114">
    <w:name w:val="Colorful Grid - Accent 114"/>
    <w:basedOn w:val="TableNormal"/>
    <w:rsid w:val="00006BCE"/>
    <w:rPr>
      <w:color w:val="00000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4">
    <w:name w:val="Light List - Accent 514"/>
    <w:basedOn w:val="TableNormal"/>
    <w:rsid w:val="00006BCE"/>
    <w:rPr>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4">
    <w:name w:val="No List44"/>
    <w:next w:val="NoList"/>
    <w:semiHidden/>
    <w:rsid w:val="00006BCE"/>
  </w:style>
  <w:style w:type="numbering" w:customStyle="1" w:styleId="NoList117">
    <w:name w:val="No List117"/>
    <w:next w:val="NoList"/>
    <w:semiHidden/>
    <w:unhideWhenUsed/>
    <w:rsid w:val="00006BCE"/>
  </w:style>
  <w:style w:type="table" w:customStyle="1" w:styleId="Table3Deffects34">
    <w:name w:val="Table 3D effects 34"/>
    <w:basedOn w:val="TableNormal"/>
    <w:next w:val="Table3Deffects3"/>
    <w:rsid w:val="00006BC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
    <w:name w:val="Нет списка114"/>
    <w:next w:val="NoList"/>
    <w:semiHidden/>
    <w:unhideWhenUsed/>
    <w:rsid w:val="00006BCE"/>
  </w:style>
  <w:style w:type="table" w:customStyle="1" w:styleId="Style111">
    <w:name w:val="Style111"/>
    <w:basedOn w:val="TableElegant"/>
    <w:uiPriority w:val="99"/>
    <w:rsid w:val="00BC5928"/>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tyle212">
    <w:name w:val="Style212"/>
    <w:basedOn w:val="TableGrid5"/>
    <w:uiPriority w:val="99"/>
    <w:rsid w:val="00BC5928"/>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Style2111">
    <w:name w:val="Style2111"/>
    <w:basedOn w:val="TableGrid5"/>
    <w:uiPriority w:val="99"/>
    <w:rsid w:val="00BC5928"/>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Style112">
    <w:name w:val="Style112"/>
    <w:basedOn w:val="TableElegant"/>
    <w:uiPriority w:val="99"/>
    <w:rsid w:val="00D70E46"/>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tyle213">
    <w:name w:val="Style213"/>
    <w:basedOn w:val="TableGrid5"/>
    <w:uiPriority w:val="99"/>
    <w:rsid w:val="00D70E46"/>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Style2112">
    <w:name w:val="Style2112"/>
    <w:basedOn w:val="TableGrid5"/>
    <w:uiPriority w:val="99"/>
    <w:rsid w:val="00D70E46"/>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0">
    <w:name w:val="No List20"/>
    <w:next w:val="NoList"/>
    <w:uiPriority w:val="99"/>
    <w:semiHidden/>
    <w:unhideWhenUsed/>
    <w:rsid w:val="009526B6"/>
  </w:style>
  <w:style w:type="numbering" w:customStyle="1" w:styleId="NoList110">
    <w:name w:val="No List110"/>
    <w:next w:val="NoList"/>
    <w:uiPriority w:val="99"/>
    <w:semiHidden/>
    <w:unhideWhenUsed/>
    <w:rsid w:val="009526B6"/>
  </w:style>
  <w:style w:type="paragraph" w:customStyle="1" w:styleId="TableTitleCharCharCharCharCharCharCharCharCharChar1">
    <w:name w:val="(Table Title) Char Char Char Char Char Char Char Char Char Char1"/>
    <w:basedOn w:val="Normal"/>
    <w:next w:val="Normal"/>
    <w:unhideWhenUsed/>
    <w:qFormat/>
    <w:rsid w:val="009526B6"/>
    <w:pPr>
      <w:spacing w:after="200"/>
    </w:pPr>
    <w:rPr>
      <w:b w:val="0"/>
      <w:bCs/>
      <w:color w:val="4F81BD"/>
      <w:sz w:val="18"/>
      <w:szCs w:val="18"/>
    </w:rPr>
  </w:style>
  <w:style w:type="table" w:customStyle="1" w:styleId="TableGrid80">
    <w:name w:val="Table Grid8"/>
    <w:basedOn w:val="TableNormal"/>
    <w:next w:val="TableGrid"/>
    <w:rsid w:val="009526B6"/>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semiHidden/>
    <w:unhideWhenUsed/>
    <w:rsid w:val="009526B6"/>
  </w:style>
  <w:style w:type="numbering" w:customStyle="1" w:styleId="NoList1114">
    <w:name w:val="No List1114"/>
    <w:next w:val="NoList"/>
    <w:semiHidden/>
    <w:rsid w:val="009526B6"/>
  </w:style>
  <w:style w:type="table" w:customStyle="1" w:styleId="TableGrid140">
    <w:name w:val="Table Grid14"/>
    <w:basedOn w:val="TableNormal"/>
    <w:next w:val="TableGrid"/>
    <w:rsid w:val="009526B6"/>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3">
    <w:name w:val="No List11113"/>
    <w:next w:val="NoList"/>
    <w:semiHidden/>
    <w:rsid w:val="009526B6"/>
  </w:style>
  <w:style w:type="numbering" w:customStyle="1" w:styleId="NoList26">
    <w:name w:val="No List26"/>
    <w:next w:val="NoList"/>
    <w:semiHidden/>
    <w:rsid w:val="009526B6"/>
  </w:style>
  <w:style w:type="numbering" w:customStyle="1" w:styleId="NoList36">
    <w:name w:val="No List36"/>
    <w:next w:val="NoList"/>
    <w:semiHidden/>
    <w:unhideWhenUsed/>
    <w:rsid w:val="009526B6"/>
  </w:style>
  <w:style w:type="table" w:customStyle="1" w:styleId="TableList75">
    <w:name w:val="Table List 75"/>
    <w:basedOn w:val="TableNormal"/>
    <w:next w:val="TableList7"/>
    <w:rsid w:val="009526B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5">
    <w:name w:val="Table Web 35"/>
    <w:basedOn w:val="TableNormal"/>
    <w:next w:val="TableWeb3"/>
    <w:rsid w:val="009526B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5">
    <w:name w:val="Table Elegant5"/>
    <w:basedOn w:val="TableNormal"/>
    <w:next w:val="TableElegant"/>
    <w:rsid w:val="009526B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5">
    <w:name w:val="Table Web 25"/>
    <w:basedOn w:val="TableNormal"/>
    <w:next w:val="TableWeb2"/>
    <w:rsid w:val="009526B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5">
    <w:name w:val="Table Web 15"/>
    <w:basedOn w:val="TableNormal"/>
    <w:next w:val="TableWeb1"/>
    <w:rsid w:val="009526B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9526B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5">
    <w:name w:val="Table Contemporary5"/>
    <w:basedOn w:val="TableNormal"/>
    <w:next w:val="TableContemporary"/>
    <w:rsid w:val="009526B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List-Accent19">
    <w:name w:val="Light List - Accent 19"/>
    <w:basedOn w:val="TableNormal"/>
    <w:next w:val="LightList-Accent1"/>
    <w:uiPriority w:val="61"/>
    <w:rsid w:val="009526B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5">
    <w:name w:val="Table Grid 75"/>
    <w:basedOn w:val="TableNormal"/>
    <w:next w:val="TableGrid7"/>
    <w:rsid w:val="009526B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6">
    <w:name w:val="Colorful Grid - Accent 16"/>
    <w:basedOn w:val="TableNormal"/>
    <w:next w:val="ColorfulGrid-Accent1"/>
    <w:uiPriority w:val="73"/>
    <w:rsid w:val="009526B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6">
    <w:name w:val="Light List - Accent 56"/>
    <w:basedOn w:val="TableNormal"/>
    <w:next w:val="LightList-Accent5"/>
    <w:uiPriority w:val="61"/>
    <w:rsid w:val="009526B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5">
    <w:name w:val="Table Simple 35"/>
    <w:basedOn w:val="TableNormal"/>
    <w:next w:val="TableSimple3"/>
    <w:rsid w:val="009526B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5">
    <w:name w:val="Table Grid 55"/>
    <w:basedOn w:val="TableNormal"/>
    <w:next w:val="TableGrid5"/>
    <w:rsid w:val="009526B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5">
    <w:name w:val="Table Grid 35"/>
    <w:basedOn w:val="TableNormal"/>
    <w:next w:val="TableGrid3"/>
    <w:rsid w:val="009526B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5">
    <w:name w:val="Table Grid 15"/>
    <w:basedOn w:val="TableNormal"/>
    <w:next w:val="TableGrid10"/>
    <w:rsid w:val="009526B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5">
    <w:name w:val="Table Columns 55"/>
    <w:basedOn w:val="TableNormal"/>
    <w:next w:val="TableColumns5"/>
    <w:rsid w:val="009526B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5">
    <w:name w:val="Light List - Accent 115"/>
    <w:basedOn w:val="TableNormal"/>
    <w:uiPriority w:val="61"/>
    <w:rsid w:val="009526B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60">
    <w:name w:val="Нет списка16"/>
    <w:next w:val="NoList"/>
    <w:semiHidden/>
    <w:unhideWhenUsed/>
    <w:rsid w:val="009526B6"/>
  </w:style>
  <w:style w:type="table" w:customStyle="1" w:styleId="ColorfulGrid-Accent115">
    <w:name w:val="Colorful Grid - Accent 115"/>
    <w:basedOn w:val="TableNormal"/>
    <w:rsid w:val="009526B6"/>
    <w:rPr>
      <w:color w:val="00000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5">
    <w:name w:val="Light List - Accent 515"/>
    <w:basedOn w:val="TableNormal"/>
    <w:rsid w:val="009526B6"/>
    <w:rPr>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5">
    <w:name w:val="No List45"/>
    <w:next w:val="NoList"/>
    <w:semiHidden/>
    <w:rsid w:val="009526B6"/>
  </w:style>
  <w:style w:type="table" w:customStyle="1" w:styleId="Table3Deffects35">
    <w:name w:val="Table 3D effects 35"/>
    <w:basedOn w:val="TableNormal"/>
    <w:next w:val="Table3Deffects3"/>
    <w:rsid w:val="009526B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
    <w:name w:val="Нет списка115"/>
    <w:next w:val="NoList"/>
    <w:semiHidden/>
    <w:unhideWhenUsed/>
    <w:rsid w:val="009526B6"/>
  </w:style>
  <w:style w:type="numbering" w:customStyle="1" w:styleId="NoList53">
    <w:name w:val="No List53"/>
    <w:next w:val="NoList"/>
    <w:uiPriority w:val="99"/>
    <w:semiHidden/>
    <w:unhideWhenUsed/>
    <w:rsid w:val="009526B6"/>
  </w:style>
  <w:style w:type="numbering" w:customStyle="1" w:styleId="NoList123">
    <w:name w:val="No List123"/>
    <w:next w:val="NoList"/>
    <w:semiHidden/>
    <w:rsid w:val="009526B6"/>
  </w:style>
  <w:style w:type="numbering" w:customStyle="1" w:styleId="NoList1123">
    <w:name w:val="No List1123"/>
    <w:next w:val="NoList"/>
    <w:semiHidden/>
    <w:rsid w:val="009526B6"/>
  </w:style>
  <w:style w:type="numbering" w:customStyle="1" w:styleId="NoList111111">
    <w:name w:val="No List111111"/>
    <w:next w:val="NoList"/>
    <w:semiHidden/>
    <w:rsid w:val="009526B6"/>
  </w:style>
  <w:style w:type="numbering" w:customStyle="1" w:styleId="NoList213">
    <w:name w:val="No List213"/>
    <w:next w:val="NoList"/>
    <w:semiHidden/>
    <w:rsid w:val="009526B6"/>
  </w:style>
  <w:style w:type="table" w:customStyle="1" w:styleId="TableGrid23">
    <w:name w:val="Table Grid23"/>
    <w:basedOn w:val="TableNormal"/>
    <w:next w:val="TableGrid"/>
    <w:rsid w:val="00952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9526B6"/>
  </w:style>
  <w:style w:type="numbering" w:customStyle="1" w:styleId="NoList61">
    <w:name w:val="No List61"/>
    <w:next w:val="NoList"/>
    <w:uiPriority w:val="99"/>
    <w:semiHidden/>
    <w:unhideWhenUsed/>
    <w:rsid w:val="009526B6"/>
  </w:style>
  <w:style w:type="numbering" w:customStyle="1" w:styleId="NoList71">
    <w:name w:val="No List71"/>
    <w:next w:val="NoList"/>
    <w:uiPriority w:val="99"/>
    <w:semiHidden/>
    <w:unhideWhenUsed/>
    <w:rsid w:val="009526B6"/>
  </w:style>
  <w:style w:type="table" w:customStyle="1" w:styleId="TableGrid310">
    <w:name w:val="Table Grid31"/>
    <w:basedOn w:val="TableNormal"/>
    <w:next w:val="TableGrid"/>
    <w:rsid w:val="009526B6"/>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semiHidden/>
    <w:unhideWhenUsed/>
    <w:rsid w:val="009526B6"/>
  </w:style>
  <w:style w:type="numbering" w:customStyle="1" w:styleId="NoList1131">
    <w:name w:val="No List1131"/>
    <w:next w:val="NoList"/>
    <w:semiHidden/>
    <w:rsid w:val="009526B6"/>
  </w:style>
  <w:style w:type="table" w:customStyle="1" w:styleId="TableGrid111">
    <w:name w:val="Table Grid111"/>
    <w:basedOn w:val="TableNormal"/>
    <w:next w:val="TableGrid"/>
    <w:rsid w:val="009526B6"/>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
    <w:name w:val="No List11121"/>
    <w:next w:val="NoList"/>
    <w:semiHidden/>
    <w:rsid w:val="009526B6"/>
  </w:style>
  <w:style w:type="numbering" w:customStyle="1" w:styleId="NoList221">
    <w:name w:val="No List221"/>
    <w:next w:val="NoList"/>
    <w:semiHidden/>
    <w:rsid w:val="009526B6"/>
  </w:style>
  <w:style w:type="numbering" w:customStyle="1" w:styleId="NoList321">
    <w:name w:val="No List321"/>
    <w:next w:val="NoList"/>
    <w:semiHidden/>
    <w:unhideWhenUsed/>
    <w:rsid w:val="009526B6"/>
  </w:style>
  <w:style w:type="table" w:customStyle="1" w:styleId="TableList711">
    <w:name w:val="Table List 711"/>
    <w:basedOn w:val="TableNormal"/>
    <w:next w:val="TableList7"/>
    <w:rsid w:val="009526B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11">
    <w:name w:val="Table Web 311"/>
    <w:basedOn w:val="TableNormal"/>
    <w:next w:val="TableWeb3"/>
    <w:rsid w:val="009526B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11">
    <w:name w:val="Table Elegant11"/>
    <w:basedOn w:val="TableNormal"/>
    <w:next w:val="TableElegant"/>
    <w:rsid w:val="009526B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rsid w:val="009526B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11">
    <w:name w:val="Table Web 111"/>
    <w:basedOn w:val="TableNormal"/>
    <w:next w:val="TableWeb1"/>
    <w:rsid w:val="009526B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9526B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11">
    <w:name w:val="Table Contemporary11"/>
    <w:basedOn w:val="TableNormal"/>
    <w:next w:val="TableContemporary"/>
    <w:rsid w:val="009526B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List-Accent121">
    <w:name w:val="Light List - Accent 121"/>
    <w:basedOn w:val="TableNormal"/>
    <w:next w:val="LightList-Accent1"/>
    <w:uiPriority w:val="61"/>
    <w:rsid w:val="009526B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 711"/>
    <w:basedOn w:val="TableNormal"/>
    <w:next w:val="TableGrid7"/>
    <w:rsid w:val="009526B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21">
    <w:name w:val="Colorful Grid - Accent 121"/>
    <w:basedOn w:val="TableNormal"/>
    <w:next w:val="ColorfulGrid-Accent1"/>
    <w:uiPriority w:val="73"/>
    <w:rsid w:val="009526B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21">
    <w:name w:val="Light List - Accent 521"/>
    <w:basedOn w:val="TableNormal"/>
    <w:next w:val="LightList-Accent5"/>
    <w:uiPriority w:val="61"/>
    <w:rsid w:val="009526B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11">
    <w:name w:val="Table Simple 311"/>
    <w:basedOn w:val="TableNormal"/>
    <w:next w:val="TableSimple3"/>
    <w:rsid w:val="009526B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11">
    <w:name w:val="Table Grid 511"/>
    <w:basedOn w:val="TableNormal"/>
    <w:next w:val="TableGrid5"/>
    <w:rsid w:val="009526B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11">
    <w:name w:val="Table Grid 311"/>
    <w:basedOn w:val="TableNormal"/>
    <w:next w:val="TableGrid3"/>
    <w:rsid w:val="009526B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110">
    <w:name w:val="Table Grid 111"/>
    <w:basedOn w:val="TableNormal"/>
    <w:next w:val="TableGrid10"/>
    <w:rsid w:val="009526B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11">
    <w:name w:val="Table Columns 511"/>
    <w:basedOn w:val="TableNormal"/>
    <w:next w:val="TableColumns5"/>
    <w:rsid w:val="009526B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11">
    <w:name w:val="Light List - Accent 1111"/>
    <w:basedOn w:val="TableNormal"/>
    <w:uiPriority w:val="61"/>
    <w:rsid w:val="009526B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21">
    <w:name w:val="Нет списка121"/>
    <w:next w:val="NoList"/>
    <w:semiHidden/>
    <w:unhideWhenUsed/>
    <w:rsid w:val="009526B6"/>
  </w:style>
  <w:style w:type="table" w:customStyle="1" w:styleId="ColorfulGrid-Accent1111">
    <w:name w:val="Colorful Grid - Accent 1111"/>
    <w:basedOn w:val="TableNormal"/>
    <w:rsid w:val="009526B6"/>
    <w:rPr>
      <w:color w:val="00000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11">
    <w:name w:val="Light List - Accent 5111"/>
    <w:basedOn w:val="TableNormal"/>
    <w:rsid w:val="009526B6"/>
    <w:rPr>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11">
    <w:name w:val="No List411"/>
    <w:next w:val="NoList"/>
    <w:semiHidden/>
    <w:rsid w:val="009526B6"/>
  </w:style>
  <w:style w:type="table" w:customStyle="1" w:styleId="Table3Deffects311">
    <w:name w:val="Table 3D effects 311"/>
    <w:basedOn w:val="TableNormal"/>
    <w:next w:val="Table3Deffects3"/>
    <w:rsid w:val="009526B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
    <w:name w:val="Нет списка1111"/>
    <w:next w:val="NoList"/>
    <w:semiHidden/>
    <w:unhideWhenUsed/>
    <w:rsid w:val="009526B6"/>
  </w:style>
  <w:style w:type="numbering" w:customStyle="1" w:styleId="NoList511">
    <w:name w:val="No List511"/>
    <w:next w:val="NoList"/>
    <w:uiPriority w:val="99"/>
    <w:semiHidden/>
    <w:unhideWhenUsed/>
    <w:rsid w:val="009526B6"/>
  </w:style>
  <w:style w:type="numbering" w:customStyle="1" w:styleId="NoList1211">
    <w:name w:val="No List1211"/>
    <w:next w:val="NoList"/>
    <w:semiHidden/>
    <w:rsid w:val="009526B6"/>
  </w:style>
  <w:style w:type="numbering" w:customStyle="1" w:styleId="NoList11211">
    <w:name w:val="No List11211"/>
    <w:next w:val="NoList"/>
    <w:semiHidden/>
    <w:rsid w:val="009526B6"/>
  </w:style>
  <w:style w:type="numbering" w:customStyle="1" w:styleId="NoList1111111">
    <w:name w:val="No List1111111"/>
    <w:next w:val="NoList"/>
    <w:semiHidden/>
    <w:rsid w:val="009526B6"/>
  </w:style>
  <w:style w:type="numbering" w:customStyle="1" w:styleId="NoList2111">
    <w:name w:val="No List2111"/>
    <w:next w:val="NoList"/>
    <w:semiHidden/>
    <w:rsid w:val="009526B6"/>
  </w:style>
  <w:style w:type="table" w:customStyle="1" w:styleId="TableGrid211">
    <w:name w:val="Table Grid211"/>
    <w:basedOn w:val="TableNormal"/>
    <w:next w:val="TableGrid"/>
    <w:rsid w:val="00952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9526B6"/>
  </w:style>
  <w:style w:type="numbering" w:customStyle="1" w:styleId="NoList81">
    <w:name w:val="No List81"/>
    <w:next w:val="NoList"/>
    <w:uiPriority w:val="99"/>
    <w:semiHidden/>
    <w:unhideWhenUsed/>
    <w:rsid w:val="009526B6"/>
  </w:style>
  <w:style w:type="numbering" w:customStyle="1" w:styleId="NoList91">
    <w:name w:val="No List91"/>
    <w:next w:val="NoList"/>
    <w:uiPriority w:val="99"/>
    <w:semiHidden/>
    <w:unhideWhenUsed/>
    <w:rsid w:val="009526B6"/>
  </w:style>
  <w:style w:type="table" w:customStyle="1" w:styleId="TableGrid41">
    <w:name w:val="Table Grid41"/>
    <w:basedOn w:val="TableNormal"/>
    <w:next w:val="TableGrid"/>
    <w:rsid w:val="00952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721">
    <w:name w:val="Table List 721"/>
    <w:basedOn w:val="TableNormal"/>
    <w:next w:val="TableList7"/>
    <w:rsid w:val="009526B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21">
    <w:name w:val="Table Web 321"/>
    <w:basedOn w:val="TableNormal"/>
    <w:next w:val="TableWeb3"/>
    <w:rsid w:val="009526B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21">
    <w:name w:val="Table Elegant21"/>
    <w:basedOn w:val="TableNormal"/>
    <w:next w:val="TableElegant"/>
    <w:rsid w:val="009526B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rsid w:val="009526B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21">
    <w:name w:val="Table Web 121"/>
    <w:basedOn w:val="TableNormal"/>
    <w:next w:val="TableWeb1"/>
    <w:rsid w:val="009526B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9526B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21">
    <w:name w:val="Table Contemporary21"/>
    <w:basedOn w:val="TableNormal"/>
    <w:next w:val="TableContemporary"/>
    <w:rsid w:val="009526B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NoList141">
    <w:name w:val="No List141"/>
    <w:next w:val="NoList"/>
    <w:semiHidden/>
    <w:unhideWhenUsed/>
    <w:rsid w:val="009526B6"/>
  </w:style>
  <w:style w:type="numbering" w:customStyle="1" w:styleId="NoList231">
    <w:name w:val="No List231"/>
    <w:next w:val="NoList"/>
    <w:semiHidden/>
    <w:unhideWhenUsed/>
    <w:rsid w:val="009526B6"/>
  </w:style>
  <w:style w:type="numbering" w:customStyle="1" w:styleId="NoList331">
    <w:name w:val="No List331"/>
    <w:next w:val="NoList"/>
    <w:semiHidden/>
    <w:unhideWhenUsed/>
    <w:rsid w:val="009526B6"/>
  </w:style>
  <w:style w:type="table" w:customStyle="1" w:styleId="LightList-Accent131">
    <w:name w:val="Light List - Accent 131"/>
    <w:basedOn w:val="TableNormal"/>
    <w:next w:val="LightList-Accent1"/>
    <w:uiPriority w:val="61"/>
    <w:rsid w:val="009526B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21">
    <w:name w:val="Table Grid 721"/>
    <w:basedOn w:val="TableNormal"/>
    <w:next w:val="TableGrid7"/>
    <w:rsid w:val="009526B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31">
    <w:name w:val="Colorful Grid - Accent 131"/>
    <w:basedOn w:val="TableNormal"/>
    <w:next w:val="ColorfulGrid-Accent1"/>
    <w:uiPriority w:val="73"/>
    <w:rsid w:val="009526B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31">
    <w:name w:val="Light List - Accent 531"/>
    <w:basedOn w:val="TableNormal"/>
    <w:next w:val="LightList-Accent5"/>
    <w:uiPriority w:val="61"/>
    <w:rsid w:val="009526B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21">
    <w:name w:val="Table Simple 321"/>
    <w:basedOn w:val="TableNormal"/>
    <w:next w:val="TableSimple3"/>
    <w:rsid w:val="009526B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21">
    <w:name w:val="Table Grid 521"/>
    <w:basedOn w:val="TableNormal"/>
    <w:next w:val="TableGrid5"/>
    <w:rsid w:val="009526B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21">
    <w:name w:val="Table Grid 321"/>
    <w:basedOn w:val="TableNormal"/>
    <w:next w:val="TableGrid3"/>
    <w:rsid w:val="009526B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21">
    <w:name w:val="Table Grid 121"/>
    <w:basedOn w:val="TableNormal"/>
    <w:next w:val="TableGrid10"/>
    <w:rsid w:val="009526B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21">
    <w:name w:val="Table Columns 521"/>
    <w:basedOn w:val="TableNormal"/>
    <w:next w:val="TableColumns5"/>
    <w:rsid w:val="009526B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21">
    <w:name w:val="Light List - Accent 1121"/>
    <w:basedOn w:val="TableNormal"/>
    <w:uiPriority w:val="61"/>
    <w:rsid w:val="009526B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31">
    <w:name w:val="Нет списка131"/>
    <w:next w:val="NoList"/>
    <w:semiHidden/>
    <w:unhideWhenUsed/>
    <w:rsid w:val="009526B6"/>
  </w:style>
  <w:style w:type="table" w:customStyle="1" w:styleId="ColorfulGrid-Accent1121">
    <w:name w:val="Colorful Grid - Accent 1121"/>
    <w:basedOn w:val="TableNormal"/>
    <w:rsid w:val="009526B6"/>
    <w:rPr>
      <w:color w:val="00000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21">
    <w:name w:val="Light List - Accent 5121"/>
    <w:basedOn w:val="TableNormal"/>
    <w:rsid w:val="009526B6"/>
    <w:rPr>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21">
    <w:name w:val="No List421"/>
    <w:next w:val="NoList"/>
    <w:semiHidden/>
    <w:rsid w:val="009526B6"/>
  </w:style>
  <w:style w:type="numbering" w:customStyle="1" w:styleId="NoList1141">
    <w:name w:val="No List1141"/>
    <w:next w:val="NoList"/>
    <w:semiHidden/>
    <w:unhideWhenUsed/>
    <w:rsid w:val="009526B6"/>
  </w:style>
  <w:style w:type="table" w:customStyle="1" w:styleId="Table3Deffects321">
    <w:name w:val="Table 3D effects 321"/>
    <w:basedOn w:val="TableNormal"/>
    <w:next w:val="Table3Deffects3"/>
    <w:rsid w:val="009526B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
    <w:name w:val="Нет списка1121"/>
    <w:next w:val="NoList"/>
    <w:semiHidden/>
    <w:unhideWhenUsed/>
    <w:rsid w:val="009526B6"/>
  </w:style>
  <w:style w:type="numbering" w:customStyle="1" w:styleId="NoList101">
    <w:name w:val="No List101"/>
    <w:next w:val="NoList"/>
    <w:uiPriority w:val="99"/>
    <w:semiHidden/>
    <w:unhideWhenUsed/>
    <w:rsid w:val="009526B6"/>
  </w:style>
  <w:style w:type="table" w:customStyle="1" w:styleId="TableGrid510">
    <w:name w:val="Table Grid51"/>
    <w:basedOn w:val="TableNormal"/>
    <w:next w:val="TableGrid"/>
    <w:rsid w:val="009526B6"/>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semiHidden/>
    <w:unhideWhenUsed/>
    <w:rsid w:val="009526B6"/>
  </w:style>
  <w:style w:type="numbering" w:customStyle="1" w:styleId="NoList1151">
    <w:name w:val="No List1151"/>
    <w:next w:val="NoList"/>
    <w:semiHidden/>
    <w:rsid w:val="009526B6"/>
  </w:style>
  <w:style w:type="table" w:customStyle="1" w:styleId="TableGrid1210">
    <w:name w:val="Table Grid121"/>
    <w:basedOn w:val="TableNormal"/>
    <w:next w:val="TableGrid"/>
    <w:rsid w:val="009526B6"/>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1">
    <w:name w:val="No List11131"/>
    <w:next w:val="NoList"/>
    <w:semiHidden/>
    <w:rsid w:val="009526B6"/>
  </w:style>
  <w:style w:type="numbering" w:customStyle="1" w:styleId="NoList241">
    <w:name w:val="No List241"/>
    <w:next w:val="NoList"/>
    <w:semiHidden/>
    <w:rsid w:val="009526B6"/>
  </w:style>
  <w:style w:type="numbering" w:customStyle="1" w:styleId="NoList341">
    <w:name w:val="No List341"/>
    <w:next w:val="NoList"/>
    <w:semiHidden/>
    <w:unhideWhenUsed/>
    <w:rsid w:val="009526B6"/>
  </w:style>
  <w:style w:type="table" w:customStyle="1" w:styleId="TableList731">
    <w:name w:val="Table List 731"/>
    <w:basedOn w:val="TableNormal"/>
    <w:next w:val="TableList7"/>
    <w:rsid w:val="009526B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31">
    <w:name w:val="Table Web 331"/>
    <w:basedOn w:val="TableNormal"/>
    <w:next w:val="TableWeb3"/>
    <w:rsid w:val="009526B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31">
    <w:name w:val="Table Elegant31"/>
    <w:basedOn w:val="TableNormal"/>
    <w:next w:val="TableElegant"/>
    <w:rsid w:val="009526B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31">
    <w:name w:val="Table Web 231"/>
    <w:basedOn w:val="TableNormal"/>
    <w:next w:val="TableWeb2"/>
    <w:rsid w:val="009526B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31">
    <w:name w:val="Table Web 131"/>
    <w:basedOn w:val="TableNormal"/>
    <w:next w:val="TableWeb1"/>
    <w:rsid w:val="009526B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9526B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31">
    <w:name w:val="Table Contemporary31"/>
    <w:basedOn w:val="TableNormal"/>
    <w:next w:val="TableContemporary"/>
    <w:rsid w:val="009526B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List-Accent141">
    <w:name w:val="Light List - Accent 141"/>
    <w:basedOn w:val="TableNormal"/>
    <w:next w:val="LightList-Accent1"/>
    <w:uiPriority w:val="61"/>
    <w:rsid w:val="009526B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31">
    <w:name w:val="Table Grid 731"/>
    <w:basedOn w:val="TableNormal"/>
    <w:next w:val="TableGrid7"/>
    <w:rsid w:val="009526B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41">
    <w:name w:val="Colorful Grid - Accent 141"/>
    <w:basedOn w:val="TableNormal"/>
    <w:next w:val="ColorfulGrid-Accent1"/>
    <w:uiPriority w:val="73"/>
    <w:rsid w:val="009526B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41">
    <w:name w:val="Light List - Accent 541"/>
    <w:basedOn w:val="TableNormal"/>
    <w:next w:val="LightList-Accent5"/>
    <w:uiPriority w:val="61"/>
    <w:rsid w:val="009526B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31">
    <w:name w:val="Table Simple 331"/>
    <w:basedOn w:val="TableNormal"/>
    <w:next w:val="TableSimple3"/>
    <w:rsid w:val="009526B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31">
    <w:name w:val="Table Grid 531"/>
    <w:basedOn w:val="TableNormal"/>
    <w:next w:val="TableGrid5"/>
    <w:rsid w:val="009526B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31">
    <w:name w:val="Table Grid 331"/>
    <w:basedOn w:val="TableNormal"/>
    <w:next w:val="TableGrid3"/>
    <w:rsid w:val="009526B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31">
    <w:name w:val="Table Grid 131"/>
    <w:basedOn w:val="TableNormal"/>
    <w:next w:val="TableGrid10"/>
    <w:rsid w:val="009526B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31">
    <w:name w:val="Table Columns 531"/>
    <w:basedOn w:val="TableNormal"/>
    <w:next w:val="TableColumns5"/>
    <w:rsid w:val="009526B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31">
    <w:name w:val="Light List - Accent 1131"/>
    <w:basedOn w:val="TableNormal"/>
    <w:uiPriority w:val="61"/>
    <w:rsid w:val="009526B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41">
    <w:name w:val="Нет списка141"/>
    <w:next w:val="NoList"/>
    <w:semiHidden/>
    <w:unhideWhenUsed/>
    <w:rsid w:val="009526B6"/>
  </w:style>
  <w:style w:type="table" w:customStyle="1" w:styleId="ColorfulGrid-Accent1131">
    <w:name w:val="Colorful Grid - Accent 1131"/>
    <w:basedOn w:val="TableNormal"/>
    <w:rsid w:val="009526B6"/>
    <w:rPr>
      <w:color w:val="00000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31">
    <w:name w:val="Light List - Accent 5131"/>
    <w:basedOn w:val="TableNormal"/>
    <w:rsid w:val="009526B6"/>
    <w:rPr>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31">
    <w:name w:val="No List431"/>
    <w:next w:val="NoList"/>
    <w:semiHidden/>
    <w:rsid w:val="009526B6"/>
  </w:style>
  <w:style w:type="table" w:customStyle="1" w:styleId="Table3Deffects331">
    <w:name w:val="Table 3D effects 331"/>
    <w:basedOn w:val="TableNormal"/>
    <w:next w:val="Table3Deffects3"/>
    <w:rsid w:val="009526B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
    <w:name w:val="Нет списка1131"/>
    <w:next w:val="NoList"/>
    <w:semiHidden/>
    <w:unhideWhenUsed/>
    <w:rsid w:val="009526B6"/>
  </w:style>
  <w:style w:type="numbering" w:customStyle="1" w:styleId="NoList521">
    <w:name w:val="No List521"/>
    <w:next w:val="NoList"/>
    <w:uiPriority w:val="99"/>
    <w:semiHidden/>
    <w:unhideWhenUsed/>
    <w:rsid w:val="009526B6"/>
  </w:style>
  <w:style w:type="numbering" w:customStyle="1" w:styleId="NoList1221">
    <w:name w:val="No List1221"/>
    <w:next w:val="NoList"/>
    <w:semiHidden/>
    <w:rsid w:val="009526B6"/>
  </w:style>
  <w:style w:type="numbering" w:customStyle="1" w:styleId="NoList11221">
    <w:name w:val="No List11221"/>
    <w:next w:val="NoList"/>
    <w:semiHidden/>
    <w:rsid w:val="009526B6"/>
  </w:style>
  <w:style w:type="numbering" w:customStyle="1" w:styleId="NoList111121">
    <w:name w:val="No List111121"/>
    <w:next w:val="NoList"/>
    <w:semiHidden/>
    <w:rsid w:val="009526B6"/>
  </w:style>
  <w:style w:type="numbering" w:customStyle="1" w:styleId="NoList2121">
    <w:name w:val="No List2121"/>
    <w:next w:val="NoList"/>
    <w:semiHidden/>
    <w:rsid w:val="009526B6"/>
  </w:style>
  <w:style w:type="table" w:customStyle="1" w:styleId="TableGrid221">
    <w:name w:val="Table Grid221"/>
    <w:basedOn w:val="TableNormal"/>
    <w:next w:val="TableGrid"/>
    <w:rsid w:val="00952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1">
    <w:name w:val="No List3121"/>
    <w:next w:val="NoList"/>
    <w:uiPriority w:val="99"/>
    <w:semiHidden/>
    <w:unhideWhenUsed/>
    <w:rsid w:val="009526B6"/>
  </w:style>
  <w:style w:type="table" w:customStyle="1" w:styleId="LightShading-Accent111">
    <w:name w:val="Light Shading - Accent 111"/>
    <w:basedOn w:val="TableNormal"/>
    <w:next w:val="LightShading-Accent1"/>
    <w:uiPriority w:val="60"/>
    <w:rsid w:val="009526B6"/>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2-Accent111">
    <w:name w:val="Medium Grid 2 - Accent 111"/>
    <w:basedOn w:val="TableNormal"/>
    <w:next w:val="MediumGrid2-Accent1"/>
    <w:uiPriority w:val="68"/>
    <w:rsid w:val="009526B6"/>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List2-Accent511">
    <w:name w:val="Medium List 2 - Accent 511"/>
    <w:basedOn w:val="TableNormal"/>
    <w:next w:val="MediumList2-Accent5"/>
    <w:uiPriority w:val="66"/>
    <w:rsid w:val="009526B6"/>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List-Accent151">
    <w:name w:val="Light List - Accent 151"/>
    <w:basedOn w:val="TableNormal"/>
    <w:next w:val="LightList-Accent1"/>
    <w:uiPriority w:val="61"/>
    <w:rsid w:val="009526B6"/>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next w:val="MediumGrid3-Accent5"/>
    <w:uiPriority w:val="69"/>
    <w:rsid w:val="009526B6"/>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511">
    <w:name w:val="Light Shading - Accent 511"/>
    <w:basedOn w:val="TableNormal"/>
    <w:next w:val="LightShading-Accent5"/>
    <w:uiPriority w:val="60"/>
    <w:rsid w:val="009526B6"/>
    <w:rPr>
      <w:rFonts w:ascii="Calibri" w:eastAsia="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2-Accent511">
    <w:name w:val="Medium Grid 2 - Accent 511"/>
    <w:basedOn w:val="TableNormal"/>
    <w:next w:val="MediumGrid2-Accent5"/>
    <w:uiPriority w:val="68"/>
    <w:rsid w:val="009526B6"/>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LightGrid-Accent111">
    <w:name w:val="Light Grid - Accent 111"/>
    <w:basedOn w:val="TableNormal"/>
    <w:next w:val="LightGrid-Accent1"/>
    <w:uiPriority w:val="62"/>
    <w:rsid w:val="009526B6"/>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List43">
    <w:name w:val="Table List 43"/>
    <w:basedOn w:val="TableNormal"/>
    <w:next w:val="TableList4"/>
    <w:rsid w:val="009526B6"/>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412">
    <w:name w:val="Table List 412"/>
    <w:basedOn w:val="TableNormal"/>
    <w:next w:val="TableList4"/>
    <w:rsid w:val="009526B6"/>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Theme1">
    <w:name w:val="Table Theme1"/>
    <w:basedOn w:val="TableNormal"/>
    <w:next w:val="TableTheme"/>
    <w:rsid w:val="00952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9526B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61">
    <w:name w:val="Table Grid 61"/>
    <w:basedOn w:val="TableNormal"/>
    <w:next w:val="TableGrid6"/>
    <w:rsid w:val="009526B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421">
    <w:name w:val="Table List 421"/>
    <w:basedOn w:val="TableNormal"/>
    <w:next w:val="TableList4"/>
    <w:rsid w:val="009526B6"/>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4111">
    <w:name w:val="Table List 4111"/>
    <w:basedOn w:val="TableNormal"/>
    <w:next w:val="TableList4"/>
    <w:rsid w:val="009526B6"/>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Style113">
    <w:name w:val="Style113"/>
    <w:basedOn w:val="TableElegant"/>
    <w:uiPriority w:val="99"/>
    <w:rsid w:val="009526B6"/>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tyle214">
    <w:name w:val="Style214"/>
    <w:basedOn w:val="TableGrid5"/>
    <w:uiPriority w:val="99"/>
    <w:rsid w:val="009526B6"/>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Style2113">
    <w:name w:val="Style2113"/>
    <w:basedOn w:val="TableGrid5"/>
    <w:uiPriority w:val="99"/>
    <w:rsid w:val="009526B6"/>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161">
    <w:name w:val="No List161"/>
    <w:next w:val="NoList"/>
    <w:uiPriority w:val="99"/>
    <w:semiHidden/>
    <w:unhideWhenUsed/>
    <w:rsid w:val="009526B6"/>
  </w:style>
  <w:style w:type="table" w:customStyle="1" w:styleId="TableGrid610">
    <w:name w:val="Table Grid61"/>
    <w:basedOn w:val="TableNormal"/>
    <w:next w:val="TableGrid"/>
    <w:uiPriority w:val="39"/>
    <w:rsid w:val="00952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9526B6"/>
  </w:style>
  <w:style w:type="numbering" w:customStyle="1" w:styleId="NoList1161">
    <w:name w:val="No List1161"/>
    <w:next w:val="NoList"/>
    <w:semiHidden/>
    <w:rsid w:val="009526B6"/>
  </w:style>
  <w:style w:type="table" w:customStyle="1" w:styleId="TableGrid1310">
    <w:name w:val="Table Grid131"/>
    <w:basedOn w:val="TableNormal"/>
    <w:next w:val="TableGrid"/>
    <w:uiPriority w:val="59"/>
    <w:rsid w:val="00952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61">
    <w:name w:val="Light List - Accent 161"/>
    <w:basedOn w:val="TableNormal"/>
    <w:next w:val="LightList-Accent1"/>
    <w:uiPriority w:val="61"/>
    <w:rsid w:val="009526B6"/>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3">
    <w:name w:val="Light Shading - Accent 13"/>
    <w:basedOn w:val="TableNormal"/>
    <w:next w:val="LightShading-Accent1"/>
    <w:uiPriority w:val="60"/>
    <w:semiHidden/>
    <w:unhideWhenUsed/>
    <w:rsid w:val="009526B6"/>
    <w:rPr>
      <w:rFonts w:ascii="Calibri" w:eastAsia="Calibri" w:hAnsi="Calibri"/>
      <w:color w:val="2E74B5"/>
      <w:sz w:val="22"/>
      <w:szCs w:val="22"/>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MediumGrid2-Accent13">
    <w:name w:val="Medium Grid 2 - Accent 13"/>
    <w:basedOn w:val="TableNormal"/>
    <w:next w:val="MediumGrid2-Accent1"/>
    <w:uiPriority w:val="68"/>
    <w:semiHidden/>
    <w:unhideWhenUsed/>
    <w:rsid w:val="009526B6"/>
    <w:rPr>
      <w:rFonts w:ascii="Calibri Light" w:hAnsi="Calibri Light"/>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MediumList2-Accent53">
    <w:name w:val="Medium List 2 - Accent 53"/>
    <w:basedOn w:val="TableNormal"/>
    <w:next w:val="MediumList2-Accent5"/>
    <w:uiPriority w:val="66"/>
    <w:semiHidden/>
    <w:unhideWhenUsed/>
    <w:rsid w:val="009526B6"/>
    <w:rPr>
      <w:rFonts w:ascii="Calibri Light" w:hAnsi="Calibri Light"/>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MediumGrid3-Accent53">
    <w:name w:val="Medium Grid 3 - Accent 53"/>
    <w:basedOn w:val="TableNormal"/>
    <w:next w:val="MediumGrid3-Accent5"/>
    <w:uiPriority w:val="69"/>
    <w:semiHidden/>
    <w:unhideWhenUsed/>
    <w:rsid w:val="009526B6"/>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LightShading-Accent53">
    <w:name w:val="Light Shading - Accent 53"/>
    <w:basedOn w:val="TableNormal"/>
    <w:next w:val="LightShading-Accent5"/>
    <w:uiPriority w:val="60"/>
    <w:semiHidden/>
    <w:unhideWhenUsed/>
    <w:rsid w:val="009526B6"/>
    <w:rPr>
      <w:rFonts w:ascii="Calibri" w:eastAsia="Calibri" w:hAnsi="Calibri"/>
      <w:color w:val="2F5496"/>
      <w:sz w:val="22"/>
      <w:szCs w:val="22"/>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MediumGrid2-Accent53">
    <w:name w:val="Medium Grid 2 - Accent 53"/>
    <w:basedOn w:val="TableNormal"/>
    <w:next w:val="MediumGrid2-Accent5"/>
    <w:uiPriority w:val="68"/>
    <w:semiHidden/>
    <w:unhideWhenUsed/>
    <w:rsid w:val="009526B6"/>
    <w:rPr>
      <w:rFonts w:ascii="Calibri Light" w:hAnsi="Calibri Light"/>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customStyle="1" w:styleId="LightGrid-Accent13">
    <w:name w:val="Light Grid - Accent 13"/>
    <w:basedOn w:val="TableNormal"/>
    <w:next w:val="LightGrid-Accent1"/>
    <w:uiPriority w:val="62"/>
    <w:semiHidden/>
    <w:unhideWhenUsed/>
    <w:rsid w:val="009526B6"/>
    <w:rPr>
      <w:rFonts w:ascii="Calibri" w:eastAsia="Calibri" w:hAnsi="Calibri"/>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Shading-Accent14">
    <w:name w:val="Light Shading - Accent 14"/>
    <w:basedOn w:val="TableNormal"/>
    <w:next w:val="LightShading-Accent1"/>
    <w:uiPriority w:val="60"/>
    <w:rsid w:val="002D7AC1"/>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2-Accent14">
    <w:name w:val="Medium Grid 2 - Accent 14"/>
    <w:basedOn w:val="TableNormal"/>
    <w:next w:val="MediumGrid2-Accent1"/>
    <w:uiPriority w:val="68"/>
    <w:rsid w:val="002D7AC1"/>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List2-Accent54">
    <w:name w:val="Medium List 2 - Accent 54"/>
    <w:basedOn w:val="TableNormal"/>
    <w:next w:val="MediumList2-Accent5"/>
    <w:uiPriority w:val="66"/>
    <w:rsid w:val="002D7AC1"/>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List-Accent110">
    <w:name w:val="Light List - Accent 110"/>
    <w:basedOn w:val="TableNormal"/>
    <w:next w:val="LightList-Accent1"/>
    <w:uiPriority w:val="61"/>
    <w:rsid w:val="002D7AC1"/>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Grid3-Accent54">
    <w:name w:val="Medium Grid 3 - Accent 54"/>
    <w:basedOn w:val="TableNormal"/>
    <w:next w:val="MediumGrid3-Accent5"/>
    <w:uiPriority w:val="69"/>
    <w:rsid w:val="002D7AC1"/>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LightShading-Accent54">
    <w:name w:val="Light Shading - Accent 54"/>
    <w:basedOn w:val="TableNormal"/>
    <w:next w:val="LightShading-Accent5"/>
    <w:uiPriority w:val="60"/>
    <w:rsid w:val="002D7AC1"/>
    <w:rPr>
      <w:rFonts w:asciiTheme="minorHAnsi" w:eastAsiaTheme="minorHAnsi" w:hAnsiTheme="minorHAnsi" w:cstheme="minorBid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MediumGrid2-Accent54">
    <w:name w:val="Medium Grid 2 - Accent 54"/>
    <w:basedOn w:val="TableNormal"/>
    <w:next w:val="MediumGrid2-Accent5"/>
    <w:uiPriority w:val="68"/>
    <w:rsid w:val="002D7AC1"/>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LightGrid-Accent14">
    <w:name w:val="Light Grid - Accent 14"/>
    <w:basedOn w:val="TableNormal"/>
    <w:next w:val="LightGrid-Accent1"/>
    <w:uiPriority w:val="62"/>
    <w:rsid w:val="002D7AC1"/>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5">
    <w:name w:val="Light Shading - Accent 15"/>
    <w:basedOn w:val="TableNormal"/>
    <w:next w:val="LightShading-Accent1"/>
    <w:uiPriority w:val="60"/>
    <w:rsid w:val="00EF5C2F"/>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2-Accent15">
    <w:name w:val="Medium Grid 2 - Accent 15"/>
    <w:basedOn w:val="TableNormal"/>
    <w:next w:val="MediumGrid2-Accent1"/>
    <w:uiPriority w:val="68"/>
    <w:rsid w:val="00EF5C2F"/>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List2-Accent55">
    <w:name w:val="Medium List 2 - Accent 55"/>
    <w:basedOn w:val="TableNormal"/>
    <w:next w:val="MediumList2-Accent5"/>
    <w:uiPriority w:val="66"/>
    <w:rsid w:val="00EF5C2F"/>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List-Accent116">
    <w:name w:val="Light List - Accent 116"/>
    <w:basedOn w:val="TableNormal"/>
    <w:next w:val="LightList-Accent1"/>
    <w:uiPriority w:val="61"/>
    <w:rsid w:val="00EF5C2F"/>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Grid3-Accent55">
    <w:name w:val="Medium Grid 3 - Accent 55"/>
    <w:basedOn w:val="TableNormal"/>
    <w:next w:val="MediumGrid3-Accent5"/>
    <w:uiPriority w:val="69"/>
    <w:rsid w:val="00EF5C2F"/>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LightShading-Accent55">
    <w:name w:val="Light Shading - Accent 55"/>
    <w:basedOn w:val="TableNormal"/>
    <w:next w:val="LightShading-Accent5"/>
    <w:uiPriority w:val="60"/>
    <w:rsid w:val="00EF5C2F"/>
    <w:rPr>
      <w:rFonts w:asciiTheme="minorHAnsi" w:eastAsiaTheme="minorHAnsi" w:hAnsiTheme="minorHAnsi" w:cstheme="minorBid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MediumGrid2-Accent55">
    <w:name w:val="Medium Grid 2 - Accent 55"/>
    <w:basedOn w:val="TableNormal"/>
    <w:next w:val="MediumGrid2-Accent5"/>
    <w:uiPriority w:val="68"/>
    <w:rsid w:val="00EF5C2F"/>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LightGrid-Accent15">
    <w:name w:val="Light Grid - Accent 15"/>
    <w:basedOn w:val="TableNormal"/>
    <w:next w:val="LightGrid-Accent1"/>
    <w:uiPriority w:val="62"/>
    <w:rsid w:val="00EF5C2F"/>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27">
    <w:name w:val="No List27"/>
    <w:next w:val="NoList"/>
    <w:uiPriority w:val="99"/>
    <w:semiHidden/>
    <w:unhideWhenUsed/>
    <w:rsid w:val="00CD7119"/>
  </w:style>
  <w:style w:type="table" w:customStyle="1" w:styleId="TableGrid9">
    <w:name w:val="Table Grid9"/>
    <w:basedOn w:val="TableNormal"/>
    <w:next w:val="TableGrid"/>
    <w:rsid w:val="00CD7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76">
    <w:name w:val="Table List 76"/>
    <w:basedOn w:val="TableNormal"/>
    <w:next w:val="TableList7"/>
    <w:rsid w:val="00CD71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Web36">
    <w:name w:val="Table Web 36"/>
    <w:basedOn w:val="TableNormal"/>
    <w:next w:val="TableWeb3"/>
    <w:rsid w:val="00CD71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Elegant6">
    <w:name w:val="Table Elegant6"/>
    <w:basedOn w:val="TableNormal"/>
    <w:next w:val="TableElegant"/>
    <w:rsid w:val="00CD71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Web26">
    <w:name w:val="Table Web 26"/>
    <w:basedOn w:val="TableNormal"/>
    <w:next w:val="TableWeb2"/>
    <w:rsid w:val="00CD71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6">
    <w:name w:val="Table Web 16"/>
    <w:basedOn w:val="TableNormal"/>
    <w:next w:val="TableWeb1"/>
    <w:rsid w:val="00CD71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CD71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ntemporary6">
    <w:name w:val="Table Contemporary6"/>
    <w:basedOn w:val="TableNormal"/>
    <w:next w:val="TableContemporary"/>
    <w:rsid w:val="00CD71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NoList119">
    <w:name w:val="No List119"/>
    <w:next w:val="NoList"/>
    <w:semiHidden/>
    <w:unhideWhenUsed/>
    <w:rsid w:val="00CD7119"/>
  </w:style>
  <w:style w:type="numbering" w:customStyle="1" w:styleId="NoList28">
    <w:name w:val="No List28"/>
    <w:next w:val="NoList"/>
    <w:semiHidden/>
    <w:unhideWhenUsed/>
    <w:rsid w:val="00CD7119"/>
  </w:style>
  <w:style w:type="numbering" w:customStyle="1" w:styleId="NoList37">
    <w:name w:val="No List37"/>
    <w:next w:val="NoList"/>
    <w:semiHidden/>
    <w:unhideWhenUsed/>
    <w:rsid w:val="00CD7119"/>
  </w:style>
  <w:style w:type="table" w:customStyle="1" w:styleId="LightList-Accent117">
    <w:name w:val="Light List - Accent 117"/>
    <w:basedOn w:val="TableNormal"/>
    <w:next w:val="LightList-Accent1"/>
    <w:uiPriority w:val="61"/>
    <w:rsid w:val="00CD711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6">
    <w:name w:val="Table Grid 76"/>
    <w:basedOn w:val="TableNormal"/>
    <w:next w:val="TableGrid7"/>
    <w:rsid w:val="00CD71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olorfulGrid-Accent17">
    <w:name w:val="Colorful Grid - Accent 17"/>
    <w:basedOn w:val="TableNormal"/>
    <w:next w:val="ColorfulGrid-Accent1"/>
    <w:uiPriority w:val="73"/>
    <w:rsid w:val="00CD7119"/>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7">
    <w:name w:val="Light List - Accent 57"/>
    <w:basedOn w:val="TableNormal"/>
    <w:next w:val="LightList-Accent5"/>
    <w:uiPriority w:val="61"/>
    <w:rsid w:val="00CD711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Simple36">
    <w:name w:val="Table Simple 36"/>
    <w:basedOn w:val="TableNormal"/>
    <w:next w:val="TableSimple3"/>
    <w:rsid w:val="00CD71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Grid56">
    <w:name w:val="Table Grid 56"/>
    <w:basedOn w:val="TableNormal"/>
    <w:next w:val="TableGrid5"/>
    <w:rsid w:val="00CD71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36">
    <w:name w:val="Table Grid 36"/>
    <w:basedOn w:val="TableNormal"/>
    <w:next w:val="TableGrid3"/>
    <w:rsid w:val="00CD71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6">
    <w:name w:val="Table Grid 16"/>
    <w:basedOn w:val="TableNormal"/>
    <w:next w:val="TableGrid10"/>
    <w:rsid w:val="00CD71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olumns56">
    <w:name w:val="Table Columns 56"/>
    <w:basedOn w:val="TableNormal"/>
    <w:next w:val="TableColumns5"/>
    <w:rsid w:val="00CD71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LightList-Accent118">
    <w:name w:val="Light List - Accent 118"/>
    <w:basedOn w:val="TableNormal"/>
    <w:uiPriority w:val="61"/>
    <w:rsid w:val="00CD711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170">
    <w:name w:val="Нет списка17"/>
    <w:next w:val="NoList"/>
    <w:semiHidden/>
    <w:unhideWhenUsed/>
    <w:rsid w:val="00CD7119"/>
  </w:style>
  <w:style w:type="table" w:customStyle="1" w:styleId="ColorfulGrid-Accent116">
    <w:name w:val="Colorful Grid - Accent 116"/>
    <w:basedOn w:val="TableNormal"/>
    <w:rsid w:val="00CD7119"/>
    <w:rPr>
      <w:color w:val="00000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516">
    <w:name w:val="Light List - Accent 516"/>
    <w:basedOn w:val="TableNormal"/>
    <w:rsid w:val="00CD7119"/>
    <w:rPr>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46">
    <w:name w:val="No List46"/>
    <w:next w:val="NoList"/>
    <w:semiHidden/>
    <w:rsid w:val="00CD7119"/>
  </w:style>
  <w:style w:type="numbering" w:customStyle="1" w:styleId="NoList1110">
    <w:name w:val="No List1110"/>
    <w:next w:val="NoList"/>
    <w:semiHidden/>
    <w:unhideWhenUsed/>
    <w:rsid w:val="00CD7119"/>
  </w:style>
  <w:style w:type="table" w:customStyle="1" w:styleId="Table3Deffects36">
    <w:name w:val="Table 3D effects 36"/>
    <w:basedOn w:val="TableNormal"/>
    <w:next w:val="Table3Deffects3"/>
    <w:rsid w:val="00CD71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
    <w:name w:val="Нет списка116"/>
    <w:next w:val="NoList"/>
    <w:semiHidden/>
    <w:unhideWhenUsed/>
    <w:rsid w:val="00CD7119"/>
  </w:style>
  <w:style w:type="character" w:customStyle="1" w:styleId="38">
    <w:name w:val="Основной текст3"/>
    <w:rsid w:val="00291C2D"/>
    <w:rPr>
      <w:rFonts w:ascii="Arial Unicode MS" w:eastAsia="Arial Unicode MS" w:hAnsi="Arial Unicode MS" w:cs="Arial Unicode MS"/>
      <w:b w:val="0"/>
      <w:bCs w:val="0"/>
      <w:i w:val="0"/>
      <w:iCs w:val="0"/>
      <w:smallCaps w:val="0"/>
      <w:strike w:val="0"/>
      <w:color w:val="000000"/>
      <w:spacing w:val="0"/>
      <w:w w:val="100"/>
      <w:position w:val="0"/>
      <w:sz w:val="30"/>
      <w:szCs w:val="30"/>
      <w:u w:val="none"/>
      <w:lang w:val="hy-AM"/>
    </w:rPr>
  </w:style>
  <w:style w:type="paragraph" w:customStyle="1" w:styleId="msonormal0">
    <w:name w:val="msonormal"/>
    <w:basedOn w:val="Normal"/>
    <w:rsid w:val="00291C2D"/>
    <w:pPr>
      <w:spacing w:before="100" w:beforeAutospacing="1" w:after="100" w:afterAutospacing="1" w:line="240" w:lineRule="auto"/>
      <w:ind w:firstLine="0"/>
      <w:contextualSpacing w:val="0"/>
      <w:jc w:val="left"/>
    </w:pPr>
    <w:rPr>
      <w:rFonts w:ascii="Times New Roman" w:hAnsi="Times New Roman"/>
      <w:b w:val="0"/>
      <w:sz w:val="24"/>
      <w:lang w:val="en-US" w:eastAsia="en-US"/>
    </w:rPr>
  </w:style>
  <w:style w:type="paragraph" w:customStyle="1" w:styleId="2b">
    <w:name w:val="Абзац списка2"/>
    <w:basedOn w:val="Normal"/>
    <w:qFormat/>
    <w:rsid w:val="00291C2D"/>
    <w:pPr>
      <w:spacing w:before="0" w:after="200" w:line="276" w:lineRule="auto"/>
      <w:ind w:left="720" w:firstLine="0"/>
      <w:jc w:val="left"/>
    </w:pPr>
    <w:rPr>
      <w:rFonts w:ascii="Calibri" w:eastAsia="Calibri" w:hAnsi="Calibri"/>
      <w:szCs w:val="22"/>
      <w:lang w:eastAsia="en-US"/>
    </w:rPr>
  </w:style>
  <w:style w:type="paragraph" w:customStyle="1" w:styleId="39">
    <w:name w:val="Рецензия3"/>
    <w:hidden/>
    <w:uiPriority w:val="99"/>
    <w:semiHidden/>
    <w:rsid w:val="00291C2D"/>
    <w:rPr>
      <w:rFonts w:ascii="Arial Armenian" w:hAnsi="Arial Armenian"/>
      <w:sz w:val="22"/>
      <w:szCs w:val="22"/>
      <w:lang w:eastAsia="ru-RU"/>
    </w:rPr>
  </w:style>
  <w:style w:type="paragraph" w:customStyle="1" w:styleId="44">
    <w:name w:val="Обычный4"/>
    <w:rsid w:val="00291C2D"/>
    <w:pPr>
      <w:autoSpaceDE w:val="0"/>
      <w:autoSpaceDN w:val="0"/>
    </w:pPr>
    <w:rPr>
      <w:lang w:val="ru-RU" w:eastAsia="ru-RU"/>
    </w:rPr>
  </w:style>
  <w:style w:type="paragraph" w:customStyle="1" w:styleId="2c">
    <w:name w:val="Без интервала2"/>
    <w:uiPriority w:val="1"/>
    <w:qFormat/>
    <w:rsid w:val="00291C2D"/>
    <w:rPr>
      <w:rFonts w:ascii="Calibri" w:hAnsi="Calibri"/>
      <w:sz w:val="22"/>
      <w:szCs w:val="22"/>
    </w:rPr>
  </w:style>
  <w:style w:type="character" w:customStyle="1" w:styleId="45">
    <w:name w:val="Основной текст4"/>
    <w:rsid w:val="00291C2D"/>
    <w:rPr>
      <w:rFonts w:ascii="Arial Unicode MS" w:eastAsia="Arial Unicode MS" w:hAnsi="Arial Unicode MS" w:cs="Arial Unicode MS"/>
      <w:b w:val="0"/>
      <w:bCs w:val="0"/>
      <w:i w:val="0"/>
      <w:iCs w:val="0"/>
      <w:smallCaps w:val="0"/>
      <w:strike w:val="0"/>
      <w:color w:val="000000"/>
      <w:spacing w:val="0"/>
      <w:w w:val="100"/>
      <w:position w:val="0"/>
      <w:sz w:val="30"/>
      <w:szCs w:val="30"/>
      <w:u w:val="none"/>
      <w:lang w:val="hy-AM"/>
    </w:rPr>
  </w:style>
  <w:style w:type="table" w:customStyle="1" w:styleId="LightShading-Accent16">
    <w:name w:val="Light Shading - Accent 16"/>
    <w:basedOn w:val="TableNormal"/>
    <w:next w:val="LightShading-Accent1"/>
    <w:uiPriority w:val="60"/>
    <w:rsid w:val="00291C2D"/>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2-Accent16">
    <w:name w:val="Medium Grid 2 - Accent 16"/>
    <w:basedOn w:val="TableNormal"/>
    <w:next w:val="MediumGrid2-Accent1"/>
    <w:uiPriority w:val="68"/>
    <w:rsid w:val="00291C2D"/>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List2-Accent56">
    <w:name w:val="Medium List 2 - Accent 56"/>
    <w:basedOn w:val="TableNormal"/>
    <w:next w:val="MediumList2-Accent5"/>
    <w:uiPriority w:val="66"/>
    <w:rsid w:val="00291C2D"/>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List-Accent152">
    <w:name w:val="Light List - Accent 152"/>
    <w:basedOn w:val="TableNormal"/>
    <w:next w:val="LightList-Accent1"/>
    <w:uiPriority w:val="61"/>
    <w:rsid w:val="00291C2D"/>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6">
    <w:name w:val="Medium Grid 3 - Accent 56"/>
    <w:basedOn w:val="TableNormal"/>
    <w:next w:val="MediumGrid3-Accent5"/>
    <w:uiPriority w:val="69"/>
    <w:rsid w:val="00291C2D"/>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56">
    <w:name w:val="Light Shading - Accent 56"/>
    <w:basedOn w:val="TableNormal"/>
    <w:next w:val="LightShading-Accent5"/>
    <w:uiPriority w:val="60"/>
    <w:rsid w:val="00291C2D"/>
    <w:rPr>
      <w:rFonts w:ascii="Calibri" w:eastAsia="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2-Accent56">
    <w:name w:val="Medium Grid 2 - Accent 56"/>
    <w:basedOn w:val="TableNormal"/>
    <w:next w:val="MediumGrid2-Accent5"/>
    <w:uiPriority w:val="68"/>
    <w:rsid w:val="00291C2D"/>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LightGrid-Accent16">
    <w:name w:val="Light Grid - Accent 16"/>
    <w:basedOn w:val="TableNormal"/>
    <w:next w:val="LightGrid-Accent1"/>
    <w:uiPriority w:val="62"/>
    <w:rsid w:val="00291C2D"/>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ookman Old Style" w:eastAsia="Times New Roman" w:hAnsi="Bookman Old Styl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ookman Old Style" w:eastAsia="Times New Roman" w:hAnsi="Bookman Old Styl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ookman Old Style" w:eastAsia="Times New Roman" w:hAnsi="Bookman Old Style" w:cs="Times New Roman"/>
        <w:b/>
        <w:bCs/>
      </w:rPr>
    </w:tblStylePr>
    <w:tblStylePr w:type="lastCol">
      <w:rPr>
        <w:rFonts w:ascii="Bookman Old Style" w:eastAsia="Times New Roman" w:hAnsi="Bookman Old Styl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tyle114">
    <w:name w:val="Style114"/>
    <w:basedOn w:val="TableElegant"/>
    <w:uiPriority w:val="99"/>
    <w:rsid w:val="00291C2D"/>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tyle215">
    <w:name w:val="Style215"/>
    <w:basedOn w:val="TableGrid5"/>
    <w:uiPriority w:val="99"/>
    <w:rsid w:val="00291C2D"/>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Style2114">
    <w:name w:val="Style2114"/>
    <w:basedOn w:val="TableGrid5"/>
    <w:uiPriority w:val="99"/>
    <w:rsid w:val="00291C2D"/>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LightShading-Accent112">
    <w:name w:val="Light Shading - Accent 112"/>
    <w:basedOn w:val="TableNormal"/>
    <w:next w:val="LightShading-Accent1"/>
    <w:uiPriority w:val="60"/>
    <w:rsid w:val="00291C2D"/>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2-Accent112">
    <w:name w:val="Medium Grid 2 - Accent 112"/>
    <w:basedOn w:val="TableNormal"/>
    <w:next w:val="MediumGrid2-Accent1"/>
    <w:uiPriority w:val="68"/>
    <w:rsid w:val="00291C2D"/>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List2-Accent512">
    <w:name w:val="Medium List 2 - Accent 512"/>
    <w:basedOn w:val="TableNormal"/>
    <w:next w:val="MediumList2-Accent5"/>
    <w:uiPriority w:val="66"/>
    <w:rsid w:val="00291C2D"/>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List-Accent162">
    <w:name w:val="Light List - Accent 162"/>
    <w:basedOn w:val="TableNormal"/>
    <w:next w:val="LightList-Accent1"/>
    <w:uiPriority w:val="61"/>
    <w:rsid w:val="00291C2D"/>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next w:val="MediumGrid3-Accent5"/>
    <w:uiPriority w:val="69"/>
    <w:rsid w:val="00291C2D"/>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Shading-Accent512">
    <w:name w:val="Light Shading - Accent 512"/>
    <w:basedOn w:val="TableNormal"/>
    <w:next w:val="LightShading-Accent5"/>
    <w:uiPriority w:val="60"/>
    <w:rsid w:val="00291C2D"/>
    <w:rPr>
      <w:rFonts w:ascii="Calibri" w:eastAsia="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2-Accent512">
    <w:name w:val="Medium Grid 2 - Accent 512"/>
    <w:basedOn w:val="TableNormal"/>
    <w:next w:val="MediumGrid2-Accent5"/>
    <w:uiPriority w:val="68"/>
    <w:rsid w:val="00291C2D"/>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LightGrid-Accent112">
    <w:name w:val="Light Grid - Accent 112"/>
    <w:basedOn w:val="TableNormal"/>
    <w:next w:val="LightGrid-Accent1"/>
    <w:uiPriority w:val="62"/>
    <w:rsid w:val="00291C2D"/>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ookman Old Style" w:eastAsia="Times New Roman" w:hAnsi="Bookman Old Styl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ookman Old Style" w:eastAsia="Times New Roman" w:hAnsi="Bookman Old Styl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ookman Old Style" w:eastAsia="Times New Roman" w:hAnsi="Bookman Old Style" w:cs="Times New Roman"/>
        <w:b/>
        <w:bCs/>
      </w:rPr>
    </w:tblStylePr>
    <w:tblStylePr w:type="lastCol">
      <w:rPr>
        <w:rFonts w:ascii="Bookman Old Style" w:eastAsia="Times New Roman" w:hAnsi="Bookman Old Styl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29">
    <w:name w:val="No List29"/>
    <w:next w:val="NoList"/>
    <w:uiPriority w:val="99"/>
    <w:semiHidden/>
    <w:unhideWhenUsed/>
    <w:rsid w:val="00CC15D2"/>
  </w:style>
  <w:style w:type="table" w:customStyle="1" w:styleId="TableGrid100">
    <w:name w:val="Table Grid10"/>
    <w:basedOn w:val="TableNormal"/>
    <w:next w:val="TableGrid"/>
    <w:uiPriority w:val="39"/>
    <w:rsid w:val="00CC1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CC15D2"/>
  </w:style>
  <w:style w:type="numbering" w:customStyle="1" w:styleId="NoList1115">
    <w:name w:val="No List1115"/>
    <w:next w:val="NoList"/>
    <w:semiHidden/>
    <w:rsid w:val="00CC15D2"/>
  </w:style>
  <w:style w:type="table" w:customStyle="1" w:styleId="TableGrid150">
    <w:name w:val="Table Grid15"/>
    <w:basedOn w:val="TableNormal"/>
    <w:next w:val="TableGrid"/>
    <w:uiPriority w:val="59"/>
    <w:rsid w:val="00CC1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941455"/>
  </w:style>
  <w:style w:type="table" w:customStyle="1" w:styleId="LightShading-Accent17">
    <w:name w:val="Light Shading - Accent 17"/>
    <w:basedOn w:val="TableNormal"/>
    <w:next w:val="LightShading-Accent1"/>
    <w:uiPriority w:val="60"/>
    <w:rsid w:val="00372F27"/>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2-Accent17">
    <w:name w:val="Medium Grid 2 - Accent 17"/>
    <w:basedOn w:val="TableNormal"/>
    <w:next w:val="MediumGrid2-Accent1"/>
    <w:uiPriority w:val="68"/>
    <w:rsid w:val="00372F27"/>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List2-Accent57">
    <w:name w:val="Medium List 2 - Accent 57"/>
    <w:basedOn w:val="TableNormal"/>
    <w:next w:val="MediumList2-Accent5"/>
    <w:uiPriority w:val="66"/>
    <w:rsid w:val="00372F27"/>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List-Accent119">
    <w:name w:val="Light List - Accent 119"/>
    <w:basedOn w:val="TableNormal"/>
    <w:next w:val="LightList-Accent1"/>
    <w:uiPriority w:val="61"/>
    <w:rsid w:val="00372F27"/>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Grid3-Accent57">
    <w:name w:val="Medium Grid 3 - Accent 57"/>
    <w:basedOn w:val="TableNormal"/>
    <w:next w:val="MediumGrid3-Accent5"/>
    <w:uiPriority w:val="69"/>
    <w:rsid w:val="00372F27"/>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LightShading-Accent57">
    <w:name w:val="Light Shading - Accent 57"/>
    <w:basedOn w:val="TableNormal"/>
    <w:next w:val="LightShading-Accent5"/>
    <w:uiPriority w:val="60"/>
    <w:rsid w:val="00372F27"/>
    <w:rPr>
      <w:rFonts w:asciiTheme="minorHAnsi" w:eastAsiaTheme="minorHAnsi" w:hAnsiTheme="minorHAnsi" w:cstheme="minorBid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MediumGrid2-Accent57">
    <w:name w:val="Medium Grid 2 - Accent 57"/>
    <w:basedOn w:val="TableNormal"/>
    <w:next w:val="MediumGrid2-Accent5"/>
    <w:uiPriority w:val="68"/>
    <w:rsid w:val="00372F27"/>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LightGrid-Accent17">
    <w:name w:val="Light Grid - Accent 17"/>
    <w:basedOn w:val="TableNormal"/>
    <w:next w:val="LightGrid-Accent1"/>
    <w:uiPriority w:val="62"/>
    <w:rsid w:val="00372F27"/>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38">
    <w:name w:val="No List38"/>
    <w:next w:val="NoList"/>
    <w:uiPriority w:val="99"/>
    <w:semiHidden/>
    <w:unhideWhenUsed/>
    <w:rsid w:val="00CD51B8"/>
  </w:style>
  <w:style w:type="table" w:customStyle="1" w:styleId="TableGrid160">
    <w:name w:val="Table Grid16"/>
    <w:basedOn w:val="TableNormal"/>
    <w:next w:val="TableGrid"/>
    <w:uiPriority w:val="39"/>
    <w:rsid w:val="00CD5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CD51B8"/>
  </w:style>
  <w:style w:type="numbering" w:customStyle="1" w:styleId="NoList1116">
    <w:name w:val="No List1116"/>
    <w:next w:val="NoList"/>
    <w:semiHidden/>
    <w:rsid w:val="00CD51B8"/>
  </w:style>
  <w:style w:type="table" w:customStyle="1" w:styleId="TableGrid17">
    <w:name w:val="Table Grid17"/>
    <w:basedOn w:val="TableNormal"/>
    <w:next w:val="TableGrid"/>
    <w:uiPriority w:val="59"/>
    <w:rsid w:val="00CD5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8">
    <w:name w:val="Light Shading - Accent 18"/>
    <w:basedOn w:val="TableNormal"/>
    <w:next w:val="LightShading-Accent1"/>
    <w:uiPriority w:val="60"/>
    <w:rsid w:val="00434536"/>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2-Accent18">
    <w:name w:val="Medium Grid 2 - Accent 18"/>
    <w:basedOn w:val="TableNormal"/>
    <w:next w:val="MediumGrid2-Accent1"/>
    <w:uiPriority w:val="68"/>
    <w:rsid w:val="00434536"/>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List2-Accent58">
    <w:name w:val="Medium List 2 - Accent 58"/>
    <w:basedOn w:val="TableNormal"/>
    <w:next w:val="MediumList2-Accent5"/>
    <w:uiPriority w:val="66"/>
    <w:rsid w:val="00434536"/>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List-Accent120">
    <w:name w:val="Light List - Accent 120"/>
    <w:basedOn w:val="TableNormal"/>
    <w:next w:val="LightList-Accent1"/>
    <w:uiPriority w:val="61"/>
    <w:rsid w:val="00434536"/>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Grid3-Accent58">
    <w:name w:val="Medium Grid 3 - Accent 58"/>
    <w:basedOn w:val="TableNormal"/>
    <w:next w:val="MediumGrid3-Accent5"/>
    <w:uiPriority w:val="69"/>
    <w:rsid w:val="00434536"/>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LightShading-Accent58">
    <w:name w:val="Light Shading - Accent 58"/>
    <w:basedOn w:val="TableNormal"/>
    <w:next w:val="LightShading-Accent5"/>
    <w:uiPriority w:val="60"/>
    <w:rsid w:val="00434536"/>
    <w:rPr>
      <w:rFonts w:asciiTheme="minorHAnsi" w:eastAsiaTheme="minorHAnsi" w:hAnsiTheme="minorHAnsi" w:cstheme="minorBid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MediumGrid2-Accent58">
    <w:name w:val="Medium Grid 2 - Accent 58"/>
    <w:basedOn w:val="TableNormal"/>
    <w:next w:val="MediumGrid2-Accent5"/>
    <w:uiPriority w:val="68"/>
    <w:rsid w:val="00434536"/>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LightGrid-Accent18">
    <w:name w:val="Light Grid - Accent 18"/>
    <w:basedOn w:val="TableNormal"/>
    <w:next w:val="LightGrid-Accent1"/>
    <w:uiPriority w:val="62"/>
    <w:rsid w:val="00434536"/>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9">
    <w:name w:val="Light Shading - Accent 19"/>
    <w:basedOn w:val="TableNormal"/>
    <w:next w:val="LightShading-Accent1"/>
    <w:uiPriority w:val="60"/>
    <w:rsid w:val="00E81B58"/>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2-Accent19">
    <w:name w:val="Medium Grid 2 - Accent 19"/>
    <w:basedOn w:val="TableNormal"/>
    <w:next w:val="MediumGrid2-Accent1"/>
    <w:uiPriority w:val="68"/>
    <w:rsid w:val="00E81B58"/>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List2-Accent59">
    <w:name w:val="Medium List 2 - Accent 59"/>
    <w:basedOn w:val="TableNormal"/>
    <w:next w:val="MediumList2-Accent5"/>
    <w:uiPriority w:val="66"/>
    <w:rsid w:val="00E81B58"/>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List-Accent122">
    <w:name w:val="Light List - Accent 122"/>
    <w:basedOn w:val="TableNormal"/>
    <w:next w:val="LightList-Accent1"/>
    <w:uiPriority w:val="61"/>
    <w:rsid w:val="00E81B58"/>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Grid3-Accent59">
    <w:name w:val="Medium Grid 3 - Accent 59"/>
    <w:basedOn w:val="TableNormal"/>
    <w:next w:val="MediumGrid3-Accent5"/>
    <w:uiPriority w:val="69"/>
    <w:rsid w:val="00E81B58"/>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LightShading-Accent59">
    <w:name w:val="Light Shading - Accent 59"/>
    <w:basedOn w:val="TableNormal"/>
    <w:next w:val="LightShading-Accent5"/>
    <w:uiPriority w:val="60"/>
    <w:rsid w:val="00E81B58"/>
    <w:rPr>
      <w:rFonts w:asciiTheme="minorHAnsi" w:eastAsiaTheme="minorHAnsi" w:hAnsiTheme="minorHAnsi" w:cstheme="minorBid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MediumGrid2-Accent59">
    <w:name w:val="Medium Grid 2 - Accent 59"/>
    <w:basedOn w:val="TableNormal"/>
    <w:next w:val="MediumGrid2-Accent5"/>
    <w:uiPriority w:val="68"/>
    <w:rsid w:val="00E81B58"/>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LightGrid-Accent19">
    <w:name w:val="Light Grid - Accent 19"/>
    <w:basedOn w:val="TableNormal"/>
    <w:next w:val="LightGrid-Accent1"/>
    <w:uiPriority w:val="62"/>
    <w:rsid w:val="00E81B58"/>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Style115">
    <w:name w:val="Style115"/>
    <w:basedOn w:val="TableElegant"/>
    <w:uiPriority w:val="99"/>
    <w:rsid w:val="00CF7470"/>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tyle2115">
    <w:name w:val="Style2115"/>
    <w:basedOn w:val="TableGrid5"/>
    <w:uiPriority w:val="99"/>
    <w:rsid w:val="00CF7470"/>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39">
    <w:name w:val="No List39"/>
    <w:next w:val="NoList"/>
    <w:uiPriority w:val="99"/>
    <w:semiHidden/>
    <w:unhideWhenUsed/>
    <w:rsid w:val="008B1219"/>
  </w:style>
  <w:style w:type="table" w:customStyle="1" w:styleId="TableGrid18">
    <w:name w:val="Table Grid18"/>
    <w:basedOn w:val="TableNormal"/>
    <w:next w:val="TableGrid"/>
    <w:uiPriority w:val="39"/>
    <w:rsid w:val="008B1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8B1219"/>
  </w:style>
  <w:style w:type="numbering" w:customStyle="1" w:styleId="NoList1117">
    <w:name w:val="No List1117"/>
    <w:next w:val="NoList"/>
    <w:semiHidden/>
    <w:rsid w:val="008B1219"/>
  </w:style>
  <w:style w:type="table" w:customStyle="1" w:styleId="TableGrid19">
    <w:name w:val="Table Grid19"/>
    <w:basedOn w:val="TableNormal"/>
    <w:next w:val="TableGrid"/>
    <w:uiPriority w:val="59"/>
    <w:rsid w:val="008B1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151">
    <w:name w:val="Style1151"/>
    <w:basedOn w:val="TableElegant"/>
    <w:uiPriority w:val="99"/>
    <w:rsid w:val="008B1219"/>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tyle216">
    <w:name w:val="Style216"/>
    <w:basedOn w:val="TableGrid5"/>
    <w:uiPriority w:val="99"/>
    <w:rsid w:val="008B1219"/>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40">
    <w:name w:val="No List40"/>
    <w:next w:val="NoList"/>
    <w:uiPriority w:val="99"/>
    <w:semiHidden/>
    <w:unhideWhenUsed/>
    <w:rsid w:val="008B1219"/>
  </w:style>
  <w:style w:type="table" w:customStyle="1" w:styleId="TableGrid20">
    <w:name w:val="Table Grid20"/>
    <w:basedOn w:val="TableNormal"/>
    <w:next w:val="TableGrid"/>
    <w:uiPriority w:val="59"/>
    <w:rsid w:val="008B121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0">
    <w:name w:val="Light Shading - Accent 110"/>
    <w:basedOn w:val="TableNormal"/>
    <w:next w:val="LightShading-Accent1"/>
    <w:uiPriority w:val="60"/>
    <w:rsid w:val="008B1219"/>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58">
    <w:name w:val="Light List - Accent 58"/>
    <w:basedOn w:val="TableNormal"/>
    <w:next w:val="LightList-Accent5"/>
    <w:uiPriority w:val="61"/>
    <w:rsid w:val="008B1219"/>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List2-Accent1">
    <w:name w:val="Medium List 2 Accent 1"/>
    <w:basedOn w:val="TableNormal"/>
    <w:uiPriority w:val="66"/>
    <w:rsid w:val="008B1219"/>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2-Accent110">
    <w:name w:val="Medium Grid 2 - Accent 110"/>
    <w:basedOn w:val="TableNormal"/>
    <w:next w:val="MediumGrid2-Accent1"/>
    <w:uiPriority w:val="68"/>
    <w:rsid w:val="008B1219"/>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3-Accent6">
    <w:name w:val="Medium Grid 3 Accent 6"/>
    <w:basedOn w:val="TableNormal"/>
    <w:uiPriority w:val="69"/>
    <w:rsid w:val="008B1219"/>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2-Accent510">
    <w:name w:val="Medium List 2 - Accent 510"/>
    <w:basedOn w:val="TableNormal"/>
    <w:next w:val="MediumList2-Accent5"/>
    <w:uiPriority w:val="66"/>
    <w:rsid w:val="008B1219"/>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List-Accent123">
    <w:name w:val="Light List - Accent 123"/>
    <w:basedOn w:val="TableNormal"/>
    <w:next w:val="LightList-Accent1"/>
    <w:uiPriority w:val="61"/>
    <w:rsid w:val="008B1219"/>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1-Accent5">
    <w:name w:val="Medium List 1 Accent 5"/>
    <w:basedOn w:val="TableNormal"/>
    <w:uiPriority w:val="65"/>
    <w:rsid w:val="008B1219"/>
    <w:rPr>
      <w:rFonts w:asciiTheme="minorHAnsi" w:eastAsiaTheme="minorHAnsi" w:hAnsiTheme="minorHAnsi" w:cstheme="minorBidi"/>
      <w:color w:val="000000" w:themeColor="text1"/>
      <w:sz w:val="22"/>
      <w:szCs w:val="22"/>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Grid3-Accent510">
    <w:name w:val="Medium Grid 3 - Accent 510"/>
    <w:basedOn w:val="TableNormal"/>
    <w:next w:val="MediumGrid3-Accent5"/>
    <w:uiPriority w:val="69"/>
    <w:rsid w:val="008B1219"/>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LightShading-Accent510">
    <w:name w:val="Light Shading - Accent 510"/>
    <w:basedOn w:val="TableNormal"/>
    <w:next w:val="LightShading-Accent5"/>
    <w:uiPriority w:val="60"/>
    <w:rsid w:val="008B1219"/>
    <w:rPr>
      <w:rFonts w:asciiTheme="minorHAnsi" w:eastAsiaTheme="minorHAnsi" w:hAnsiTheme="minorHAnsi" w:cstheme="minorBid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MediumGrid2-Accent510">
    <w:name w:val="Medium Grid 2 - Accent 510"/>
    <w:basedOn w:val="TableNormal"/>
    <w:next w:val="MediumGrid2-Accent5"/>
    <w:uiPriority w:val="68"/>
    <w:rsid w:val="008B1219"/>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LightList-Accent3">
    <w:name w:val="Light List Accent 3"/>
    <w:basedOn w:val="TableNormal"/>
    <w:uiPriority w:val="61"/>
    <w:rsid w:val="008B1219"/>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List2-Accent3">
    <w:name w:val="Medium List 2 Accent 3"/>
    <w:basedOn w:val="TableNormal"/>
    <w:uiPriority w:val="66"/>
    <w:rsid w:val="008B1219"/>
    <w:rPr>
      <w:rFonts w:asciiTheme="majorHAnsi" w:eastAsiaTheme="majorEastAsia" w:hAnsiTheme="majorHAnsi" w:cstheme="majorBidi"/>
      <w:color w:val="000000" w:themeColor="text1"/>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8B1219"/>
    <w:rPr>
      <w:rFonts w:asciiTheme="majorHAnsi" w:eastAsiaTheme="majorEastAsia" w:hAnsiTheme="majorHAnsi" w:cstheme="majorBidi"/>
      <w:color w:val="000000" w:themeColor="text1"/>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Grid-Accent110">
    <w:name w:val="Light Grid - Accent 110"/>
    <w:basedOn w:val="TableNormal"/>
    <w:next w:val="LightGrid-Accent1"/>
    <w:uiPriority w:val="62"/>
    <w:rsid w:val="008B1219"/>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47">
    <w:name w:val="No List47"/>
    <w:next w:val="NoList"/>
    <w:uiPriority w:val="99"/>
    <w:semiHidden/>
    <w:unhideWhenUsed/>
    <w:rsid w:val="00961B35"/>
  </w:style>
  <w:style w:type="table" w:customStyle="1" w:styleId="TableGrid24">
    <w:name w:val="Table Grid24"/>
    <w:basedOn w:val="TableNormal"/>
    <w:next w:val="TableGrid"/>
    <w:uiPriority w:val="39"/>
    <w:rsid w:val="00961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
    <w:name w:val="No List126"/>
    <w:next w:val="NoList"/>
    <w:uiPriority w:val="99"/>
    <w:semiHidden/>
    <w:unhideWhenUsed/>
    <w:rsid w:val="00961B35"/>
  </w:style>
  <w:style w:type="numbering" w:customStyle="1" w:styleId="NoList1118">
    <w:name w:val="No List1118"/>
    <w:next w:val="NoList"/>
    <w:semiHidden/>
    <w:rsid w:val="00961B35"/>
  </w:style>
  <w:style w:type="table" w:customStyle="1" w:styleId="TableGrid1100">
    <w:name w:val="Table Grid110"/>
    <w:basedOn w:val="TableNormal"/>
    <w:next w:val="TableGrid"/>
    <w:uiPriority w:val="59"/>
    <w:rsid w:val="00961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7107">
      <w:bodyDiv w:val="1"/>
      <w:marLeft w:val="0"/>
      <w:marRight w:val="0"/>
      <w:marTop w:val="0"/>
      <w:marBottom w:val="0"/>
      <w:divBdr>
        <w:top w:val="none" w:sz="0" w:space="0" w:color="auto"/>
        <w:left w:val="none" w:sz="0" w:space="0" w:color="auto"/>
        <w:bottom w:val="none" w:sz="0" w:space="0" w:color="auto"/>
        <w:right w:val="none" w:sz="0" w:space="0" w:color="auto"/>
      </w:divBdr>
    </w:div>
    <w:div w:id="97062946">
      <w:bodyDiv w:val="1"/>
      <w:marLeft w:val="0"/>
      <w:marRight w:val="0"/>
      <w:marTop w:val="0"/>
      <w:marBottom w:val="0"/>
      <w:divBdr>
        <w:top w:val="none" w:sz="0" w:space="0" w:color="auto"/>
        <w:left w:val="none" w:sz="0" w:space="0" w:color="auto"/>
        <w:bottom w:val="none" w:sz="0" w:space="0" w:color="auto"/>
        <w:right w:val="none" w:sz="0" w:space="0" w:color="auto"/>
      </w:divBdr>
    </w:div>
    <w:div w:id="98794014">
      <w:bodyDiv w:val="1"/>
      <w:marLeft w:val="0"/>
      <w:marRight w:val="0"/>
      <w:marTop w:val="0"/>
      <w:marBottom w:val="0"/>
      <w:divBdr>
        <w:top w:val="none" w:sz="0" w:space="0" w:color="auto"/>
        <w:left w:val="none" w:sz="0" w:space="0" w:color="auto"/>
        <w:bottom w:val="none" w:sz="0" w:space="0" w:color="auto"/>
        <w:right w:val="none" w:sz="0" w:space="0" w:color="auto"/>
      </w:divBdr>
    </w:div>
    <w:div w:id="145555845">
      <w:bodyDiv w:val="1"/>
      <w:marLeft w:val="0"/>
      <w:marRight w:val="0"/>
      <w:marTop w:val="0"/>
      <w:marBottom w:val="0"/>
      <w:divBdr>
        <w:top w:val="none" w:sz="0" w:space="0" w:color="auto"/>
        <w:left w:val="none" w:sz="0" w:space="0" w:color="auto"/>
        <w:bottom w:val="none" w:sz="0" w:space="0" w:color="auto"/>
        <w:right w:val="none" w:sz="0" w:space="0" w:color="auto"/>
      </w:divBdr>
    </w:div>
    <w:div w:id="243032163">
      <w:bodyDiv w:val="1"/>
      <w:marLeft w:val="0"/>
      <w:marRight w:val="0"/>
      <w:marTop w:val="0"/>
      <w:marBottom w:val="0"/>
      <w:divBdr>
        <w:top w:val="none" w:sz="0" w:space="0" w:color="auto"/>
        <w:left w:val="none" w:sz="0" w:space="0" w:color="auto"/>
        <w:bottom w:val="none" w:sz="0" w:space="0" w:color="auto"/>
        <w:right w:val="none" w:sz="0" w:space="0" w:color="auto"/>
      </w:divBdr>
    </w:div>
    <w:div w:id="259916422">
      <w:bodyDiv w:val="1"/>
      <w:marLeft w:val="0"/>
      <w:marRight w:val="0"/>
      <w:marTop w:val="0"/>
      <w:marBottom w:val="0"/>
      <w:divBdr>
        <w:top w:val="none" w:sz="0" w:space="0" w:color="auto"/>
        <w:left w:val="none" w:sz="0" w:space="0" w:color="auto"/>
        <w:bottom w:val="none" w:sz="0" w:space="0" w:color="auto"/>
        <w:right w:val="none" w:sz="0" w:space="0" w:color="auto"/>
      </w:divBdr>
    </w:div>
    <w:div w:id="300502754">
      <w:bodyDiv w:val="1"/>
      <w:marLeft w:val="0"/>
      <w:marRight w:val="0"/>
      <w:marTop w:val="0"/>
      <w:marBottom w:val="0"/>
      <w:divBdr>
        <w:top w:val="none" w:sz="0" w:space="0" w:color="auto"/>
        <w:left w:val="none" w:sz="0" w:space="0" w:color="auto"/>
        <w:bottom w:val="none" w:sz="0" w:space="0" w:color="auto"/>
        <w:right w:val="none" w:sz="0" w:space="0" w:color="auto"/>
      </w:divBdr>
    </w:div>
    <w:div w:id="336809432">
      <w:bodyDiv w:val="1"/>
      <w:marLeft w:val="0"/>
      <w:marRight w:val="0"/>
      <w:marTop w:val="0"/>
      <w:marBottom w:val="0"/>
      <w:divBdr>
        <w:top w:val="none" w:sz="0" w:space="0" w:color="auto"/>
        <w:left w:val="none" w:sz="0" w:space="0" w:color="auto"/>
        <w:bottom w:val="none" w:sz="0" w:space="0" w:color="auto"/>
        <w:right w:val="none" w:sz="0" w:space="0" w:color="auto"/>
      </w:divBdr>
    </w:div>
    <w:div w:id="338898078">
      <w:bodyDiv w:val="1"/>
      <w:marLeft w:val="0"/>
      <w:marRight w:val="0"/>
      <w:marTop w:val="0"/>
      <w:marBottom w:val="0"/>
      <w:divBdr>
        <w:top w:val="none" w:sz="0" w:space="0" w:color="auto"/>
        <w:left w:val="none" w:sz="0" w:space="0" w:color="auto"/>
        <w:bottom w:val="none" w:sz="0" w:space="0" w:color="auto"/>
        <w:right w:val="none" w:sz="0" w:space="0" w:color="auto"/>
      </w:divBdr>
    </w:div>
    <w:div w:id="363482288">
      <w:bodyDiv w:val="1"/>
      <w:marLeft w:val="0"/>
      <w:marRight w:val="0"/>
      <w:marTop w:val="0"/>
      <w:marBottom w:val="0"/>
      <w:divBdr>
        <w:top w:val="none" w:sz="0" w:space="0" w:color="auto"/>
        <w:left w:val="none" w:sz="0" w:space="0" w:color="auto"/>
        <w:bottom w:val="none" w:sz="0" w:space="0" w:color="auto"/>
        <w:right w:val="none" w:sz="0" w:space="0" w:color="auto"/>
      </w:divBdr>
    </w:div>
    <w:div w:id="607200544">
      <w:bodyDiv w:val="1"/>
      <w:marLeft w:val="0"/>
      <w:marRight w:val="0"/>
      <w:marTop w:val="0"/>
      <w:marBottom w:val="0"/>
      <w:divBdr>
        <w:top w:val="none" w:sz="0" w:space="0" w:color="auto"/>
        <w:left w:val="none" w:sz="0" w:space="0" w:color="auto"/>
        <w:bottom w:val="none" w:sz="0" w:space="0" w:color="auto"/>
        <w:right w:val="none" w:sz="0" w:space="0" w:color="auto"/>
      </w:divBdr>
    </w:div>
    <w:div w:id="642002085">
      <w:bodyDiv w:val="1"/>
      <w:marLeft w:val="0"/>
      <w:marRight w:val="0"/>
      <w:marTop w:val="0"/>
      <w:marBottom w:val="0"/>
      <w:divBdr>
        <w:top w:val="none" w:sz="0" w:space="0" w:color="auto"/>
        <w:left w:val="none" w:sz="0" w:space="0" w:color="auto"/>
        <w:bottom w:val="none" w:sz="0" w:space="0" w:color="auto"/>
        <w:right w:val="none" w:sz="0" w:space="0" w:color="auto"/>
      </w:divBdr>
    </w:div>
    <w:div w:id="661465204">
      <w:bodyDiv w:val="1"/>
      <w:marLeft w:val="0"/>
      <w:marRight w:val="0"/>
      <w:marTop w:val="0"/>
      <w:marBottom w:val="0"/>
      <w:divBdr>
        <w:top w:val="none" w:sz="0" w:space="0" w:color="auto"/>
        <w:left w:val="none" w:sz="0" w:space="0" w:color="auto"/>
        <w:bottom w:val="none" w:sz="0" w:space="0" w:color="auto"/>
        <w:right w:val="none" w:sz="0" w:space="0" w:color="auto"/>
      </w:divBdr>
    </w:div>
    <w:div w:id="672148981">
      <w:bodyDiv w:val="1"/>
      <w:marLeft w:val="0"/>
      <w:marRight w:val="0"/>
      <w:marTop w:val="0"/>
      <w:marBottom w:val="0"/>
      <w:divBdr>
        <w:top w:val="none" w:sz="0" w:space="0" w:color="auto"/>
        <w:left w:val="none" w:sz="0" w:space="0" w:color="auto"/>
        <w:bottom w:val="none" w:sz="0" w:space="0" w:color="auto"/>
        <w:right w:val="none" w:sz="0" w:space="0" w:color="auto"/>
      </w:divBdr>
    </w:div>
    <w:div w:id="713309798">
      <w:bodyDiv w:val="1"/>
      <w:marLeft w:val="0"/>
      <w:marRight w:val="0"/>
      <w:marTop w:val="0"/>
      <w:marBottom w:val="0"/>
      <w:divBdr>
        <w:top w:val="none" w:sz="0" w:space="0" w:color="auto"/>
        <w:left w:val="none" w:sz="0" w:space="0" w:color="auto"/>
        <w:bottom w:val="none" w:sz="0" w:space="0" w:color="auto"/>
        <w:right w:val="none" w:sz="0" w:space="0" w:color="auto"/>
      </w:divBdr>
    </w:div>
    <w:div w:id="732123155">
      <w:bodyDiv w:val="1"/>
      <w:marLeft w:val="0"/>
      <w:marRight w:val="0"/>
      <w:marTop w:val="0"/>
      <w:marBottom w:val="0"/>
      <w:divBdr>
        <w:top w:val="none" w:sz="0" w:space="0" w:color="auto"/>
        <w:left w:val="none" w:sz="0" w:space="0" w:color="auto"/>
        <w:bottom w:val="none" w:sz="0" w:space="0" w:color="auto"/>
        <w:right w:val="none" w:sz="0" w:space="0" w:color="auto"/>
      </w:divBdr>
    </w:div>
    <w:div w:id="736587001">
      <w:bodyDiv w:val="1"/>
      <w:marLeft w:val="0"/>
      <w:marRight w:val="0"/>
      <w:marTop w:val="0"/>
      <w:marBottom w:val="0"/>
      <w:divBdr>
        <w:top w:val="none" w:sz="0" w:space="0" w:color="auto"/>
        <w:left w:val="none" w:sz="0" w:space="0" w:color="auto"/>
        <w:bottom w:val="none" w:sz="0" w:space="0" w:color="auto"/>
        <w:right w:val="none" w:sz="0" w:space="0" w:color="auto"/>
      </w:divBdr>
    </w:div>
    <w:div w:id="749352696">
      <w:bodyDiv w:val="1"/>
      <w:marLeft w:val="0"/>
      <w:marRight w:val="0"/>
      <w:marTop w:val="0"/>
      <w:marBottom w:val="0"/>
      <w:divBdr>
        <w:top w:val="none" w:sz="0" w:space="0" w:color="auto"/>
        <w:left w:val="none" w:sz="0" w:space="0" w:color="auto"/>
        <w:bottom w:val="none" w:sz="0" w:space="0" w:color="auto"/>
        <w:right w:val="none" w:sz="0" w:space="0" w:color="auto"/>
      </w:divBdr>
    </w:div>
    <w:div w:id="768082022">
      <w:bodyDiv w:val="1"/>
      <w:marLeft w:val="0"/>
      <w:marRight w:val="0"/>
      <w:marTop w:val="0"/>
      <w:marBottom w:val="0"/>
      <w:divBdr>
        <w:top w:val="none" w:sz="0" w:space="0" w:color="auto"/>
        <w:left w:val="none" w:sz="0" w:space="0" w:color="auto"/>
        <w:bottom w:val="none" w:sz="0" w:space="0" w:color="auto"/>
        <w:right w:val="none" w:sz="0" w:space="0" w:color="auto"/>
      </w:divBdr>
    </w:div>
    <w:div w:id="837118536">
      <w:bodyDiv w:val="1"/>
      <w:marLeft w:val="0"/>
      <w:marRight w:val="0"/>
      <w:marTop w:val="0"/>
      <w:marBottom w:val="0"/>
      <w:divBdr>
        <w:top w:val="none" w:sz="0" w:space="0" w:color="auto"/>
        <w:left w:val="none" w:sz="0" w:space="0" w:color="auto"/>
        <w:bottom w:val="none" w:sz="0" w:space="0" w:color="auto"/>
        <w:right w:val="none" w:sz="0" w:space="0" w:color="auto"/>
      </w:divBdr>
    </w:div>
    <w:div w:id="860893093">
      <w:bodyDiv w:val="1"/>
      <w:marLeft w:val="0"/>
      <w:marRight w:val="0"/>
      <w:marTop w:val="0"/>
      <w:marBottom w:val="0"/>
      <w:divBdr>
        <w:top w:val="none" w:sz="0" w:space="0" w:color="auto"/>
        <w:left w:val="none" w:sz="0" w:space="0" w:color="auto"/>
        <w:bottom w:val="none" w:sz="0" w:space="0" w:color="auto"/>
        <w:right w:val="none" w:sz="0" w:space="0" w:color="auto"/>
      </w:divBdr>
    </w:div>
    <w:div w:id="868225871">
      <w:bodyDiv w:val="1"/>
      <w:marLeft w:val="0"/>
      <w:marRight w:val="0"/>
      <w:marTop w:val="0"/>
      <w:marBottom w:val="0"/>
      <w:divBdr>
        <w:top w:val="none" w:sz="0" w:space="0" w:color="auto"/>
        <w:left w:val="none" w:sz="0" w:space="0" w:color="auto"/>
        <w:bottom w:val="none" w:sz="0" w:space="0" w:color="auto"/>
        <w:right w:val="none" w:sz="0" w:space="0" w:color="auto"/>
      </w:divBdr>
    </w:div>
    <w:div w:id="897057614">
      <w:bodyDiv w:val="1"/>
      <w:marLeft w:val="0"/>
      <w:marRight w:val="0"/>
      <w:marTop w:val="0"/>
      <w:marBottom w:val="0"/>
      <w:divBdr>
        <w:top w:val="none" w:sz="0" w:space="0" w:color="auto"/>
        <w:left w:val="none" w:sz="0" w:space="0" w:color="auto"/>
        <w:bottom w:val="none" w:sz="0" w:space="0" w:color="auto"/>
        <w:right w:val="none" w:sz="0" w:space="0" w:color="auto"/>
      </w:divBdr>
    </w:div>
    <w:div w:id="898171275">
      <w:bodyDiv w:val="1"/>
      <w:marLeft w:val="0"/>
      <w:marRight w:val="0"/>
      <w:marTop w:val="0"/>
      <w:marBottom w:val="0"/>
      <w:divBdr>
        <w:top w:val="none" w:sz="0" w:space="0" w:color="auto"/>
        <w:left w:val="none" w:sz="0" w:space="0" w:color="auto"/>
        <w:bottom w:val="none" w:sz="0" w:space="0" w:color="auto"/>
        <w:right w:val="none" w:sz="0" w:space="0" w:color="auto"/>
      </w:divBdr>
    </w:div>
    <w:div w:id="972516997">
      <w:bodyDiv w:val="1"/>
      <w:marLeft w:val="0"/>
      <w:marRight w:val="0"/>
      <w:marTop w:val="0"/>
      <w:marBottom w:val="0"/>
      <w:divBdr>
        <w:top w:val="none" w:sz="0" w:space="0" w:color="auto"/>
        <w:left w:val="none" w:sz="0" w:space="0" w:color="auto"/>
        <w:bottom w:val="none" w:sz="0" w:space="0" w:color="auto"/>
        <w:right w:val="none" w:sz="0" w:space="0" w:color="auto"/>
      </w:divBdr>
    </w:div>
    <w:div w:id="1012679722">
      <w:bodyDiv w:val="1"/>
      <w:marLeft w:val="0"/>
      <w:marRight w:val="0"/>
      <w:marTop w:val="0"/>
      <w:marBottom w:val="0"/>
      <w:divBdr>
        <w:top w:val="none" w:sz="0" w:space="0" w:color="auto"/>
        <w:left w:val="none" w:sz="0" w:space="0" w:color="auto"/>
        <w:bottom w:val="none" w:sz="0" w:space="0" w:color="auto"/>
        <w:right w:val="none" w:sz="0" w:space="0" w:color="auto"/>
      </w:divBdr>
    </w:div>
    <w:div w:id="1018190345">
      <w:bodyDiv w:val="1"/>
      <w:marLeft w:val="0"/>
      <w:marRight w:val="0"/>
      <w:marTop w:val="0"/>
      <w:marBottom w:val="0"/>
      <w:divBdr>
        <w:top w:val="none" w:sz="0" w:space="0" w:color="auto"/>
        <w:left w:val="none" w:sz="0" w:space="0" w:color="auto"/>
        <w:bottom w:val="none" w:sz="0" w:space="0" w:color="auto"/>
        <w:right w:val="none" w:sz="0" w:space="0" w:color="auto"/>
      </w:divBdr>
    </w:div>
    <w:div w:id="1084644819">
      <w:bodyDiv w:val="1"/>
      <w:marLeft w:val="0"/>
      <w:marRight w:val="0"/>
      <w:marTop w:val="0"/>
      <w:marBottom w:val="0"/>
      <w:divBdr>
        <w:top w:val="none" w:sz="0" w:space="0" w:color="auto"/>
        <w:left w:val="none" w:sz="0" w:space="0" w:color="auto"/>
        <w:bottom w:val="none" w:sz="0" w:space="0" w:color="auto"/>
        <w:right w:val="none" w:sz="0" w:space="0" w:color="auto"/>
      </w:divBdr>
    </w:div>
    <w:div w:id="1120607710">
      <w:bodyDiv w:val="1"/>
      <w:marLeft w:val="0"/>
      <w:marRight w:val="0"/>
      <w:marTop w:val="0"/>
      <w:marBottom w:val="0"/>
      <w:divBdr>
        <w:top w:val="none" w:sz="0" w:space="0" w:color="auto"/>
        <w:left w:val="none" w:sz="0" w:space="0" w:color="auto"/>
        <w:bottom w:val="none" w:sz="0" w:space="0" w:color="auto"/>
        <w:right w:val="none" w:sz="0" w:space="0" w:color="auto"/>
      </w:divBdr>
    </w:div>
    <w:div w:id="1134130242">
      <w:bodyDiv w:val="1"/>
      <w:marLeft w:val="0"/>
      <w:marRight w:val="0"/>
      <w:marTop w:val="0"/>
      <w:marBottom w:val="0"/>
      <w:divBdr>
        <w:top w:val="none" w:sz="0" w:space="0" w:color="auto"/>
        <w:left w:val="none" w:sz="0" w:space="0" w:color="auto"/>
        <w:bottom w:val="none" w:sz="0" w:space="0" w:color="auto"/>
        <w:right w:val="none" w:sz="0" w:space="0" w:color="auto"/>
      </w:divBdr>
    </w:div>
    <w:div w:id="1154759160">
      <w:bodyDiv w:val="1"/>
      <w:marLeft w:val="0"/>
      <w:marRight w:val="0"/>
      <w:marTop w:val="0"/>
      <w:marBottom w:val="0"/>
      <w:divBdr>
        <w:top w:val="none" w:sz="0" w:space="0" w:color="auto"/>
        <w:left w:val="none" w:sz="0" w:space="0" w:color="auto"/>
        <w:bottom w:val="none" w:sz="0" w:space="0" w:color="auto"/>
        <w:right w:val="none" w:sz="0" w:space="0" w:color="auto"/>
      </w:divBdr>
    </w:div>
    <w:div w:id="1161854222">
      <w:bodyDiv w:val="1"/>
      <w:marLeft w:val="0"/>
      <w:marRight w:val="0"/>
      <w:marTop w:val="0"/>
      <w:marBottom w:val="0"/>
      <w:divBdr>
        <w:top w:val="none" w:sz="0" w:space="0" w:color="auto"/>
        <w:left w:val="none" w:sz="0" w:space="0" w:color="auto"/>
        <w:bottom w:val="none" w:sz="0" w:space="0" w:color="auto"/>
        <w:right w:val="none" w:sz="0" w:space="0" w:color="auto"/>
      </w:divBdr>
    </w:div>
    <w:div w:id="1169834707">
      <w:bodyDiv w:val="1"/>
      <w:marLeft w:val="0"/>
      <w:marRight w:val="0"/>
      <w:marTop w:val="0"/>
      <w:marBottom w:val="0"/>
      <w:divBdr>
        <w:top w:val="none" w:sz="0" w:space="0" w:color="auto"/>
        <w:left w:val="none" w:sz="0" w:space="0" w:color="auto"/>
        <w:bottom w:val="none" w:sz="0" w:space="0" w:color="auto"/>
        <w:right w:val="none" w:sz="0" w:space="0" w:color="auto"/>
      </w:divBdr>
    </w:div>
    <w:div w:id="1195776638">
      <w:bodyDiv w:val="1"/>
      <w:marLeft w:val="0"/>
      <w:marRight w:val="0"/>
      <w:marTop w:val="0"/>
      <w:marBottom w:val="0"/>
      <w:divBdr>
        <w:top w:val="none" w:sz="0" w:space="0" w:color="auto"/>
        <w:left w:val="none" w:sz="0" w:space="0" w:color="auto"/>
        <w:bottom w:val="none" w:sz="0" w:space="0" w:color="auto"/>
        <w:right w:val="none" w:sz="0" w:space="0" w:color="auto"/>
      </w:divBdr>
    </w:div>
    <w:div w:id="1222060243">
      <w:bodyDiv w:val="1"/>
      <w:marLeft w:val="0"/>
      <w:marRight w:val="0"/>
      <w:marTop w:val="0"/>
      <w:marBottom w:val="0"/>
      <w:divBdr>
        <w:top w:val="none" w:sz="0" w:space="0" w:color="auto"/>
        <w:left w:val="none" w:sz="0" w:space="0" w:color="auto"/>
        <w:bottom w:val="none" w:sz="0" w:space="0" w:color="auto"/>
        <w:right w:val="none" w:sz="0" w:space="0" w:color="auto"/>
      </w:divBdr>
    </w:div>
    <w:div w:id="1272861352">
      <w:bodyDiv w:val="1"/>
      <w:marLeft w:val="0"/>
      <w:marRight w:val="0"/>
      <w:marTop w:val="0"/>
      <w:marBottom w:val="0"/>
      <w:divBdr>
        <w:top w:val="none" w:sz="0" w:space="0" w:color="auto"/>
        <w:left w:val="none" w:sz="0" w:space="0" w:color="auto"/>
        <w:bottom w:val="none" w:sz="0" w:space="0" w:color="auto"/>
        <w:right w:val="none" w:sz="0" w:space="0" w:color="auto"/>
      </w:divBdr>
    </w:div>
    <w:div w:id="1309239260">
      <w:bodyDiv w:val="1"/>
      <w:marLeft w:val="0"/>
      <w:marRight w:val="0"/>
      <w:marTop w:val="0"/>
      <w:marBottom w:val="0"/>
      <w:divBdr>
        <w:top w:val="none" w:sz="0" w:space="0" w:color="auto"/>
        <w:left w:val="none" w:sz="0" w:space="0" w:color="auto"/>
        <w:bottom w:val="none" w:sz="0" w:space="0" w:color="auto"/>
        <w:right w:val="none" w:sz="0" w:space="0" w:color="auto"/>
      </w:divBdr>
    </w:div>
    <w:div w:id="1374623251">
      <w:bodyDiv w:val="1"/>
      <w:marLeft w:val="0"/>
      <w:marRight w:val="0"/>
      <w:marTop w:val="0"/>
      <w:marBottom w:val="0"/>
      <w:divBdr>
        <w:top w:val="none" w:sz="0" w:space="0" w:color="auto"/>
        <w:left w:val="none" w:sz="0" w:space="0" w:color="auto"/>
        <w:bottom w:val="none" w:sz="0" w:space="0" w:color="auto"/>
        <w:right w:val="none" w:sz="0" w:space="0" w:color="auto"/>
      </w:divBdr>
    </w:div>
    <w:div w:id="1468086967">
      <w:bodyDiv w:val="1"/>
      <w:marLeft w:val="0"/>
      <w:marRight w:val="0"/>
      <w:marTop w:val="0"/>
      <w:marBottom w:val="0"/>
      <w:divBdr>
        <w:top w:val="none" w:sz="0" w:space="0" w:color="auto"/>
        <w:left w:val="none" w:sz="0" w:space="0" w:color="auto"/>
        <w:bottom w:val="none" w:sz="0" w:space="0" w:color="auto"/>
        <w:right w:val="none" w:sz="0" w:space="0" w:color="auto"/>
      </w:divBdr>
    </w:div>
    <w:div w:id="1492141419">
      <w:bodyDiv w:val="1"/>
      <w:marLeft w:val="0"/>
      <w:marRight w:val="0"/>
      <w:marTop w:val="0"/>
      <w:marBottom w:val="0"/>
      <w:divBdr>
        <w:top w:val="none" w:sz="0" w:space="0" w:color="auto"/>
        <w:left w:val="none" w:sz="0" w:space="0" w:color="auto"/>
        <w:bottom w:val="none" w:sz="0" w:space="0" w:color="auto"/>
        <w:right w:val="none" w:sz="0" w:space="0" w:color="auto"/>
      </w:divBdr>
    </w:div>
    <w:div w:id="1543714739">
      <w:bodyDiv w:val="1"/>
      <w:marLeft w:val="0"/>
      <w:marRight w:val="0"/>
      <w:marTop w:val="0"/>
      <w:marBottom w:val="0"/>
      <w:divBdr>
        <w:top w:val="none" w:sz="0" w:space="0" w:color="auto"/>
        <w:left w:val="none" w:sz="0" w:space="0" w:color="auto"/>
        <w:bottom w:val="none" w:sz="0" w:space="0" w:color="auto"/>
        <w:right w:val="none" w:sz="0" w:space="0" w:color="auto"/>
      </w:divBdr>
    </w:div>
    <w:div w:id="1574776707">
      <w:bodyDiv w:val="1"/>
      <w:marLeft w:val="0"/>
      <w:marRight w:val="0"/>
      <w:marTop w:val="0"/>
      <w:marBottom w:val="0"/>
      <w:divBdr>
        <w:top w:val="none" w:sz="0" w:space="0" w:color="auto"/>
        <w:left w:val="none" w:sz="0" w:space="0" w:color="auto"/>
        <w:bottom w:val="none" w:sz="0" w:space="0" w:color="auto"/>
        <w:right w:val="none" w:sz="0" w:space="0" w:color="auto"/>
      </w:divBdr>
    </w:div>
    <w:div w:id="1610971926">
      <w:bodyDiv w:val="1"/>
      <w:marLeft w:val="0"/>
      <w:marRight w:val="0"/>
      <w:marTop w:val="0"/>
      <w:marBottom w:val="0"/>
      <w:divBdr>
        <w:top w:val="none" w:sz="0" w:space="0" w:color="auto"/>
        <w:left w:val="none" w:sz="0" w:space="0" w:color="auto"/>
        <w:bottom w:val="none" w:sz="0" w:space="0" w:color="auto"/>
        <w:right w:val="none" w:sz="0" w:space="0" w:color="auto"/>
      </w:divBdr>
    </w:div>
    <w:div w:id="1640695032">
      <w:bodyDiv w:val="1"/>
      <w:marLeft w:val="0"/>
      <w:marRight w:val="0"/>
      <w:marTop w:val="0"/>
      <w:marBottom w:val="0"/>
      <w:divBdr>
        <w:top w:val="none" w:sz="0" w:space="0" w:color="auto"/>
        <w:left w:val="none" w:sz="0" w:space="0" w:color="auto"/>
        <w:bottom w:val="none" w:sz="0" w:space="0" w:color="auto"/>
        <w:right w:val="none" w:sz="0" w:space="0" w:color="auto"/>
      </w:divBdr>
    </w:div>
    <w:div w:id="1649702469">
      <w:bodyDiv w:val="1"/>
      <w:marLeft w:val="0"/>
      <w:marRight w:val="0"/>
      <w:marTop w:val="0"/>
      <w:marBottom w:val="0"/>
      <w:divBdr>
        <w:top w:val="none" w:sz="0" w:space="0" w:color="auto"/>
        <w:left w:val="none" w:sz="0" w:space="0" w:color="auto"/>
        <w:bottom w:val="none" w:sz="0" w:space="0" w:color="auto"/>
        <w:right w:val="none" w:sz="0" w:space="0" w:color="auto"/>
      </w:divBdr>
    </w:div>
    <w:div w:id="1656952239">
      <w:bodyDiv w:val="1"/>
      <w:marLeft w:val="0"/>
      <w:marRight w:val="0"/>
      <w:marTop w:val="0"/>
      <w:marBottom w:val="0"/>
      <w:divBdr>
        <w:top w:val="none" w:sz="0" w:space="0" w:color="auto"/>
        <w:left w:val="none" w:sz="0" w:space="0" w:color="auto"/>
        <w:bottom w:val="none" w:sz="0" w:space="0" w:color="auto"/>
        <w:right w:val="none" w:sz="0" w:space="0" w:color="auto"/>
      </w:divBdr>
    </w:div>
    <w:div w:id="1694769276">
      <w:bodyDiv w:val="1"/>
      <w:marLeft w:val="0"/>
      <w:marRight w:val="0"/>
      <w:marTop w:val="0"/>
      <w:marBottom w:val="0"/>
      <w:divBdr>
        <w:top w:val="none" w:sz="0" w:space="0" w:color="auto"/>
        <w:left w:val="none" w:sz="0" w:space="0" w:color="auto"/>
        <w:bottom w:val="none" w:sz="0" w:space="0" w:color="auto"/>
        <w:right w:val="none" w:sz="0" w:space="0" w:color="auto"/>
      </w:divBdr>
    </w:div>
    <w:div w:id="1738742965">
      <w:bodyDiv w:val="1"/>
      <w:marLeft w:val="0"/>
      <w:marRight w:val="0"/>
      <w:marTop w:val="0"/>
      <w:marBottom w:val="0"/>
      <w:divBdr>
        <w:top w:val="none" w:sz="0" w:space="0" w:color="auto"/>
        <w:left w:val="none" w:sz="0" w:space="0" w:color="auto"/>
        <w:bottom w:val="none" w:sz="0" w:space="0" w:color="auto"/>
        <w:right w:val="none" w:sz="0" w:space="0" w:color="auto"/>
      </w:divBdr>
    </w:div>
    <w:div w:id="1835994144">
      <w:bodyDiv w:val="1"/>
      <w:marLeft w:val="0"/>
      <w:marRight w:val="0"/>
      <w:marTop w:val="0"/>
      <w:marBottom w:val="0"/>
      <w:divBdr>
        <w:top w:val="none" w:sz="0" w:space="0" w:color="auto"/>
        <w:left w:val="none" w:sz="0" w:space="0" w:color="auto"/>
        <w:bottom w:val="none" w:sz="0" w:space="0" w:color="auto"/>
        <w:right w:val="none" w:sz="0" w:space="0" w:color="auto"/>
      </w:divBdr>
    </w:div>
    <w:div w:id="1958679444">
      <w:bodyDiv w:val="1"/>
      <w:marLeft w:val="0"/>
      <w:marRight w:val="0"/>
      <w:marTop w:val="0"/>
      <w:marBottom w:val="0"/>
      <w:divBdr>
        <w:top w:val="none" w:sz="0" w:space="0" w:color="auto"/>
        <w:left w:val="none" w:sz="0" w:space="0" w:color="auto"/>
        <w:bottom w:val="none" w:sz="0" w:space="0" w:color="auto"/>
        <w:right w:val="none" w:sz="0" w:space="0" w:color="auto"/>
      </w:divBdr>
    </w:div>
    <w:div w:id="2010517897">
      <w:bodyDiv w:val="1"/>
      <w:marLeft w:val="0"/>
      <w:marRight w:val="0"/>
      <w:marTop w:val="0"/>
      <w:marBottom w:val="0"/>
      <w:divBdr>
        <w:top w:val="none" w:sz="0" w:space="0" w:color="auto"/>
        <w:left w:val="none" w:sz="0" w:space="0" w:color="auto"/>
        <w:bottom w:val="none" w:sz="0" w:space="0" w:color="auto"/>
        <w:right w:val="none" w:sz="0" w:space="0" w:color="auto"/>
      </w:divBdr>
    </w:div>
    <w:div w:id="2053726300">
      <w:bodyDiv w:val="1"/>
      <w:marLeft w:val="0"/>
      <w:marRight w:val="0"/>
      <w:marTop w:val="0"/>
      <w:marBottom w:val="0"/>
      <w:divBdr>
        <w:top w:val="none" w:sz="0" w:space="0" w:color="auto"/>
        <w:left w:val="none" w:sz="0" w:space="0" w:color="auto"/>
        <w:bottom w:val="none" w:sz="0" w:space="0" w:color="auto"/>
        <w:right w:val="none" w:sz="0" w:space="0" w:color="auto"/>
      </w:divBdr>
    </w:div>
    <w:div w:id="2070688347">
      <w:bodyDiv w:val="1"/>
      <w:marLeft w:val="0"/>
      <w:marRight w:val="0"/>
      <w:marTop w:val="0"/>
      <w:marBottom w:val="0"/>
      <w:divBdr>
        <w:top w:val="none" w:sz="0" w:space="0" w:color="auto"/>
        <w:left w:val="none" w:sz="0" w:space="0" w:color="auto"/>
        <w:bottom w:val="none" w:sz="0" w:space="0" w:color="auto"/>
        <w:right w:val="none" w:sz="0" w:space="0" w:color="auto"/>
      </w:divBdr>
    </w:div>
    <w:div w:id="214010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armstat.am/file/article/sv_06_18a_141.pdf"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0.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11.xlsx"/><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1481561970740482E-2"/>
          <c:y val="5.1624134561479289E-2"/>
          <c:w val="0.89278984175347875"/>
          <c:h val="0.69456921837918228"/>
        </c:manualLayout>
      </c:layout>
      <c:barChart>
        <c:barDir val="col"/>
        <c:grouping val="stacked"/>
        <c:varyColors val="0"/>
        <c:ser>
          <c:idx val="0"/>
          <c:order val="0"/>
          <c:tx>
            <c:strRef>
              <c:f>Sheet1!$B$1</c:f>
              <c:strCache>
                <c:ptCount val="1"/>
                <c:pt idx="0">
                  <c:v>Արդյունաբերություն</c:v>
                </c:pt>
              </c:strCache>
            </c:strRef>
          </c:tx>
          <c:spPr>
            <a:solidFill>
              <a:srgbClr val="4BACC6">
                <a:lumMod val="40000"/>
                <a:lumOff val="60000"/>
              </a:srgbClr>
            </a:solidFill>
            <a:ln>
              <a:solidFill>
                <a:sysClr val="windowText" lastClr="000000"/>
              </a:solidFill>
            </a:ln>
          </c:spPr>
          <c:invertIfNegative val="0"/>
          <c:cat>
            <c:strRef>
              <c:f>Sheet1!$A$2:$A$6</c:f>
              <c:strCache>
                <c:ptCount val="5"/>
                <c:pt idx="0">
                  <c:v>2016</c:v>
                </c:pt>
                <c:pt idx="1">
                  <c:v>2017</c:v>
                </c:pt>
                <c:pt idx="2">
                  <c:v>2018</c:v>
                </c:pt>
                <c:pt idx="3">
                  <c:v>2019*</c:v>
                </c:pt>
                <c:pt idx="4">
                  <c:v>2020*</c:v>
                </c:pt>
              </c:strCache>
            </c:strRef>
          </c:cat>
          <c:val>
            <c:numRef>
              <c:f>Sheet1!$B$2:$B$6</c:f>
              <c:numCache>
                <c:formatCode>0.0</c:formatCode>
                <c:ptCount val="5"/>
                <c:pt idx="0">
                  <c:v>1.2443214248807819</c:v>
                </c:pt>
                <c:pt idx="1">
                  <c:v>2.0948895026506751</c:v>
                </c:pt>
                <c:pt idx="2">
                  <c:v>1.0777091150419773</c:v>
                </c:pt>
                <c:pt idx="3">
                  <c:v>1.1933079215336828</c:v>
                </c:pt>
                <c:pt idx="4">
                  <c:v>0.91188711846098469</c:v>
                </c:pt>
              </c:numCache>
            </c:numRef>
          </c:val>
          <c:extLst>
            <c:ext xmlns:c16="http://schemas.microsoft.com/office/drawing/2014/chart" uri="{C3380CC4-5D6E-409C-BE32-E72D297353CC}">
              <c16:uniqueId val="{00000000-0980-4E3E-BD3D-6BFC2BF04108}"/>
            </c:ext>
          </c:extLst>
        </c:ser>
        <c:ser>
          <c:idx val="1"/>
          <c:order val="1"/>
          <c:tx>
            <c:strRef>
              <c:f>Sheet1!$C$1</c:f>
              <c:strCache>
                <c:ptCount val="1"/>
                <c:pt idx="0">
                  <c:v>Գյուղատնտեսություն</c:v>
                </c:pt>
              </c:strCache>
            </c:strRef>
          </c:tx>
          <c:spPr>
            <a:ln>
              <a:solidFill>
                <a:sysClr val="windowText" lastClr="000000"/>
              </a:solidFill>
            </a:ln>
          </c:spPr>
          <c:invertIfNegative val="0"/>
          <c:cat>
            <c:strRef>
              <c:f>Sheet1!$A$2:$A$6</c:f>
              <c:strCache>
                <c:ptCount val="5"/>
                <c:pt idx="0">
                  <c:v>2016</c:v>
                </c:pt>
                <c:pt idx="1">
                  <c:v>2017</c:v>
                </c:pt>
                <c:pt idx="2">
                  <c:v>2018</c:v>
                </c:pt>
                <c:pt idx="3">
                  <c:v>2019*</c:v>
                </c:pt>
                <c:pt idx="4">
                  <c:v>2020*</c:v>
                </c:pt>
              </c:strCache>
            </c:strRef>
          </c:cat>
          <c:val>
            <c:numRef>
              <c:f>Sheet1!$C$2:$C$6</c:f>
              <c:numCache>
                <c:formatCode>0.0</c:formatCode>
                <c:ptCount val="5"/>
                <c:pt idx="0">
                  <c:v>-0.86115600159028194</c:v>
                </c:pt>
                <c:pt idx="1">
                  <c:v>-0.83591415022634752</c:v>
                </c:pt>
                <c:pt idx="2">
                  <c:v>-1.2745121105635981</c:v>
                </c:pt>
                <c:pt idx="3">
                  <c:v>2.7391721655449501E-2</c:v>
                </c:pt>
                <c:pt idx="4">
                  <c:v>6.4318077616339092E-2</c:v>
                </c:pt>
              </c:numCache>
            </c:numRef>
          </c:val>
          <c:extLst>
            <c:ext xmlns:c16="http://schemas.microsoft.com/office/drawing/2014/chart" uri="{C3380CC4-5D6E-409C-BE32-E72D297353CC}">
              <c16:uniqueId val="{00000001-0980-4E3E-BD3D-6BFC2BF04108}"/>
            </c:ext>
          </c:extLst>
        </c:ser>
        <c:ser>
          <c:idx val="2"/>
          <c:order val="2"/>
          <c:tx>
            <c:strRef>
              <c:f>Sheet1!$D$1</c:f>
              <c:strCache>
                <c:ptCount val="1"/>
                <c:pt idx="0">
                  <c:v>Շինարարություն</c:v>
                </c:pt>
              </c:strCache>
            </c:strRef>
          </c:tx>
          <c:spPr>
            <a:pattFill prst="dkVert">
              <a:fgClr>
                <a:srgbClr val="9BBB59">
                  <a:lumMod val="50000"/>
                </a:srgbClr>
              </a:fgClr>
              <a:bgClr>
                <a:sysClr val="window" lastClr="FFFFFF"/>
              </a:bgClr>
            </a:pattFill>
            <a:ln>
              <a:solidFill>
                <a:sysClr val="windowText" lastClr="000000"/>
              </a:solidFill>
            </a:ln>
          </c:spPr>
          <c:invertIfNegative val="0"/>
          <c:cat>
            <c:strRef>
              <c:f>Sheet1!$A$2:$A$6</c:f>
              <c:strCache>
                <c:ptCount val="5"/>
                <c:pt idx="0">
                  <c:v>2016</c:v>
                </c:pt>
                <c:pt idx="1">
                  <c:v>2017</c:v>
                </c:pt>
                <c:pt idx="2">
                  <c:v>2018</c:v>
                </c:pt>
                <c:pt idx="3">
                  <c:v>2019*</c:v>
                </c:pt>
                <c:pt idx="4">
                  <c:v>2020*</c:v>
                </c:pt>
              </c:strCache>
            </c:strRef>
          </c:cat>
          <c:val>
            <c:numRef>
              <c:f>Sheet1!$D$2:$D$6</c:f>
              <c:numCache>
                <c:formatCode>0.0</c:formatCode>
                <c:ptCount val="5"/>
                <c:pt idx="0">
                  <c:v>-1.3254153176721872</c:v>
                </c:pt>
                <c:pt idx="1">
                  <c:v>0.21725481659982779</c:v>
                </c:pt>
                <c:pt idx="2">
                  <c:v>5.8140452788396489E-2</c:v>
                </c:pt>
                <c:pt idx="3">
                  <c:v>0.26499300647898771</c:v>
                </c:pt>
                <c:pt idx="4">
                  <c:v>0.25706920442191605</c:v>
                </c:pt>
              </c:numCache>
            </c:numRef>
          </c:val>
          <c:extLst>
            <c:ext xmlns:c16="http://schemas.microsoft.com/office/drawing/2014/chart" uri="{C3380CC4-5D6E-409C-BE32-E72D297353CC}">
              <c16:uniqueId val="{00000002-0980-4E3E-BD3D-6BFC2BF04108}"/>
            </c:ext>
          </c:extLst>
        </c:ser>
        <c:ser>
          <c:idx val="3"/>
          <c:order val="3"/>
          <c:tx>
            <c:strRef>
              <c:f>Sheet1!$E$1</c:f>
              <c:strCache>
                <c:ptCount val="1"/>
                <c:pt idx="0">
                  <c:v>Ծառայություններ</c:v>
                </c:pt>
              </c:strCache>
            </c:strRef>
          </c:tx>
          <c:spPr>
            <a:pattFill prst="dkDnDiag">
              <a:fgClr>
                <a:srgbClr val="4F81BD"/>
              </a:fgClr>
              <a:bgClr>
                <a:sysClr val="window" lastClr="FFFFFF"/>
              </a:bgClr>
            </a:pattFill>
            <a:ln>
              <a:solidFill>
                <a:sysClr val="windowText" lastClr="000000"/>
              </a:solidFill>
            </a:ln>
          </c:spPr>
          <c:invertIfNegative val="0"/>
          <c:cat>
            <c:strRef>
              <c:f>Sheet1!$A$2:$A$6</c:f>
              <c:strCache>
                <c:ptCount val="5"/>
                <c:pt idx="0">
                  <c:v>2016</c:v>
                </c:pt>
                <c:pt idx="1">
                  <c:v>2017</c:v>
                </c:pt>
                <c:pt idx="2">
                  <c:v>2018</c:v>
                </c:pt>
                <c:pt idx="3">
                  <c:v>2019*</c:v>
                </c:pt>
                <c:pt idx="4">
                  <c:v>2020*</c:v>
                </c:pt>
              </c:strCache>
            </c:strRef>
          </c:cat>
          <c:val>
            <c:numRef>
              <c:f>Sheet1!$E$2:$E$6</c:f>
              <c:numCache>
                <c:formatCode>0.0</c:formatCode>
                <c:ptCount val="5"/>
                <c:pt idx="0">
                  <c:v>1.4910206600470524</c:v>
                </c:pt>
                <c:pt idx="1">
                  <c:v>5.0886627683989687</c:v>
                </c:pt>
                <c:pt idx="2">
                  <c:v>4.5528754001734466</c:v>
                </c:pt>
                <c:pt idx="3">
                  <c:v>4.1048812516901307</c:v>
                </c:pt>
                <c:pt idx="4">
                  <c:v>3.0660188833227529</c:v>
                </c:pt>
              </c:numCache>
            </c:numRef>
          </c:val>
          <c:extLst>
            <c:ext xmlns:c16="http://schemas.microsoft.com/office/drawing/2014/chart" uri="{C3380CC4-5D6E-409C-BE32-E72D297353CC}">
              <c16:uniqueId val="{00000003-0980-4E3E-BD3D-6BFC2BF04108}"/>
            </c:ext>
          </c:extLst>
        </c:ser>
        <c:ser>
          <c:idx val="4"/>
          <c:order val="4"/>
          <c:tx>
            <c:strRef>
              <c:f>Sheet1!$F$1</c:f>
              <c:strCache>
                <c:ptCount val="1"/>
                <c:pt idx="0">
                  <c:v>Զուտ անուղղակի հարկեր</c:v>
                </c:pt>
              </c:strCache>
            </c:strRef>
          </c:tx>
          <c:spPr>
            <a:pattFill prst="zigZag">
              <a:fgClr>
                <a:srgbClr val="9BBB59">
                  <a:lumMod val="50000"/>
                </a:srgbClr>
              </a:fgClr>
              <a:bgClr>
                <a:sysClr val="window" lastClr="FFFFFF"/>
              </a:bgClr>
            </a:pattFill>
            <a:ln>
              <a:solidFill>
                <a:sysClr val="windowText" lastClr="000000"/>
              </a:solidFill>
            </a:ln>
          </c:spPr>
          <c:invertIfNegative val="0"/>
          <c:cat>
            <c:strRef>
              <c:f>Sheet1!$A$2:$A$6</c:f>
              <c:strCache>
                <c:ptCount val="5"/>
                <c:pt idx="0">
                  <c:v>2016</c:v>
                </c:pt>
                <c:pt idx="1">
                  <c:v>2017</c:v>
                </c:pt>
                <c:pt idx="2">
                  <c:v>2018</c:v>
                </c:pt>
                <c:pt idx="3">
                  <c:v>2019*</c:v>
                </c:pt>
                <c:pt idx="4">
                  <c:v>2020*</c:v>
                </c:pt>
              </c:strCache>
            </c:strRef>
          </c:cat>
          <c:val>
            <c:numRef>
              <c:f>Sheet1!$F$2:$F$6</c:f>
              <c:numCache>
                <c:formatCode>0.0</c:formatCode>
                <c:ptCount val="5"/>
                <c:pt idx="0">
                  <c:v>-0.39306269734286087</c:v>
                </c:pt>
                <c:pt idx="1">
                  <c:v>0.97397060580761652</c:v>
                </c:pt>
                <c:pt idx="2">
                  <c:v>0.82246482352669914</c:v>
                </c:pt>
                <c:pt idx="3">
                  <c:v>0.70245016280525119</c:v>
                </c:pt>
                <c:pt idx="4">
                  <c:v>0.60269465557069324</c:v>
                </c:pt>
              </c:numCache>
            </c:numRef>
          </c:val>
          <c:extLst>
            <c:ext xmlns:c16="http://schemas.microsoft.com/office/drawing/2014/chart" uri="{C3380CC4-5D6E-409C-BE32-E72D297353CC}">
              <c16:uniqueId val="{00000004-0980-4E3E-BD3D-6BFC2BF04108}"/>
            </c:ext>
          </c:extLst>
        </c:ser>
        <c:dLbls>
          <c:showLegendKey val="0"/>
          <c:showVal val="0"/>
          <c:showCatName val="0"/>
          <c:showSerName val="0"/>
          <c:showPercent val="0"/>
          <c:showBubbleSize val="0"/>
        </c:dLbls>
        <c:gapWidth val="150"/>
        <c:overlap val="100"/>
        <c:axId val="116397952"/>
        <c:axId val="116399488"/>
      </c:barChart>
      <c:lineChart>
        <c:grouping val="standard"/>
        <c:varyColors val="0"/>
        <c:ser>
          <c:idx val="5"/>
          <c:order val="5"/>
          <c:tx>
            <c:strRef>
              <c:f>Sheet1!$G$1</c:f>
              <c:strCache>
                <c:ptCount val="1"/>
                <c:pt idx="0">
                  <c:v>ՀՆԱ</c:v>
                </c:pt>
              </c:strCache>
            </c:strRef>
          </c:tx>
          <c:dLbls>
            <c:dLbl>
              <c:idx val="0"/>
              <c:layout>
                <c:manualLayout>
                  <c:x val="-3.5161832702816344E-2"/>
                  <c:y val="-3.6143066304120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980-4E3E-BD3D-6BFC2BF04108}"/>
                </c:ext>
              </c:extLst>
            </c:dLbl>
            <c:dLbl>
              <c:idx val="1"/>
              <c:layout>
                <c:manualLayout>
                  <c:x val="-3.8692231566892749E-2"/>
                  <c:y val="-5.371985895613719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980-4E3E-BD3D-6BFC2BF04108}"/>
                </c:ext>
              </c:extLst>
            </c:dLbl>
            <c:dLbl>
              <c:idx val="2"/>
              <c:layout>
                <c:manualLayout>
                  <c:x val="-3.0937368642286689E-2"/>
                  <c:y val="4.333821376281112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980-4E3E-BD3D-6BFC2BF04108}"/>
                </c:ext>
              </c:extLst>
            </c:dLbl>
            <c:dLbl>
              <c:idx val="3"/>
              <c:layout>
                <c:manualLayout>
                  <c:x val="-3.8009750672716926E-2"/>
                  <c:y val="-4.869274210416230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980-4E3E-BD3D-6BFC2BF04108}"/>
                </c:ext>
              </c:extLst>
            </c:dLbl>
            <c:dLbl>
              <c:idx val="4"/>
              <c:layout>
                <c:manualLayout>
                  <c:x val="-3.6034130664310285E-2"/>
                  <c:y val="-4.45095168374817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980-4E3E-BD3D-6BFC2BF04108}"/>
                </c:ext>
              </c:extLst>
            </c:dLbl>
            <c:spPr>
              <a:noFill/>
              <a:ln>
                <a:noFill/>
              </a:ln>
              <a:effectLst/>
            </c:spPr>
            <c:txPr>
              <a:bodyPr/>
              <a:lstStyle/>
              <a:p>
                <a:pPr>
                  <a:defRPr lang="ru-RU" b="1">
                    <a:latin typeface="GHEA Grapalat" pitchFamily="50"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2016</c:v>
                </c:pt>
                <c:pt idx="1">
                  <c:v>2017</c:v>
                </c:pt>
                <c:pt idx="2">
                  <c:v>2018</c:v>
                </c:pt>
                <c:pt idx="3">
                  <c:v>2019*</c:v>
                </c:pt>
                <c:pt idx="4">
                  <c:v>2020*</c:v>
                </c:pt>
              </c:strCache>
            </c:strRef>
          </c:cat>
          <c:val>
            <c:numRef>
              <c:f>Sheet1!$G$2:$G$6</c:f>
              <c:numCache>
                <c:formatCode>0.0</c:formatCode>
                <c:ptCount val="5"/>
                <c:pt idx="0">
                  <c:v>0.22798921023837349</c:v>
                </c:pt>
                <c:pt idx="1">
                  <c:v>7.5</c:v>
                </c:pt>
                <c:pt idx="2">
                  <c:v>5.2</c:v>
                </c:pt>
                <c:pt idx="3">
                  <c:v>6.3</c:v>
                </c:pt>
                <c:pt idx="4">
                  <c:v>4.9000000000000004</c:v>
                </c:pt>
              </c:numCache>
            </c:numRef>
          </c:val>
          <c:smooth val="0"/>
          <c:extLst>
            <c:ext xmlns:c16="http://schemas.microsoft.com/office/drawing/2014/chart" uri="{C3380CC4-5D6E-409C-BE32-E72D297353CC}">
              <c16:uniqueId val="{0000000A-0980-4E3E-BD3D-6BFC2BF04108}"/>
            </c:ext>
          </c:extLst>
        </c:ser>
        <c:dLbls>
          <c:showLegendKey val="0"/>
          <c:showVal val="0"/>
          <c:showCatName val="0"/>
          <c:showSerName val="0"/>
          <c:showPercent val="0"/>
          <c:showBubbleSize val="0"/>
        </c:dLbls>
        <c:marker val="1"/>
        <c:smooth val="0"/>
        <c:axId val="116397952"/>
        <c:axId val="116399488"/>
      </c:lineChart>
      <c:catAx>
        <c:axId val="116397952"/>
        <c:scaling>
          <c:orientation val="minMax"/>
        </c:scaling>
        <c:delete val="0"/>
        <c:axPos val="b"/>
        <c:numFmt formatCode="General" sourceLinked="1"/>
        <c:majorTickMark val="out"/>
        <c:minorTickMark val="none"/>
        <c:tickLblPos val="low"/>
        <c:txPr>
          <a:bodyPr/>
          <a:lstStyle/>
          <a:p>
            <a:pPr>
              <a:defRPr lang="ru-RU">
                <a:latin typeface="GHEA Grapalat" pitchFamily="50" charset="0"/>
              </a:defRPr>
            </a:pPr>
            <a:endParaRPr lang="en-US"/>
          </a:p>
        </c:txPr>
        <c:crossAx val="116399488"/>
        <c:crosses val="autoZero"/>
        <c:auto val="1"/>
        <c:lblAlgn val="ctr"/>
        <c:lblOffset val="100"/>
        <c:noMultiLvlLbl val="0"/>
      </c:catAx>
      <c:valAx>
        <c:axId val="116399488"/>
        <c:scaling>
          <c:orientation val="minMax"/>
          <c:min val="-3"/>
        </c:scaling>
        <c:delete val="0"/>
        <c:axPos val="l"/>
        <c:majorGridlines/>
        <c:numFmt formatCode="0.0" sourceLinked="1"/>
        <c:majorTickMark val="out"/>
        <c:minorTickMark val="none"/>
        <c:tickLblPos val="nextTo"/>
        <c:txPr>
          <a:bodyPr/>
          <a:lstStyle/>
          <a:p>
            <a:pPr>
              <a:defRPr lang="ru-RU">
                <a:latin typeface="GHEA Grapalat" pitchFamily="50" charset="0"/>
              </a:defRPr>
            </a:pPr>
            <a:endParaRPr lang="en-US"/>
          </a:p>
        </c:txPr>
        <c:crossAx val="116397952"/>
        <c:crosses val="autoZero"/>
        <c:crossBetween val="between"/>
      </c:valAx>
    </c:plotArea>
    <c:legend>
      <c:legendPos val="b"/>
      <c:layout>
        <c:manualLayout>
          <c:xMode val="edge"/>
          <c:yMode val="edge"/>
          <c:x val="2.2378720629656498E-2"/>
          <c:y val="0.86552676523048089"/>
          <c:w val="0.91113234899861906"/>
          <c:h val="0.10904120147499868"/>
        </c:manualLayout>
      </c:layout>
      <c:overlay val="0"/>
      <c:txPr>
        <a:bodyPr/>
        <a:lstStyle/>
        <a:p>
          <a:pPr>
            <a:defRPr lang="ru-RU" sz="800">
              <a:latin typeface="GHEA Grapalat" pitchFamily="50" charset="0"/>
            </a:defRPr>
          </a:pPr>
          <a:endParaRPr lang="en-US"/>
        </a:p>
      </c:txPr>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5286769205662759E-2"/>
          <c:y val="5.1639626442043583E-2"/>
          <c:w val="0.93471321579867161"/>
          <c:h val="0.69998307909480162"/>
        </c:manualLayout>
      </c:layout>
      <c:barChart>
        <c:barDir val="col"/>
        <c:grouping val="stacked"/>
        <c:varyColors val="0"/>
        <c:ser>
          <c:idx val="0"/>
          <c:order val="0"/>
          <c:tx>
            <c:strRef>
              <c:f>Sheet1!$B$1</c:f>
              <c:strCache>
                <c:ptCount val="1"/>
                <c:pt idx="0">
                  <c:v>Եկամուտների ազդակ</c:v>
                </c:pt>
              </c:strCache>
            </c:strRef>
          </c:tx>
          <c:invertIfNegative val="0"/>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Sheet1!$B$2:$B$8</c:f>
              <c:numCache>
                <c:formatCode>0.0</c:formatCode>
                <c:ptCount val="7"/>
                <c:pt idx="0">
                  <c:v>5.9691979128615999E-2</c:v>
                </c:pt>
                <c:pt idx="1">
                  <c:v>0.92916246759865428</c:v>
                </c:pt>
                <c:pt idx="2">
                  <c:v>0.15809465375660489</c:v>
                </c:pt>
                <c:pt idx="3">
                  <c:v>-0.13736010228996864</c:v>
                </c:pt>
                <c:pt idx="4">
                  <c:v>-1.2916361451922562</c:v>
                </c:pt>
                <c:pt idx="5">
                  <c:v>-0.3050113521275945</c:v>
                </c:pt>
                <c:pt idx="6">
                  <c:v>-0.18867903953410023</c:v>
                </c:pt>
              </c:numCache>
            </c:numRef>
          </c:val>
          <c:extLst>
            <c:ext xmlns:c16="http://schemas.microsoft.com/office/drawing/2014/chart" uri="{C3380CC4-5D6E-409C-BE32-E72D297353CC}">
              <c16:uniqueId val="{00000000-2ECA-4A8C-BEE3-48F93E142266}"/>
            </c:ext>
          </c:extLst>
        </c:ser>
        <c:ser>
          <c:idx val="1"/>
          <c:order val="1"/>
          <c:tx>
            <c:strRef>
              <c:f>Sheet1!$C$1</c:f>
              <c:strCache>
                <c:ptCount val="1"/>
                <c:pt idx="0">
                  <c:v>Ծախսերի ազդակ</c:v>
                </c:pt>
              </c:strCache>
            </c:strRef>
          </c:tx>
          <c:spPr>
            <a:pattFill prst="dkDnDiag">
              <a:fgClr>
                <a:schemeClr val="accent1"/>
              </a:fgClr>
              <a:bgClr>
                <a:schemeClr val="bg1"/>
              </a:bgClr>
            </a:pattFill>
          </c:spPr>
          <c:invertIfNegative val="0"/>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Sheet1!$C$2:$C$8</c:f>
              <c:numCache>
                <c:formatCode>0.0</c:formatCode>
                <c:ptCount val="7"/>
                <c:pt idx="0">
                  <c:v>7.1077437201477814E-2</c:v>
                </c:pt>
                <c:pt idx="1">
                  <c:v>1.8397043018181702</c:v>
                </c:pt>
                <c:pt idx="2">
                  <c:v>-1.1065687675951448</c:v>
                </c:pt>
                <c:pt idx="3">
                  <c:v>-1.2790718973286388</c:v>
                </c:pt>
                <c:pt idx="4">
                  <c:v>-1.0236345866068142</c:v>
                </c:pt>
                <c:pt idx="5">
                  <c:v>-1.416876286315708E-3</c:v>
                </c:pt>
                <c:pt idx="6">
                  <c:v>2.3996762231462383</c:v>
                </c:pt>
              </c:numCache>
            </c:numRef>
          </c:val>
          <c:extLst>
            <c:ext xmlns:c16="http://schemas.microsoft.com/office/drawing/2014/chart" uri="{C3380CC4-5D6E-409C-BE32-E72D297353CC}">
              <c16:uniqueId val="{00000001-2ECA-4A8C-BEE3-48F93E142266}"/>
            </c:ext>
          </c:extLst>
        </c:ser>
        <c:dLbls>
          <c:showLegendKey val="0"/>
          <c:showVal val="0"/>
          <c:showCatName val="0"/>
          <c:showSerName val="0"/>
          <c:showPercent val="0"/>
          <c:showBubbleSize val="0"/>
        </c:dLbls>
        <c:gapWidth val="150"/>
        <c:overlap val="100"/>
        <c:axId val="117724288"/>
        <c:axId val="117725824"/>
      </c:barChart>
      <c:lineChart>
        <c:grouping val="standard"/>
        <c:varyColors val="0"/>
        <c:ser>
          <c:idx val="2"/>
          <c:order val="2"/>
          <c:tx>
            <c:strRef>
              <c:f>Sheet1!$D$1</c:f>
              <c:strCache>
                <c:ptCount val="1"/>
                <c:pt idx="0">
                  <c:v>Հարկաբյուջետային ազդակ</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Sheet1!$D$2:$D$8</c:f>
              <c:numCache>
                <c:formatCode>0.0</c:formatCode>
                <c:ptCount val="7"/>
                <c:pt idx="0">
                  <c:v>0.13076941633009384</c:v>
                </c:pt>
                <c:pt idx="1">
                  <c:v>2.768866769416825</c:v>
                </c:pt>
                <c:pt idx="2">
                  <c:v>-0.94847411383854019</c:v>
                </c:pt>
                <c:pt idx="3">
                  <c:v>-1.4164319996186079</c:v>
                </c:pt>
                <c:pt idx="4">
                  <c:v>-2.3152707317990702</c:v>
                </c:pt>
                <c:pt idx="5">
                  <c:v>-0.30642822841391032</c:v>
                </c:pt>
                <c:pt idx="6">
                  <c:v>2.21099718361214</c:v>
                </c:pt>
              </c:numCache>
            </c:numRef>
          </c:val>
          <c:smooth val="0"/>
          <c:extLst>
            <c:ext xmlns:c16="http://schemas.microsoft.com/office/drawing/2014/chart" uri="{C3380CC4-5D6E-409C-BE32-E72D297353CC}">
              <c16:uniqueId val="{00000002-2ECA-4A8C-BEE3-48F93E142266}"/>
            </c:ext>
          </c:extLst>
        </c:ser>
        <c:dLbls>
          <c:showLegendKey val="0"/>
          <c:showVal val="0"/>
          <c:showCatName val="0"/>
          <c:showSerName val="0"/>
          <c:showPercent val="0"/>
          <c:showBubbleSize val="0"/>
        </c:dLbls>
        <c:marker val="1"/>
        <c:smooth val="0"/>
        <c:axId val="117724288"/>
        <c:axId val="117725824"/>
      </c:lineChart>
      <c:catAx>
        <c:axId val="117724288"/>
        <c:scaling>
          <c:orientation val="minMax"/>
        </c:scaling>
        <c:delete val="0"/>
        <c:axPos val="b"/>
        <c:numFmt formatCode="General" sourceLinked="1"/>
        <c:majorTickMark val="out"/>
        <c:minorTickMark val="none"/>
        <c:tickLblPos val="low"/>
        <c:txPr>
          <a:bodyPr/>
          <a:lstStyle/>
          <a:p>
            <a:pPr>
              <a:defRPr sz="1000"/>
            </a:pPr>
            <a:endParaRPr lang="en-US"/>
          </a:p>
        </c:txPr>
        <c:crossAx val="117725824"/>
        <c:crosses val="autoZero"/>
        <c:auto val="1"/>
        <c:lblAlgn val="ctr"/>
        <c:lblOffset val="100"/>
        <c:noMultiLvlLbl val="0"/>
      </c:catAx>
      <c:valAx>
        <c:axId val="117725824"/>
        <c:scaling>
          <c:orientation val="minMax"/>
        </c:scaling>
        <c:delete val="0"/>
        <c:axPos val="l"/>
        <c:majorGridlines/>
        <c:numFmt formatCode="0.0" sourceLinked="1"/>
        <c:majorTickMark val="out"/>
        <c:minorTickMark val="none"/>
        <c:tickLblPos val="nextTo"/>
        <c:crossAx val="117724288"/>
        <c:crosses val="autoZero"/>
        <c:crossBetween val="between"/>
      </c:valAx>
      <c:spPr>
        <a:noFill/>
        <a:ln w="25400">
          <a:noFill/>
        </a:ln>
      </c:spPr>
    </c:plotArea>
    <c:legend>
      <c:legendPos val="b"/>
      <c:layout>
        <c:manualLayout>
          <c:xMode val="edge"/>
          <c:yMode val="edge"/>
          <c:x val="4.9999961518836206E-2"/>
          <c:y val="0.88645423590523309"/>
          <c:w val="0.89999992303767262"/>
          <c:h val="0.11354576409476629"/>
        </c:manualLayout>
      </c:layout>
      <c:overlay val="0"/>
    </c:legend>
    <c:plotVisOnly val="1"/>
    <c:dispBlanksAs val="gap"/>
    <c:showDLblsOverMax val="0"/>
  </c:chart>
  <c:txPr>
    <a:bodyPr/>
    <a:lstStyle/>
    <a:p>
      <a:pPr>
        <a:defRPr>
          <a:latin typeface="GHEA Grapalat" pitchFamily="50" charset="0"/>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227253988539392"/>
          <c:y val="0.13173889270387845"/>
          <c:w val="0.84534030535631255"/>
          <c:h val="0.61959206817642054"/>
        </c:manualLayout>
      </c:layout>
      <c:barChart>
        <c:barDir val="col"/>
        <c:grouping val="clustered"/>
        <c:varyColors val="0"/>
        <c:ser>
          <c:idx val="0"/>
          <c:order val="0"/>
          <c:tx>
            <c:strRef>
              <c:f>Sheet1!$B$1</c:f>
              <c:strCache>
                <c:ptCount val="1"/>
                <c:pt idx="0">
                  <c:v>Կապիտալ ծախսեր/ՀՆԱ-ում,%</c:v>
                </c:pt>
              </c:strCache>
            </c:strRef>
          </c:tx>
          <c:spPr>
            <a:solidFill>
              <a:srgbClr val="509CD0"/>
            </a:solidFill>
          </c:spPr>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2015</c:v>
                </c:pt>
                <c:pt idx="1">
                  <c:v>2016</c:v>
                </c:pt>
                <c:pt idx="2">
                  <c:v>2017</c:v>
                </c:pt>
                <c:pt idx="3">
                  <c:v>2018</c:v>
                </c:pt>
                <c:pt idx="4">
                  <c:v>2019*</c:v>
                </c:pt>
                <c:pt idx="5">
                  <c:v>2020*</c:v>
                </c:pt>
              </c:strCache>
            </c:strRef>
          </c:cat>
          <c:val>
            <c:numRef>
              <c:f>Sheet1!$B$2:$B$7</c:f>
              <c:numCache>
                <c:formatCode>0.0</c:formatCode>
                <c:ptCount val="6"/>
                <c:pt idx="0">
                  <c:v>3.4143349778092502</c:v>
                </c:pt>
                <c:pt idx="1">
                  <c:v>3.4559315086051363</c:v>
                </c:pt>
                <c:pt idx="2">
                  <c:v>4.2840539191591782</c:v>
                </c:pt>
                <c:pt idx="3">
                  <c:v>2.5310011836521595</c:v>
                </c:pt>
                <c:pt idx="4">
                  <c:v>2.8316563104408212</c:v>
                </c:pt>
                <c:pt idx="5">
                  <c:v>4.0999999999999996</c:v>
                </c:pt>
              </c:numCache>
            </c:numRef>
          </c:val>
          <c:extLst>
            <c:ext xmlns:c16="http://schemas.microsoft.com/office/drawing/2014/chart" uri="{C3380CC4-5D6E-409C-BE32-E72D297353CC}">
              <c16:uniqueId val="{00000000-4080-47F9-8071-31C805C838AC}"/>
            </c:ext>
          </c:extLst>
        </c:ser>
        <c:dLbls>
          <c:showLegendKey val="0"/>
          <c:showVal val="0"/>
          <c:showCatName val="0"/>
          <c:showSerName val="0"/>
          <c:showPercent val="0"/>
          <c:showBubbleSize val="0"/>
        </c:dLbls>
        <c:gapWidth val="150"/>
        <c:axId val="116552832"/>
        <c:axId val="116554368"/>
      </c:barChart>
      <c:lineChart>
        <c:grouping val="standard"/>
        <c:varyColors val="0"/>
        <c:ser>
          <c:idx val="1"/>
          <c:order val="1"/>
          <c:tx>
            <c:strRef>
              <c:f>Sheet1!$C$1</c:f>
              <c:strCache>
                <c:ptCount val="1"/>
                <c:pt idx="0">
                  <c:v>Պակասուրդ/ՀՆԱ,%</c:v>
                </c:pt>
              </c:strCache>
            </c:strRef>
          </c:tx>
          <c:spPr>
            <a:ln>
              <a:solidFill>
                <a:srgbClr val="7030A0"/>
              </a:solidFill>
            </a:ln>
          </c:spPr>
          <c:marker>
            <c:spPr>
              <a:solidFill>
                <a:srgbClr val="8037B7"/>
              </a:solidFill>
            </c:spPr>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2015</c:v>
                </c:pt>
                <c:pt idx="1">
                  <c:v>2016</c:v>
                </c:pt>
                <c:pt idx="2">
                  <c:v>2017</c:v>
                </c:pt>
                <c:pt idx="3">
                  <c:v>2018</c:v>
                </c:pt>
                <c:pt idx="4">
                  <c:v>2019*</c:v>
                </c:pt>
                <c:pt idx="5">
                  <c:v>2020*</c:v>
                </c:pt>
              </c:strCache>
            </c:strRef>
          </c:cat>
          <c:val>
            <c:numRef>
              <c:f>Sheet1!$C$2:$C$7</c:f>
              <c:numCache>
                <c:formatCode>0.0</c:formatCode>
                <c:ptCount val="6"/>
                <c:pt idx="0">
                  <c:v>4.7829461533998936</c:v>
                </c:pt>
                <c:pt idx="1">
                  <c:v>5.4852969065241641</c:v>
                </c:pt>
                <c:pt idx="2">
                  <c:v>4.7986662832355309</c:v>
                </c:pt>
                <c:pt idx="3">
                  <c:v>1.7550607974800494</c:v>
                </c:pt>
                <c:pt idx="4">
                  <c:v>0.64794608224527128</c:v>
                </c:pt>
                <c:pt idx="5">
                  <c:v>2.2999999999999998</c:v>
                </c:pt>
              </c:numCache>
            </c:numRef>
          </c:val>
          <c:smooth val="0"/>
          <c:extLst>
            <c:ext xmlns:c16="http://schemas.microsoft.com/office/drawing/2014/chart" uri="{C3380CC4-5D6E-409C-BE32-E72D297353CC}">
              <c16:uniqueId val="{00000001-4080-47F9-8071-31C805C838AC}"/>
            </c:ext>
          </c:extLst>
        </c:ser>
        <c:dLbls>
          <c:showLegendKey val="0"/>
          <c:showVal val="0"/>
          <c:showCatName val="0"/>
          <c:showSerName val="0"/>
          <c:showPercent val="0"/>
          <c:showBubbleSize val="0"/>
        </c:dLbls>
        <c:marker val="1"/>
        <c:smooth val="0"/>
        <c:axId val="116552832"/>
        <c:axId val="116554368"/>
      </c:lineChart>
      <c:catAx>
        <c:axId val="116552832"/>
        <c:scaling>
          <c:orientation val="minMax"/>
        </c:scaling>
        <c:delete val="0"/>
        <c:axPos val="b"/>
        <c:numFmt formatCode="General" sourceLinked="1"/>
        <c:majorTickMark val="out"/>
        <c:minorTickMark val="none"/>
        <c:tickLblPos val="nextTo"/>
        <c:txPr>
          <a:bodyPr/>
          <a:lstStyle/>
          <a:p>
            <a:pPr>
              <a:defRPr sz="800"/>
            </a:pPr>
            <a:endParaRPr lang="en-US"/>
          </a:p>
        </c:txPr>
        <c:crossAx val="116554368"/>
        <c:crosses val="autoZero"/>
        <c:auto val="1"/>
        <c:lblAlgn val="ctr"/>
        <c:lblOffset val="100"/>
        <c:noMultiLvlLbl val="0"/>
      </c:catAx>
      <c:valAx>
        <c:axId val="116554368"/>
        <c:scaling>
          <c:orientation val="minMax"/>
        </c:scaling>
        <c:delete val="0"/>
        <c:axPos val="l"/>
        <c:majorGridlines/>
        <c:numFmt formatCode="0.0" sourceLinked="1"/>
        <c:majorTickMark val="out"/>
        <c:minorTickMark val="none"/>
        <c:tickLblPos val="nextTo"/>
        <c:crossAx val="116552832"/>
        <c:crosses val="autoZero"/>
        <c:crossBetween val="between"/>
      </c:valAx>
    </c:plotArea>
    <c:legend>
      <c:legendPos val="r"/>
      <c:layout>
        <c:manualLayout>
          <c:xMode val="edge"/>
          <c:yMode val="edge"/>
          <c:x val="5.5421686746987962E-2"/>
          <c:y val="0.8796993997676521"/>
          <c:w val="0.84337349397590367"/>
          <c:h val="0.11172900262467192"/>
        </c:manualLayout>
      </c:layout>
      <c:overlay val="0"/>
      <c:spPr>
        <a:ln>
          <a:solidFill>
            <a:srgbClr val="DDDDDD"/>
          </a:solidFill>
        </a:ln>
      </c:spPr>
      <c:txPr>
        <a:bodyPr/>
        <a:lstStyle/>
        <a:p>
          <a:pPr>
            <a:defRPr sz="800" kern="800" baseline="0">
              <a:latin typeface="GHEA Grapalat" pitchFamily="50" charset="0"/>
            </a:defRPr>
          </a:pPr>
          <a:endParaRPr lang="en-US"/>
        </a:p>
      </c:txPr>
    </c:legend>
    <c:plotVisOnly val="1"/>
    <c:dispBlanksAs val="gap"/>
    <c:showDLblsOverMax val="0"/>
  </c:chart>
  <c:externalData r:id="rId2">
    <c:autoUpdate val="0"/>
  </c:externalData>
  <c:userShapes r:id="rId3"/>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431897563192209"/>
          <c:y val="0.12189433269835187"/>
          <c:w val="0.80839420266265172"/>
          <c:h val="0.67433078235365662"/>
        </c:manualLayout>
      </c:layout>
      <c:barChart>
        <c:barDir val="col"/>
        <c:grouping val="clustered"/>
        <c:varyColors val="0"/>
        <c:ser>
          <c:idx val="0"/>
          <c:order val="0"/>
          <c:tx>
            <c:strRef>
              <c:f>Sheet1!$B$1</c:f>
              <c:strCache>
                <c:ptCount val="1"/>
                <c:pt idx="0">
                  <c:v>Ընթացիկ ծախսեր/ՀՆԱ,%</c:v>
                </c:pt>
              </c:strCache>
            </c:strRef>
          </c:tx>
          <c:spPr>
            <a:solidFill>
              <a:srgbClr val="509CD0"/>
            </a:solidFill>
          </c:spPr>
          <c:invertIfNegative val="0"/>
          <c:dLbls>
            <c:dLbl>
              <c:idx val="0"/>
              <c:layout>
                <c:manualLayout>
                  <c:x val="0"/>
                  <c:y val="0.3177570093457943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27D-4A28-A90C-21FBE5C401C7}"/>
                </c:ext>
              </c:extLst>
            </c:dLbl>
            <c:dLbl>
              <c:idx val="1"/>
              <c:layout>
                <c:manualLayout>
                  <c:x val="0"/>
                  <c:y val="0.3925233644859815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27D-4A28-A90C-21FBE5C401C7}"/>
                </c:ext>
              </c:extLst>
            </c:dLbl>
            <c:dLbl>
              <c:idx val="2"/>
              <c:layout>
                <c:manualLayout>
                  <c:x val="9.2614031025700407E-3"/>
                  <c:y val="0.3411214953271030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27D-4A28-A90C-21FBE5C401C7}"/>
                </c:ext>
              </c:extLst>
            </c:dLbl>
            <c:dLbl>
              <c:idx val="3"/>
              <c:layout>
                <c:manualLayout>
                  <c:x val="4.0032025620496429E-3"/>
                  <c:y val="0.2850467289719628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27D-4A28-A90C-21FBE5C401C7}"/>
                </c:ext>
              </c:extLst>
            </c:dLbl>
            <c:dLbl>
              <c:idx val="4"/>
              <c:layout>
                <c:manualLayout>
                  <c:x val="9.2614031025699643E-3"/>
                  <c:y val="0.2850467289719628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27D-4A28-A90C-21FBE5C401C7}"/>
                </c:ext>
              </c:extLst>
            </c:dLbl>
            <c:dLbl>
              <c:idx val="5"/>
              <c:layout>
                <c:manualLayout>
                  <c:x val="4.6307015512850195E-3"/>
                  <c:y val="0.2943925233644864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27D-4A28-A90C-21FBE5C401C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Sheet1!$A$2:$A$7</c:f>
              <c:strCache>
                <c:ptCount val="6"/>
                <c:pt idx="0">
                  <c:v>2015</c:v>
                </c:pt>
                <c:pt idx="1">
                  <c:v>2016</c:v>
                </c:pt>
                <c:pt idx="2">
                  <c:v>2017</c:v>
                </c:pt>
                <c:pt idx="3">
                  <c:v>2018</c:v>
                </c:pt>
                <c:pt idx="4">
                  <c:v>2019*</c:v>
                </c:pt>
                <c:pt idx="5">
                  <c:v>2020*</c:v>
                </c:pt>
              </c:strCache>
            </c:strRef>
          </c:cat>
          <c:val>
            <c:numRef>
              <c:f>Sheet1!$B$2:$B$7</c:f>
              <c:numCache>
                <c:formatCode>0.0</c:formatCode>
                <c:ptCount val="6"/>
                <c:pt idx="0">
                  <c:v>24.563975615831854</c:v>
                </c:pt>
                <c:pt idx="1">
                  <c:v>25.295338420796021</c:v>
                </c:pt>
                <c:pt idx="2">
                  <c:v>22.777216374759576</c:v>
                </c:pt>
                <c:pt idx="3">
                  <c:v>21.631395453109771</c:v>
                </c:pt>
                <c:pt idx="4">
                  <c:v>21.68021683455428</c:v>
                </c:pt>
                <c:pt idx="5">
                  <c:v>22.099354707673228</c:v>
                </c:pt>
              </c:numCache>
            </c:numRef>
          </c:val>
          <c:extLst>
            <c:ext xmlns:c16="http://schemas.microsoft.com/office/drawing/2014/chart" uri="{C3380CC4-5D6E-409C-BE32-E72D297353CC}">
              <c16:uniqueId val="{00000006-227D-4A28-A90C-21FBE5C401C7}"/>
            </c:ext>
          </c:extLst>
        </c:ser>
        <c:dLbls>
          <c:showLegendKey val="0"/>
          <c:showVal val="0"/>
          <c:showCatName val="0"/>
          <c:showSerName val="0"/>
          <c:showPercent val="0"/>
          <c:showBubbleSize val="0"/>
        </c:dLbls>
        <c:gapWidth val="150"/>
        <c:axId val="117570560"/>
        <c:axId val="117588736"/>
      </c:barChart>
      <c:lineChart>
        <c:grouping val="standard"/>
        <c:varyColors val="0"/>
        <c:ser>
          <c:idx val="1"/>
          <c:order val="1"/>
          <c:tx>
            <c:strRef>
              <c:f>Sheet1!$C$1</c:f>
              <c:strCache>
                <c:ptCount val="1"/>
                <c:pt idx="0">
                  <c:v>Հարկային եկամուտներ/ՀՆԱ,%</c:v>
                </c:pt>
              </c:strCache>
            </c:strRef>
          </c:tx>
          <c:spPr>
            <a:ln>
              <a:solidFill>
                <a:srgbClr val="7030A0"/>
              </a:solidFill>
            </a:ln>
          </c:spPr>
          <c:marker>
            <c:spPr>
              <a:solidFill>
                <a:srgbClr val="7030A0"/>
              </a:solidFill>
            </c:spPr>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2015</c:v>
                </c:pt>
                <c:pt idx="1">
                  <c:v>2016</c:v>
                </c:pt>
                <c:pt idx="2">
                  <c:v>2017</c:v>
                </c:pt>
                <c:pt idx="3">
                  <c:v>2018</c:v>
                </c:pt>
                <c:pt idx="4">
                  <c:v>2019*</c:v>
                </c:pt>
                <c:pt idx="5">
                  <c:v>2020*</c:v>
                </c:pt>
              </c:strCache>
            </c:strRef>
          </c:cat>
          <c:val>
            <c:numRef>
              <c:f>Sheet1!$C$2:$C$7</c:f>
              <c:numCache>
                <c:formatCode>0.0</c:formatCode>
                <c:ptCount val="6"/>
                <c:pt idx="0">
                  <c:v>21.173006082202804</c:v>
                </c:pt>
                <c:pt idx="1">
                  <c:v>21.307017246978084</c:v>
                </c:pt>
                <c:pt idx="2">
                  <c:v>20.810311842409792</c:v>
                </c:pt>
                <c:pt idx="3">
                  <c:v>20.951024243562255</c:v>
                </c:pt>
                <c:pt idx="4">
                  <c:v>22.293029385771767</c:v>
                </c:pt>
                <c:pt idx="5">
                  <c:v>22.580502049556767</c:v>
                </c:pt>
              </c:numCache>
            </c:numRef>
          </c:val>
          <c:smooth val="0"/>
          <c:extLst>
            <c:ext xmlns:c16="http://schemas.microsoft.com/office/drawing/2014/chart" uri="{C3380CC4-5D6E-409C-BE32-E72D297353CC}">
              <c16:uniqueId val="{00000007-227D-4A28-A90C-21FBE5C401C7}"/>
            </c:ext>
          </c:extLst>
        </c:ser>
        <c:ser>
          <c:idx val="2"/>
          <c:order val="2"/>
          <c:tx>
            <c:strRef>
              <c:f>Sheet1!$D$1</c:f>
              <c:strCache>
                <c:ptCount val="1"/>
                <c:pt idx="0">
                  <c:v>Ճշգրտված հարկային եկամուտներ/ՀՆԱ, %</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Sheet1!$A$2:$A$7</c:f>
              <c:strCache>
                <c:ptCount val="6"/>
                <c:pt idx="0">
                  <c:v>2015</c:v>
                </c:pt>
                <c:pt idx="1">
                  <c:v>2016</c:v>
                </c:pt>
                <c:pt idx="2">
                  <c:v>2017</c:v>
                </c:pt>
                <c:pt idx="3">
                  <c:v>2018</c:v>
                </c:pt>
                <c:pt idx="4">
                  <c:v>2019*</c:v>
                </c:pt>
                <c:pt idx="5">
                  <c:v>2020*</c:v>
                </c:pt>
              </c:strCache>
            </c:strRef>
          </c:cat>
          <c:val>
            <c:numRef>
              <c:f>Sheet1!$D$2:$D$7</c:f>
              <c:numCache>
                <c:formatCode>0.0</c:formatCode>
                <c:ptCount val="6"/>
                <c:pt idx="0">
                  <c:v>20.305906740402925</c:v>
                </c:pt>
                <c:pt idx="1">
                  <c:v>20.3468069950951</c:v>
                </c:pt>
                <c:pt idx="2">
                  <c:v>20.511326847675413</c:v>
                </c:pt>
                <c:pt idx="3">
                  <c:v>20.951024243562255</c:v>
                </c:pt>
                <c:pt idx="4">
                  <c:v>22.293029385771767</c:v>
                </c:pt>
                <c:pt idx="5">
                  <c:v>22.580502049556767</c:v>
                </c:pt>
              </c:numCache>
            </c:numRef>
          </c:val>
          <c:smooth val="0"/>
          <c:extLst>
            <c:ext xmlns:c16="http://schemas.microsoft.com/office/drawing/2014/chart" uri="{C3380CC4-5D6E-409C-BE32-E72D297353CC}">
              <c16:uniqueId val="{00000008-227D-4A28-A90C-21FBE5C401C7}"/>
            </c:ext>
          </c:extLst>
        </c:ser>
        <c:dLbls>
          <c:showLegendKey val="0"/>
          <c:showVal val="0"/>
          <c:showCatName val="0"/>
          <c:showSerName val="0"/>
          <c:showPercent val="0"/>
          <c:showBubbleSize val="0"/>
        </c:dLbls>
        <c:marker val="1"/>
        <c:smooth val="0"/>
        <c:axId val="117570560"/>
        <c:axId val="117588736"/>
      </c:lineChart>
      <c:catAx>
        <c:axId val="117570560"/>
        <c:scaling>
          <c:orientation val="minMax"/>
        </c:scaling>
        <c:delete val="0"/>
        <c:axPos val="b"/>
        <c:numFmt formatCode="General" sourceLinked="1"/>
        <c:majorTickMark val="out"/>
        <c:minorTickMark val="none"/>
        <c:tickLblPos val="nextTo"/>
        <c:txPr>
          <a:bodyPr/>
          <a:lstStyle/>
          <a:p>
            <a:pPr>
              <a:defRPr sz="800"/>
            </a:pPr>
            <a:endParaRPr lang="en-US"/>
          </a:p>
        </c:txPr>
        <c:crossAx val="117588736"/>
        <c:crosses val="autoZero"/>
        <c:auto val="1"/>
        <c:lblAlgn val="ctr"/>
        <c:lblOffset val="100"/>
        <c:noMultiLvlLbl val="0"/>
      </c:catAx>
      <c:valAx>
        <c:axId val="117588736"/>
        <c:scaling>
          <c:orientation val="minMax"/>
        </c:scaling>
        <c:delete val="0"/>
        <c:axPos val="l"/>
        <c:majorGridlines/>
        <c:numFmt formatCode="0.0" sourceLinked="1"/>
        <c:majorTickMark val="out"/>
        <c:minorTickMark val="none"/>
        <c:tickLblPos val="nextTo"/>
        <c:crossAx val="117570560"/>
        <c:crosses val="autoZero"/>
        <c:crossBetween val="between"/>
      </c:valAx>
    </c:plotArea>
    <c:legend>
      <c:legendPos val="r"/>
      <c:layout>
        <c:manualLayout>
          <c:xMode val="edge"/>
          <c:yMode val="edge"/>
          <c:x val="1.8986077827228123E-2"/>
          <c:y val="0.86274965045257335"/>
          <c:w val="0.96598767941689678"/>
          <c:h val="0.13725034954742835"/>
        </c:manualLayout>
      </c:layout>
      <c:overlay val="0"/>
      <c:txPr>
        <a:bodyPr/>
        <a:lstStyle/>
        <a:p>
          <a:pPr>
            <a:defRPr sz="800">
              <a:latin typeface="GHEA Grapalat" pitchFamily="50" charset="0"/>
            </a:defRPr>
          </a:pPr>
          <a:endParaRPr lang="en-US"/>
        </a:p>
      </c:txPr>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6326278180744648E-2"/>
          <c:y val="7.8164544818298334E-2"/>
          <c:w val="0.8999338491085197"/>
          <c:h val="0.58993605033898455"/>
        </c:manualLayout>
      </c:layout>
      <c:barChart>
        <c:barDir val="col"/>
        <c:grouping val="stacked"/>
        <c:varyColors val="0"/>
        <c:ser>
          <c:idx val="0"/>
          <c:order val="0"/>
          <c:tx>
            <c:strRef>
              <c:f>Sheet1!$B$1</c:f>
              <c:strCache>
                <c:ptCount val="1"/>
                <c:pt idx="0">
                  <c:v>արդյունաբերություն</c:v>
                </c:pt>
              </c:strCache>
            </c:strRef>
          </c:tx>
          <c:spPr>
            <a:solidFill>
              <a:srgbClr val="7030A0"/>
            </a:solidFill>
            <a:ln>
              <a:solidFill>
                <a:sysClr val="windowText" lastClr="000000"/>
              </a:solidFill>
            </a:ln>
          </c:spPr>
          <c:invertIfNegative val="0"/>
          <c:dLbls>
            <c:spPr>
              <a:noFill/>
              <a:ln>
                <a:noFill/>
              </a:ln>
              <a:effectLst/>
            </c:spPr>
            <c:txPr>
              <a:bodyPr/>
              <a:lstStyle/>
              <a:p>
                <a:pPr>
                  <a:defRPr lang="ru-RU" i="0">
                    <a:latin typeface="GHEA Grapalat" pitchFamily="50"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2016</c:v>
                </c:pt>
                <c:pt idx="1">
                  <c:v>2017</c:v>
                </c:pt>
                <c:pt idx="2">
                  <c:v>2018</c:v>
                </c:pt>
                <c:pt idx="3">
                  <c:v>2019*</c:v>
                </c:pt>
                <c:pt idx="4">
                  <c:v>2020*</c:v>
                </c:pt>
              </c:strCache>
            </c:strRef>
          </c:cat>
          <c:val>
            <c:numRef>
              <c:f>Sheet1!$B$2:$B$6</c:f>
              <c:numCache>
                <c:formatCode>0.0</c:formatCode>
                <c:ptCount val="5"/>
                <c:pt idx="0">
                  <c:v>17.818032446709474</c:v>
                </c:pt>
                <c:pt idx="1">
                  <c:v>18.54197578061601</c:v>
                </c:pt>
                <c:pt idx="2">
                  <c:v>18.358583408210503</c:v>
                </c:pt>
                <c:pt idx="3">
                  <c:v>18.237742369219688</c:v>
                </c:pt>
                <c:pt idx="4">
                  <c:v>18.254782262796017</c:v>
                </c:pt>
              </c:numCache>
            </c:numRef>
          </c:val>
          <c:extLst>
            <c:ext xmlns:c16="http://schemas.microsoft.com/office/drawing/2014/chart" uri="{C3380CC4-5D6E-409C-BE32-E72D297353CC}">
              <c16:uniqueId val="{00000000-90C2-4831-A134-8AB2F582A720}"/>
            </c:ext>
          </c:extLst>
        </c:ser>
        <c:ser>
          <c:idx val="1"/>
          <c:order val="1"/>
          <c:tx>
            <c:strRef>
              <c:f>Sheet1!$C$1</c:f>
              <c:strCache>
                <c:ptCount val="1"/>
                <c:pt idx="0">
                  <c:v>գյուղատնտեսություն</c:v>
                </c:pt>
              </c:strCache>
            </c:strRef>
          </c:tx>
          <c:spPr>
            <a:solidFill>
              <a:srgbClr val="4BACC6">
                <a:lumMod val="60000"/>
                <a:lumOff val="40000"/>
              </a:srgbClr>
            </a:solidFill>
            <a:ln>
              <a:solidFill>
                <a:sysClr val="windowText" lastClr="000000"/>
              </a:solidFill>
            </a:ln>
          </c:spPr>
          <c:invertIfNegative val="0"/>
          <c:dLbls>
            <c:spPr>
              <a:noFill/>
              <a:ln>
                <a:noFill/>
              </a:ln>
              <a:effectLst/>
            </c:spPr>
            <c:txPr>
              <a:bodyPr/>
              <a:lstStyle/>
              <a:p>
                <a:pPr>
                  <a:defRPr lang="ru-RU">
                    <a:latin typeface="GHEA Grapalat" pitchFamily="50"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2016</c:v>
                </c:pt>
                <c:pt idx="1">
                  <c:v>2017</c:v>
                </c:pt>
                <c:pt idx="2">
                  <c:v>2018</c:v>
                </c:pt>
                <c:pt idx="3">
                  <c:v>2019*</c:v>
                </c:pt>
                <c:pt idx="4">
                  <c:v>2020*</c:v>
                </c:pt>
              </c:strCache>
            </c:strRef>
          </c:cat>
          <c:val>
            <c:numRef>
              <c:f>Sheet1!$C$2:$C$6</c:f>
              <c:numCache>
                <c:formatCode>0.0</c:formatCode>
                <c:ptCount val="5"/>
                <c:pt idx="0">
                  <c:v>16.39047353384996</c:v>
                </c:pt>
                <c:pt idx="1">
                  <c:v>14.994260124277618</c:v>
                </c:pt>
                <c:pt idx="2">
                  <c:v>13.695860827724553</c:v>
                </c:pt>
                <c:pt idx="3">
                  <c:v>12.863615523267814</c:v>
                </c:pt>
                <c:pt idx="4">
                  <c:v>12.323821363950968</c:v>
                </c:pt>
              </c:numCache>
            </c:numRef>
          </c:val>
          <c:extLst>
            <c:ext xmlns:c16="http://schemas.microsoft.com/office/drawing/2014/chart" uri="{C3380CC4-5D6E-409C-BE32-E72D297353CC}">
              <c16:uniqueId val="{00000001-90C2-4831-A134-8AB2F582A720}"/>
            </c:ext>
          </c:extLst>
        </c:ser>
        <c:ser>
          <c:idx val="2"/>
          <c:order val="2"/>
          <c:tx>
            <c:strRef>
              <c:f>Sheet1!$D$1</c:f>
              <c:strCache>
                <c:ptCount val="1"/>
                <c:pt idx="0">
                  <c:v>շինարարություն</c:v>
                </c:pt>
              </c:strCache>
            </c:strRef>
          </c:tx>
          <c:spPr>
            <a:solidFill>
              <a:srgbClr val="F79646">
                <a:lumMod val="75000"/>
              </a:srgbClr>
            </a:solidFill>
            <a:ln>
              <a:solidFill>
                <a:sysClr val="windowText" lastClr="000000"/>
              </a:solidFill>
            </a:ln>
          </c:spPr>
          <c:invertIfNegative val="0"/>
          <c:dLbls>
            <c:dLbl>
              <c:idx val="0"/>
              <c:layout>
                <c:manualLayout>
                  <c:x val="-2.1948308105164569E-3"/>
                  <c:y val="4.5994690693596875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0C2-4831-A134-8AB2F582A720}"/>
                </c:ext>
              </c:extLst>
            </c:dLbl>
            <c:spPr>
              <a:noFill/>
              <a:ln>
                <a:noFill/>
              </a:ln>
              <a:effectLst/>
            </c:spPr>
            <c:txPr>
              <a:bodyPr/>
              <a:lstStyle/>
              <a:p>
                <a:pPr>
                  <a:defRPr lang="ru-RU">
                    <a:latin typeface="GHEA Grapalat" pitchFamily="50"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2016</c:v>
                </c:pt>
                <c:pt idx="1">
                  <c:v>2017</c:v>
                </c:pt>
                <c:pt idx="2">
                  <c:v>2018</c:v>
                </c:pt>
                <c:pt idx="3">
                  <c:v>2019*</c:v>
                </c:pt>
                <c:pt idx="4">
                  <c:v>2020*</c:v>
                </c:pt>
              </c:strCache>
            </c:strRef>
          </c:cat>
          <c:val>
            <c:numRef>
              <c:f>Sheet1!$D$2:$D$6</c:f>
              <c:numCache>
                <c:formatCode>0.0</c:formatCode>
                <c:ptCount val="5"/>
                <c:pt idx="0">
                  <c:v>7.7591005928509951</c:v>
                </c:pt>
                <c:pt idx="1">
                  <c:v>7.2675565985495867</c:v>
                </c:pt>
                <c:pt idx="2">
                  <c:v>6.6248251619746963</c:v>
                </c:pt>
                <c:pt idx="3">
                  <c:v>6.4267301105479095</c:v>
                </c:pt>
                <c:pt idx="4">
                  <c:v>6.3714705948484074</c:v>
                </c:pt>
              </c:numCache>
            </c:numRef>
          </c:val>
          <c:extLst>
            <c:ext xmlns:c16="http://schemas.microsoft.com/office/drawing/2014/chart" uri="{C3380CC4-5D6E-409C-BE32-E72D297353CC}">
              <c16:uniqueId val="{00000003-90C2-4831-A134-8AB2F582A720}"/>
            </c:ext>
          </c:extLst>
        </c:ser>
        <c:ser>
          <c:idx val="3"/>
          <c:order val="3"/>
          <c:tx>
            <c:strRef>
              <c:f>Sheet1!$E$1</c:f>
              <c:strCache>
                <c:ptCount val="1"/>
                <c:pt idx="0">
                  <c:v>ծառայություններ</c:v>
                </c:pt>
              </c:strCache>
            </c:strRef>
          </c:tx>
          <c:spPr>
            <a:solidFill>
              <a:srgbClr val="4F81BD"/>
            </a:solidFill>
            <a:ln>
              <a:solidFill>
                <a:sysClr val="windowText" lastClr="000000">
                  <a:alpha val="59000"/>
                </a:sysClr>
              </a:solidFill>
            </a:ln>
          </c:spPr>
          <c:invertIfNegative val="0"/>
          <c:dLbls>
            <c:spPr>
              <a:noFill/>
              <a:ln>
                <a:noFill/>
              </a:ln>
              <a:effectLst/>
            </c:spPr>
            <c:txPr>
              <a:bodyPr/>
              <a:lstStyle/>
              <a:p>
                <a:pPr>
                  <a:defRPr lang="ru-RU">
                    <a:latin typeface="GHEA Grapalat" pitchFamily="50"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2016</c:v>
                </c:pt>
                <c:pt idx="1">
                  <c:v>2017</c:v>
                </c:pt>
                <c:pt idx="2">
                  <c:v>2018</c:v>
                </c:pt>
                <c:pt idx="3">
                  <c:v>2019*</c:v>
                </c:pt>
                <c:pt idx="4">
                  <c:v>2020*</c:v>
                </c:pt>
              </c:strCache>
            </c:strRef>
          </c:cat>
          <c:val>
            <c:numRef>
              <c:f>Sheet1!$E$2:$E$6</c:f>
              <c:numCache>
                <c:formatCode>0.0</c:formatCode>
                <c:ptCount val="5"/>
                <c:pt idx="0">
                  <c:v>47.991459346098658</c:v>
                </c:pt>
                <c:pt idx="1">
                  <c:v>48.915397202473052</c:v>
                </c:pt>
                <c:pt idx="2">
                  <c:v>50.677546317162204</c:v>
                </c:pt>
                <c:pt idx="3">
                  <c:v>51.100314722045916</c:v>
                </c:pt>
                <c:pt idx="4">
                  <c:v>51.635183154644608</c:v>
                </c:pt>
              </c:numCache>
            </c:numRef>
          </c:val>
          <c:extLst>
            <c:ext xmlns:c16="http://schemas.microsoft.com/office/drawing/2014/chart" uri="{C3380CC4-5D6E-409C-BE32-E72D297353CC}">
              <c16:uniqueId val="{00000004-90C2-4831-A134-8AB2F582A720}"/>
            </c:ext>
          </c:extLst>
        </c:ser>
        <c:ser>
          <c:idx val="4"/>
          <c:order val="4"/>
          <c:tx>
            <c:strRef>
              <c:f>Sheet1!$F$1</c:f>
              <c:strCache>
                <c:ptCount val="1"/>
                <c:pt idx="0">
                  <c:v>զուտ անուղղակի հարկեր</c:v>
                </c:pt>
              </c:strCache>
            </c:strRef>
          </c:tx>
          <c:spPr>
            <a:solidFill>
              <a:srgbClr val="00B050"/>
            </a:solidFill>
            <a:ln>
              <a:solidFill>
                <a:sysClr val="windowText" lastClr="000000"/>
              </a:solidFill>
            </a:ln>
          </c:spPr>
          <c:invertIfNegative val="0"/>
          <c:dLbls>
            <c:spPr>
              <a:noFill/>
              <a:ln>
                <a:noFill/>
              </a:ln>
              <a:effectLst/>
            </c:spPr>
            <c:txPr>
              <a:bodyPr/>
              <a:lstStyle/>
              <a:p>
                <a:pPr>
                  <a:defRPr lang="ru-RU">
                    <a:latin typeface="GHEA Grapalat" pitchFamily="50"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2016</c:v>
                </c:pt>
                <c:pt idx="1">
                  <c:v>2017</c:v>
                </c:pt>
                <c:pt idx="2">
                  <c:v>2018</c:v>
                </c:pt>
                <c:pt idx="3">
                  <c:v>2019*</c:v>
                </c:pt>
                <c:pt idx="4">
                  <c:v>2020*</c:v>
                </c:pt>
              </c:strCache>
            </c:strRef>
          </c:cat>
          <c:val>
            <c:numRef>
              <c:f>Sheet1!$F$2:$F$6</c:f>
              <c:numCache>
                <c:formatCode>0.0</c:formatCode>
                <c:ptCount val="5"/>
                <c:pt idx="0">
                  <c:v>10.040934080490887</c:v>
                </c:pt>
                <c:pt idx="1">
                  <c:v>10.280810294083739</c:v>
                </c:pt>
                <c:pt idx="2">
                  <c:v>10.64318428492807</c:v>
                </c:pt>
                <c:pt idx="3">
                  <c:v>11.371597274918738</c:v>
                </c:pt>
                <c:pt idx="4">
                  <c:v>11.414742623759995</c:v>
                </c:pt>
              </c:numCache>
            </c:numRef>
          </c:val>
          <c:extLst>
            <c:ext xmlns:c16="http://schemas.microsoft.com/office/drawing/2014/chart" uri="{C3380CC4-5D6E-409C-BE32-E72D297353CC}">
              <c16:uniqueId val="{00000005-90C2-4831-A134-8AB2F582A720}"/>
            </c:ext>
          </c:extLst>
        </c:ser>
        <c:dLbls>
          <c:showLegendKey val="0"/>
          <c:showVal val="0"/>
          <c:showCatName val="0"/>
          <c:showSerName val="0"/>
          <c:showPercent val="0"/>
          <c:showBubbleSize val="0"/>
        </c:dLbls>
        <c:gapWidth val="150"/>
        <c:overlap val="100"/>
        <c:axId val="116493312"/>
        <c:axId val="116503296"/>
      </c:barChart>
      <c:catAx>
        <c:axId val="116493312"/>
        <c:scaling>
          <c:orientation val="minMax"/>
        </c:scaling>
        <c:delete val="0"/>
        <c:axPos val="b"/>
        <c:numFmt formatCode="General" sourceLinked="1"/>
        <c:majorTickMark val="out"/>
        <c:minorTickMark val="none"/>
        <c:tickLblPos val="nextTo"/>
        <c:txPr>
          <a:bodyPr/>
          <a:lstStyle/>
          <a:p>
            <a:pPr>
              <a:defRPr lang="ru-RU">
                <a:latin typeface="GHEA Grapalat" pitchFamily="50" charset="0"/>
              </a:defRPr>
            </a:pPr>
            <a:endParaRPr lang="en-US"/>
          </a:p>
        </c:txPr>
        <c:crossAx val="116503296"/>
        <c:crosses val="autoZero"/>
        <c:auto val="1"/>
        <c:lblAlgn val="ctr"/>
        <c:lblOffset val="100"/>
        <c:noMultiLvlLbl val="0"/>
      </c:catAx>
      <c:valAx>
        <c:axId val="116503296"/>
        <c:scaling>
          <c:orientation val="minMax"/>
          <c:max val="100"/>
        </c:scaling>
        <c:delete val="0"/>
        <c:axPos val="l"/>
        <c:majorGridlines/>
        <c:numFmt formatCode="0.0" sourceLinked="1"/>
        <c:majorTickMark val="out"/>
        <c:minorTickMark val="none"/>
        <c:tickLblPos val="nextTo"/>
        <c:txPr>
          <a:bodyPr/>
          <a:lstStyle/>
          <a:p>
            <a:pPr>
              <a:defRPr lang="ru-RU">
                <a:latin typeface="GHEA Grapalat" pitchFamily="50" charset="0"/>
              </a:defRPr>
            </a:pPr>
            <a:endParaRPr lang="en-US"/>
          </a:p>
        </c:txPr>
        <c:crossAx val="116493312"/>
        <c:crosses val="autoZero"/>
        <c:crossBetween val="between"/>
      </c:valAx>
    </c:plotArea>
    <c:legend>
      <c:legendPos val="b"/>
      <c:layout>
        <c:manualLayout>
          <c:xMode val="edge"/>
          <c:yMode val="edge"/>
          <c:x val="2.6359053927684301E-2"/>
          <c:y val="0.70900180857533279"/>
          <c:w val="0.97089507027702326"/>
          <c:h val="0.25414687917315282"/>
        </c:manualLayout>
      </c:layout>
      <c:overlay val="0"/>
      <c:txPr>
        <a:bodyPr/>
        <a:lstStyle/>
        <a:p>
          <a:pPr>
            <a:defRPr lang="ru-RU" sz="800">
              <a:latin typeface="GHEA Grapalat" pitchFamily="50" charset="0"/>
            </a:defRPr>
          </a:pPr>
          <a:endParaRPr lang="en-US"/>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Text" lastClr="000000"/>
                </a:solidFill>
                <a:latin typeface="+mn-lt"/>
                <a:ea typeface="+mn-ea"/>
                <a:cs typeface="+mn-cs"/>
              </a:defRPr>
            </a:pPr>
            <a:r>
              <a:rPr lang="en-US" sz="900" b="1" i="0" baseline="0">
                <a:effectLst/>
              </a:rPr>
              <a:t>201</a:t>
            </a:r>
            <a:r>
              <a:rPr lang="hy-AM" sz="900" b="1" i="0" baseline="0">
                <a:effectLst/>
              </a:rPr>
              <a:t>8թ</a:t>
            </a:r>
            <a:r>
              <a:rPr lang="en-US" sz="900" b="1" i="0" baseline="0">
                <a:effectLst/>
              </a:rPr>
              <a:t>. </a:t>
            </a:r>
            <a:r>
              <a:rPr lang="ru-RU" sz="900" b="1" i="0" baseline="0">
                <a:effectLst/>
              </a:rPr>
              <a:t> </a:t>
            </a:r>
            <a:r>
              <a:rPr lang="hy-AM" sz="900" b="1" i="0" baseline="0">
                <a:effectLst/>
              </a:rPr>
              <a:t>դեկտեմբեր 1․8 գնաճ</a:t>
            </a:r>
            <a:r>
              <a:rPr lang="en-US" sz="900" b="1" i="0" baseline="0">
                <a:effectLst/>
              </a:rPr>
              <a:t>  (նպաստումներ 4 ապրանքախմբով)</a:t>
            </a:r>
            <a:endParaRPr lang="en-US" sz="900">
              <a:effectLst/>
            </a:endParaRPr>
          </a:p>
          <a:p>
            <a:pPr marL="0" marR="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Text" lastClr="000000"/>
                </a:solidFill>
                <a:latin typeface="+mn-lt"/>
                <a:ea typeface="+mn-ea"/>
                <a:cs typeface="+mn-cs"/>
              </a:defRPr>
            </a:pPr>
            <a:r>
              <a:rPr lang="ru-RU" sz="900">
                <a:latin typeface="GHEA Grapalat" pitchFamily="50" charset="0"/>
              </a:rPr>
              <a:t> </a:t>
            </a:r>
            <a:endParaRPr lang="en-US" sz="900">
              <a:latin typeface="GHEA Grapalat" pitchFamily="50" charset="0"/>
            </a:endParaRPr>
          </a:p>
        </c:rich>
      </c:tx>
      <c:layout>
        <c:manualLayout>
          <c:xMode val="edge"/>
          <c:yMode val="edge"/>
          <c:x val="0.12579586088324329"/>
          <c:y val="3.5313446396123591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4.3464888974767725E-2"/>
          <c:y val="0.27185557902823132"/>
          <c:w val="0.89912430021391831"/>
          <c:h val="0.49802882836366813"/>
        </c:manualLayout>
      </c:layout>
      <c:pie3DChart>
        <c:varyColors val="1"/>
        <c:ser>
          <c:idx val="0"/>
          <c:order val="0"/>
          <c:tx>
            <c:strRef>
              <c:f>Sheet1!$B$1</c:f>
              <c:strCache>
                <c:ptCount val="1"/>
                <c:pt idx="0">
                  <c:v>12-ամսյա գնաճ</c:v>
                </c:pt>
              </c:strCache>
            </c:strRef>
          </c:tx>
          <c:explosion val="25"/>
          <c:dPt>
            <c:idx val="0"/>
            <c:bubble3D val="0"/>
            <c:spPr>
              <a:pattFill prst="pct10">
                <a:fgClr>
                  <a:schemeClr val="accent1"/>
                </a:fgClr>
                <a:bgClr>
                  <a:schemeClr val="bg1"/>
                </a:bgClr>
              </a:pattFill>
            </c:spPr>
            <c:extLst>
              <c:ext xmlns:c16="http://schemas.microsoft.com/office/drawing/2014/chart" uri="{C3380CC4-5D6E-409C-BE32-E72D297353CC}">
                <c16:uniqueId val="{00000001-A554-4985-A374-FFE37B4E2B4A}"/>
              </c:ext>
            </c:extLst>
          </c:dPt>
          <c:dPt>
            <c:idx val="1"/>
            <c:bubble3D val="0"/>
            <c:spPr>
              <a:pattFill prst="wdDnDiag">
                <a:fgClr>
                  <a:schemeClr val="accent1"/>
                </a:fgClr>
                <a:bgClr>
                  <a:schemeClr val="bg1"/>
                </a:bgClr>
              </a:pattFill>
            </c:spPr>
            <c:extLst>
              <c:ext xmlns:c16="http://schemas.microsoft.com/office/drawing/2014/chart" uri="{C3380CC4-5D6E-409C-BE32-E72D297353CC}">
                <c16:uniqueId val="{00000003-A554-4985-A374-FFE37B4E2B4A}"/>
              </c:ext>
            </c:extLst>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Sheet1!$A$2:$A$5</c:f>
              <c:strCache>
                <c:ptCount val="4"/>
                <c:pt idx="0">
                  <c:v>Սննդամթերք և ոչ ալկոհոլային խմիչքներ</c:v>
                </c:pt>
                <c:pt idx="1">
                  <c:v>Ալկոհոլային խմիչքներ և ծխախոտային արտադրատեսակներ </c:v>
                </c:pt>
                <c:pt idx="2">
                  <c:v>Ոչ պարենային ապրանքներ</c:v>
                </c:pt>
                <c:pt idx="3">
                  <c:v>Ծառայություններ </c:v>
                </c:pt>
              </c:strCache>
            </c:strRef>
          </c:cat>
          <c:val>
            <c:numRef>
              <c:f>Sheet1!$B$2:$B$5</c:f>
              <c:numCache>
                <c:formatCode>0.0</c:formatCode>
                <c:ptCount val="4"/>
                <c:pt idx="0">
                  <c:v>0.65184000000000086</c:v>
                </c:pt>
                <c:pt idx="1">
                  <c:v>0.16847999999999999</c:v>
                </c:pt>
                <c:pt idx="2">
                  <c:v>0.69920000000000004</c:v>
                </c:pt>
                <c:pt idx="3">
                  <c:v>0.26464000000000004</c:v>
                </c:pt>
              </c:numCache>
            </c:numRef>
          </c:val>
          <c:extLst>
            <c:ext xmlns:c16="http://schemas.microsoft.com/office/drawing/2014/chart" uri="{C3380CC4-5D6E-409C-BE32-E72D297353CC}">
              <c16:uniqueId val="{00000006-A554-4985-A374-FFE37B4E2B4A}"/>
            </c:ext>
          </c:extLst>
        </c:ser>
        <c:dLbls>
          <c:showLegendKey val="0"/>
          <c:showVal val="0"/>
          <c:showCatName val="0"/>
          <c:showSerName val="0"/>
          <c:showPercent val="0"/>
          <c:showBubbleSize val="0"/>
          <c:showLeaderLines val="1"/>
        </c:dLbls>
      </c:pie3DChart>
      <c:spPr>
        <a:noFill/>
        <a:ln w="25376">
          <a:noFill/>
        </a:ln>
      </c:spPr>
    </c:plotArea>
    <c:legend>
      <c:legendPos val="r"/>
      <c:layout>
        <c:manualLayout>
          <c:xMode val="edge"/>
          <c:yMode val="edge"/>
          <c:x val="2.0512820512820516E-2"/>
          <c:y val="0.72748267898383367"/>
          <c:w val="0.91794871794871846"/>
          <c:h val="0.22621555118110251"/>
        </c:manualLayout>
      </c:layout>
      <c:overlay val="0"/>
      <c:txPr>
        <a:bodyPr/>
        <a:lstStyle/>
        <a:p>
          <a:pPr>
            <a:defRPr sz="649">
              <a:latin typeface="GHEA Grapalat" pitchFamily="50" charset="0"/>
            </a:defRPr>
          </a:pPr>
          <a:endParaRPr lang="en-US"/>
        </a:p>
      </c:txPr>
    </c:legend>
    <c:plotVisOnly val="1"/>
    <c:dispBlanksAs val="zero"/>
    <c:showDLblsOverMax val="0"/>
  </c:chart>
  <c:spPr>
    <a:gradFill>
      <a:gsLst>
        <a:gs pos="0">
          <a:schemeClr val="tx2">
            <a:lumMod val="60000"/>
            <a:lumOff val="40000"/>
          </a:schemeClr>
        </a:gs>
        <a:gs pos="50000">
          <a:schemeClr val="accent1">
            <a:tint val="44500"/>
            <a:satMod val="160000"/>
          </a:schemeClr>
        </a:gs>
        <a:gs pos="100000">
          <a:schemeClr val="accent1">
            <a:tint val="23500"/>
            <a:satMod val="160000"/>
          </a:schemeClr>
        </a:gs>
      </a:gsLst>
      <a:lin ang="5400000" scaled="0"/>
    </a:gradFill>
    <a:effectLst>
      <a:outerShdw blurRad="50800" dist="50800" dir="5400000" algn="ctr" rotWithShape="0">
        <a:schemeClr val="tx2">
          <a:lumMod val="40000"/>
          <a:lumOff val="60000"/>
          <a:alpha val="25000"/>
        </a:schemeClr>
      </a:outerShdw>
    </a:effectLst>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Text" lastClr="000000"/>
                </a:solidFill>
                <a:latin typeface="+mn-lt"/>
                <a:ea typeface="+mn-ea"/>
                <a:cs typeface="+mn-cs"/>
              </a:defRPr>
            </a:pPr>
            <a:r>
              <a:rPr lang="en-US" sz="900" b="1" i="0" baseline="0">
                <a:effectLst/>
              </a:rPr>
              <a:t>201</a:t>
            </a:r>
            <a:r>
              <a:rPr lang="hy-AM" sz="900" b="1" i="0" baseline="0">
                <a:effectLst/>
              </a:rPr>
              <a:t>9թ</a:t>
            </a:r>
            <a:r>
              <a:rPr lang="en-US" sz="900" b="1" i="0" baseline="0">
                <a:effectLst/>
              </a:rPr>
              <a:t> հու</a:t>
            </a:r>
            <a:r>
              <a:rPr lang="hy-AM" sz="900" b="1" i="0" baseline="0">
                <a:effectLst/>
              </a:rPr>
              <a:t>լիս </a:t>
            </a:r>
            <a:r>
              <a:rPr lang="en-US" sz="900" b="1" i="0" baseline="0">
                <a:effectLst/>
              </a:rPr>
              <a:t> </a:t>
            </a:r>
            <a:r>
              <a:rPr lang="hy-AM" sz="900" b="1" i="0" baseline="0">
                <a:effectLst/>
              </a:rPr>
              <a:t>1․7</a:t>
            </a:r>
            <a:r>
              <a:rPr lang="en-US" sz="900" b="1" i="0" baseline="0">
                <a:effectLst/>
              </a:rPr>
              <a:t>% </a:t>
            </a:r>
            <a:r>
              <a:rPr lang="hy-AM" sz="900" b="1" i="0" baseline="0">
                <a:effectLst/>
              </a:rPr>
              <a:t>գնաճ</a:t>
            </a:r>
            <a:r>
              <a:rPr lang="en-US" sz="900" b="1" i="0" baseline="0">
                <a:effectLst/>
              </a:rPr>
              <a:t>  (նպաստումներ 4 ապրանքախմբով)</a:t>
            </a:r>
            <a:endParaRPr lang="en-US" sz="900">
              <a:latin typeface="GHEA Grapalat" pitchFamily="50" charset="0"/>
            </a:endParaRPr>
          </a:p>
        </c:rich>
      </c:tx>
      <c:layout>
        <c:manualLayout>
          <c:xMode val="edge"/>
          <c:yMode val="edge"/>
          <c:x val="0.10432184830399389"/>
          <c:y val="3.4746789795751437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5.6579665246762154E-2"/>
          <c:y val="0.2718556847060784"/>
          <c:w val="0.89912430021391831"/>
          <c:h val="0.49802882836366813"/>
        </c:manualLayout>
      </c:layout>
      <c:pie3DChart>
        <c:varyColors val="1"/>
        <c:ser>
          <c:idx val="0"/>
          <c:order val="0"/>
          <c:tx>
            <c:strRef>
              <c:f>Sheet1!$B$1</c:f>
              <c:strCache>
                <c:ptCount val="1"/>
                <c:pt idx="0">
                  <c:v>12-ամսյա գնաճ</c:v>
                </c:pt>
              </c:strCache>
            </c:strRef>
          </c:tx>
          <c:explosion val="25"/>
          <c:dPt>
            <c:idx val="0"/>
            <c:bubble3D val="0"/>
            <c:spPr>
              <a:pattFill prst="pct10">
                <a:fgClr>
                  <a:schemeClr val="accent1"/>
                </a:fgClr>
                <a:bgClr>
                  <a:schemeClr val="bg1"/>
                </a:bgClr>
              </a:pattFill>
            </c:spPr>
            <c:extLst>
              <c:ext xmlns:c16="http://schemas.microsoft.com/office/drawing/2014/chart" uri="{C3380CC4-5D6E-409C-BE32-E72D297353CC}">
                <c16:uniqueId val="{00000001-655F-468D-8BCB-02161699D682}"/>
              </c:ext>
            </c:extLst>
          </c:dPt>
          <c:dPt>
            <c:idx val="1"/>
            <c:bubble3D val="0"/>
            <c:spPr>
              <a:pattFill prst="wdDnDiag">
                <a:fgClr>
                  <a:schemeClr val="accent1"/>
                </a:fgClr>
                <a:bgClr>
                  <a:schemeClr val="bg1"/>
                </a:bgClr>
              </a:pattFill>
            </c:spPr>
            <c:extLst>
              <c:ext xmlns:c16="http://schemas.microsoft.com/office/drawing/2014/chart" uri="{C3380CC4-5D6E-409C-BE32-E72D297353CC}">
                <c16:uniqueId val="{00000003-655F-468D-8BCB-02161699D682}"/>
              </c:ext>
            </c:extLst>
          </c:dPt>
          <c:dLbls>
            <c:spPr>
              <a:noFill/>
              <a:ln>
                <a:noFill/>
              </a:ln>
              <a:effectLst/>
            </c:spPr>
            <c:txPr>
              <a:bodyPr/>
              <a:lstStyle/>
              <a:p>
                <a:pPr>
                  <a:defRPr b="0"/>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Sheet1!$A$2:$A$5</c:f>
              <c:strCache>
                <c:ptCount val="4"/>
                <c:pt idx="0">
                  <c:v>Սննդամթերք և ոչ ալկոհոլային խմիչքներ</c:v>
                </c:pt>
                <c:pt idx="1">
                  <c:v>Ալկոհոլային խմիչքներ և ծխախոտային արտադրատեսակներ </c:v>
                </c:pt>
                <c:pt idx="2">
                  <c:v>Ոչ պարենային ապրանքներ</c:v>
                </c:pt>
                <c:pt idx="3">
                  <c:v>Ծառայություններ </c:v>
                </c:pt>
              </c:strCache>
            </c:strRef>
          </c:cat>
          <c:val>
            <c:numRef>
              <c:f>Sheet1!$B$2:$B$5</c:f>
              <c:numCache>
                <c:formatCode>0.0</c:formatCode>
                <c:ptCount val="4"/>
                <c:pt idx="0">
                  <c:v>1.0750999999999991</c:v>
                </c:pt>
                <c:pt idx="1">
                  <c:v>0.18614000000000008</c:v>
                </c:pt>
                <c:pt idx="2">
                  <c:v>0.42256000000000021</c:v>
                </c:pt>
                <c:pt idx="3">
                  <c:v>6.3740000000000019E-2</c:v>
                </c:pt>
              </c:numCache>
            </c:numRef>
          </c:val>
          <c:extLst>
            <c:ext xmlns:c16="http://schemas.microsoft.com/office/drawing/2014/chart" uri="{C3380CC4-5D6E-409C-BE32-E72D297353CC}">
              <c16:uniqueId val="{00000006-655F-468D-8BCB-02161699D682}"/>
            </c:ext>
          </c:extLst>
        </c:ser>
        <c:dLbls>
          <c:showLegendKey val="0"/>
          <c:showVal val="0"/>
          <c:showCatName val="0"/>
          <c:showSerName val="0"/>
          <c:showPercent val="0"/>
          <c:showBubbleSize val="0"/>
          <c:showLeaderLines val="1"/>
        </c:dLbls>
      </c:pie3DChart>
      <c:spPr>
        <a:noFill/>
        <a:ln w="25420">
          <a:noFill/>
        </a:ln>
      </c:spPr>
    </c:plotArea>
    <c:legend>
      <c:legendPos val="r"/>
      <c:layout>
        <c:manualLayout>
          <c:xMode val="edge"/>
          <c:yMode val="edge"/>
          <c:x val="2.8571428571428589E-3"/>
          <c:y val="0.73563218390804597"/>
          <c:w val="0.91999999999999993"/>
          <c:h val="0.20570999336834841"/>
        </c:manualLayout>
      </c:layout>
      <c:overlay val="0"/>
      <c:txPr>
        <a:bodyPr/>
        <a:lstStyle/>
        <a:p>
          <a:pPr>
            <a:defRPr sz="651">
              <a:latin typeface="GHEA Grapalat" pitchFamily="50" charset="0"/>
            </a:defRPr>
          </a:pPr>
          <a:endParaRPr lang="en-US"/>
        </a:p>
      </c:txPr>
    </c:legend>
    <c:plotVisOnly val="1"/>
    <c:dispBlanksAs val="zero"/>
    <c:showDLblsOverMax val="0"/>
  </c:chart>
  <c:spPr>
    <a:gradFill>
      <a:gsLst>
        <a:gs pos="0">
          <a:schemeClr val="tx2">
            <a:lumMod val="60000"/>
            <a:lumOff val="40000"/>
          </a:schemeClr>
        </a:gs>
        <a:gs pos="50000">
          <a:schemeClr val="accent1">
            <a:tint val="44500"/>
            <a:satMod val="160000"/>
          </a:schemeClr>
        </a:gs>
        <a:gs pos="100000">
          <a:schemeClr val="accent1">
            <a:tint val="23500"/>
            <a:satMod val="160000"/>
          </a:schemeClr>
        </a:gs>
      </a:gsLst>
      <a:lin ang="5400000" scaled="0"/>
    </a:gradFill>
    <a:effectLst>
      <a:outerShdw blurRad="50800" dist="50800" dir="5400000" algn="ctr" rotWithShape="0">
        <a:schemeClr val="tx2">
          <a:lumMod val="40000"/>
          <a:lumOff val="60000"/>
          <a:alpha val="25000"/>
        </a:schemeClr>
      </a:outerShdw>
    </a:effectLst>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99" b="1" i="0" u="none" strike="noStrike" kern="1200" baseline="0">
                <a:solidFill>
                  <a:sysClr val="windowText" lastClr="000000"/>
                </a:solidFill>
                <a:latin typeface="GHEA Grapalat" pitchFamily="50" charset="0"/>
                <a:ea typeface="+mn-ea"/>
                <a:cs typeface="+mn-cs"/>
              </a:defRPr>
            </a:pPr>
            <a:r>
              <a:rPr lang="en-US" sz="899">
                <a:effectLst/>
                <a:latin typeface="GHEA Grapalat" pitchFamily="50" charset="0"/>
              </a:rPr>
              <a:t>2018թ. փողի զանգվածի 7.4</a:t>
            </a:r>
            <a:r>
              <a:rPr lang="hy-AM" sz="899" b="1" i="0" u="none" strike="noStrike" baseline="0">
                <a:effectLst/>
                <a:latin typeface="GHEA Grapalat" pitchFamily="50" charset="0"/>
              </a:rPr>
              <a:t>%</a:t>
            </a:r>
            <a:r>
              <a:rPr lang="en-US" sz="899" b="1" i="0" u="none" strike="noStrike" baseline="0">
                <a:effectLst/>
                <a:latin typeface="GHEA Grapalat" pitchFamily="50" charset="0"/>
              </a:rPr>
              <a:t> աճին նպաստման չափերը</a:t>
            </a:r>
            <a:r>
              <a:rPr lang="en-US" sz="899" baseline="0">
                <a:effectLst/>
                <a:latin typeface="GHEA Grapalat" pitchFamily="50" charset="0"/>
              </a:rPr>
              <a:t> </a:t>
            </a:r>
            <a:endParaRPr lang="en-US" sz="900">
              <a:latin typeface="GHEA Grapalat" pitchFamily="50" charset="0"/>
            </a:endParaRPr>
          </a:p>
        </c:rich>
      </c:tx>
      <c:layout>
        <c:manualLayout>
          <c:xMode val="edge"/>
          <c:yMode val="edge"/>
          <c:x val="9.3740347673932148E-2"/>
          <c:y val="5.5463530021710339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4.3464888974767725E-2"/>
          <c:y val="0.27185557902823132"/>
          <c:w val="0.89912430021391831"/>
          <c:h val="0.49802882836366813"/>
        </c:manualLayout>
      </c:layout>
      <c:pie3DChart>
        <c:varyColors val="1"/>
        <c:ser>
          <c:idx val="0"/>
          <c:order val="0"/>
          <c:tx>
            <c:strRef>
              <c:f>Sheet1!$B$1</c:f>
              <c:strCache>
                <c:ptCount val="1"/>
                <c:pt idx="0">
                  <c:v>2018</c:v>
                </c:pt>
              </c:strCache>
            </c:strRef>
          </c:tx>
          <c:explosion val="25"/>
          <c:dPt>
            <c:idx val="0"/>
            <c:bubble3D val="0"/>
            <c:spPr>
              <a:pattFill prst="pct10">
                <a:fgClr>
                  <a:schemeClr val="accent1"/>
                </a:fgClr>
                <a:bgClr>
                  <a:schemeClr val="bg1"/>
                </a:bgClr>
              </a:pattFill>
            </c:spPr>
            <c:extLst>
              <c:ext xmlns:c16="http://schemas.microsoft.com/office/drawing/2014/chart" uri="{C3380CC4-5D6E-409C-BE32-E72D297353CC}">
                <c16:uniqueId val="{00000001-FA4F-4BF1-A23F-61DB5705DC8A}"/>
              </c:ext>
            </c:extLst>
          </c:dPt>
          <c:dPt>
            <c:idx val="1"/>
            <c:bubble3D val="0"/>
            <c:spPr>
              <a:pattFill prst="wdDnDiag">
                <a:fgClr>
                  <a:schemeClr val="accent1"/>
                </a:fgClr>
                <a:bgClr>
                  <a:schemeClr val="bg1"/>
                </a:bgClr>
              </a:pattFill>
            </c:spPr>
            <c:extLst>
              <c:ext xmlns:c16="http://schemas.microsoft.com/office/drawing/2014/chart" uri="{C3380CC4-5D6E-409C-BE32-E72D297353CC}">
                <c16:uniqueId val="{00000003-FA4F-4BF1-A23F-61DB5705DC8A}"/>
              </c:ext>
            </c:extLst>
          </c:dPt>
          <c:dLbls>
            <c:spPr>
              <a:noFill/>
              <a:ln>
                <a:noFill/>
              </a:ln>
              <a:effectLst/>
            </c:spPr>
            <c:txPr>
              <a:bodyPr/>
              <a:lstStyle/>
              <a:p>
                <a:pPr>
                  <a:defRPr b="1"/>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Sheet1!$A$2:$A$4</c:f>
              <c:strCache>
                <c:ptCount val="3"/>
                <c:pt idx="0">
                  <c:v>Շրջանառությունում կանխիկ ՀՀ դրամ</c:v>
                </c:pt>
                <c:pt idx="1">
                  <c:v>ՀՀ դրամով ավանդներ</c:v>
                </c:pt>
                <c:pt idx="2">
                  <c:v>Արտարժույթով ավանդներ</c:v>
                </c:pt>
              </c:strCache>
            </c:strRef>
          </c:cat>
          <c:val>
            <c:numRef>
              <c:f>Sheet1!$B$2:$B$4</c:f>
              <c:numCache>
                <c:formatCode>0.0</c:formatCode>
                <c:ptCount val="3"/>
                <c:pt idx="0">
                  <c:v>1.2328293134124624</c:v>
                </c:pt>
                <c:pt idx="1">
                  <c:v>5.8505495735320228</c:v>
                </c:pt>
                <c:pt idx="2">
                  <c:v>0.3625413959169923</c:v>
                </c:pt>
              </c:numCache>
            </c:numRef>
          </c:val>
          <c:extLst>
            <c:ext xmlns:c16="http://schemas.microsoft.com/office/drawing/2014/chart" uri="{C3380CC4-5D6E-409C-BE32-E72D297353CC}">
              <c16:uniqueId val="{00000005-FA4F-4BF1-A23F-61DB5705DC8A}"/>
            </c:ext>
          </c:extLst>
        </c:ser>
        <c:dLbls>
          <c:showLegendKey val="0"/>
          <c:showVal val="0"/>
          <c:showCatName val="0"/>
          <c:showSerName val="0"/>
          <c:showPercent val="0"/>
          <c:showBubbleSize val="0"/>
          <c:showLeaderLines val="1"/>
        </c:dLbls>
      </c:pie3DChart>
      <c:spPr>
        <a:noFill/>
        <a:ln w="25385">
          <a:noFill/>
        </a:ln>
      </c:spPr>
    </c:plotArea>
    <c:legend>
      <c:legendPos val="r"/>
      <c:layout>
        <c:manualLayout>
          <c:xMode val="edge"/>
          <c:yMode val="edge"/>
          <c:x val="1.6483516483516487E-2"/>
          <c:y val="0.82666666666666666"/>
          <c:w val="0.94230769230769262"/>
          <c:h val="0.16800000000000001"/>
        </c:manualLayout>
      </c:layout>
      <c:overlay val="0"/>
      <c:txPr>
        <a:bodyPr/>
        <a:lstStyle/>
        <a:p>
          <a:pPr>
            <a:defRPr sz="700">
              <a:latin typeface="GHEA Grapalat" pitchFamily="50" charset="0"/>
            </a:defRPr>
          </a:pPr>
          <a:endParaRPr lang="en-US"/>
        </a:p>
      </c:txPr>
    </c:legend>
    <c:plotVisOnly val="1"/>
    <c:dispBlanksAs val="zero"/>
    <c:showDLblsOverMax val="0"/>
  </c:chart>
  <c:spPr>
    <a:gradFill>
      <a:gsLst>
        <a:gs pos="0">
          <a:schemeClr val="tx2">
            <a:lumMod val="60000"/>
            <a:lumOff val="40000"/>
          </a:schemeClr>
        </a:gs>
        <a:gs pos="50000">
          <a:schemeClr val="accent1">
            <a:tint val="44500"/>
            <a:satMod val="160000"/>
          </a:schemeClr>
        </a:gs>
        <a:gs pos="100000">
          <a:schemeClr val="accent1">
            <a:tint val="23500"/>
            <a:satMod val="160000"/>
          </a:schemeClr>
        </a:gs>
      </a:gsLst>
      <a:lin ang="5400000" scaled="0"/>
    </a:gradFill>
    <a:effectLst>
      <a:outerShdw blurRad="50800" dist="50800" dir="5400000" algn="ctr" rotWithShape="0">
        <a:schemeClr val="tx2">
          <a:lumMod val="40000"/>
          <a:lumOff val="60000"/>
          <a:alpha val="25000"/>
        </a:schemeClr>
      </a:outerShdw>
    </a:effectLst>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99" b="1" i="0" u="none" strike="noStrike" kern="1200" baseline="0">
                <a:solidFill>
                  <a:sysClr val="windowText" lastClr="000000"/>
                </a:solidFill>
                <a:latin typeface="GHEA Grapalat" pitchFamily="50" charset="0"/>
                <a:ea typeface="+mn-ea"/>
                <a:cs typeface="+mn-cs"/>
              </a:defRPr>
            </a:pPr>
            <a:r>
              <a:rPr lang="en-US" sz="899">
                <a:effectLst/>
                <a:latin typeface="GHEA Grapalat" pitchFamily="50" charset="0"/>
              </a:rPr>
              <a:t>2018թ. փողի բազայի</a:t>
            </a:r>
            <a:r>
              <a:rPr lang="en-US" sz="899" baseline="0">
                <a:effectLst/>
                <a:latin typeface="GHEA Grapalat" pitchFamily="50" charset="0"/>
              </a:rPr>
              <a:t> 17.8</a:t>
            </a:r>
            <a:r>
              <a:rPr lang="hy-AM" sz="899" b="1" i="0" u="none" strike="noStrike" baseline="0">
                <a:effectLst/>
                <a:latin typeface="GHEA Grapalat" pitchFamily="50" charset="0"/>
              </a:rPr>
              <a:t>%</a:t>
            </a:r>
            <a:r>
              <a:rPr lang="en-US" sz="899" b="1" i="0" u="none" strike="noStrike" baseline="0">
                <a:effectLst/>
                <a:latin typeface="GHEA Grapalat" pitchFamily="50" charset="0"/>
              </a:rPr>
              <a:t> աճին նպաստման չափերը</a:t>
            </a:r>
            <a:r>
              <a:rPr lang="en-US" sz="899" baseline="0">
                <a:effectLst/>
                <a:latin typeface="GHEA Grapalat" pitchFamily="50" charset="0"/>
              </a:rPr>
              <a:t> </a:t>
            </a:r>
            <a:endParaRPr lang="en-US" sz="900">
              <a:latin typeface="GHEA Grapalat" pitchFamily="50" charset="0"/>
            </a:endParaRPr>
          </a:p>
        </c:rich>
      </c:tx>
      <c:layout>
        <c:manualLayout>
          <c:xMode val="edge"/>
          <c:yMode val="edge"/>
          <c:x val="0.20968248760571595"/>
          <c:y val="5.131030447819409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4.3464888974767725E-2"/>
          <c:y val="0.27185557902823132"/>
          <c:w val="0.89912430021391831"/>
          <c:h val="0.49802882836366813"/>
        </c:manualLayout>
      </c:layout>
      <c:pie3DChart>
        <c:varyColors val="1"/>
        <c:ser>
          <c:idx val="0"/>
          <c:order val="0"/>
          <c:tx>
            <c:strRef>
              <c:f>Sheet1!$B$1</c:f>
              <c:strCache>
                <c:ptCount val="1"/>
                <c:pt idx="0">
                  <c:v>2018</c:v>
                </c:pt>
              </c:strCache>
            </c:strRef>
          </c:tx>
          <c:explosion val="25"/>
          <c:dPt>
            <c:idx val="0"/>
            <c:bubble3D val="0"/>
            <c:spPr>
              <a:pattFill prst="pct10">
                <a:fgClr>
                  <a:schemeClr val="accent1"/>
                </a:fgClr>
                <a:bgClr>
                  <a:schemeClr val="bg1"/>
                </a:bgClr>
              </a:pattFill>
            </c:spPr>
            <c:extLst>
              <c:ext xmlns:c16="http://schemas.microsoft.com/office/drawing/2014/chart" uri="{C3380CC4-5D6E-409C-BE32-E72D297353CC}">
                <c16:uniqueId val="{00000001-AB1B-4877-9E81-C321AFF0E251}"/>
              </c:ext>
            </c:extLst>
          </c:dPt>
          <c:dPt>
            <c:idx val="1"/>
            <c:bubble3D val="0"/>
            <c:spPr>
              <a:pattFill prst="wdDnDiag">
                <a:fgClr>
                  <a:schemeClr val="accent1"/>
                </a:fgClr>
                <a:bgClr>
                  <a:schemeClr val="bg1"/>
                </a:bgClr>
              </a:pattFill>
            </c:spPr>
            <c:extLst>
              <c:ext xmlns:c16="http://schemas.microsoft.com/office/drawing/2014/chart" uri="{C3380CC4-5D6E-409C-BE32-E72D297353CC}">
                <c16:uniqueId val="{00000003-AB1B-4877-9E81-C321AFF0E251}"/>
              </c:ext>
            </c:extLst>
          </c:dPt>
          <c:dLbls>
            <c:spPr>
              <a:noFill/>
              <a:ln>
                <a:noFill/>
              </a:ln>
              <a:effectLst/>
            </c:spPr>
            <c:txPr>
              <a:bodyPr/>
              <a:lstStyle/>
              <a:p>
                <a:pPr>
                  <a:defRPr b="1"/>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Sheet1!$A$2:$A$5</c:f>
              <c:strCache>
                <c:ptCount val="4"/>
                <c:pt idx="0">
                  <c:v>ԿԲ-ից դուրս կանխիկ դրամ</c:v>
                </c:pt>
                <c:pt idx="1">
                  <c:v>Թղթակցային հաշիվներ ԿԲ-ում ՀՀ դրամով</c:v>
                </c:pt>
                <c:pt idx="2">
                  <c:v>Թղթակցային հաշիվներ ԿԲ-ում արտարժույթով </c:v>
                </c:pt>
                <c:pt idx="3">
                  <c:v> Այլ հաշիվներ ԿԲ-ում</c:v>
                </c:pt>
              </c:strCache>
            </c:strRef>
          </c:cat>
          <c:val>
            <c:numRef>
              <c:f>Sheet1!$B$2:$B$5</c:f>
              <c:numCache>
                <c:formatCode>0.0</c:formatCode>
                <c:ptCount val="4"/>
                <c:pt idx="0">
                  <c:v>4.9042391027344436</c:v>
                </c:pt>
                <c:pt idx="1">
                  <c:v>3.8925277800396687</c:v>
                </c:pt>
                <c:pt idx="2">
                  <c:v>6.567376591481116</c:v>
                </c:pt>
                <c:pt idx="3">
                  <c:v>2.4245911814794012</c:v>
                </c:pt>
              </c:numCache>
            </c:numRef>
          </c:val>
          <c:extLst>
            <c:ext xmlns:c16="http://schemas.microsoft.com/office/drawing/2014/chart" uri="{C3380CC4-5D6E-409C-BE32-E72D297353CC}">
              <c16:uniqueId val="{00000006-AB1B-4877-9E81-C321AFF0E251}"/>
            </c:ext>
          </c:extLst>
        </c:ser>
        <c:dLbls>
          <c:showLegendKey val="0"/>
          <c:showVal val="0"/>
          <c:showCatName val="0"/>
          <c:showSerName val="0"/>
          <c:showPercent val="0"/>
          <c:showBubbleSize val="0"/>
          <c:showLeaderLines val="1"/>
        </c:dLbls>
      </c:pie3DChart>
      <c:spPr>
        <a:noFill/>
        <a:ln w="25373">
          <a:noFill/>
        </a:ln>
      </c:spPr>
    </c:plotArea>
    <c:legend>
      <c:legendPos val="r"/>
      <c:layout>
        <c:manualLayout>
          <c:xMode val="edge"/>
          <c:yMode val="edge"/>
          <c:x val="1.319261213720316E-2"/>
          <c:y val="0.82666666666666666"/>
          <c:w val="0.94459102902374681"/>
          <c:h val="0.16800000000000001"/>
        </c:manualLayout>
      </c:layout>
      <c:overlay val="0"/>
      <c:txPr>
        <a:bodyPr/>
        <a:lstStyle/>
        <a:p>
          <a:pPr>
            <a:defRPr sz="699">
              <a:latin typeface="GHEA Grapalat" pitchFamily="50" charset="0"/>
            </a:defRPr>
          </a:pPr>
          <a:endParaRPr lang="en-US"/>
        </a:p>
      </c:txPr>
    </c:legend>
    <c:plotVisOnly val="1"/>
    <c:dispBlanksAs val="zero"/>
    <c:showDLblsOverMax val="0"/>
  </c:chart>
  <c:spPr>
    <a:gradFill>
      <a:gsLst>
        <a:gs pos="0">
          <a:schemeClr val="tx2">
            <a:lumMod val="60000"/>
            <a:lumOff val="40000"/>
          </a:schemeClr>
        </a:gs>
        <a:gs pos="50000">
          <a:schemeClr val="accent1">
            <a:tint val="44500"/>
            <a:satMod val="160000"/>
          </a:schemeClr>
        </a:gs>
        <a:gs pos="100000">
          <a:schemeClr val="accent1">
            <a:tint val="23500"/>
            <a:satMod val="160000"/>
          </a:schemeClr>
        </a:gs>
      </a:gsLst>
      <a:lin ang="5400000" scaled="0"/>
    </a:gradFill>
    <a:effectLst>
      <a:outerShdw blurRad="50800" dist="50800" dir="5400000" algn="ctr" rotWithShape="0">
        <a:schemeClr val="tx2">
          <a:lumMod val="40000"/>
          <a:lumOff val="60000"/>
          <a:alpha val="25000"/>
        </a:schemeClr>
      </a:outerShdw>
    </a:effectLst>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a:pPr>
            <a:r>
              <a:rPr lang="en-US" sz="800" b="1" i="0" baseline="0">
                <a:effectLst/>
              </a:rPr>
              <a:t>Վարկերի և ավանդների ծավալների աճ</a:t>
            </a:r>
            <a:r>
              <a:rPr lang="ru-RU" sz="800" b="1" i="0" baseline="0">
                <a:effectLst/>
              </a:rPr>
              <a:t> (</a:t>
            </a:r>
            <a:r>
              <a:rPr lang="hy-AM" sz="800" b="1" i="0" baseline="0">
                <a:effectLst/>
              </a:rPr>
              <a:t>ռեզիդենտների</a:t>
            </a:r>
            <a:r>
              <a:rPr lang="ru-RU" sz="800" b="1" i="0" baseline="0">
                <a:effectLst/>
              </a:rPr>
              <a:t>)</a:t>
            </a:r>
            <a:r>
              <a:rPr lang="en-US" sz="800" b="1" i="0" baseline="0">
                <a:effectLst/>
              </a:rPr>
              <a:t>, %   </a:t>
            </a:r>
            <a:endParaRPr lang="en-US" sz="800">
              <a:effectLst/>
            </a:endParaRPr>
          </a:p>
        </c:rich>
      </c:tx>
      <c:overlay val="1"/>
    </c:title>
    <c:autoTitleDeleted val="0"/>
    <c:plotArea>
      <c:layout>
        <c:manualLayout>
          <c:layoutTarget val="inner"/>
          <c:xMode val="edge"/>
          <c:yMode val="edge"/>
          <c:x val="0.12450159887219339"/>
          <c:y val="0.16494597266250821"/>
          <c:w val="0.8311749131795213"/>
          <c:h val="0.59725960433318936"/>
        </c:manualLayout>
      </c:layout>
      <c:lineChart>
        <c:grouping val="standard"/>
        <c:varyColors val="0"/>
        <c:ser>
          <c:idx val="0"/>
          <c:order val="0"/>
          <c:tx>
            <c:strRef>
              <c:f>Sheet1!$B$1</c:f>
              <c:strCache>
                <c:ptCount val="1"/>
                <c:pt idx="0">
                  <c:v>Վարկերի աճ (ռեզիդենտների)</c:v>
                </c:pt>
              </c:strCache>
            </c:strRef>
          </c:tx>
          <c:dLbls>
            <c:dLbl>
              <c:idx val="0"/>
              <c:layout>
                <c:manualLayout>
                  <c:x val="-3.9867109634551513E-2"/>
                  <c:y val="7.4074074074074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EB5-4F1B-AED0-9B31BD0DB49E}"/>
                </c:ext>
              </c:extLst>
            </c:dLbl>
            <c:dLbl>
              <c:idx val="18"/>
              <c:layout>
                <c:manualLayout>
                  <c:x val="-5.2168711469205882E-2"/>
                  <c:y val="-4.76190013285376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EB5-4F1B-AED0-9B31BD0DB49E}"/>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Sheet1!$A$2:$A$20</c:f>
              <c:strCache>
                <c:ptCount val="19"/>
                <c:pt idx="0">
                  <c:v>2018M01</c:v>
                </c:pt>
                <c:pt idx="1">
                  <c:v>2018M02</c:v>
                </c:pt>
                <c:pt idx="2">
                  <c:v>2018M03</c:v>
                </c:pt>
                <c:pt idx="3">
                  <c:v>2018M04</c:v>
                </c:pt>
                <c:pt idx="4">
                  <c:v>2018M05</c:v>
                </c:pt>
                <c:pt idx="5">
                  <c:v>2018M06</c:v>
                </c:pt>
                <c:pt idx="6">
                  <c:v>2018M07</c:v>
                </c:pt>
                <c:pt idx="7">
                  <c:v>2018M08</c:v>
                </c:pt>
                <c:pt idx="8">
                  <c:v>2018M09</c:v>
                </c:pt>
                <c:pt idx="9">
                  <c:v>2018M10</c:v>
                </c:pt>
                <c:pt idx="10">
                  <c:v>2018M11</c:v>
                </c:pt>
                <c:pt idx="11">
                  <c:v>2018M12</c:v>
                </c:pt>
                <c:pt idx="12">
                  <c:v>2019M1</c:v>
                </c:pt>
                <c:pt idx="13">
                  <c:v>2019M2</c:v>
                </c:pt>
                <c:pt idx="14">
                  <c:v>2019M3</c:v>
                </c:pt>
                <c:pt idx="15">
                  <c:v>2019M4</c:v>
                </c:pt>
                <c:pt idx="16">
                  <c:v>2019M5</c:v>
                </c:pt>
                <c:pt idx="17">
                  <c:v>2019M6</c:v>
                </c:pt>
                <c:pt idx="18">
                  <c:v>2019M7</c:v>
                </c:pt>
              </c:strCache>
            </c:strRef>
          </c:cat>
          <c:val>
            <c:numRef>
              <c:f>Sheet1!$B$2:$B$20</c:f>
              <c:numCache>
                <c:formatCode>0.0</c:formatCode>
                <c:ptCount val="19"/>
                <c:pt idx="0">
                  <c:v>17.193599843451278</c:v>
                </c:pt>
                <c:pt idx="1">
                  <c:v>17.735904607608177</c:v>
                </c:pt>
                <c:pt idx="2">
                  <c:v>19.300812566527171</c:v>
                </c:pt>
                <c:pt idx="3">
                  <c:v>19.63425570032301</c:v>
                </c:pt>
                <c:pt idx="4">
                  <c:v>21.346986839383629</c:v>
                </c:pt>
                <c:pt idx="5">
                  <c:v>21.325939924592532</c:v>
                </c:pt>
                <c:pt idx="6">
                  <c:v>21.665919319217906</c:v>
                </c:pt>
                <c:pt idx="7">
                  <c:v>21.18908010954349</c:v>
                </c:pt>
                <c:pt idx="8">
                  <c:v>19.615181930997927</c:v>
                </c:pt>
                <c:pt idx="9">
                  <c:v>20.599852248669578</c:v>
                </c:pt>
                <c:pt idx="10">
                  <c:v>20.704916056303887</c:v>
                </c:pt>
                <c:pt idx="11">
                  <c:v>16.567411434949577</c:v>
                </c:pt>
                <c:pt idx="12">
                  <c:v>17.114176073456662</c:v>
                </c:pt>
                <c:pt idx="13">
                  <c:v>18.413906603924726</c:v>
                </c:pt>
                <c:pt idx="14">
                  <c:v>15.456012367040964</c:v>
                </c:pt>
                <c:pt idx="15">
                  <c:v>15.124359850252523</c:v>
                </c:pt>
                <c:pt idx="16">
                  <c:v>14.011904026985299</c:v>
                </c:pt>
                <c:pt idx="17">
                  <c:v>13.396335048765231</c:v>
                </c:pt>
                <c:pt idx="18">
                  <c:v>13.773979818001017</c:v>
                </c:pt>
              </c:numCache>
            </c:numRef>
          </c:val>
          <c:smooth val="0"/>
          <c:extLst>
            <c:ext xmlns:c16="http://schemas.microsoft.com/office/drawing/2014/chart" uri="{C3380CC4-5D6E-409C-BE32-E72D297353CC}">
              <c16:uniqueId val="{00000002-2EB5-4F1B-AED0-9B31BD0DB49E}"/>
            </c:ext>
          </c:extLst>
        </c:ser>
        <c:ser>
          <c:idx val="1"/>
          <c:order val="1"/>
          <c:tx>
            <c:strRef>
              <c:f>Sheet1!$C$1</c:f>
              <c:strCache>
                <c:ptCount val="1"/>
                <c:pt idx="0">
                  <c:v>Ավանդների աճ  (ռեզիդենտների)</c:v>
                </c:pt>
              </c:strCache>
            </c:strRef>
          </c:tx>
          <c:marker>
            <c:symbol val="triangle"/>
            <c:size val="7"/>
          </c:marker>
          <c:dLbls>
            <c:dLbl>
              <c:idx val="0"/>
              <c:layout>
                <c:manualLayout>
                  <c:x val="-3.1007751937984534E-2"/>
                  <c:y val="-6.17283950617283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EB5-4F1B-AED0-9B31BD0DB49E}"/>
                </c:ext>
              </c:extLst>
            </c:dLbl>
            <c:dLbl>
              <c:idx val="18"/>
              <c:layout>
                <c:manualLayout>
                  <c:x val="-5.2459016393442623E-2"/>
                  <c:y val="6.06060606060606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EB5-4F1B-AED0-9B31BD0DB49E}"/>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Sheet1!$A$2:$A$20</c:f>
              <c:strCache>
                <c:ptCount val="19"/>
                <c:pt idx="0">
                  <c:v>2018M01</c:v>
                </c:pt>
                <c:pt idx="1">
                  <c:v>2018M02</c:v>
                </c:pt>
                <c:pt idx="2">
                  <c:v>2018M03</c:v>
                </c:pt>
                <c:pt idx="3">
                  <c:v>2018M04</c:v>
                </c:pt>
                <c:pt idx="4">
                  <c:v>2018M05</c:v>
                </c:pt>
                <c:pt idx="5">
                  <c:v>2018M06</c:v>
                </c:pt>
                <c:pt idx="6">
                  <c:v>2018M07</c:v>
                </c:pt>
                <c:pt idx="7">
                  <c:v>2018M08</c:v>
                </c:pt>
                <c:pt idx="8">
                  <c:v>2018M09</c:v>
                </c:pt>
                <c:pt idx="9">
                  <c:v>2018M10</c:v>
                </c:pt>
                <c:pt idx="10">
                  <c:v>2018M11</c:v>
                </c:pt>
                <c:pt idx="11">
                  <c:v>2018M12</c:v>
                </c:pt>
                <c:pt idx="12">
                  <c:v>2019M1</c:v>
                </c:pt>
                <c:pt idx="13">
                  <c:v>2019M2</c:v>
                </c:pt>
                <c:pt idx="14">
                  <c:v>2019M3</c:v>
                </c:pt>
                <c:pt idx="15">
                  <c:v>2019M4</c:v>
                </c:pt>
                <c:pt idx="16">
                  <c:v>2019M5</c:v>
                </c:pt>
                <c:pt idx="17">
                  <c:v>2019M6</c:v>
                </c:pt>
                <c:pt idx="18">
                  <c:v>2019M7</c:v>
                </c:pt>
              </c:strCache>
            </c:strRef>
          </c:cat>
          <c:val>
            <c:numRef>
              <c:f>Sheet1!$C$2:$C$20</c:f>
              <c:numCache>
                <c:formatCode>0.0</c:formatCode>
                <c:ptCount val="19"/>
                <c:pt idx="0">
                  <c:v>18.961422472723466</c:v>
                </c:pt>
                <c:pt idx="1">
                  <c:v>16.817500368727593</c:v>
                </c:pt>
                <c:pt idx="2">
                  <c:v>17.151516013984903</c:v>
                </c:pt>
                <c:pt idx="3">
                  <c:v>13.722512033485298</c:v>
                </c:pt>
                <c:pt idx="4">
                  <c:v>14.207569465353593</c:v>
                </c:pt>
                <c:pt idx="5">
                  <c:v>14.240135048187597</c:v>
                </c:pt>
                <c:pt idx="6">
                  <c:v>12.048372840560921</c:v>
                </c:pt>
                <c:pt idx="7">
                  <c:v>10.548962451991867</c:v>
                </c:pt>
                <c:pt idx="8">
                  <c:v>10.263020248717751</c:v>
                </c:pt>
                <c:pt idx="9">
                  <c:v>7.5315629968323963</c:v>
                </c:pt>
                <c:pt idx="10">
                  <c:v>6.9241073888187792</c:v>
                </c:pt>
                <c:pt idx="11">
                  <c:v>6.7207810759715443</c:v>
                </c:pt>
                <c:pt idx="12">
                  <c:v>5.9149237449996726</c:v>
                </c:pt>
                <c:pt idx="13">
                  <c:v>6.5899260568946119</c:v>
                </c:pt>
                <c:pt idx="14">
                  <c:v>5.4843165822718474</c:v>
                </c:pt>
                <c:pt idx="15">
                  <c:v>8.8460018361995054</c:v>
                </c:pt>
                <c:pt idx="16">
                  <c:v>10.31945287768403</c:v>
                </c:pt>
                <c:pt idx="17">
                  <c:v>9.0968643480857168</c:v>
                </c:pt>
                <c:pt idx="18">
                  <c:v>7.8692285511685895</c:v>
                </c:pt>
              </c:numCache>
            </c:numRef>
          </c:val>
          <c:smooth val="0"/>
          <c:extLst>
            <c:ext xmlns:c16="http://schemas.microsoft.com/office/drawing/2014/chart" uri="{C3380CC4-5D6E-409C-BE32-E72D297353CC}">
              <c16:uniqueId val="{00000005-2EB5-4F1B-AED0-9B31BD0DB49E}"/>
            </c:ext>
          </c:extLst>
        </c:ser>
        <c:dLbls>
          <c:showLegendKey val="0"/>
          <c:showVal val="0"/>
          <c:showCatName val="0"/>
          <c:showSerName val="0"/>
          <c:showPercent val="0"/>
          <c:showBubbleSize val="0"/>
        </c:dLbls>
        <c:marker val="1"/>
        <c:smooth val="0"/>
        <c:axId val="117367168"/>
        <c:axId val="117368704"/>
      </c:lineChart>
      <c:catAx>
        <c:axId val="117367168"/>
        <c:scaling>
          <c:orientation val="minMax"/>
        </c:scaling>
        <c:delete val="0"/>
        <c:axPos val="b"/>
        <c:numFmt formatCode="General" sourceLinked="0"/>
        <c:majorTickMark val="out"/>
        <c:minorTickMark val="none"/>
        <c:tickLblPos val="nextTo"/>
        <c:txPr>
          <a:bodyPr/>
          <a:lstStyle/>
          <a:p>
            <a:pPr>
              <a:defRPr sz="600"/>
            </a:pPr>
            <a:endParaRPr lang="en-US"/>
          </a:p>
        </c:txPr>
        <c:crossAx val="117368704"/>
        <c:crosses val="autoZero"/>
        <c:auto val="1"/>
        <c:lblAlgn val="ctr"/>
        <c:lblOffset val="100"/>
        <c:tickLblSkip val="3"/>
        <c:tickMarkSkip val="1"/>
        <c:noMultiLvlLbl val="0"/>
      </c:catAx>
      <c:valAx>
        <c:axId val="117368704"/>
        <c:scaling>
          <c:orientation val="minMax"/>
        </c:scaling>
        <c:delete val="0"/>
        <c:axPos val="l"/>
        <c:majorGridlines/>
        <c:numFmt formatCode="0.0" sourceLinked="1"/>
        <c:majorTickMark val="out"/>
        <c:minorTickMark val="none"/>
        <c:tickLblPos val="nextTo"/>
        <c:txPr>
          <a:bodyPr/>
          <a:lstStyle/>
          <a:p>
            <a:pPr>
              <a:defRPr sz="800"/>
            </a:pPr>
            <a:endParaRPr lang="en-US"/>
          </a:p>
        </c:txPr>
        <c:crossAx val="117367168"/>
        <c:crosses val="autoZero"/>
        <c:crossBetween val="between"/>
      </c:valAx>
      <c:spPr>
        <a:solidFill>
          <a:schemeClr val="bg1"/>
        </a:solidFill>
      </c:spPr>
    </c:plotArea>
    <c:legend>
      <c:legendPos val="b"/>
      <c:layout>
        <c:manualLayout>
          <c:xMode val="edge"/>
          <c:yMode val="edge"/>
          <c:x val="2.2499742117388193E-2"/>
          <c:y val="0.85076188379328332"/>
          <c:w val="0.85306963682330983"/>
          <c:h val="0.14189592041735524"/>
        </c:manualLayout>
      </c:layout>
      <c:overlay val="0"/>
      <c:txPr>
        <a:bodyPr/>
        <a:lstStyle/>
        <a:p>
          <a:pPr>
            <a:defRPr sz="700"/>
          </a:pPr>
          <a:endParaRPr lang="en-US"/>
        </a:p>
      </c:txPr>
    </c:legend>
    <c:plotVisOnly val="1"/>
    <c:dispBlanksAs val="gap"/>
    <c:showDLblsOverMax val="0"/>
  </c:chart>
  <c:spPr>
    <a:gradFill>
      <a:gsLst>
        <a:gs pos="0">
          <a:schemeClr val="tx2">
            <a:lumMod val="60000"/>
            <a:lumOff val="40000"/>
          </a:schemeClr>
        </a:gs>
        <a:gs pos="50000">
          <a:schemeClr val="accent1">
            <a:tint val="44500"/>
            <a:satMod val="160000"/>
          </a:schemeClr>
        </a:gs>
        <a:gs pos="100000">
          <a:schemeClr val="accent1">
            <a:tint val="23500"/>
            <a:satMod val="160000"/>
          </a:schemeClr>
        </a:gs>
      </a:gsLst>
      <a:lin ang="5400000" scaled="0"/>
    </a:gradFill>
    <a:effectLst>
      <a:outerShdw blurRad="50800" dist="50800" dir="5400000" algn="ctr" rotWithShape="0">
        <a:schemeClr val="tx2">
          <a:lumMod val="40000"/>
          <a:lumOff val="60000"/>
        </a:schemeClr>
      </a:outerShdw>
    </a:effectLst>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a:pPr>
            <a:r>
              <a:rPr lang="en-US" sz="800" b="1" i="0" baseline="0">
                <a:effectLst/>
              </a:rPr>
              <a:t>Վարկերի և ավանդների տոկոսադրույք,% </a:t>
            </a:r>
            <a:endParaRPr lang="en-US" sz="800">
              <a:effectLst/>
            </a:endParaRPr>
          </a:p>
        </c:rich>
      </c:tx>
      <c:overlay val="1"/>
    </c:title>
    <c:autoTitleDeleted val="0"/>
    <c:plotArea>
      <c:layout>
        <c:manualLayout>
          <c:layoutTarget val="inner"/>
          <c:xMode val="edge"/>
          <c:yMode val="edge"/>
          <c:x val="0.11806268334105305"/>
          <c:y val="0.11428571428571437"/>
          <c:w val="0.80699521383356576"/>
          <c:h val="0.63482086015843853"/>
        </c:manualLayout>
      </c:layout>
      <c:lineChart>
        <c:grouping val="standard"/>
        <c:varyColors val="0"/>
        <c:ser>
          <c:idx val="0"/>
          <c:order val="0"/>
          <c:tx>
            <c:strRef>
              <c:f>Sheet1!$B$1</c:f>
              <c:strCache>
                <c:ptCount val="1"/>
                <c:pt idx="0">
                  <c:v>Վարկերի դրամով և արտարժույթով միջին կշռված տոկոսադրույք </c:v>
                </c:pt>
              </c:strCache>
            </c:strRef>
          </c:tx>
          <c:dLbls>
            <c:dLbl>
              <c:idx val="0"/>
              <c:layout>
                <c:manualLayout>
                  <c:x val="-4.7058823529411799E-2"/>
                  <c:y val="-6.60066006600659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CF1-40CC-9892-F1A8D90A620B}"/>
                </c:ext>
              </c:extLst>
            </c:dLbl>
            <c:dLbl>
              <c:idx val="18"/>
              <c:layout>
                <c:manualLayout>
                  <c:x val="-7.0588235294117674E-2"/>
                  <c:y val="-7.48074807480748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CF1-40CC-9892-F1A8D90A620B}"/>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Sheet1!$A$2:$A$20</c:f>
              <c:strCache>
                <c:ptCount val="19"/>
                <c:pt idx="0">
                  <c:v>2018M01</c:v>
                </c:pt>
                <c:pt idx="1">
                  <c:v>2018M02</c:v>
                </c:pt>
                <c:pt idx="2">
                  <c:v>2018M03</c:v>
                </c:pt>
                <c:pt idx="3">
                  <c:v>2018M04</c:v>
                </c:pt>
                <c:pt idx="4">
                  <c:v>2018M05</c:v>
                </c:pt>
                <c:pt idx="5">
                  <c:v>2018M06</c:v>
                </c:pt>
                <c:pt idx="6">
                  <c:v>2018M07</c:v>
                </c:pt>
                <c:pt idx="7">
                  <c:v>2018M08</c:v>
                </c:pt>
                <c:pt idx="8">
                  <c:v>2018M09</c:v>
                </c:pt>
                <c:pt idx="9">
                  <c:v>2018M10</c:v>
                </c:pt>
                <c:pt idx="10">
                  <c:v>2018M11</c:v>
                </c:pt>
                <c:pt idx="11">
                  <c:v>2018M12</c:v>
                </c:pt>
                <c:pt idx="12">
                  <c:v>2019M1</c:v>
                </c:pt>
                <c:pt idx="13">
                  <c:v>2019M2</c:v>
                </c:pt>
                <c:pt idx="14">
                  <c:v>2019M3</c:v>
                </c:pt>
                <c:pt idx="15">
                  <c:v>2019M4</c:v>
                </c:pt>
                <c:pt idx="16">
                  <c:v>2019M5</c:v>
                </c:pt>
                <c:pt idx="17">
                  <c:v>2019M6</c:v>
                </c:pt>
                <c:pt idx="18">
                  <c:v>2019M7</c:v>
                </c:pt>
              </c:strCache>
            </c:strRef>
          </c:cat>
          <c:val>
            <c:numRef>
              <c:f>Sheet1!$B$2:$B$20</c:f>
              <c:numCache>
                <c:formatCode>0.0</c:formatCode>
                <c:ptCount val="19"/>
                <c:pt idx="0">
                  <c:v>9.3590423361581152</c:v>
                </c:pt>
                <c:pt idx="1">
                  <c:v>11.003312152182723</c:v>
                </c:pt>
                <c:pt idx="2">
                  <c:v>10.023865954811081</c:v>
                </c:pt>
                <c:pt idx="3">
                  <c:v>9.5554000000000094</c:v>
                </c:pt>
                <c:pt idx="4">
                  <c:v>10.652010715610698</c:v>
                </c:pt>
                <c:pt idx="5">
                  <c:v>9.9832195419502128</c:v>
                </c:pt>
                <c:pt idx="6">
                  <c:v>9.4936707843656851</c:v>
                </c:pt>
                <c:pt idx="7">
                  <c:v>9.9645886961396748</c:v>
                </c:pt>
                <c:pt idx="8">
                  <c:v>9.4315588257414849</c:v>
                </c:pt>
                <c:pt idx="9">
                  <c:v>9.9741236800290185</c:v>
                </c:pt>
                <c:pt idx="10">
                  <c:v>9.8232443796562308</c:v>
                </c:pt>
                <c:pt idx="11">
                  <c:v>9.722925849544815</c:v>
                </c:pt>
                <c:pt idx="12">
                  <c:v>10.590820000000001</c:v>
                </c:pt>
                <c:pt idx="13">
                  <c:v>10.219475442902851</c:v>
                </c:pt>
                <c:pt idx="14">
                  <c:v>10.25133395472772</c:v>
                </c:pt>
                <c:pt idx="15">
                  <c:v>10.326466939410752</c:v>
                </c:pt>
                <c:pt idx="16">
                  <c:v>9.8411080320490498</c:v>
                </c:pt>
                <c:pt idx="17">
                  <c:v>10.2187907940366</c:v>
                </c:pt>
                <c:pt idx="18">
                  <c:v>10.101667665783916</c:v>
                </c:pt>
              </c:numCache>
            </c:numRef>
          </c:val>
          <c:smooth val="0"/>
          <c:extLst>
            <c:ext xmlns:c16="http://schemas.microsoft.com/office/drawing/2014/chart" uri="{C3380CC4-5D6E-409C-BE32-E72D297353CC}">
              <c16:uniqueId val="{00000002-9CF1-40CC-9892-F1A8D90A620B}"/>
            </c:ext>
          </c:extLst>
        </c:ser>
        <c:ser>
          <c:idx val="1"/>
          <c:order val="1"/>
          <c:tx>
            <c:strRef>
              <c:f>Sheet1!$C$1</c:f>
              <c:strCache>
                <c:ptCount val="1"/>
                <c:pt idx="0">
                  <c:v>Ավանդների դրամով և արտարժույթով միջին կշռված տոկոսադրույք</c:v>
                </c:pt>
              </c:strCache>
            </c:strRef>
          </c:tx>
          <c:marker>
            <c:symbol val="triangle"/>
            <c:size val="7"/>
          </c:marker>
          <c:dLbls>
            <c:dLbl>
              <c:idx val="0"/>
              <c:layout>
                <c:manualLayout>
                  <c:x val="-3.5294117647058851E-2"/>
                  <c:y val="-8.80088008800881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CF1-40CC-9892-F1A8D90A620B}"/>
                </c:ext>
              </c:extLst>
            </c:dLbl>
            <c:dLbl>
              <c:idx val="18"/>
              <c:layout>
                <c:manualLayout>
                  <c:x val="-6.666666666666668E-2"/>
                  <c:y val="-5.28052805280528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CF1-40CC-9892-F1A8D90A620B}"/>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Sheet1!$A$2:$A$20</c:f>
              <c:strCache>
                <c:ptCount val="19"/>
                <c:pt idx="0">
                  <c:v>2018M01</c:v>
                </c:pt>
                <c:pt idx="1">
                  <c:v>2018M02</c:v>
                </c:pt>
                <c:pt idx="2">
                  <c:v>2018M03</c:v>
                </c:pt>
                <c:pt idx="3">
                  <c:v>2018M04</c:v>
                </c:pt>
                <c:pt idx="4">
                  <c:v>2018M05</c:v>
                </c:pt>
                <c:pt idx="5">
                  <c:v>2018M06</c:v>
                </c:pt>
                <c:pt idx="6">
                  <c:v>2018M07</c:v>
                </c:pt>
                <c:pt idx="7">
                  <c:v>2018M08</c:v>
                </c:pt>
                <c:pt idx="8">
                  <c:v>2018M09</c:v>
                </c:pt>
                <c:pt idx="9">
                  <c:v>2018M10</c:v>
                </c:pt>
                <c:pt idx="10">
                  <c:v>2018M11</c:v>
                </c:pt>
                <c:pt idx="11">
                  <c:v>2018M12</c:v>
                </c:pt>
                <c:pt idx="12">
                  <c:v>2019M1</c:v>
                </c:pt>
                <c:pt idx="13">
                  <c:v>2019M2</c:v>
                </c:pt>
                <c:pt idx="14">
                  <c:v>2019M3</c:v>
                </c:pt>
                <c:pt idx="15">
                  <c:v>2019M4</c:v>
                </c:pt>
                <c:pt idx="16">
                  <c:v>2019M5</c:v>
                </c:pt>
                <c:pt idx="17">
                  <c:v>2019M6</c:v>
                </c:pt>
                <c:pt idx="18">
                  <c:v>2019M7</c:v>
                </c:pt>
              </c:strCache>
            </c:strRef>
          </c:cat>
          <c:val>
            <c:numRef>
              <c:f>Sheet1!$C$2:$C$20</c:f>
              <c:numCache>
                <c:formatCode>0.0</c:formatCode>
                <c:ptCount val="19"/>
                <c:pt idx="0">
                  <c:v>5.5317202153889484</c:v>
                </c:pt>
                <c:pt idx="1">
                  <c:v>5.1077025675957506</c:v>
                </c:pt>
                <c:pt idx="2">
                  <c:v>5.1373702322389567</c:v>
                </c:pt>
                <c:pt idx="3">
                  <c:v>5.6185899999999958</c:v>
                </c:pt>
                <c:pt idx="4">
                  <c:v>4.8421938403449545</c:v>
                </c:pt>
                <c:pt idx="5">
                  <c:v>5.166826349906164</c:v>
                </c:pt>
                <c:pt idx="6">
                  <c:v>5.1950199514405577</c:v>
                </c:pt>
                <c:pt idx="7">
                  <c:v>5.0771303809913011</c:v>
                </c:pt>
                <c:pt idx="8">
                  <c:v>5.1426014858812445</c:v>
                </c:pt>
                <c:pt idx="9">
                  <c:v>5.3167023600999208</c:v>
                </c:pt>
                <c:pt idx="10">
                  <c:v>4.9842974262911115</c:v>
                </c:pt>
                <c:pt idx="11">
                  <c:v>4.9027293031131238</c:v>
                </c:pt>
                <c:pt idx="12">
                  <c:v>5.2109799999999975</c:v>
                </c:pt>
                <c:pt idx="13">
                  <c:v>4.9492727991565006</c:v>
                </c:pt>
                <c:pt idx="14">
                  <c:v>5.3344433999882384</c:v>
                </c:pt>
                <c:pt idx="15">
                  <c:v>5.3887214432458297</c:v>
                </c:pt>
                <c:pt idx="16">
                  <c:v>5.2155048728086113</c:v>
                </c:pt>
                <c:pt idx="17">
                  <c:v>5.2420701333398831</c:v>
                </c:pt>
                <c:pt idx="18">
                  <c:v>5.2753879542118973</c:v>
                </c:pt>
              </c:numCache>
            </c:numRef>
          </c:val>
          <c:smooth val="0"/>
          <c:extLst>
            <c:ext xmlns:c16="http://schemas.microsoft.com/office/drawing/2014/chart" uri="{C3380CC4-5D6E-409C-BE32-E72D297353CC}">
              <c16:uniqueId val="{00000005-9CF1-40CC-9892-F1A8D90A620B}"/>
            </c:ext>
          </c:extLst>
        </c:ser>
        <c:dLbls>
          <c:showLegendKey val="0"/>
          <c:showVal val="0"/>
          <c:showCatName val="0"/>
          <c:showSerName val="0"/>
          <c:showPercent val="0"/>
          <c:showBubbleSize val="0"/>
        </c:dLbls>
        <c:marker val="1"/>
        <c:smooth val="0"/>
        <c:axId val="117795072"/>
        <c:axId val="117796864"/>
      </c:lineChart>
      <c:catAx>
        <c:axId val="117795072"/>
        <c:scaling>
          <c:orientation val="minMax"/>
        </c:scaling>
        <c:delete val="0"/>
        <c:axPos val="b"/>
        <c:numFmt formatCode="General" sourceLinked="0"/>
        <c:majorTickMark val="out"/>
        <c:minorTickMark val="none"/>
        <c:tickLblPos val="nextTo"/>
        <c:txPr>
          <a:bodyPr/>
          <a:lstStyle/>
          <a:p>
            <a:pPr>
              <a:defRPr sz="600"/>
            </a:pPr>
            <a:endParaRPr lang="en-US"/>
          </a:p>
        </c:txPr>
        <c:crossAx val="117796864"/>
        <c:crosses val="autoZero"/>
        <c:auto val="1"/>
        <c:lblAlgn val="ctr"/>
        <c:lblOffset val="100"/>
        <c:tickLblSkip val="3"/>
        <c:noMultiLvlLbl val="0"/>
      </c:catAx>
      <c:valAx>
        <c:axId val="117796864"/>
        <c:scaling>
          <c:orientation val="minMax"/>
          <c:min val="4"/>
        </c:scaling>
        <c:delete val="0"/>
        <c:axPos val="l"/>
        <c:majorGridlines/>
        <c:numFmt formatCode="0.0" sourceLinked="1"/>
        <c:majorTickMark val="out"/>
        <c:minorTickMark val="none"/>
        <c:tickLblPos val="nextTo"/>
        <c:txPr>
          <a:bodyPr/>
          <a:lstStyle/>
          <a:p>
            <a:pPr>
              <a:defRPr sz="800"/>
            </a:pPr>
            <a:endParaRPr lang="en-US"/>
          </a:p>
        </c:txPr>
        <c:crossAx val="117795072"/>
        <c:crosses val="autoZero"/>
        <c:crossBetween val="between"/>
      </c:valAx>
      <c:spPr>
        <a:solidFill>
          <a:schemeClr val="bg1"/>
        </a:solidFill>
      </c:spPr>
    </c:plotArea>
    <c:legend>
      <c:legendPos val="b"/>
      <c:layout>
        <c:manualLayout>
          <c:xMode val="edge"/>
          <c:yMode val="edge"/>
          <c:x val="3.7352786784004971E-2"/>
          <c:y val="0.82553673098554958"/>
          <c:w val="0.79773662551440361"/>
          <c:h val="0.14540363305650636"/>
        </c:manualLayout>
      </c:layout>
      <c:overlay val="0"/>
      <c:txPr>
        <a:bodyPr/>
        <a:lstStyle/>
        <a:p>
          <a:pPr>
            <a:defRPr sz="700"/>
          </a:pPr>
          <a:endParaRPr lang="en-US"/>
        </a:p>
      </c:txPr>
    </c:legend>
    <c:plotVisOnly val="1"/>
    <c:dispBlanksAs val="zero"/>
    <c:showDLblsOverMax val="0"/>
  </c:chart>
  <c:spPr>
    <a:gradFill>
      <a:gsLst>
        <a:gs pos="0">
          <a:schemeClr val="tx2">
            <a:lumMod val="60000"/>
            <a:lumOff val="40000"/>
          </a:schemeClr>
        </a:gs>
        <a:gs pos="50000">
          <a:schemeClr val="accent1">
            <a:tint val="44500"/>
            <a:satMod val="160000"/>
          </a:schemeClr>
        </a:gs>
        <a:gs pos="100000">
          <a:schemeClr val="accent1">
            <a:tint val="23500"/>
            <a:satMod val="160000"/>
          </a:schemeClr>
        </a:gs>
      </a:gsLst>
      <a:lin ang="5400000" scaled="0"/>
    </a:gradFill>
    <a:effectLst>
      <a:outerShdw blurRad="50800" dist="50800" dir="5400000" algn="ctr" rotWithShape="0">
        <a:schemeClr val="tx2">
          <a:lumMod val="40000"/>
          <a:lumOff val="60000"/>
        </a:schemeClr>
      </a:outerShdw>
    </a:effectLst>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lrMapOvr bg1="lt1" tx1="dk1" bg2="lt2" tx2="dk2" accent1="accent1" accent2="accent2" accent3="accent3" accent4="accent4" accent5="accent5" accent6="accent6" hlink="hlink" folHlink="folHlink"/>
  <c:chart>
    <c:title>
      <c:tx>
        <c:rich>
          <a:bodyPr/>
          <a:lstStyle/>
          <a:p>
            <a:pPr>
              <a:defRPr sz="1400">
                <a:latin typeface="GHEA Grapalat" pitchFamily="50" charset="0"/>
              </a:defRPr>
            </a:pPr>
            <a:r>
              <a:rPr lang="hy-AM" sz="1400">
                <a:latin typeface="GHEA Grapalat" pitchFamily="50" charset="0"/>
              </a:rPr>
              <a:t>Ընթացիկ հաշիվ/ՀՆԱ</a:t>
            </a:r>
          </a:p>
        </c:rich>
      </c:tx>
      <c:layout>
        <c:manualLayout>
          <c:xMode val="edge"/>
          <c:yMode val="edge"/>
          <c:x val="0.30610508614351717"/>
          <c:y val="3.8695411829740192E-2"/>
        </c:manualLayout>
      </c:layout>
      <c:overlay val="0"/>
    </c:title>
    <c:autoTitleDeleted val="0"/>
    <c:plotArea>
      <c:layout/>
      <c:lineChart>
        <c:grouping val="stacked"/>
        <c:varyColors val="0"/>
        <c:ser>
          <c:idx val="0"/>
          <c:order val="0"/>
          <c:tx>
            <c:strRef>
              <c:f>Sheet1!$B$1</c:f>
              <c:strCache>
                <c:ptCount val="1"/>
                <c:pt idx="0">
                  <c:v>Ընթացիկ հաշիվ/ՀՆԱ</c:v>
                </c:pt>
              </c:strCache>
            </c:strRef>
          </c:tx>
          <c:cat>
            <c:strRef>
              <c:f>Sheet1!$A$2:$A$22</c:f>
              <c:strCach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strCache>
            </c:strRef>
          </c:cat>
          <c:val>
            <c:numRef>
              <c:f>Sheet1!$B$2:$B$22</c:f>
              <c:numCache>
                <c:formatCode>0.0</c:formatCode>
                <c:ptCount val="21"/>
                <c:pt idx="0">
                  <c:v>-15.780742294428372</c:v>
                </c:pt>
                <c:pt idx="1">
                  <c:v>-10.43981653275118</c:v>
                </c:pt>
                <c:pt idx="2">
                  <c:v>-6.2201045971038171</c:v>
                </c:pt>
                <c:pt idx="3">
                  <c:v>-6.181198505375658</c:v>
                </c:pt>
                <c:pt idx="4">
                  <c:v>-2.2043591763313102</c:v>
                </c:pt>
                <c:pt idx="5">
                  <c:v>-2.5283410439484602</c:v>
                </c:pt>
                <c:pt idx="6">
                  <c:v>-2.3953707671629587</c:v>
                </c:pt>
                <c:pt idx="7">
                  <c:v>-7.356620348739348</c:v>
                </c:pt>
                <c:pt idx="8">
                  <c:v>-14.224675830310311</c:v>
                </c:pt>
                <c:pt idx="9">
                  <c:v>-16.483562540717607</c:v>
                </c:pt>
                <c:pt idx="10">
                  <c:v>-13.621931273893415</c:v>
                </c:pt>
                <c:pt idx="11">
                  <c:v>-10.440303473050943</c:v>
                </c:pt>
                <c:pt idx="12">
                  <c:v>-9.9622330513526869</c:v>
                </c:pt>
                <c:pt idx="13">
                  <c:v>-7.3105849991949903</c:v>
                </c:pt>
                <c:pt idx="14">
                  <c:v>-7.7678702731124876</c:v>
                </c:pt>
                <c:pt idx="15">
                  <c:v>-2.7200915085169064</c:v>
                </c:pt>
                <c:pt idx="16">
                  <c:v>-2.0610893333035767</c:v>
                </c:pt>
                <c:pt idx="17">
                  <c:v>-2.9880431262517786</c:v>
                </c:pt>
                <c:pt idx="18">
                  <c:v>-9.3725983136167184</c:v>
                </c:pt>
                <c:pt idx="19">
                  <c:v>-7.0192344056659142</c:v>
                </c:pt>
                <c:pt idx="20">
                  <c:v>-6.0696556375594994</c:v>
                </c:pt>
              </c:numCache>
            </c:numRef>
          </c:val>
          <c:smooth val="0"/>
          <c:extLst>
            <c:ext xmlns:c16="http://schemas.microsoft.com/office/drawing/2014/chart" uri="{C3380CC4-5D6E-409C-BE32-E72D297353CC}">
              <c16:uniqueId val="{00000000-FF42-4370-9C81-05DBDACD526B}"/>
            </c:ext>
          </c:extLst>
        </c:ser>
        <c:dLbls>
          <c:showLegendKey val="0"/>
          <c:showVal val="0"/>
          <c:showCatName val="0"/>
          <c:showSerName val="0"/>
          <c:showPercent val="0"/>
          <c:showBubbleSize val="0"/>
        </c:dLbls>
        <c:marker val="1"/>
        <c:smooth val="0"/>
        <c:axId val="126292352"/>
        <c:axId val="126293888"/>
      </c:lineChart>
      <c:catAx>
        <c:axId val="126292352"/>
        <c:scaling>
          <c:orientation val="minMax"/>
        </c:scaling>
        <c:delete val="0"/>
        <c:axPos val="b"/>
        <c:numFmt formatCode="General" sourceLinked="1"/>
        <c:majorTickMark val="out"/>
        <c:minorTickMark val="none"/>
        <c:tickLblPos val="nextTo"/>
        <c:txPr>
          <a:bodyPr/>
          <a:lstStyle/>
          <a:p>
            <a:pPr>
              <a:defRPr sz="800"/>
            </a:pPr>
            <a:endParaRPr lang="en-US"/>
          </a:p>
        </c:txPr>
        <c:crossAx val="126293888"/>
        <c:crosses val="autoZero"/>
        <c:auto val="1"/>
        <c:lblAlgn val="ctr"/>
        <c:lblOffset val="100"/>
        <c:noMultiLvlLbl val="0"/>
      </c:catAx>
      <c:valAx>
        <c:axId val="126293888"/>
        <c:scaling>
          <c:orientation val="minMax"/>
        </c:scaling>
        <c:delete val="0"/>
        <c:axPos val="l"/>
        <c:majorGridlines/>
        <c:numFmt formatCode="0.0" sourceLinked="1"/>
        <c:majorTickMark val="out"/>
        <c:minorTickMark val="none"/>
        <c:tickLblPos val="nextTo"/>
        <c:crossAx val="126292352"/>
        <c:crosses val="autoZero"/>
        <c:crossBetween val="between"/>
      </c:valAx>
      <c:spPr>
        <a:solidFill>
          <a:schemeClr val="bg1"/>
        </a:solidFill>
      </c:spPr>
    </c:plotArea>
    <c:plotVisOnly val="1"/>
    <c:dispBlanksAs val="zero"/>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0.59585</cdr:x>
      <cdr:y>0.09045</cdr:y>
    </cdr:from>
    <cdr:to>
      <cdr:x>0.9323</cdr:x>
      <cdr:y>0.22903</cdr:y>
    </cdr:to>
    <cdr:sp macro="" textlink="">
      <cdr:nvSpPr>
        <cdr:cNvPr id="3" name="Right Brace 2"/>
        <cdr:cNvSpPr/>
      </cdr:nvSpPr>
      <cdr:spPr>
        <a:xfrm xmlns:a="http://schemas.openxmlformats.org/drawingml/2006/main" rot="16200000">
          <a:off x="2122279" y="-74847"/>
          <a:ext cx="376369" cy="1017381"/>
        </a:xfrm>
        <a:prstGeom xmlns:a="http://schemas.openxmlformats.org/drawingml/2006/main" prst="rightBrace">
          <a:avLst/>
        </a:prstGeom>
        <a:ln xmlns:a="http://schemas.openxmlformats.org/drawingml/2006/main" w="25400">
          <a:solidFill>
            <a:srgbClr val="00B0F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0.32045</cdr:x>
      <cdr:y>0.00251</cdr:y>
    </cdr:from>
    <cdr:to>
      <cdr:x>0.68529</cdr:x>
      <cdr:y>0.14181</cdr:y>
    </cdr:to>
    <cdr:sp macro="" textlink="">
      <cdr:nvSpPr>
        <cdr:cNvPr id="5" name="Text Box 4"/>
        <cdr:cNvSpPr txBox="1"/>
      </cdr:nvSpPr>
      <cdr:spPr>
        <a:xfrm xmlns:a="http://schemas.openxmlformats.org/drawingml/2006/main">
          <a:off x="968991" y="6824"/>
          <a:ext cx="1103245" cy="378324"/>
        </a:xfrm>
        <a:prstGeom xmlns:a="http://schemas.openxmlformats.org/drawingml/2006/main" prst="rect">
          <a:avLst/>
        </a:prstGeom>
      </cdr:spPr>
      <cdr:style>
        <a:lnRef xmlns:a="http://schemas.openxmlformats.org/drawingml/2006/main" idx="1">
          <a:schemeClr val="accent1"/>
        </a:lnRef>
        <a:fillRef xmlns:a="http://schemas.openxmlformats.org/drawingml/2006/main" idx="2">
          <a:schemeClr val="accent1"/>
        </a:fillRef>
        <a:effectRef xmlns:a="http://schemas.openxmlformats.org/drawingml/2006/main" idx="1">
          <a:schemeClr val="accent1"/>
        </a:effectRef>
        <a:fontRef xmlns:a="http://schemas.openxmlformats.org/drawingml/2006/main" idx="minor">
          <a:schemeClr val="dk1"/>
        </a:fontRef>
      </cdr:style>
      <cdr:txBody>
        <a:bodyPr xmlns:a="http://schemas.openxmlformats.org/drawingml/2006/main" vertOverflow="clip" wrap="square" rtlCol="0"/>
        <a:lstStyle xmlns:a="http://schemas.openxmlformats.org/drawingml/2006/main"/>
        <a:p xmlns:a="http://schemas.openxmlformats.org/drawingml/2006/main">
          <a:r>
            <a:rPr lang="en-US" sz="800">
              <a:latin typeface="GHEA Grapalat" pitchFamily="50" charset="0"/>
            </a:rPr>
            <a:t>Վերադարձ ոսկե կանոնին</a:t>
          </a:r>
          <a:endParaRPr lang="ru-RU" sz="800">
            <a:latin typeface="GHEA Grapalat" pitchFamily="50" charset="0"/>
          </a:endParaRPr>
        </a:p>
      </cdr:txBody>
    </cdr:sp>
  </cdr:relSizeAnchor>
  <cdr:relSizeAnchor xmlns:cdr="http://schemas.openxmlformats.org/drawingml/2006/chartDrawing">
    <cdr:from>
      <cdr:x>0.68529</cdr:x>
      <cdr:y>0.07216</cdr:y>
    </cdr:from>
    <cdr:to>
      <cdr:x>0.76408</cdr:x>
      <cdr:y>0.09045</cdr:y>
    </cdr:to>
    <cdr:cxnSp macro="">
      <cdr:nvCxnSpPr>
        <cdr:cNvPr id="7" name="Straight Arrow Connector 6"/>
        <cdr:cNvCxnSpPr>
          <a:stCxn xmlns:a="http://schemas.openxmlformats.org/drawingml/2006/main" id="5" idx="3"/>
          <a:endCxn xmlns:a="http://schemas.openxmlformats.org/drawingml/2006/main" id="3" idx="1"/>
        </cdr:cNvCxnSpPr>
      </cdr:nvCxnSpPr>
      <cdr:spPr>
        <a:xfrm xmlns:a="http://schemas.openxmlformats.org/drawingml/2006/main">
          <a:off x="2072236" y="195986"/>
          <a:ext cx="238228" cy="49673"/>
        </a:xfrm>
        <a:prstGeom xmlns:a="http://schemas.openxmlformats.org/drawingml/2006/main" prst="straightConnector1">
          <a:avLst/>
        </a:prstGeom>
        <a:ln xmlns:a="http://schemas.openxmlformats.org/drawingml/2006/main">
          <a:solidFill>
            <a:srgbClr val="3385BD"/>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0.13678</cdr:x>
      <cdr:y>0.02158</cdr:y>
    </cdr:from>
    <cdr:to>
      <cdr:x>0.6396</cdr:x>
      <cdr:y>0.1078</cdr:y>
    </cdr:to>
    <cdr:sp macro="" textlink="">
      <cdr:nvSpPr>
        <cdr:cNvPr id="3" name="Text Box 1"/>
        <cdr:cNvSpPr txBox="1"/>
      </cdr:nvSpPr>
      <cdr:spPr>
        <a:xfrm xmlns:a="http://schemas.openxmlformats.org/drawingml/2006/main">
          <a:off x="431800" y="50800"/>
          <a:ext cx="1657350" cy="228600"/>
        </a:xfrm>
        <a:prstGeom xmlns:a="http://schemas.openxmlformats.org/drawingml/2006/main" prst="rect">
          <a:avLst/>
        </a:prstGeom>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0.20899</cdr:x>
      <cdr:y>0.07673</cdr:y>
    </cdr:from>
    <cdr:to>
      <cdr:x>0.49769</cdr:x>
      <cdr:y>0.18269</cdr:y>
    </cdr:to>
    <cdr:sp macro="" textlink="">
      <cdr:nvSpPr>
        <cdr:cNvPr id="4" name="Text Box 3"/>
        <cdr:cNvSpPr txBox="1"/>
      </cdr:nvSpPr>
      <cdr:spPr>
        <a:xfrm xmlns:a="http://schemas.openxmlformats.org/drawingml/2006/main">
          <a:off x="666750" y="190500"/>
          <a:ext cx="952500" cy="304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0.2216</cdr:x>
      <cdr:y>0</cdr:y>
    </cdr:from>
    <cdr:to>
      <cdr:x>0.70704</cdr:x>
      <cdr:y>0.09978</cdr:y>
    </cdr:to>
    <cdr:sp macro="" textlink="">
      <cdr:nvSpPr>
        <cdr:cNvPr id="5" name="Text Box 4"/>
        <cdr:cNvSpPr txBox="1"/>
      </cdr:nvSpPr>
      <cdr:spPr>
        <a:xfrm xmlns:a="http://schemas.openxmlformats.org/drawingml/2006/main">
          <a:off x="670098" y="0"/>
          <a:ext cx="1467907" cy="270802"/>
        </a:xfrm>
        <a:prstGeom xmlns:a="http://schemas.openxmlformats.org/drawingml/2006/main" prst="rect">
          <a:avLst/>
        </a:prstGeom>
        <a:ln xmlns:a="http://schemas.openxmlformats.org/drawingml/2006/main"/>
      </cdr:spPr>
      <cdr:style>
        <a:lnRef xmlns:a="http://schemas.openxmlformats.org/drawingml/2006/main" idx="1">
          <a:schemeClr val="accent1"/>
        </a:lnRef>
        <a:fillRef xmlns:a="http://schemas.openxmlformats.org/drawingml/2006/main" idx="2">
          <a:schemeClr val="accent1"/>
        </a:fillRef>
        <a:effectRef xmlns:a="http://schemas.openxmlformats.org/drawingml/2006/main" idx="1">
          <a:schemeClr val="accent1"/>
        </a:effectRef>
        <a:fontRef xmlns:a="http://schemas.openxmlformats.org/drawingml/2006/main" idx="minor">
          <a:schemeClr val="dk1"/>
        </a:fontRef>
      </cdr:style>
      <cdr:txBody>
        <a:bodyPr xmlns:a="http://schemas.openxmlformats.org/drawingml/2006/main" vertOverflow="clip" wrap="square" rtlCol="0"/>
        <a:lstStyle xmlns:a="http://schemas.openxmlformats.org/drawingml/2006/main"/>
        <a:p xmlns:a="http://schemas.openxmlformats.org/drawingml/2006/main">
          <a:r>
            <a:rPr lang="ru-RU" sz="800">
              <a:latin typeface="GHEA Grapalat" pitchFamily="50" charset="0"/>
            </a:rPr>
            <a:t>Վերադարձ ոսկե կանոնին</a:t>
          </a:r>
        </a:p>
      </cdr:txBody>
    </cdr:sp>
  </cdr:relSizeAnchor>
  <cdr:relSizeAnchor xmlns:cdr="http://schemas.openxmlformats.org/drawingml/2006/chartDrawing">
    <cdr:from>
      <cdr:x>0.56376</cdr:x>
      <cdr:y>0.09899</cdr:y>
    </cdr:from>
    <cdr:to>
      <cdr:x>0.94785</cdr:x>
      <cdr:y>0.23544</cdr:y>
    </cdr:to>
    <cdr:sp macro="" textlink="">
      <cdr:nvSpPr>
        <cdr:cNvPr id="6" name="Right Brace 5"/>
        <cdr:cNvSpPr/>
      </cdr:nvSpPr>
      <cdr:spPr>
        <a:xfrm xmlns:a="http://schemas.openxmlformats.org/drawingml/2006/main" rot="16200000">
          <a:off x="2100306" y="-126895"/>
          <a:ext cx="370324" cy="1161439"/>
        </a:xfrm>
        <a:prstGeom xmlns:a="http://schemas.openxmlformats.org/drawingml/2006/main" prst="rightBrace">
          <a:avLst/>
        </a:prstGeom>
        <a:ln xmlns:a="http://schemas.openxmlformats.org/drawingml/2006/main" w="25400">
          <a:solidFill>
            <a:srgbClr val="509CD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0.70704</cdr:x>
      <cdr:y>0.04989</cdr:y>
    </cdr:from>
    <cdr:to>
      <cdr:x>0.75581</cdr:x>
      <cdr:y>0.09899</cdr:y>
    </cdr:to>
    <cdr:cxnSp macro="">
      <cdr:nvCxnSpPr>
        <cdr:cNvPr id="8" name="Straight Arrow Connector 7"/>
        <cdr:cNvCxnSpPr>
          <a:stCxn xmlns:a="http://schemas.openxmlformats.org/drawingml/2006/main" id="5" idx="3"/>
          <a:endCxn xmlns:a="http://schemas.openxmlformats.org/drawingml/2006/main" id="6" idx="1"/>
        </cdr:cNvCxnSpPr>
      </cdr:nvCxnSpPr>
      <cdr:spPr>
        <a:xfrm xmlns:a="http://schemas.openxmlformats.org/drawingml/2006/main">
          <a:off x="2138005" y="135401"/>
          <a:ext cx="147464" cy="133262"/>
        </a:xfrm>
        <a:prstGeom xmlns:a="http://schemas.openxmlformats.org/drawingml/2006/main" prst="straightConnector1">
          <a:avLst/>
        </a:prstGeom>
        <a:ln xmlns:a="http://schemas.openxmlformats.org/drawingml/2006/main">
          <a:solidFill>
            <a:srgbClr val="509CD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F3103-47DE-40B5-9632-748F80209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8123</Words>
  <Characters>46307</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Մ Ա Ս   I</vt:lpstr>
    </vt:vector>
  </TitlesOfParts>
  <Company>Compass</Company>
  <LinksUpToDate>false</LinksUpToDate>
  <CharactersWithSpaces>54322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Մ Ա Ս   I</dc:title>
  <dc:creator>User</dc:creator>
  <cp:lastModifiedBy>Emma Baghdasaryan</cp:lastModifiedBy>
  <cp:revision>2</cp:revision>
  <cp:lastPrinted>2019-12-06T13:21:00Z</cp:lastPrinted>
  <dcterms:created xsi:type="dcterms:W3CDTF">2020-03-06T07:37:00Z</dcterms:created>
  <dcterms:modified xsi:type="dcterms:W3CDTF">2020-03-06T07:37:00Z</dcterms:modified>
</cp:coreProperties>
</file>