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EC" w:rsidRDefault="00A677EC" w:rsidP="00A677EC">
      <w:pPr>
        <w:pStyle w:val="Heading1"/>
        <w:jc w:val="center"/>
        <w:rPr>
          <w:rFonts w:ascii="GHEA Grapalat" w:hAnsi="GHEA Grapalat"/>
          <w:b/>
          <w:lang w:val="hy-AM"/>
        </w:rPr>
      </w:pPr>
      <w:bookmarkStart w:id="0" w:name="_Toc77837907"/>
    </w:p>
    <w:p w:rsidR="00A677EC" w:rsidRDefault="00A677EC" w:rsidP="00A677EC">
      <w:pPr>
        <w:pStyle w:val="Heading1"/>
        <w:jc w:val="center"/>
        <w:rPr>
          <w:rFonts w:ascii="GHEA Grapalat" w:hAnsi="GHEA Grapalat"/>
          <w:b/>
          <w:lang w:val="hy-AM"/>
        </w:rPr>
      </w:pPr>
    </w:p>
    <w:p w:rsidR="00A677EC" w:rsidRDefault="00A677EC" w:rsidP="00A677EC">
      <w:pPr>
        <w:pStyle w:val="Heading1"/>
        <w:jc w:val="center"/>
        <w:rPr>
          <w:rFonts w:ascii="GHEA Grapalat" w:hAnsi="GHEA Grapalat"/>
          <w:b/>
          <w:lang w:val="hy-AM"/>
        </w:rPr>
      </w:pPr>
    </w:p>
    <w:p w:rsidR="00A677EC" w:rsidRDefault="00A677EC" w:rsidP="00A677EC">
      <w:pPr>
        <w:pStyle w:val="Heading1"/>
        <w:jc w:val="center"/>
        <w:rPr>
          <w:rFonts w:ascii="GHEA Grapalat" w:hAnsi="GHEA Grapalat"/>
          <w:b/>
          <w:lang w:val="hy-AM"/>
        </w:rPr>
      </w:pPr>
    </w:p>
    <w:p w:rsidR="00A677EC" w:rsidRDefault="00A677EC" w:rsidP="00A677EC">
      <w:pPr>
        <w:pStyle w:val="Heading1"/>
        <w:jc w:val="center"/>
        <w:rPr>
          <w:rFonts w:ascii="GHEA Grapalat" w:hAnsi="GHEA Grapalat"/>
          <w:b/>
          <w:lang w:val="hy-AM"/>
        </w:rPr>
      </w:pPr>
    </w:p>
    <w:p w:rsidR="00A677EC" w:rsidRDefault="00A677EC" w:rsidP="00A677EC">
      <w:pPr>
        <w:pStyle w:val="Heading1"/>
        <w:jc w:val="center"/>
        <w:rPr>
          <w:rFonts w:ascii="GHEA Grapalat" w:hAnsi="GHEA Grapalat"/>
          <w:b/>
          <w:lang w:val="hy-AM"/>
        </w:rPr>
      </w:pPr>
    </w:p>
    <w:p w:rsidR="00A677EC" w:rsidRPr="00A677EC" w:rsidRDefault="00A677EC" w:rsidP="00A677EC">
      <w:pPr>
        <w:pStyle w:val="Heading1"/>
        <w:jc w:val="center"/>
        <w:rPr>
          <w:rFonts w:ascii="GHEA Grapalat" w:hAnsi="GHEA Grapalat"/>
          <w:b/>
          <w:lang w:val="hy-AM"/>
        </w:rPr>
      </w:pPr>
      <w:bookmarkStart w:id="1" w:name="_Toc79054224"/>
      <w:r w:rsidRPr="00A677EC">
        <w:rPr>
          <w:rFonts w:ascii="GHEA Grapalat" w:hAnsi="GHEA Grapalat"/>
          <w:b/>
          <w:lang w:val="hy-AM"/>
        </w:rPr>
        <w:t>ՎԵՐԼՈՒԾՈՒԹՅՈՒՆՆԵՐ</w:t>
      </w:r>
      <w:bookmarkEnd w:id="0"/>
      <w:bookmarkEnd w:id="1"/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</w:p>
    <w:p w:rsidR="00A677EC" w:rsidRDefault="00A677EC" w:rsidP="00A677EC">
      <w:pPr>
        <w:pStyle w:val="Heading3"/>
        <w:spacing w:before="0" w:after="120"/>
        <w:rPr>
          <w:rFonts w:eastAsia="Times New Roman" w:cs="Times New Roman"/>
          <w:caps w:val="0"/>
          <w:color w:val="44546A" w:themeColor="text2"/>
          <w:sz w:val="28"/>
          <w:szCs w:val="28"/>
        </w:rPr>
      </w:pPr>
      <w:bookmarkStart w:id="2" w:name="_Toc79054225"/>
      <w:r>
        <w:rPr>
          <w:rFonts w:eastAsia="Times New Roman" w:cs="Times New Roman"/>
          <w:caps w:val="0"/>
          <w:color w:val="44546A" w:themeColor="text2"/>
          <w:sz w:val="28"/>
          <w:szCs w:val="28"/>
        </w:rPr>
        <w:lastRenderedPageBreak/>
        <w:t>ՊԵՏԱԿԱՆ ԲՅՈՒՋԵԻ ՎՐԱ ՄԱԿՐՈՏՆՏԵՍԱԿԱՆ ԿԱՆԽԱՏԵՍՎԱԾ ՑՈՒՑԱՆԻՇՆԵՐԻՑ ՇԵՂՄԱՆ ՌԻՍԿԵՐԻ ԱԶԴԵՑՈՒԹՅԱՆ ՔԱՆԱԿԱԿԱՆ ԳՆԱՀԱՏՈՒՄ</w:t>
      </w:r>
      <w:bookmarkEnd w:id="2"/>
    </w:p>
    <w:p w:rsidR="00A677EC" w:rsidRDefault="00A677EC" w:rsidP="00A677EC">
      <w:pPr>
        <w:pStyle w:val="BodyText2"/>
        <w:spacing w:line="276" w:lineRule="auto"/>
        <w:ind w:firstLine="0"/>
        <w:rPr>
          <w:b/>
          <w:color w:val="44546A" w:themeColor="text2"/>
          <w:sz w:val="24"/>
          <w:szCs w:val="24"/>
          <w:lang w:val="hy-AM"/>
        </w:rPr>
      </w:pPr>
      <w:bookmarkStart w:id="3" w:name="_Toc14687616"/>
      <w:bookmarkStart w:id="4" w:name="_Toc13837280"/>
      <w:r>
        <w:rPr>
          <w:b/>
          <w:color w:val="44546A" w:themeColor="text2"/>
          <w:sz w:val="24"/>
          <w:szCs w:val="24"/>
          <w:lang w:val="hy-AM"/>
        </w:rPr>
        <w:t>1. 202</w:t>
      </w:r>
      <w:r w:rsidRPr="00252566">
        <w:rPr>
          <w:b/>
          <w:color w:val="44546A" w:themeColor="text2"/>
          <w:sz w:val="24"/>
          <w:szCs w:val="24"/>
          <w:lang w:val="hy-AM"/>
        </w:rPr>
        <w:t>2</w:t>
      </w:r>
      <w:r>
        <w:rPr>
          <w:b/>
          <w:color w:val="44546A" w:themeColor="text2"/>
          <w:sz w:val="24"/>
          <w:szCs w:val="24"/>
          <w:lang w:val="hy-AM"/>
        </w:rPr>
        <w:t>-202</w:t>
      </w:r>
      <w:r w:rsidRPr="00252566">
        <w:rPr>
          <w:b/>
          <w:color w:val="44546A" w:themeColor="text2"/>
          <w:sz w:val="24"/>
          <w:szCs w:val="24"/>
          <w:lang w:val="hy-AM"/>
        </w:rPr>
        <w:t>4</w:t>
      </w:r>
      <w:r>
        <w:rPr>
          <w:b/>
          <w:color w:val="44546A" w:themeColor="text2"/>
          <w:sz w:val="24"/>
          <w:szCs w:val="24"/>
          <w:lang w:val="hy-AM"/>
        </w:rPr>
        <w:t xml:space="preserve"> թվականներին ՄԺԾԾ հարկային եկամուտների վրա մակրոտնտեսական ցուցանիշների կանխատեսվածից շեղման ռիսկերի ազդեցության քանակական գնահատումը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Միջնաժամկետ հատվածում հարկային եկամուտների կանխատեսվող հոսքերի վրա մակրոտնտեսական բնույթի ռիսկերի ազդեցության քանակական գնահատումը հիմնվել է ստորև նկարագրված </w:t>
      </w:r>
      <w:r w:rsidRPr="00FA1DE2">
        <w:rPr>
          <w:rFonts w:cs="Sylfaen"/>
          <w:b/>
          <w:lang w:val="hy-AM"/>
        </w:rPr>
        <w:t>կանխատեսումների ռիսկի և</w:t>
      </w:r>
      <w:r w:rsidRPr="00FA1DE2">
        <w:rPr>
          <w:rFonts w:cs="Sylfaen"/>
          <w:lang w:val="hy-AM"/>
        </w:rPr>
        <w:t xml:space="preserve"> </w:t>
      </w:r>
      <w:r w:rsidRPr="00FA1DE2">
        <w:rPr>
          <w:rFonts w:cs="Sylfaen"/>
          <w:b/>
          <w:lang w:val="hy-AM"/>
        </w:rPr>
        <w:t>ենթադրություններից շեղումների ռիսկի</w:t>
      </w:r>
      <w:r w:rsidRPr="00FA1DE2">
        <w:rPr>
          <w:rFonts w:cs="Sylfaen"/>
          <w:lang w:val="hy-AM"/>
        </w:rPr>
        <w:t xml:space="preserve"> վրա: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b/>
          <w:lang w:val="hy-AM"/>
        </w:rPr>
      </w:pPr>
      <w:r w:rsidRPr="00FA1DE2">
        <w:rPr>
          <w:rFonts w:cs="Sylfaen"/>
          <w:b/>
          <w:lang w:val="hy-AM"/>
        </w:rPr>
        <w:t>1. Կանխատեսումների ռիսկ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Սովորաբար կանխատեսումներ իրականացնելիս ի հայտ են գալիս հանգամանքներ, որոնք կապված են լինում օգտագործվող կանխատեսման մոդելների տեղայնացումից և մասնավորեցումից, տնտեսության կառուցվածքային տեղաշարժերից</w:t>
      </w:r>
      <w:r w:rsidRPr="00FA1DE2">
        <w:rPr>
          <w:rStyle w:val="FootnoteReference"/>
          <w:rFonts w:cs="Sylfaen"/>
          <w:lang w:val="hy-AM"/>
        </w:rPr>
        <w:footnoteReference w:id="1"/>
      </w:r>
      <w:r w:rsidRPr="00FA1DE2">
        <w:rPr>
          <w:rFonts w:cs="Sylfaen"/>
          <w:lang w:val="hy-AM"/>
        </w:rPr>
        <w:t>, նոր երևույթներից (որի վերաբերյալ նախկինում տեղեկատվությունը բացակայել է) և այլն: Այս ռիսկերն ընդունված է անվանել կանխա</w:t>
      </w:r>
      <w:r w:rsidRPr="00FA1DE2">
        <w:rPr>
          <w:rFonts w:cs="Sylfaen"/>
          <w:lang w:val="hy-AM"/>
        </w:rPr>
        <w:softHyphen/>
        <w:t>տես</w:t>
      </w:r>
      <w:r w:rsidRPr="00FA1DE2">
        <w:rPr>
          <w:rFonts w:cs="Sylfaen"/>
          <w:lang w:val="hy-AM"/>
        </w:rPr>
        <w:softHyphen/>
        <w:t>ման ռիսկեր: ՄԺԾԾ տեսանկյունից կարևորվում է ՀՆԱ-ի կանխատեսման ռիսկի գնահատումը, քանի որ ՄԺԾԾ սցենարի սահուն իրականացումը կախված է տնտեսությունում ստեղծված անվանական ՀՆԱ-ի մեծությունից: ՀՆԱ-ի գծով կանխատեսումների ռիսկը գնահատվել է հետճգնաժամային տարիներին միջնաժամկետ ծախսերի ծրագրերի հիմքում դրվող ՀՆԱ-ի կանխատեսված ցուցա</w:t>
      </w:r>
      <w:r w:rsidRPr="00FA1DE2">
        <w:rPr>
          <w:rFonts w:cs="Sylfaen"/>
          <w:lang w:val="hy-AM"/>
        </w:rPr>
        <w:softHyphen/>
        <w:t xml:space="preserve">նիշների և ՀՆԱ-ի փաստացի ցուցանիշների միջև շեղման հիման վրա: 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ՀՆԱ-ի միջնաժամկետ կանխատեսումներից փաստացիի շեղումները նախաճգնաժամային 2003-2008 թվականների համար եղել են 7.1-ից 9.0-ը տոկոսային կետ, իսկ հետճգնաժամային 2010-20</w:t>
      </w:r>
      <w:r>
        <w:rPr>
          <w:rFonts w:cs="Sylfaen"/>
          <w:lang w:val="hy-AM"/>
        </w:rPr>
        <w:t>19</w:t>
      </w:r>
      <w:r w:rsidRPr="00FA1DE2">
        <w:rPr>
          <w:rFonts w:cs="Sylfaen"/>
          <w:lang w:val="hy-AM"/>
        </w:rPr>
        <w:t xml:space="preserve"> թվականների համար՝ </w:t>
      </w:r>
      <w:r>
        <w:rPr>
          <w:rFonts w:cs="Sylfaen"/>
          <w:lang w:val="hy-AM"/>
        </w:rPr>
        <w:t>2</w:t>
      </w:r>
      <w:r w:rsidRPr="00FA1DE2">
        <w:rPr>
          <w:rFonts w:cs="Sylfaen"/>
          <w:lang w:val="hy-AM"/>
        </w:rPr>
        <w:t xml:space="preserve">.0-ից </w:t>
      </w:r>
      <w:r>
        <w:rPr>
          <w:rFonts w:cs="Sylfaen"/>
          <w:lang w:val="hy-AM"/>
        </w:rPr>
        <w:t>2.6</w:t>
      </w:r>
      <w:r w:rsidRPr="00FA1DE2">
        <w:rPr>
          <w:rFonts w:cs="Sylfaen"/>
          <w:lang w:val="hy-AM"/>
        </w:rPr>
        <w:t xml:space="preserve"> տոկոսային կետ: Այս պարագայում, հաշվի առնելով կանխատեսվածից ցածր ՀՆԱ-ի ձևավորման վերոնկարագրյալ ռիսկերի գերակշռությունը</w:t>
      </w:r>
      <w:r>
        <w:rPr>
          <w:rFonts w:cs="Sylfaen"/>
          <w:lang w:val="hy-AM"/>
        </w:rPr>
        <w:t>,</w:t>
      </w:r>
      <w:r w:rsidRPr="00FA1DE2">
        <w:rPr>
          <w:rFonts w:cs="Sylfaen"/>
          <w:lang w:val="hy-AM"/>
        </w:rPr>
        <w:t xml:space="preserve"> որպես ռիսկ է դիտարկվել ՀՆԱ-ի իրական</w:t>
      </w:r>
      <w:r>
        <w:rPr>
          <w:rFonts w:cs="Sylfaen"/>
          <w:lang w:val="hy-AM"/>
        </w:rPr>
        <w:t xml:space="preserve"> աճի</w:t>
      </w:r>
      <w:r w:rsidRPr="00FA1DE2">
        <w:rPr>
          <w:rFonts w:cs="Sylfaen"/>
          <w:lang w:val="hy-AM"/>
        </w:rPr>
        <w:t xml:space="preserve"> կանխատեսված</w:t>
      </w:r>
      <w:r>
        <w:rPr>
          <w:rFonts w:cs="Sylfaen"/>
          <w:lang w:val="hy-AM"/>
        </w:rPr>
        <w:t>ից 2</w:t>
      </w:r>
      <w:r w:rsidRPr="00FA1DE2">
        <w:rPr>
          <w:rFonts w:cs="Sylfaen"/>
          <w:lang w:val="hy-AM"/>
        </w:rPr>
        <w:t xml:space="preserve">.0 տոկոսային կետով ավելի ցածր </w:t>
      </w:r>
      <w:r>
        <w:rPr>
          <w:rFonts w:cs="Sylfaen"/>
          <w:lang w:val="hy-AM"/>
        </w:rPr>
        <w:t>ցուցանիշի</w:t>
      </w:r>
      <w:r w:rsidRPr="00FA1DE2">
        <w:rPr>
          <w:rFonts w:cs="Sylfaen"/>
          <w:lang w:val="hy-AM"/>
        </w:rPr>
        <w:t xml:space="preserve"> ձևավորումը 2022 թվականին, </w:t>
      </w:r>
      <w:r>
        <w:rPr>
          <w:rFonts w:cs="Sylfaen"/>
          <w:lang w:val="hy-AM"/>
        </w:rPr>
        <w:t>2.3</w:t>
      </w:r>
      <w:r w:rsidRPr="00FA1DE2">
        <w:rPr>
          <w:rFonts w:cs="Sylfaen"/>
          <w:lang w:val="hy-AM"/>
        </w:rPr>
        <w:t xml:space="preserve"> տոկոսային կետով ցածր՝ 2023 թվականին և </w:t>
      </w:r>
      <w:r>
        <w:rPr>
          <w:rFonts w:cs="Sylfaen"/>
          <w:lang w:val="hy-AM"/>
        </w:rPr>
        <w:t>2.6</w:t>
      </w:r>
      <w:r w:rsidRPr="00FA1DE2">
        <w:rPr>
          <w:rFonts w:cs="Sylfaen"/>
          <w:lang w:val="hy-AM"/>
        </w:rPr>
        <w:t xml:space="preserve"> տոկոսային կետով ցածր՝ 2024 թվականին: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lastRenderedPageBreak/>
        <w:t>Արդյունքում, ՀՆԱ նվազման ռիսկի ազդեցությունը հարկային եկամուտների վրա 2022, 2023 և 2024</w:t>
      </w:r>
      <w:r>
        <w:rPr>
          <w:rFonts w:cs="Sylfaen"/>
          <w:lang w:val="hy-AM"/>
        </w:rPr>
        <w:t xml:space="preserve"> </w:t>
      </w:r>
      <w:r w:rsidRPr="00FA1DE2">
        <w:rPr>
          <w:rFonts w:cs="Sylfaen"/>
          <w:lang w:val="hy-AM"/>
        </w:rPr>
        <w:t xml:space="preserve">թվականների համար գնահատվում է համապատասխանաբար </w:t>
      </w:r>
      <w:r>
        <w:rPr>
          <w:rFonts w:cs="Sylfaen"/>
          <w:lang w:val="hy-AM"/>
        </w:rPr>
        <w:t>11.3</w:t>
      </w:r>
      <w:r w:rsidRPr="00FA1DE2">
        <w:rPr>
          <w:rFonts w:cs="Sylfaen"/>
          <w:lang w:val="hy-AM"/>
        </w:rPr>
        <w:t xml:space="preserve">, </w:t>
      </w:r>
      <w:r>
        <w:rPr>
          <w:rFonts w:cs="Sylfaen"/>
          <w:lang w:val="hy-AM"/>
        </w:rPr>
        <w:t>14.6</w:t>
      </w:r>
      <w:r w:rsidRPr="00FA1DE2">
        <w:rPr>
          <w:rFonts w:cs="Sylfaen"/>
          <w:lang w:val="hy-AM"/>
        </w:rPr>
        <w:t xml:space="preserve"> և </w:t>
      </w:r>
      <w:r>
        <w:rPr>
          <w:rFonts w:cs="Sylfaen"/>
          <w:lang w:val="hy-AM"/>
        </w:rPr>
        <w:t>17.9</w:t>
      </w:r>
      <w:r w:rsidRPr="00FA1DE2">
        <w:rPr>
          <w:rFonts w:cs="Sylfaen"/>
          <w:lang w:val="hy-AM"/>
        </w:rPr>
        <w:t xml:space="preserve"> մլրդ ՀՀ դրամ ֆինանսական պահանջի ավելացման ուղղությամբ: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b/>
          <w:lang w:val="hy-AM"/>
        </w:rPr>
      </w:pPr>
      <w:r w:rsidRPr="00FA1DE2">
        <w:rPr>
          <w:rFonts w:cs="Sylfaen"/>
          <w:b/>
          <w:lang w:val="hy-AM"/>
        </w:rPr>
        <w:t>2. Ենթադրություններից շեղումների ռիսկ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ՄԺԾԾ հիմքում դրվող կանխատեսումները կառուցվում են որոշակի ենթադրու</w:t>
      </w:r>
      <w:r w:rsidRPr="00FA1DE2">
        <w:rPr>
          <w:rFonts w:cs="Sylfaen"/>
          <w:lang w:val="hy-AM"/>
        </w:rPr>
        <w:softHyphen/>
        <w:t>թյու</w:t>
      </w:r>
      <w:r w:rsidRPr="00FA1DE2">
        <w:rPr>
          <w:rFonts w:cs="Sylfaen"/>
          <w:lang w:val="hy-AM"/>
        </w:rPr>
        <w:softHyphen/>
        <w:t xml:space="preserve">նների հիման վրա, որոնք էլ իրենց հերթին կախված են արտաքին գործոններից (օրինակ, ներքին տնտեսության գնաճը` միջազգային շուկաների գների կանխատեսվող վարքագծից): Սակայն միշտ չէ, որ այդ ենթադրությունները կանխատեսվող հորիզոնում իրականություն են դառնում՝ կապված ՀՀ կառավարության և ՀՀ ԿԲ-ի կառավարման դաշտից դուրս ի հայտ եկող երևույթների հետ (օրինակ` նավթի համաշխարհային գների հնարավոր փոփոխությունները): 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Ենթադրություններից շեղումների ռիսկ է նաև ԵԱՏՄ անդամ պետությունների տնտեսական զարգացումները: Միաժամանակ, ՀՀ պետական բյուջեի հարկային եկամուտներում մաքսա</w:t>
      </w:r>
      <w:r w:rsidRPr="00FA1DE2">
        <w:rPr>
          <w:rFonts w:cs="Sylfaen"/>
          <w:lang w:val="hy-AM"/>
        </w:rPr>
        <w:softHyphen/>
        <w:t>տուր</w:t>
      </w:r>
      <w:r w:rsidRPr="00FA1DE2">
        <w:rPr>
          <w:rFonts w:cs="Sylfaen"/>
          <w:lang w:val="hy-AM"/>
        </w:rPr>
        <w:softHyphen/>
        <w:t>քերի մասնաբաժինը կարող է փոփոխվել նոր պետությունների ԵԱՏՄ-ին անդամակ</w:t>
      </w:r>
      <w:r w:rsidRPr="00FA1DE2">
        <w:rPr>
          <w:rFonts w:cs="Sylfaen"/>
          <w:lang w:val="hy-AM"/>
        </w:rPr>
        <w:softHyphen/>
        <w:t xml:space="preserve">ցությունից: 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b/>
          <w:lang w:val="hy-AM"/>
        </w:rPr>
      </w:pPr>
      <w:r w:rsidRPr="00FA1DE2">
        <w:rPr>
          <w:rFonts w:cs="Sylfaen"/>
          <w:b/>
          <w:lang w:val="hy-AM"/>
        </w:rPr>
        <w:t>2.1. Գնաճի շեղման հնարավոր չափը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Գնաճի ցուցանիշի շեղման հնարավոր չափ է դիտարկվում ՀՀ ԿԲ-ի կողմից դրամավարկային քաղաքականության ծրագրում (գնաճի հաշվետվություններում) ներկայացվող գնաճի նպատակային ցուցանիշի կենտրոնական արժեքից շեղման առավելագույն չափը: </w:t>
      </w:r>
    </w:p>
    <w:p w:rsidR="00A677EC" w:rsidRPr="00FA1DE2" w:rsidRDefault="00A677EC" w:rsidP="00A677EC">
      <w:pPr>
        <w:spacing w:after="120" w:line="276" w:lineRule="auto"/>
        <w:ind w:firstLine="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ՀՀ ԿԲ-ի կողմից միջնաժամկետ հորիզոնում </w:t>
      </w:r>
      <w:r>
        <w:rPr>
          <w:rFonts w:cs="Sylfaen"/>
          <w:lang w:val="hy-AM"/>
        </w:rPr>
        <w:t>կանխատեսվում</w:t>
      </w:r>
      <w:r w:rsidRPr="00FA1DE2">
        <w:rPr>
          <w:rFonts w:cs="Sylfaen"/>
          <w:lang w:val="hy-AM"/>
        </w:rPr>
        <w:t xml:space="preserve"> է գնաճի կայունացում նպատակային ցուցանիշի շուրջ: Կանխատեսված ցուցանիշից գնաճի շեղման ռիսկերը միջնաժամկետ հորիզոնում գնահատվում են հավասարակշռված` գնաճի կենտրոնական արժեքից </w:t>
      </w:r>
      <w:r w:rsidRPr="00FA1DE2">
        <w:rPr>
          <w:rFonts w:cs="Sylfaen"/>
          <w:b/>
          <w:lang w:val="hy-AM"/>
        </w:rPr>
        <w:t>դեպի</w:t>
      </w:r>
      <w:r w:rsidRPr="00FA1DE2">
        <w:rPr>
          <w:rFonts w:cs="Sylfaen"/>
          <w:lang w:val="hy-AM"/>
        </w:rPr>
        <w:t xml:space="preserve"> </w:t>
      </w:r>
      <w:r w:rsidRPr="00FA1DE2">
        <w:rPr>
          <w:rFonts w:cs="Sylfaen"/>
          <w:b/>
          <w:lang w:val="hy-AM"/>
        </w:rPr>
        <w:t>ներքև`</w:t>
      </w:r>
      <w:r w:rsidRPr="00FA1DE2">
        <w:rPr>
          <w:rFonts w:cs="Sylfaen"/>
          <w:lang w:val="hy-AM"/>
        </w:rPr>
        <w:t xml:space="preserve"> </w:t>
      </w:r>
      <w:r w:rsidRPr="00FA1DE2">
        <w:rPr>
          <w:rFonts w:cs="Sylfaen"/>
          <w:b/>
          <w:lang w:val="hy-AM"/>
        </w:rPr>
        <w:t xml:space="preserve">1.5 տոկոսային կետի չափով </w:t>
      </w:r>
      <w:r w:rsidRPr="00FA1DE2">
        <w:rPr>
          <w:rFonts w:cs="Sylfaen"/>
          <w:lang w:val="hy-AM"/>
        </w:rPr>
        <w:t xml:space="preserve">(այսինքն` գնաճի ներքին սահմանը 2.5% է) և </w:t>
      </w:r>
      <w:r w:rsidRPr="00FA1DE2">
        <w:rPr>
          <w:rFonts w:cs="Sylfaen"/>
          <w:b/>
          <w:lang w:val="hy-AM"/>
        </w:rPr>
        <w:t xml:space="preserve">դեպի վերև շեղումը` 1.5 տոկոսային կետի չափով </w:t>
      </w:r>
      <w:r w:rsidRPr="00FA1DE2">
        <w:rPr>
          <w:rFonts w:cs="Sylfaen"/>
          <w:lang w:val="hy-AM"/>
        </w:rPr>
        <w:t xml:space="preserve">(վերին սահմանը 5.5% է): 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Գնաճի շեղման ռիսկը կարող է ազդեցություն ունենալ ՀՀ պետական բյուջեի և՛ եկամտային, և՛ ծախսային կատարողականների վրա` անուղղակի հարկերի, ինչպես նաև ապրանքների և ծառայությունների գծով ծախսերի ուղղությամբ: Գնանկումային պայմաններում հարկերից մուտքերը կկրճատվեն և ընդհակառակը: 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Արդյունքում, գների նվազման ռիսկի ազդեցությունը հարկային եկամուտների վրա 2022, 2023 և 2024 թվականների համար գնահատվում է համապատասխանաբար 3.2, 3.6 և 3.9 մլրդ ՀՀ դրամ ֆինանսական պահանջի ավելացման ուղղությամբ: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b/>
          <w:lang w:val="hy-AM"/>
        </w:rPr>
      </w:pPr>
      <w:r w:rsidRPr="00FA1DE2">
        <w:rPr>
          <w:rFonts w:cs="Sylfaen"/>
          <w:b/>
          <w:lang w:val="hy-AM"/>
        </w:rPr>
        <w:t>2.2. Փոխարժեքի շեղման հնարավոր չափը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ՀՀ ԿԲ-ն և ՀՀ ՖՆ-ն փոխարժեքի կանխա</w:t>
      </w:r>
      <w:r w:rsidRPr="00FA1DE2">
        <w:rPr>
          <w:rFonts w:cs="Sylfaen"/>
          <w:lang w:val="hy-AM"/>
        </w:rPr>
        <w:softHyphen/>
        <w:t xml:space="preserve">տեսումներ չեն իրականացնում և մակրոտնտեսական քաղաքականությունն իրականացվում է լողացող փոխարժեքի սկզբունքի հիման վրա, ընդ որում, յուրաքանչյուր տարվա պետական բյուջեի ցուցանիշների կանխատեսումների հիմքում դրվում է փոխարժեքի անփոփոխ (որոշակի պահի դրությամբ) մակարդակ: Սակայն </w:t>
      </w:r>
      <w:r w:rsidRPr="00FA1DE2">
        <w:rPr>
          <w:rFonts w:cs="Sylfaen"/>
          <w:lang w:val="hy-AM"/>
        </w:rPr>
        <w:lastRenderedPageBreak/>
        <w:t>փոխարժեքի տատա</w:t>
      </w:r>
      <w:r w:rsidRPr="00FA1DE2">
        <w:rPr>
          <w:rFonts w:cs="Sylfaen"/>
          <w:lang w:val="hy-AM"/>
        </w:rPr>
        <w:softHyphen/>
        <w:t>նում</w:t>
      </w:r>
      <w:r w:rsidRPr="00FA1DE2">
        <w:rPr>
          <w:rFonts w:cs="Sylfaen"/>
          <w:lang w:val="hy-AM"/>
        </w:rPr>
        <w:softHyphen/>
        <w:t>ները կազդեն ներմուծումից ՀՀ պետական բյուջե մուտքագրվող հարկային եկամուտների վրա: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Հաշվի առնելով այն հանգամանքը, որ պատմականորեն և՛ արժևորման, և՛ արժեզրկման ուղղությամբ փոխար</w:t>
      </w:r>
      <w:r w:rsidRPr="00FA1DE2">
        <w:rPr>
          <w:rFonts w:cs="Sylfaen"/>
          <w:lang w:val="hy-AM"/>
        </w:rPr>
        <w:softHyphen/>
        <w:t xml:space="preserve">ժեքի տատանումների բացարձակ շեղման միջին չափը չի գերազանցել </w:t>
      </w:r>
      <w:r>
        <w:rPr>
          <w:rFonts w:cs="Sylfaen"/>
          <w:lang w:val="hy-AM"/>
        </w:rPr>
        <w:t>4</w:t>
      </w:r>
      <w:r w:rsidRPr="00FA1DE2">
        <w:rPr>
          <w:rFonts w:cs="Sylfaen"/>
          <w:lang w:val="hy-AM"/>
        </w:rPr>
        <w:t xml:space="preserve">.0 տոկոսը` որպես ռիսկ է դիտարկվել ԱՄՆ դոլարի նկատմամբ ՀՀ դրամի առավելագույնը </w:t>
      </w:r>
      <w:r>
        <w:rPr>
          <w:rFonts w:cs="Sylfaen"/>
          <w:lang w:val="hy-AM"/>
        </w:rPr>
        <w:t>4</w:t>
      </w:r>
      <w:r w:rsidRPr="00FA1DE2">
        <w:rPr>
          <w:rFonts w:cs="Sylfaen"/>
          <w:lang w:val="hy-AM"/>
        </w:rPr>
        <w:t xml:space="preserve">% արժեզրկումը: 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Արդյունքում, փոխարժեքի </w:t>
      </w:r>
      <w:r>
        <w:rPr>
          <w:rFonts w:cs="Sylfaen"/>
          <w:lang w:val="hy-AM"/>
        </w:rPr>
        <w:t>4</w:t>
      </w:r>
      <w:r w:rsidRPr="00FA1DE2">
        <w:rPr>
          <w:rFonts w:cs="Sylfaen"/>
          <w:lang w:val="hy-AM"/>
        </w:rPr>
        <w:t xml:space="preserve"> տոկոսով արժեզրկման ռիսկի դրսևորման դեպքում, այլ հավասար պայմաններում, 2022, 2023 և 2024 թվականներին կարելի է ապահովել հարկային եկամուտների համապատասխանաբար 1</w:t>
      </w:r>
      <w:r>
        <w:rPr>
          <w:rFonts w:cs="Sylfaen"/>
          <w:lang w:val="hy-AM"/>
        </w:rPr>
        <w:t>1</w:t>
      </w:r>
      <w:r w:rsidRPr="00FA1DE2">
        <w:rPr>
          <w:rFonts w:cs="Sylfaen"/>
          <w:lang w:val="hy-AM"/>
        </w:rPr>
        <w:t>.</w:t>
      </w:r>
      <w:r>
        <w:rPr>
          <w:rFonts w:cs="Sylfaen"/>
          <w:lang w:val="hy-AM"/>
        </w:rPr>
        <w:t>3</w:t>
      </w:r>
      <w:r w:rsidRPr="00FA1DE2">
        <w:rPr>
          <w:rFonts w:cs="Sylfaen"/>
          <w:lang w:val="hy-AM"/>
        </w:rPr>
        <w:t xml:space="preserve">, </w:t>
      </w:r>
      <w:r>
        <w:rPr>
          <w:rFonts w:cs="Sylfaen"/>
          <w:lang w:val="hy-AM"/>
        </w:rPr>
        <w:t>12.4</w:t>
      </w:r>
      <w:r w:rsidRPr="00FA1DE2">
        <w:rPr>
          <w:rFonts w:cs="Sylfaen"/>
          <w:lang w:val="hy-AM"/>
        </w:rPr>
        <w:t xml:space="preserve"> և </w:t>
      </w:r>
      <w:r>
        <w:rPr>
          <w:rFonts w:cs="Sylfaen"/>
          <w:lang w:val="hy-AM"/>
        </w:rPr>
        <w:t>13.4</w:t>
      </w:r>
      <w:r w:rsidRPr="00FA1DE2">
        <w:rPr>
          <w:rFonts w:cs="Sylfaen"/>
          <w:lang w:val="hy-AM"/>
        </w:rPr>
        <w:t xml:space="preserve"> մլրդ ՀՀ դրամ լրացուցիչ մուտք: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b/>
          <w:lang w:val="hy-AM"/>
        </w:rPr>
      </w:pPr>
      <w:r w:rsidRPr="00FA1DE2">
        <w:rPr>
          <w:rFonts w:cs="Sylfaen"/>
          <w:b/>
          <w:lang w:val="hy-AM"/>
        </w:rPr>
        <w:t>2.3. Ներմուծման գծով ռիսկի հնարավոր չափը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Քանի որ մաքսային սահմանին ներմուծումից գանձվող անուղղակի հարկերը էական կշիռ ունեն պետական բյուջեի ընդհանուր հարկային եկամուտներում, անհրաժեշտ է գնահատել նաև ներմուծման հնարավոր նվազման պարագայում հարկային եկամուտների նվազման ռիսկի չափը: Հետճգնաժամային տարիներին ՄԺԾԾ-ում ներմուծման գծով կանխատեսումների շեղման միջին բացարձակ չափը սահմանվում է 11.8-20.0%-ի միջակայքում, ինչն էլ հաշվի է առնվել այս գործոնի ազդեցությունը գնահատելու համար: 2022, 2023 և 2024 թվականների համար ծրագրվածից համապատասխանաբար 11.8, 15.9 և 20.0% պակաս ներմուծման ռիսկի դրսևորման պայմաններում հարկային եկամուտների վրա ազդեցությունը գնահատվում է համապատասխանաբար՝ 23.3, 33.9 և 45.4 մլրդ ՀՀ դրամ` ֆինանսական պահանջի ավելացման ուղղությամբ: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Ամփոփելով վերը նկարագրված </w:t>
      </w:r>
      <w:r w:rsidRPr="00FA1DE2">
        <w:rPr>
          <w:rFonts w:cs="Sylfaen"/>
          <w:b/>
          <w:lang w:val="hy-AM"/>
        </w:rPr>
        <w:t>կանխատեսումների ռիսկի և</w:t>
      </w:r>
      <w:r w:rsidRPr="00FA1DE2">
        <w:rPr>
          <w:rFonts w:cs="Sylfaen"/>
          <w:lang w:val="hy-AM"/>
        </w:rPr>
        <w:t xml:space="preserve"> </w:t>
      </w:r>
      <w:r w:rsidRPr="00FA1DE2">
        <w:rPr>
          <w:rFonts w:cs="Sylfaen"/>
          <w:b/>
          <w:lang w:val="hy-AM"/>
        </w:rPr>
        <w:t>ենթադրություններից շեղումների ռիսկի</w:t>
      </w:r>
      <w:r w:rsidRPr="00FA1DE2">
        <w:rPr>
          <w:rFonts w:cs="Sylfaen"/>
          <w:lang w:val="hy-AM"/>
        </w:rPr>
        <w:t xml:space="preserve"> գնահատականները, միջնաժամկետ հորիզոնում ՀՀ պետական բյուջեի հարկային եկամուտների վրա մակրոտնտեսական ցուցանիշների` իրական ՀՆԱ-ի աճի, գնաճի, փոխարժեքի տատանողականության և ներմուծման ռիսկերի ազդեցության քանակական ամփոփ գնահատականները ներկայացվում են ստորև.</w:t>
      </w:r>
    </w:p>
    <w:p w:rsidR="00A677EC" w:rsidRPr="00FA1DE2" w:rsidRDefault="00A677EC" w:rsidP="00A677EC">
      <w:pPr>
        <w:pStyle w:val="a"/>
      </w:pPr>
      <w:r w:rsidRPr="00FA1DE2">
        <w:t>Աղյուսակ 3.1.1 Հարկային եկամուտների վրա մակրոտնտեսական կանխատեսումների և ենթադրությունների ռիսկերի ազդեցություն</w:t>
      </w:r>
      <w:r w:rsidRPr="00FA1DE2">
        <w:rPr>
          <w:rStyle w:val="FootnoteReference"/>
          <w:i w:val="0"/>
          <w:sz w:val="20"/>
          <w:szCs w:val="20"/>
        </w:rPr>
        <w:footnoteReference w:id="2"/>
      </w:r>
    </w:p>
    <w:tbl>
      <w:tblPr>
        <w:tblW w:w="9127" w:type="dxa"/>
        <w:jc w:val="center"/>
        <w:tblLook w:val="04A0" w:firstRow="1" w:lastRow="0" w:firstColumn="1" w:lastColumn="0" w:noHBand="0" w:noVBand="1"/>
      </w:tblPr>
      <w:tblGrid>
        <w:gridCol w:w="5438"/>
        <w:gridCol w:w="1217"/>
        <w:gridCol w:w="1170"/>
        <w:gridCol w:w="1080"/>
        <w:gridCol w:w="222"/>
      </w:tblGrid>
      <w:tr w:rsidR="00A677EC" w:rsidRPr="003F4C0B" w:rsidTr="00D74D04">
        <w:trPr>
          <w:gridAfter w:val="1"/>
          <w:wAfter w:w="222" w:type="dxa"/>
          <w:trHeight w:val="675"/>
          <w:jc w:val="center"/>
        </w:trPr>
        <w:tc>
          <w:tcPr>
            <w:tcW w:w="5438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95B3D7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Ռիսկի տեսակը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95B3D7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Ազդեցության գնահատականը, մլրդ ՀՀ դրամ</w:t>
            </w:r>
          </w:p>
        </w:tc>
      </w:tr>
      <w:tr w:rsidR="00A677EC" w:rsidRPr="003F4C0B" w:rsidTr="00D74D04">
        <w:trPr>
          <w:trHeight w:val="300"/>
          <w:jc w:val="center"/>
        </w:trPr>
        <w:tc>
          <w:tcPr>
            <w:tcW w:w="5438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b/>
                <w:color w:val="FFFFFF"/>
              </w:rPr>
            </w:pPr>
          </w:p>
        </w:tc>
        <w:tc>
          <w:tcPr>
            <w:tcW w:w="3467" w:type="dxa"/>
            <w:gridSpan w:val="3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b/>
                <w:color w:val="FFFFF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</w:p>
        </w:tc>
      </w:tr>
      <w:tr w:rsidR="00A677EC" w:rsidRPr="003F4C0B" w:rsidTr="00D74D04">
        <w:trPr>
          <w:trHeight w:val="330"/>
          <w:jc w:val="center"/>
        </w:trPr>
        <w:tc>
          <w:tcPr>
            <w:tcW w:w="5438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95B3D7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b/>
                <w:color w:val="FFFFFF"/>
              </w:rPr>
            </w:pPr>
            <w:r w:rsidRPr="001B5BE7">
              <w:rPr>
                <w:rFonts w:ascii="Calibri" w:hAnsi="Calibri"/>
                <w:b/>
                <w:color w:val="FFFFFF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95B3D7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95B3D7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95B3D7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2024</w:t>
            </w:r>
          </w:p>
        </w:tc>
        <w:tc>
          <w:tcPr>
            <w:tcW w:w="222" w:type="dxa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677EC" w:rsidRPr="003F4C0B" w:rsidTr="00D74D04">
        <w:trPr>
          <w:trHeight w:val="330"/>
          <w:jc w:val="center"/>
        </w:trPr>
        <w:tc>
          <w:tcPr>
            <w:tcW w:w="8905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Ռիսկերի առանձին հանդես գալու պայմաններում</w:t>
            </w:r>
          </w:p>
        </w:tc>
        <w:tc>
          <w:tcPr>
            <w:tcW w:w="222" w:type="dxa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677EC" w:rsidRPr="003F4C0B" w:rsidTr="00D74D04">
        <w:trPr>
          <w:trHeight w:val="660"/>
          <w:jc w:val="center"/>
        </w:trPr>
        <w:tc>
          <w:tcPr>
            <w:tcW w:w="5438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B5BE7">
              <w:rPr>
                <w:color w:val="000000"/>
              </w:rPr>
              <w:lastRenderedPageBreak/>
              <w:t xml:space="preserve">1. Կանխատեսվածից </w:t>
            </w:r>
            <w:r w:rsidRPr="003F4C0B">
              <w:rPr>
                <w:rFonts w:eastAsia="Times New Roman" w:cs="Calibri"/>
                <w:color w:val="000000"/>
              </w:rPr>
              <w:t>2</w:t>
            </w:r>
            <w:r w:rsidRPr="001B5BE7">
              <w:rPr>
                <w:color w:val="000000"/>
              </w:rPr>
              <w:t>.0-</w:t>
            </w:r>
            <w:r w:rsidRPr="003F4C0B">
              <w:rPr>
                <w:rFonts w:eastAsia="Times New Roman" w:cs="Calibri"/>
                <w:color w:val="000000"/>
              </w:rPr>
              <w:t>2.6</w:t>
            </w:r>
            <w:r w:rsidRPr="001B5BE7">
              <w:rPr>
                <w:color w:val="000000"/>
              </w:rPr>
              <w:t xml:space="preserve"> տոկոսային կետով ավելի ցածր իրական ՀՆԱ-ի աճ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</w:t>
            </w:r>
            <w:r w:rsidRPr="003F4C0B">
              <w:rPr>
                <w:rFonts w:eastAsia="Times New Roman" w:cs="Calibri"/>
                <w:color w:val="000000"/>
              </w:rPr>
              <w:t>11.3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</w:t>
            </w:r>
            <w:r w:rsidRPr="003F4C0B">
              <w:rPr>
                <w:rFonts w:eastAsia="Times New Roman" w:cs="Calibri"/>
                <w:color w:val="000000"/>
              </w:rPr>
              <w:t>14</w:t>
            </w:r>
            <w:r w:rsidRPr="001B5BE7">
              <w:rPr>
                <w:color w:val="000000"/>
              </w:rPr>
              <w:t>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</w:t>
            </w:r>
            <w:r w:rsidRPr="003F4C0B">
              <w:rPr>
                <w:rFonts w:eastAsia="Times New Roman" w:cs="Calibri"/>
                <w:color w:val="000000"/>
              </w:rPr>
              <w:t>17.9</w:t>
            </w:r>
          </w:p>
        </w:tc>
        <w:tc>
          <w:tcPr>
            <w:tcW w:w="222" w:type="dxa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677EC" w:rsidRPr="003F4C0B" w:rsidTr="00D74D04">
        <w:trPr>
          <w:trHeight w:val="330"/>
          <w:jc w:val="center"/>
        </w:trPr>
        <w:tc>
          <w:tcPr>
            <w:tcW w:w="5438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B5BE7">
              <w:rPr>
                <w:color w:val="000000"/>
              </w:rPr>
              <w:t>2. 1.5 տոկոսային կետով ավելի ցածր գնաճի ռիսկ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-3.9</w:t>
            </w:r>
          </w:p>
        </w:tc>
        <w:tc>
          <w:tcPr>
            <w:tcW w:w="222" w:type="dxa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677EC" w:rsidRPr="003F4C0B" w:rsidTr="00D74D04">
        <w:trPr>
          <w:trHeight w:val="660"/>
          <w:jc w:val="center"/>
        </w:trPr>
        <w:tc>
          <w:tcPr>
            <w:tcW w:w="5438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B5BE7">
              <w:rPr>
                <w:color w:val="000000"/>
              </w:rPr>
              <w:t xml:space="preserve">3. Փոխարժեքի առավելագույնը </w:t>
            </w:r>
            <w:r w:rsidRPr="003F4C0B">
              <w:rPr>
                <w:rFonts w:eastAsia="Times New Roman" w:cs="Calibri"/>
                <w:color w:val="000000"/>
              </w:rPr>
              <w:t>4</w:t>
            </w:r>
            <w:r w:rsidRPr="001B5BE7">
              <w:rPr>
                <w:color w:val="000000"/>
              </w:rPr>
              <w:t>.0 տոկոսով արժեզրկման ռիսկ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3F4C0B">
              <w:rPr>
                <w:rFonts w:eastAsia="Times New Roman" w:cs="Calibri"/>
                <w:color w:val="000000"/>
              </w:rPr>
              <w:t>11.3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3F4C0B">
              <w:rPr>
                <w:rFonts w:eastAsia="Times New Roman" w:cs="Calibri"/>
                <w:color w:val="000000"/>
              </w:rPr>
              <w:t>12.4</w:t>
            </w:r>
          </w:p>
        </w:tc>
        <w:tc>
          <w:tcPr>
            <w:tcW w:w="108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3F4C0B">
              <w:rPr>
                <w:rFonts w:eastAsia="Times New Roman" w:cs="Calibri"/>
                <w:color w:val="000000"/>
              </w:rPr>
              <w:t>13.4</w:t>
            </w:r>
          </w:p>
        </w:tc>
        <w:tc>
          <w:tcPr>
            <w:tcW w:w="222" w:type="dxa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677EC" w:rsidRPr="003F4C0B" w:rsidTr="00D74D04">
        <w:trPr>
          <w:trHeight w:val="330"/>
          <w:jc w:val="center"/>
        </w:trPr>
        <w:tc>
          <w:tcPr>
            <w:tcW w:w="54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B5BE7">
              <w:rPr>
                <w:color w:val="000000"/>
              </w:rPr>
              <w:t>4. Ներմուծման 11.8-20.0 տոկոսով նվազման ռիսկ</w:t>
            </w:r>
          </w:p>
        </w:tc>
        <w:tc>
          <w:tcPr>
            <w:tcW w:w="1217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-23.3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-33.9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-45.4</w:t>
            </w:r>
          </w:p>
        </w:tc>
        <w:tc>
          <w:tcPr>
            <w:tcW w:w="222" w:type="dxa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677EC" w:rsidRPr="003F4C0B" w:rsidTr="00D74D04">
        <w:trPr>
          <w:trHeight w:val="660"/>
          <w:jc w:val="center"/>
        </w:trPr>
        <w:tc>
          <w:tcPr>
            <w:tcW w:w="5438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Վերոնշյալ ռիսկերի միաժամանակյա հանդես գալու պայմաններում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-</w:t>
            </w:r>
            <w:r w:rsidRPr="003F4C0B">
              <w:rPr>
                <w:rFonts w:eastAsia="Times New Roman" w:cs="Calibri"/>
                <w:b/>
                <w:bCs/>
                <w:color w:val="000000"/>
              </w:rPr>
              <w:t>24.3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-</w:t>
            </w:r>
            <w:r w:rsidRPr="003F4C0B">
              <w:rPr>
                <w:rFonts w:eastAsia="Times New Roman" w:cs="Calibri"/>
                <w:b/>
                <w:bCs/>
                <w:color w:val="000000"/>
              </w:rPr>
              <w:t>40.4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-</w:t>
            </w:r>
            <w:r w:rsidRPr="003F4C0B">
              <w:rPr>
                <w:rFonts w:eastAsia="Times New Roman" w:cs="Calibri"/>
                <w:b/>
                <w:bCs/>
                <w:color w:val="000000"/>
              </w:rPr>
              <w:t>55.9</w:t>
            </w:r>
          </w:p>
        </w:tc>
        <w:tc>
          <w:tcPr>
            <w:tcW w:w="222" w:type="dxa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A677EC" w:rsidRPr="00FA1DE2" w:rsidRDefault="00A677EC" w:rsidP="00A677EC">
      <w:pPr>
        <w:spacing w:before="120" w:after="120" w:line="276" w:lineRule="auto"/>
        <w:ind w:firstLine="720"/>
        <w:rPr>
          <w:rFonts w:cs="Sylfaen"/>
          <w:lang w:val="hy-AM"/>
        </w:rPr>
      </w:pPr>
    </w:p>
    <w:p w:rsidR="00A677EC" w:rsidRPr="00FA1DE2" w:rsidRDefault="00A677EC" w:rsidP="00A677EC">
      <w:pPr>
        <w:spacing w:before="120"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Այսպիսով, գնահատվում է, որ հարկային եկամուտների վրա ազդող վերոնշյալ ռիսկերի միաժամանակյա ի հայտ գալու պարագայում հարկային եկամուտների ծրագրված մակարդակից շեղումը կկազմի շուրջ </w:t>
      </w:r>
      <w:r>
        <w:rPr>
          <w:rFonts w:cs="Sylfaen"/>
          <w:lang w:val="hy-AM"/>
        </w:rPr>
        <w:t>24.3</w:t>
      </w:r>
      <w:r w:rsidRPr="00FA1DE2">
        <w:rPr>
          <w:rFonts w:cs="Sylfaen"/>
          <w:lang w:val="hy-AM"/>
        </w:rPr>
        <w:t xml:space="preserve"> մլրդ ՀՀ դրամ 2022 թվականին, </w:t>
      </w:r>
      <w:r>
        <w:rPr>
          <w:rFonts w:cs="Sylfaen"/>
          <w:lang w:val="hy-AM"/>
        </w:rPr>
        <w:t>40.4</w:t>
      </w:r>
      <w:r w:rsidRPr="00FA1DE2">
        <w:rPr>
          <w:rFonts w:cs="Sylfaen"/>
          <w:lang w:val="hy-AM"/>
        </w:rPr>
        <w:t xml:space="preserve"> մլրդ ՀՀ դրամ 2023 թվականին և </w:t>
      </w:r>
      <w:r>
        <w:rPr>
          <w:rFonts w:cs="Sylfaen"/>
          <w:lang w:val="hy-AM"/>
        </w:rPr>
        <w:t>55.9</w:t>
      </w:r>
      <w:r w:rsidRPr="00FA1DE2">
        <w:rPr>
          <w:rFonts w:cs="Sylfaen"/>
          <w:lang w:val="hy-AM"/>
        </w:rPr>
        <w:t xml:space="preserve"> մլրդ ՀՀ դրամ 2024 թվականին: 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Հարկային եկամուտների վրա առանձին ռիսկերի ազդեցության չափի վերաբերյալ պատկերացում են տալիս նաև ստորև ներկայացվող զգայունության գնահատականները, սակայն այս դեպքում դիտարկվում է հարկային եկամուտների աճի վրա ազդող գործոնների աճերի 1% փոփոխության ազդեցությունը, ինչը ներկայացված է հարկային եկամուտների զգայունության աղյուսակում:</w:t>
      </w:r>
    </w:p>
    <w:p w:rsidR="00A677EC" w:rsidRPr="00FA1DE2" w:rsidRDefault="00A677EC" w:rsidP="00A677EC">
      <w:pPr>
        <w:spacing w:after="120" w:line="276" w:lineRule="auto"/>
        <w:ind w:firstLine="720"/>
        <w:rPr>
          <w:b/>
          <w:i/>
          <w:u w:val="single"/>
          <w:lang w:val="hy-AM"/>
        </w:rPr>
      </w:pPr>
    </w:p>
    <w:p w:rsidR="00A677EC" w:rsidRPr="00FA1DE2" w:rsidRDefault="00A677EC" w:rsidP="00A677EC">
      <w:pPr>
        <w:pStyle w:val="a"/>
      </w:pPr>
      <w:r w:rsidRPr="00FA1DE2">
        <w:t>Աղյուսակ 3.1.2 Հարկային եկամուտների զգայունությունը հիմնական տնտեսական գործոնների նկատմամբ, տոկոս</w:t>
      </w:r>
    </w:p>
    <w:tbl>
      <w:tblPr>
        <w:tblW w:w="9198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0A0" w:firstRow="1" w:lastRow="0" w:firstColumn="1" w:lastColumn="0" w:noHBand="0" w:noVBand="0"/>
      </w:tblPr>
      <w:tblGrid>
        <w:gridCol w:w="3659"/>
        <w:gridCol w:w="1398"/>
        <w:gridCol w:w="1138"/>
        <w:gridCol w:w="1435"/>
        <w:gridCol w:w="1568"/>
      </w:tblGrid>
      <w:tr w:rsidR="00A677EC" w:rsidRPr="00FA1DE2" w:rsidTr="00D74D04">
        <w:trPr>
          <w:trHeight w:val="476"/>
          <w:jc w:val="center"/>
        </w:trPr>
        <w:tc>
          <w:tcPr>
            <w:tcW w:w="3659" w:type="dxa"/>
            <w:shd w:val="clear" w:color="auto" w:fill="5B9BD5" w:themeFill="accent1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b/>
                <w:color w:val="FFFFFF" w:themeColor="background1"/>
                <w:lang w:val="hy-AM"/>
              </w:rPr>
            </w:pPr>
            <w:r w:rsidRPr="00FA1DE2">
              <w:rPr>
                <w:rFonts w:ascii="Calibri" w:hAnsi="Calibri" w:cs="Calibri"/>
                <w:b/>
                <w:color w:val="FFFFFF" w:themeColor="background1"/>
                <w:lang w:val="hy-AM"/>
              </w:rPr>
              <w:t> </w:t>
            </w:r>
          </w:p>
        </w:tc>
        <w:tc>
          <w:tcPr>
            <w:tcW w:w="1398" w:type="dxa"/>
            <w:shd w:val="clear" w:color="auto" w:fill="5B9BD5" w:themeFill="accent1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b/>
                <w:color w:val="FFFFFF" w:themeColor="background1"/>
                <w:lang w:val="hy-AM"/>
              </w:rPr>
            </w:pPr>
            <w:r w:rsidRPr="00FA1DE2">
              <w:rPr>
                <w:rFonts w:cs="Sylfaen"/>
                <w:b/>
                <w:color w:val="FFFFFF" w:themeColor="background1"/>
                <w:lang w:val="hy-AM"/>
              </w:rPr>
              <w:t>ՀՆԱ</w:t>
            </w:r>
          </w:p>
        </w:tc>
        <w:tc>
          <w:tcPr>
            <w:tcW w:w="1138" w:type="dxa"/>
            <w:shd w:val="clear" w:color="auto" w:fill="5B9BD5" w:themeFill="accent1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b/>
                <w:color w:val="FFFFFF" w:themeColor="background1"/>
                <w:lang w:val="hy-AM"/>
              </w:rPr>
            </w:pPr>
            <w:r w:rsidRPr="00FA1DE2">
              <w:rPr>
                <w:rFonts w:cs="Sylfaen"/>
                <w:b/>
                <w:color w:val="FFFFFF" w:themeColor="background1"/>
                <w:lang w:val="hy-AM"/>
              </w:rPr>
              <w:t>Գնաճ</w:t>
            </w:r>
          </w:p>
        </w:tc>
        <w:tc>
          <w:tcPr>
            <w:tcW w:w="1435" w:type="dxa"/>
            <w:shd w:val="clear" w:color="auto" w:fill="5B9BD5" w:themeFill="accent1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b/>
                <w:color w:val="FFFFFF" w:themeColor="background1"/>
                <w:lang w:val="hy-AM"/>
              </w:rPr>
            </w:pPr>
            <w:r w:rsidRPr="00FA1DE2">
              <w:rPr>
                <w:rFonts w:cs="Sylfaen"/>
                <w:b/>
                <w:color w:val="FFFFFF" w:themeColor="background1"/>
                <w:lang w:val="hy-AM"/>
              </w:rPr>
              <w:t>Փոխարժեք</w:t>
            </w:r>
          </w:p>
        </w:tc>
        <w:tc>
          <w:tcPr>
            <w:tcW w:w="1568" w:type="dxa"/>
            <w:shd w:val="clear" w:color="auto" w:fill="5B9BD5" w:themeFill="accent1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b/>
                <w:color w:val="FFFFFF" w:themeColor="background1"/>
                <w:lang w:val="hy-AM"/>
              </w:rPr>
            </w:pPr>
            <w:r w:rsidRPr="00FA1DE2">
              <w:rPr>
                <w:rFonts w:cs="Sylfaen"/>
                <w:b/>
                <w:color w:val="FFFFFF" w:themeColor="background1"/>
                <w:lang w:val="hy-AM"/>
              </w:rPr>
              <w:t>Ներմուծ</w:t>
            </w:r>
            <w:r w:rsidRPr="00FA1DE2">
              <w:rPr>
                <w:b/>
                <w:color w:val="FFFFFF" w:themeColor="background1"/>
                <w:lang w:val="hy-AM"/>
              </w:rPr>
              <w:t>ում</w:t>
            </w:r>
          </w:p>
        </w:tc>
      </w:tr>
      <w:tr w:rsidR="00A677EC" w:rsidRPr="00FA1DE2" w:rsidTr="00D74D04">
        <w:trPr>
          <w:trHeight w:val="476"/>
          <w:jc w:val="center"/>
        </w:trPr>
        <w:tc>
          <w:tcPr>
            <w:tcW w:w="3659" w:type="dxa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b/>
                <w:lang w:val="hy-AM"/>
              </w:rPr>
            </w:pPr>
            <w:r w:rsidRPr="00FA1DE2">
              <w:rPr>
                <w:rFonts w:cs="Sylfaen"/>
                <w:b/>
                <w:lang w:val="hy-AM"/>
              </w:rPr>
              <w:t>Միջին տարեկան ազդեցություն</w:t>
            </w:r>
          </w:p>
        </w:tc>
        <w:tc>
          <w:tcPr>
            <w:tcW w:w="1398" w:type="dxa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rFonts w:cs="Calibri"/>
                <w:lang w:val="hy-AM"/>
              </w:rPr>
            </w:pPr>
            <w:r w:rsidRPr="00FA1DE2">
              <w:rPr>
                <w:lang w:val="hy-AM"/>
              </w:rPr>
              <w:t>0.22</w:t>
            </w:r>
          </w:p>
        </w:tc>
        <w:tc>
          <w:tcPr>
            <w:tcW w:w="1138" w:type="dxa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rFonts w:cs="Calibri"/>
                <w:lang w:val="hy-AM"/>
              </w:rPr>
            </w:pPr>
            <w:r w:rsidRPr="00FA1DE2">
              <w:rPr>
                <w:lang w:val="hy-AM"/>
              </w:rPr>
              <w:t>0.10</w:t>
            </w:r>
          </w:p>
        </w:tc>
        <w:tc>
          <w:tcPr>
            <w:tcW w:w="1435" w:type="dxa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rFonts w:cs="Calibri"/>
                <w:lang w:val="hy-AM"/>
              </w:rPr>
            </w:pPr>
            <w:r w:rsidRPr="00FA1DE2">
              <w:rPr>
                <w:lang w:val="hy-AM"/>
              </w:rPr>
              <w:t>0.16</w:t>
            </w:r>
          </w:p>
        </w:tc>
        <w:tc>
          <w:tcPr>
            <w:tcW w:w="1568" w:type="dxa"/>
            <w:noWrap/>
            <w:vAlign w:val="bottom"/>
            <w:hideMark/>
          </w:tcPr>
          <w:p w:rsidR="00A677EC" w:rsidRPr="00FA1DE2" w:rsidRDefault="00A677EC" w:rsidP="00D74D04">
            <w:pPr>
              <w:spacing w:after="120" w:line="240" w:lineRule="auto"/>
              <w:ind w:firstLine="0"/>
              <w:rPr>
                <w:rFonts w:cs="Calibri"/>
                <w:lang w:val="hy-AM"/>
              </w:rPr>
            </w:pPr>
            <w:r w:rsidRPr="00FA1DE2">
              <w:rPr>
                <w:lang w:val="hy-AM"/>
              </w:rPr>
              <w:t>0.06</w:t>
            </w:r>
          </w:p>
        </w:tc>
      </w:tr>
    </w:tbl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Ինչպես երևում է աղյուսակից, հարկերի հավաքագրման առումով առավել էական գործոններ են հանդիսանում ՀՆԱ-ի և փոխարժեքի փոփոխությունները: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Հարկային եկամուտների կանխատեսումների հետ կապված անորոշությունների և ռիսկերի հաշվեկշռի վերաբերյալ գնահատականներն իրենց արտացոլումն են գտել ստորև ներկայացվող հարկային եկամուտների հավանականային բաշխման գծապատկերում և համապատասխան աղյուսակում (տես` Գծապատկեր 3.1 և Աղյուսակ 3.1.3)</w:t>
      </w:r>
      <w:r w:rsidRPr="00FA1DE2">
        <w:rPr>
          <w:rStyle w:val="FootnoteReference"/>
          <w:rFonts w:cs="Sylfaen"/>
          <w:lang w:val="hy-AM"/>
        </w:rPr>
        <w:footnoteReference w:id="3"/>
      </w:r>
      <w:r w:rsidRPr="00FA1DE2">
        <w:rPr>
          <w:rFonts w:cs="Sylfaen"/>
          <w:lang w:val="hy-AM"/>
        </w:rPr>
        <w:t xml:space="preserve">: Հավանականային բաշխման գրաֆիկի </w:t>
      </w:r>
      <w:r w:rsidRPr="00FA1DE2">
        <w:rPr>
          <w:rFonts w:cs="Sylfaen"/>
          <w:lang w:val="hy-AM"/>
        </w:rPr>
        <w:lastRenderedPageBreak/>
        <w:t>կառուցման ժամանակ օգտագործվել է աղյուսակ 3.1.1-ում գնահատված ամբողջական ռիսկերի միաժամանակյա հանդես գալու պայմաններում ի հայտ եկող բացասական ռիսկերը:</w:t>
      </w:r>
    </w:p>
    <w:p w:rsidR="00A677EC" w:rsidRPr="00FA1DE2" w:rsidRDefault="00A677EC" w:rsidP="00A677EC">
      <w:pPr>
        <w:pStyle w:val="a1"/>
      </w:pPr>
      <w:r w:rsidRPr="00FA1DE2">
        <w:t>Գծապատկեր 3.1. Հարկային եկամուտների տարեկան աճի տեմպերի կանխատեսումների հավանականային բաշխումը</w:t>
      </w:r>
      <w:r w:rsidRPr="00FA1DE2">
        <w:rPr>
          <w:rStyle w:val="FootnoteReference"/>
          <w:i w:val="0"/>
          <w:sz w:val="20"/>
          <w:szCs w:val="20"/>
        </w:rPr>
        <w:footnoteReference w:id="4"/>
      </w:r>
      <w:r w:rsidRPr="00FA1DE2">
        <w:t>, տոկոս</w:t>
      </w:r>
    </w:p>
    <w:p w:rsidR="00A677EC" w:rsidRPr="00FA1DE2" w:rsidRDefault="00A677EC" w:rsidP="00A677EC">
      <w:pPr>
        <w:spacing w:after="120" w:line="276" w:lineRule="auto"/>
        <w:ind w:firstLine="0"/>
        <w:rPr>
          <w:b/>
          <w:i/>
          <w:u w:val="single"/>
          <w:lang w:val="hy-AM"/>
        </w:rPr>
      </w:pPr>
      <w:r>
        <w:rPr>
          <w:noProof/>
        </w:rPr>
        <w:drawing>
          <wp:inline distT="0" distB="0" distL="0" distR="0" wp14:anchorId="2440BCB2" wp14:editId="6293C8C3">
            <wp:extent cx="6172200" cy="2595245"/>
            <wp:effectExtent l="0" t="0" r="0" b="14605"/>
            <wp:docPr id="84" name="Chart 84">
              <a:extLst xmlns:a="http://schemas.openxmlformats.org/drawingml/2006/main">
                <a:ext uri="{FF2B5EF4-FFF2-40B4-BE49-F238E27FC236}">
                  <a16:creationId xmlns:a16="http://schemas.microsoft.com/office/drawing/2014/main" id="{2FAE8513-B780-4321-A6C2-9DB9EA4ADB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77EC" w:rsidRPr="00FA1DE2" w:rsidRDefault="00A677EC" w:rsidP="00A677EC">
      <w:pPr>
        <w:spacing w:after="120" w:line="276" w:lineRule="auto"/>
        <w:ind w:firstLine="720"/>
        <w:rPr>
          <w:b/>
          <w:lang w:val="hy-AM"/>
        </w:rPr>
      </w:pPr>
      <w:r w:rsidRPr="00FA1DE2">
        <w:rPr>
          <w:rFonts w:cs="Sylfaen"/>
          <w:lang w:val="hy-AM"/>
        </w:rPr>
        <w:t xml:space="preserve">Կանխատեսումների բաշխման հավանականություններն առավել պարզորոշ երևում են ստորև բերվող աղյուսակում: </w:t>
      </w:r>
    </w:p>
    <w:p w:rsidR="00A677EC" w:rsidRPr="00FA1DE2" w:rsidRDefault="00A677EC" w:rsidP="00A677EC">
      <w:pPr>
        <w:pStyle w:val="a"/>
      </w:pPr>
      <w:r w:rsidRPr="00FA1DE2">
        <w:t>Աղյուսակ 3.1.3 Հարկային եկամուտների կանխատեսումների հավանականային բաշխումը</w:t>
      </w:r>
    </w:p>
    <w:tbl>
      <w:tblPr>
        <w:tblW w:w="5940" w:type="dxa"/>
        <w:tblInd w:w="1458" w:type="dxa"/>
        <w:tblLook w:val="04A0" w:firstRow="1" w:lastRow="0" w:firstColumn="1" w:lastColumn="0" w:noHBand="0" w:noVBand="1"/>
      </w:tblPr>
      <w:tblGrid>
        <w:gridCol w:w="2250"/>
        <w:gridCol w:w="1080"/>
        <w:gridCol w:w="1260"/>
        <w:gridCol w:w="1350"/>
      </w:tblGrid>
      <w:tr w:rsidR="00A677EC" w:rsidRPr="003F4C0B" w:rsidTr="00D74D04">
        <w:trPr>
          <w:trHeight w:val="1005"/>
        </w:trPr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rPr>
                <w:color w:val="FFFFFF"/>
              </w:rPr>
            </w:pPr>
            <w:r w:rsidRPr="001B5BE7">
              <w:rPr>
                <w:color w:val="FFFFFF"/>
              </w:rPr>
              <w:t>Հարկային եկամուտների աճի միջակայքը</w:t>
            </w:r>
          </w:p>
        </w:tc>
        <w:tc>
          <w:tcPr>
            <w:tcW w:w="3690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FFFFFF"/>
              </w:rPr>
            </w:pPr>
            <w:r w:rsidRPr="001B5BE7">
              <w:rPr>
                <w:color w:val="FFFFFF"/>
              </w:rPr>
              <w:t>Հարկային եկամուտների աճի` տվյալ  միջակայքում ձևավորվելու հավանականությունը</w:t>
            </w:r>
          </w:p>
        </w:tc>
      </w:tr>
      <w:tr w:rsidR="00A677EC" w:rsidRPr="003F4C0B" w:rsidTr="00D74D04">
        <w:trPr>
          <w:trHeight w:val="345"/>
        </w:trPr>
        <w:tc>
          <w:tcPr>
            <w:tcW w:w="22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rPr>
                <w:rFonts w:ascii="Calibri" w:hAnsi="Calibri"/>
                <w:b/>
                <w:color w:val="FFFFFF"/>
              </w:rPr>
            </w:pPr>
            <w:r w:rsidRPr="001B5BE7">
              <w:rPr>
                <w:rFonts w:ascii="Calibri" w:hAnsi="Calibri"/>
                <w:b/>
                <w:color w:val="FFFFFF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2024</w:t>
            </w:r>
          </w:p>
        </w:tc>
      </w:tr>
      <w:tr w:rsidR="00A677EC" w:rsidRPr="003F4C0B" w:rsidTr="00D74D04">
        <w:trPr>
          <w:trHeight w:val="345"/>
        </w:trPr>
        <w:tc>
          <w:tcPr>
            <w:tcW w:w="225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3-7 տոկոս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0.</w:t>
            </w:r>
            <w:r w:rsidRPr="003F4C0B">
              <w:rPr>
                <w:rFonts w:eastAsia="Times New Roman" w:cs="Calibri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0.34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0.</w:t>
            </w:r>
            <w:r w:rsidRPr="003F4C0B">
              <w:rPr>
                <w:rFonts w:eastAsia="Times New Roman" w:cs="Calibri"/>
                <w:color w:val="000000"/>
              </w:rPr>
              <w:t>27</w:t>
            </w:r>
          </w:p>
        </w:tc>
      </w:tr>
      <w:tr w:rsidR="00A677EC" w:rsidRPr="003F4C0B" w:rsidTr="00D74D04">
        <w:trPr>
          <w:trHeight w:val="345"/>
        </w:trPr>
        <w:tc>
          <w:tcPr>
            <w:tcW w:w="225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7-11 տոկոս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0.36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i/>
                <w:color w:val="000000"/>
                <w:u w:val="single"/>
              </w:rPr>
            </w:pPr>
            <w:r w:rsidRPr="001B5BE7">
              <w:rPr>
                <w:b/>
                <w:i/>
                <w:color w:val="000000"/>
                <w:u w:val="single"/>
              </w:rPr>
              <w:t>0.</w:t>
            </w:r>
            <w:r w:rsidRPr="003F4C0B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i/>
                <w:color w:val="000000"/>
                <w:u w:val="single"/>
              </w:rPr>
            </w:pPr>
            <w:r w:rsidRPr="001B5BE7">
              <w:rPr>
                <w:b/>
                <w:i/>
                <w:color w:val="000000"/>
                <w:u w:val="single"/>
              </w:rPr>
              <w:t>0.</w:t>
            </w:r>
            <w:r w:rsidRPr="003F4C0B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</w:rPr>
              <w:t>43</w:t>
            </w:r>
          </w:p>
        </w:tc>
      </w:tr>
      <w:tr w:rsidR="00A677EC" w:rsidRPr="003F4C0B" w:rsidTr="00D74D04">
        <w:trPr>
          <w:trHeight w:val="345"/>
        </w:trPr>
        <w:tc>
          <w:tcPr>
            <w:tcW w:w="225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11-15 տոկոս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i/>
                <w:color w:val="000000"/>
                <w:u w:val="single"/>
              </w:rPr>
            </w:pPr>
            <w:r w:rsidRPr="001B5BE7">
              <w:rPr>
                <w:b/>
                <w:i/>
                <w:color w:val="000000"/>
                <w:u w:val="single"/>
              </w:rPr>
              <w:t>0.</w:t>
            </w:r>
            <w:r w:rsidRPr="003F4C0B">
              <w:rPr>
                <w:rFonts w:eastAsia="Times New Roman" w:cs="Calibri"/>
                <w:b/>
                <w:bCs/>
                <w:i/>
                <w:iCs/>
                <w:color w:val="000000"/>
                <w:u w:val="single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0.08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0.</w:t>
            </w:r>
            <w:r w:rsidRPr="003F4C0B">
              <w:rPr>
                <w:rFonts w:eastAsia="Times New Roman" w:cs="Calibri"/>
                <w:color w:val="000000"/>
              </w:rPr>
              <w:t>18</w:t>
            </w:r>
          </w:p>
        </w:tc>
      </w:tr>
    </w:tbl>
    <w:p w:rsidR="00A677EC" w:rsidRPr="00FA1DE2" w:rsidRDefault="00A677EC" w:rsidP="00A677EC">
      <w:pPr>
        <w:spacing w:before="120" w:after="120" w:line="276" w:lineRule="auto"/>
        <w:ind w:firstLine="720"/>
        <w:rPr>
          <w:rFonts w:cs="Sylfaen"/>
          <w:lang w:val="hy-AM"/>
        </w:rPr>
      </w:pPr>
    </w:p>
    <w:p w:rsidR="00A677EC" w:rsidRDefault="00A677EC" w:rsidP="00A677EC">
      <w:pPr>
        <w:spacing w:before="120"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Աղյուսակ 3.1.3-ի առաջին սյունը ներկայացնում է հարկային եկամուտների աճի միջակայքերը, իսկ 2-ից 4-րդ սյուները` նշված միջակայքերից յուրաքանչյուրում այդ աճի ձևավորվելու հավանականությունները` ըստ միջնաժամկետ կանխատեսումների: </w:t>
      </w:r>
      <w:r w:rsidRPr="004C43C1">
        <w:rPr>
          <w:rFonts w:cs="Sylfaen"/>
          <w:lang w:val="hy-AM"/>
        </w:rPr>
        <w:t xml:space="preserve">Համաձայն գնահատականների, 2022 թվականին հարկային եկամուտների աճի </w:t>
      </w:r>
      <w:r>
        <w:rPr>
          <w:rFonts w:cs="Sylfaen"/>
          <w:lang w:val="hy-AM"/>
        </w:rPr>
        <w:t>տեմպի՝ 11-15% միջակայքում գտնվելու հավանականությունն ամենաբարձրն է, իսկ 2023 և 2024 թվականներին հարկային եկամուտների աճի տեմպը ամենաբարձր հավանականությամբ կգտնվի 7-11% միջակայքում</w:t>
      </w:r>
      <w:r w:rsidRPr="00FA1DE2">
        <w:rPr>
          <w:rFonts w:cs="Sylfaen"/>
          <w:lang w:val="hy-AM"/>
        </w:rPr>
        <w:t xml:space="preserve"> (Գծապատկեր 3.1-ում այն մուգ կարմիր է, իսկ Աղյուսակ 3.1.3-ում՝ հոծ նշումով): </w:t>
      </w:r>
    </w:p>
    <w:p w:rsidR="00A677EC" w:rsidRDefault="00A677EC" w:rsidP="00A677EC">
      <w:pPr>
        <w:spacing w:before="120" w:after="120" w:line="276" w:lineRule="auto"/>
        <w:ind w:firstLine="720"/>
        <w:rPr>
          <w:rFonts w:cs="Sylfaen"/>
          <w:lang w:val="hy-AM"/>
        </w:rPr>
      </w:pPr>
    </w:p>
    <w:p w:rsidR="00A677EC" w:rsidRPr="007F33E4" w:rsidRDefault="00A677EC" w:rsidP="00A677EC">
      <w:pPr>
        <w:spacing w:before="120" w:after="120" w:line="276" w:lineRule="auto"/>
        <w:ind w:firstLine="720"/>
        <w:rPr>
          <w:rFonts w:cs="Sylfaen"/>
          <w:lang w:val="hy-AM"/>
        </w:rPr>
      </w:pPr>
    </w:p>
    <w:p w:rsidR="00A677EC" w:rsidRPr="00FA1DE2" w:rsidRDefault="00A677EC" w:rsidP="00A677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rPr>
          <w:rFonts w:cs="Sylfaen"/>
          <w:b/>
          <w:lang w:val="hy-AM"/>
        </w:rPr>
      </w:pPr>
      <w:r w:rsidRPr="00FA1DE2">
        <w:rPr>
          <w:rFonts w:cs="Sylfaen"/>
          <w:b/>
          <w:lang w:val="hy-AM"/>
        </w:rPr>
        <w:t xml:space="preserve">Ներդիր </w:t>
      </w:r>
    </w:p>
    <w:p w:rsidR="00A677EC" w:rsidRPr="00FA1DE2" w:rsidRDefault="00A677EC" w:rsidP="00A677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b/>
          <w:lang w:val="hy-AM"/>
        </w:rPr>
        <w:t>Իրական ՀՆԱ-ի և հարկային եկամուտների կանխատեսումների հավանականային բաշխման գծապատկերի կառուցումը</w:t>
      </w:r>
    </w:p>
    <w:p w:rsidR="00A677EC" w:rsidRPr="00FA1DE2" w:rsidRDefault="00A677EC" w:rsidP="00A677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rPr>
          <w:lang w:val="hy-AM"/>
        </w:rPr>
      </w:pPr>
      <w:r w:rsidRPr="00FA1DE2">
        <w:rPr>
          <w:rFonts w:cs="Sylfaen"/>
          <w:lang w:val="hy-AM"/>
        </w:rPr>
        <w:t xml:space="preserve">Իրական ՀՆԱ-ի </w:t>
      </w:r>
      <w:r w:rsidRPr="00FA1DE2">
        <w:rPr>
          <w:lang w:val="hy-AM"/>
        </w:rPr>
        <w:t xml:space="preserve">և հարկային եկամուտների կանխատեսումների </w:t>
      </w:r>
      <w:r w:rsidRPr="00FA1DE2">
        <w:rPr>
          <w:rFonts w:cs="Sylfaen"/>
          <w:lang w:val="hy-AM"/>
        </w:rPr>
        <w:t>հավանականային</w:t>
      </w:r>
      <w:r w:rsidRPr="00FA1DE2">
        <w:rPr>
          <w:lang w:val="hy-AM"/>
        </w:rPr>
        <w:t xml:space="preserve"> բ</w:t>
      </w:r>
      <w:r w:rsidRPr="00FA1DE2">
        <w:rPr>
          <w:rFonts w:cs="Sylfaen"/>
          <w:lang w:val="hy-AM"/>
        </w:rPr>
        <w:t xml:space="preserve">աշխումը ներկայացնող գծապատկերները ցույց </w:t>
      </w:r>
      <w:r w:rsidRPr="00FA1DE2">
        <w:rPr>
          <w:lang w:val="hy-AM"/>
        </w:rPr>
        <w:t xml:space="preserve">են </w:t>
      </w:r>
      <w:r w:rsidRPr="00FA1DE2">
        <w:rPr>
          <w:rFonts w:cs="Sylfaen"/>
          <w:lang w:val="hy-AM"/>
        </w:rPr>
        <w:t>տալիս տնտեսության զարգացման ապագա ընթացքի վերաբերյալ կառավարության գնահատականները` տնտեսական աճի ծրագրային ցուցանիշների վերաբերյալ, ինչպես նաև հարկային եկամուտների հավաքագրման կանխատեսվող ընթացքը</w:t>
      </w:r>
      <w:r w:rsidRPr="00FA1DE2">
        <w:rPr>
          <w:lang w:val="hy-AM"/>
        </w:rPr>
        <w:t>:</w:t>
      </w:r>
    </w:p>
    <w:p w:rsidR="00A677EC" w:rsidRPr="00FA1DE2" w:rsidRDefault="00A677EC" w:rsidP="00A677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Կանխատեսումների հավանականային բաշխման գծապատկերի կառուցման անհրաժեշտությունը պայմանավորված է նրանով</w:t>
      </w:r>
      <w:r w:rsidRPr="00FA1DE2">
        <w:rPr>
          <w:lang w:val="hy-AM"/>
        </w:rPr>
        <w:t xml:space="preserve">, </w:t>
      </w:r>
      <w:r w:rsidRPr="00FA1DE2">
        <w:rPr>
          <w:rFonts w:cs="Sylfaen"/>
          <w:lang w:val="hy-AM"/>
        </w:rPr>
        <w:t>որ բոլոր կանխատեսումները ինչ</w:t>
      </w:r>
      <w:r w:rsidRPr="00FA1DE2">
        <w:rPr>
          <w:lang w:val="hy-AM"/>
        </w:rPr>
        <w:t>-</w:t>
      </w:r>
      <w:r w:rsidRPr="00FA1DE2">
        <w:rPr>
          <w:rFonts w:cs="Sylfaen"/>
          <w:lang w:val="hy-AM"/>
        </w:rPr>
        <w:t>որ չափով անորոշ են</w:t>
      </w:r>
      <w:r w:rsidRPr="00FA1DE2">
        <w:rPr>
          <w:lang w:val="hy-AM"/>
        </w:rPr>
        <w:t xml:space="preserve">: </w:t>
      </w:r>
      <w:r w:rsidRPr="00FA1DE2">
        <w:rPr>
          <w:rFonts w:cs="Sylfaen"/>
          <w:lang w:val="hy-AM"/>
        </w:rPr>
        <w:t>Կարևոր է հաշվի առնել ոչ միայն կոնկրետ կանխատեսված արժեքները</w:t>
      </w:r>
      <w:r w:rsidRPr="00FA1DE2">
        <w:rPr>
          <w:lang w:val="hy-AM"/>
        </w:rPr>
        <w:t xml:space="preserve">, </w:t>
      </w:r>
      <w:r w:rsidRPr="00FA1DE2">
        <w:rPr>
          <w:rFonts w:cs="Sylfaen"/>
          <w:lang w:val="hy-AM"/>
        </w:rPr>
        <w:t>այլ նաև բոլոր այն</w:t>
      </w:r>
      <w:r w:rsidRPr="00FA1DE2">
        <w:rPr>
          <w:lang w:val="hy-AM"/>
        </w:rPr>
        <w:t xml:space="preserve"> վերոնշյալ </w:t>
      </w:r>
      <w:r w:rsidRPr="00FA1DE2">
        <w:rPr>
          <w:rFonts w:cs="Sylfaen"/>
          <w:lang w:val="hy-AM"/>
        </w:rPr>
        <w:t>ռիսկերը</w:t>
      </w:r>
      <w:r w:rsidRPr="00FA1DE2">
        <w:rPr>
          <w:lang w:val="hy-AM"/>
        </w:rPr>
        <w:t xml:space="preserve">, </w:t>
      </w:r>
      <w:r w:rsidRPr="00FA1DE2">
        <w:rPr>
          <w:rFonts w:cs="Sylfaen"/>
          <w:lang w:val="hy-AM"/>
        </w:rPr>
        <w:t>որոնց արդյունքում կարող են շեղումներ առաջանալ իրական ՀՆԱ-ի կանխատեսումների և հարկերի կանխատեսումների կենտրոնական արժեքներից</w:t>
      </w:r>
      <w:r w:rsidRPr="00FA1DE2">
        <w:rPr>
          <w:lang w:val="hy-AM"/>
        </w:rPr>
        <w:t xml:space="preserve">: </w:t>
      </w:r>
      <w:r w:rsidRPr="00FA1DE2">
        <w:rPr>
          <w:rFonts w:cs="Sylfaen"/>
          <w:lang w:val="hy-AM"/>
        </w:rPr>
        <w:t>Հիմնվելով միայն կետային կանխատեսումների վրա հնարավոր չէ բավարար չափով տեղեկատվություն ներկայացնել դրանց հետ կապված անորոշությունների և</w:t>
      </w:r>
      <w:r w:rsidRPr="00FA1DE2">
        <w:rPr>
          <w:lang w:val="hy-AM"/>
        </w:rPr>
        <w:t xml:space="preserve"> դրանց </w:t>
      </w:r>
      <w:r w:rsidRPr="00FA1DE2">
        <w:rPr>
          <w:rFonts w:cs="Sylfaen"/>
          <w:lang w:val="hy-AM"/>
        </w:rPr>
        <w:t>աղբյուրների վերաբերյալ</w:t>
      </w:r>
      <w:r w:rsidRPr="00FA1DE2">
        <w:rPr>
          <w:lang w:val="hy-AM"/>
        </w:rPr>
        <w:t xml:space="preserve">: </w:t>
      </w:r>
      <w:r w:rsidRPr="00FA1DE2">
        <w:rPr>
          <w:rFonts w:cs="Sylfaen"/>
          <w:lang w:val="hy-AM"/>
        </w:rPr>
        <w:t>Այդ պատճառով կարևորվում է որոշակի վստահության միջակայքի կառուցման խնդիրը</w:t>
      </w:r>
      <w:r w:rsidRPr="00FA1DE2">
        <w:rPr>
          <w:lang w:val="hy-AM"/>
        </w:rPr>
        <w:t xml:space="preserve">, </w:t>
      </w:r>
      <w:r w:rsidRPr="00FA1DE2">
        <w:rPr>
          <w:rFonts w:cs="Sylfaen"/>
          <w:lang w:val="hy-AM"/>
        </w:rPr>
        <w:t>որը թույլ կտա գնահատել իրադարձությունների զարգացման հավանական ընթացքը</w:t>
      </w:r>
      <w:r w:rsidRPr="00FA1DE2">
        <w:rPr>
          <w:lang w:val="hy-AM"/>
        </w:rPr>
        <w:t xml:space="preserve">: Իրական ՀՆԱ-ի և հարկերի կանխատեսումների հավանականային բաշխման ներկայացված գծապատկերները հիմնվում են </w:t>
      </w:r>
      <w:r w:rsidRPr="00FA1DE2">
        <w:rPr>
          <w:rFonts w:cs="Sylfaen"/>
          <w:lang w:val="hy-AM"/>
        </w:rPr>
        <w:t>Անգլիայի բանկի կողմից մշակված մեթոդաբանության վրա և հաշվի է առնում</w:t>
      </w:r>
      <w:r w:rsidRPr="00FA1DE2">
        <w:rPr>
          <w:lang w:val="hy-AM"/>
        </w:rPr>
        <w:t xml:space="preserve"> կանխատեսումների հավանականային բաշխման </w:t>
      </w:r>
      <w:r w:rsidRPr="00FA1DE2">
        <w:rPr>
          <w:rFonts w:cs="Sylfaen"/>
          <w:lang w:val="hy-AM"/>
        </w:rPr>
        <w:t>ասիմետրիկության առկայությունը</w:t>
      </w:r>
      <w:r w:rsidRPr="00FA1DE2">
        <w:rPr>
          <w:lang w:val="hy-AM"/>
        </w:rPr>
        <w:t xml:space="preserve">: </w:t>
      </w:r>
    </w:p>
    <w:p w:rsidR="00A677EC" w:rsidRPr="00FA1DE2" w:rsidRDefault="00A677EC" w:rsidP="00A677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rPr>
          <w:lang w:val="hy-AM"/>
        </w:rPr>
      </w:pPr>
      <w:r w:rsidRPr="00FA1DE2">
        <w:rPr>
          <w:rFonts w:cs="Sylfaen"/>
          <w:lang w:val="hy-AM"/>
        </w:rPr>
        <w:t>Հայաստանի համար իրական ՀՆԱ-ի և հարկերի աճի կանխատեսումների բաշխման գծապատկերները կառուցվել են երեք չափորոշիչների հիման վրա.</w:t>
      </w:r>
    </w:p>
    <w:p w:rsidR="00A677EC" w:rsidRPr="00FA1DE2" w:rsidRDefault="00A677EC" w:rsidP="00A677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lang w:val="hy-AM"/>
        </w:rPr>
        <w:t xml:space="preserve">1. </w:t>
      </w:r>
      <w:r w:rsidRPr="00FA1DE2">
        <w:rPr>
          <w:rFonts w:cs="Sylfaen"/>
          <w:lang w:val="hy-AM"/>
        </w:rPr>
        <w:t xml:space="preserve">կենտրոնական արժեքները, </w:t>
      </w:r>
      <w:r w:rsidRPr="00FA1DE2">
        <w:rPr>
          <w:lang w:val="hy-AM"/>
        </w:rPr>
        <w:t xml:space="preserve">2. </w:t>
      </w:r>
      <w:r w:rsidRPr="00FA1DE2">
        <w:rPr>
          <w:rFonts w:cs="Sylfaen"/>
          <w:lang w:val="hy-AM"/>
        </w:rPr>
        <w:t>անորոշության չափը</w:t>
      </w:r>
      <w:r w:rsidRPr="00FA1DE2">
        <w:rPr>
          <w:lang w:val="hy-AM"/>
        </w:rPr>
        <w:t xml:space="preserve"> (</w:t>
      </w:r>
      <w:r w:rsidRPr="00FA1DE2">
        <w:rPr>
          <w:rFonts w:cs="Sylfaen"/>
          <w:lang w:val="hy-AM"/>
        </w:rPr>
        <w:t>դիսպերսիան</w:t>
      </w:r>
      <w:r w:rsidRPr="00FA1DE2">
        <w:rPr>
          <w:lang w:val="hy-AM"/>
        </w:rPr>
        <w:t>),</w:t>
      </w:r>
      <w:r w:rsidRPr="00FA1DE2">
        <w:rPr>
          <w:rFonts w:cs="Sylfaen"/>
          <w:lang w:val="hy-AM"/>
        </w:rPr>
        <w:t xml:space="preserve"> որը ստանալու համար հիմք են հանդիսացել փաստացի պատմական շարքերի կանխատեսումային սխալները և </w:t>
      </w:r>
      <w:r w:rsidRPr="00FA1DE2">
        <w:rPr>
          <w:lang w:val="hy-AM"/>
        </w:rPr>
        <w:t xml:space="preserve">3. </w:t>
      </w:r>
      <w:r w:rsidRPr="00FA1DE2">
        <w:rPr>
          <w:rFonts w:cs="Sylfaen"/>
          <w:lang w:val="hy-AM"/>
        </w:rPr>
        <w:t>ռիսկերի հարաբերական հաշվեկշիռը՝ անհամաչափության գործակցի գնահատման նպատակով:</w:t>
      </w:r>
    </w:p>
    <w:p w:rsidR="00A677EC" w:rsidRPr="00FA1DE2" w:rsidRDefault="00A677EC" w:rsidP="00A677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rPr>
          <w:lang w:val="hy-AM"/>
        </w:rPr>
      </w:pPr>
      <w:r w:rsidRPr="00FA1DE2">
        <w:rPr>
          <w:rFonts w:cs="Sylfaen"/>
          <w:lang w:val="hy-AM"/>
        </w:rPr>
        <w:t>Ունենալով կանխատեսված</w:t>
      </w:r>
      <w:r w:rsidRPr="00FA1DE2">
        <w:rPr>
          <w:lang w:val="hy-AM"/>
        </w:rPr>
        <w:t xml:space="preserve"> կենտրոնական արժեքները, անորոշության չափը (ցրվածքը) և ռիսկերի հաշվեկշիռը` կառուցվել են իրական ՀՆԱ-ի և հարկերի կանխատեսումների հավանականային բաշխման գրաֆիկները 2022-2024 թվականների համար (տես` Գծապատկեր 3.1):</w:t>
      </w:r>
    </w:p>
    <w:p w:rsidR="00A677EC" w:rsidRPr="00FA1DE2" w:rsidRDefault="00A677EC" w:rsidP="00A677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firstLine="720"/>
        <w:rPr>
          <w:lang w:val="hy-AM"/>
        </w:rPr>
      </w:pPr>
      <w:r w:rsidRPr="00FA1DE2">
        <w:rPr>
          <w:rFonts w:cs="Sylfaen"/>
          <w:lang w:val="hy-AM"/>
        </w:rPr>
        <w:t>ՀՆԱ-ի և հարկերի կանխատեսման գծապատկերներում կենտրոնական մուգ</w:t>
      </w:r>
      <w:r w:rsidRPr="00FA1DE2">
        <w:rPr>
          <w:lang w:val="hy-AM"/>
        </w:rPr>
        <w:t xml:space="preserve"> (</w:t>
      </w:r>
      <w:r w:rsidRPr="00FA1DE2">
        <w:rPr>
          <w:rFonts w:cs="Sylfaen"/>
          <w:lang w:val="hy-AM"/>
        </w:rPr>
        <w:t>կարմիր)</w:t>
      </w:r>
      <w:r w:rsidRPr="00FA1DE2">
        <w:rPr>
          <w:lang w:val="hy-AM"/>
        </w:rPr>
        <w:t xml:space="preserve"> ավելի նեղ </w:t>
      </w:r>
      <w:r w:rsidRPr="00FA1DE2">
        <w:rPr>
          <w:rFonts w:cs="Sylfaen"/>
          <w:lang w:val="hy-AM"/>
        </w:rPr>
        <w:t>միջակայքը ներառում է նաև</w:t>
      </w:r>
      <w:r w:rsidRPr="00FA1DE2">
        <w:rPr>
          <w:lang w:val="hy-AM"/>
        </w:rPr>
        <w:t xml:space="preserve"> կանխատեսման </w:t>
      </w:r>
      <w:r w:rsidRPr="00FA1DE2">
        <w:rPr>
          <w:rFonts w:cs="Sylfaen"/>
          <w:lang w:val="hy-AM"/>
        </w:rPr>
        <w:t>կենտրոնական սցենարը</w:t>
      </w:r>
      <w:r w:rsidRPr="00FA1DE2">
        <w:rPr>
          <w:lang w:val="hy-AM"/>
        </w:rPr>
        <w:t xml:space="preserve"> (</w:t>
      </w:r>
      <w:r w:rsidRPr="00FA1DE2">
        <w:rPr>
          <w:rFonts w:cs="Sylfaen"/>
          <w:lang w:val="hy-AM"/>
        </w:rPr>
        <w:t>կանխատեսված արժեքները</w:t>
      </w:r>
      <w:r w:rsidRPr="00FA1DE2">
        <w:rPr>
          <w:lang w:val="hy-AM"/>
        </w:rPr>
        <w:t>): Որքան հավանականային կանխատեսումները հեռանում են կենտրոնական սցենարից, այնքան ավելի ցածր է դառնում դրանց իրագործման հավանականությունը, ինչը գծապատկերում արտահայտվում է ավելի թույլ գունավորմամբ: Ներկայացված բաշխումը սիմետրիկ չէ, քանի որ ապագայի համար առկա են տնտեսական աճի և հարկերի կենտրոնական կանխատեսումից ավելի ցածր մակարդակների ձևավորման ռիսկեր:</w:t>
      </w:r>
    </w:p>
    <w:p w:rsidR="00A677EC" w:rsidRPr="00FA1DE2" w:rsidRDefault="00A677EC" w:rsidP="00A677EC">
      <w:pPr>
        <w:pStyle w:val="BodyText2"/>
        <w:spacing w:line="276" w:lineRule="auto"/>
        <w:ind w:firstLine="0"/>
        <w:rPr>
          <w:b/>
          <w:color w:val="44546A" w:themeColor="text2"/>
          <w:sz w:val="24"/>
          <w:szCs w:val="24"/>
          <w:lang w:val="hy-AM"/>
        </w:rPr>
      </w:pPr>
    </w:p>
    <w:p w:rsidR="00A677EC" w:rsidRPr="00FA1DE2" w:rsidRDefault="00A677EC" w:rsidP="00A677EC">
      <w:pPr>
        <w:pStyle w:val="BodyText2"/>
        <w:spacing w:line="276" w:lineRule="auto"/>
        <w:ind w:firstLine="0"/>
        <w:rPr>
          <w:b/>
          <w:color w:val="44546A" w:themeColor="text2"/>
          <w:sz w:val="24"/>
          <w:szCs w:val="24"/>
          <w:lang w:val="hy-AM"/>
        </w:rPr>
      </w:pPr>
      <w:r w:rsidRPr="00FA1DE2">
        <w:rPr>
          <w:b/>
          <w:color w:val="44546A" w:themeColor="text2"/>
          <w:sz w:val="24"/>
          <w:szCs w:val="24"/>
          <w:lang w:val="hy-AM"/>
        </w:rPr>
        <w:t>2. Պետական բյուջեի վրա մակրոտնտեսական ցուցանիշների կանխատեսվածից շեղման ռիսկերի ազդեցության ընդհանուր գնահատականը և դրանց մեղմման հնարավորությունները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>Կանխատեսումներում մեծ ուշադրություն է դարձվում նաև պետական բյուջեի ծախսերի պլանավորված մակարդակների ապահովումը խաթարող ռիսկերին, որոնք կարող են հանգեցնել լրացուցիչ ֆինանսավորման պահանջի առաջացման:</w:t>
      </w:r>
    </w:p>
    <w:p w:rsidR="00A677EC" w:rsidRPr="001B5BE7" w:rsidRDefault="00A677EC" w:rsidP="00A677EC">
      <w:pPr>
        <w:pStyle w:val="a"/>
      </w:pPr>
      <w:r w:rsidRPr="00FA1DE2">
        <w:t>Աղյուսակ 3.2.1 ՀՀ պետական բյուջեի հարկային եկամուտների և ծախսերի, ինչպես նաև այլ հոսքերի գծով ռիսկերի ընդհանուր ազդեցությունը</w:t>
      </w:r>
      <w:r w:rsidRPr="00FA1DE2">
        <w:rPr>
          <w:vertAlign w:val="superscript"/>
        </w:rPr>
        <w:footnoteReference w:id="5"/>
      </w:r>
      <w:r w:rsidRPr="00FA1DE2">
        <w:t>. (ֆինանսավորման պահանջ` - պահանջի մեծացում, + պահանջի նվազում), մլրդ ՀՀ դրամ</w:t>
      </w:r>
      <w:r>
        <w:t xml:space="preserve"> </w:t>
      </w:r>
    </w:p>
    <w:tbl>
      <w:tblPr>
        <w:tblW w:w="9835" w:type="dxa"/>
        <w:tblInd w:w="113" w:type="dxa"/>
        <w:tblLook w:val="04A0" w:firstRow="1" w:lastRow="0" w:firstColumn="1" w:lastColumn="0" w:noHBand="0" w:noVBand="1"/>
      </w:tblPr>
      <w:tblGrid>
        <w:gridCol w:w="4720"/>
        <w:gridCol w:w="1705"/>
        <w:gridCol w:w="1705"/>
        <w:gridCol w:w="1705"/>
      </w:tblGrid>
      <w:tr w:rsidR="00A677EC" w:rsidRPr="008A3399" w:rsidTr="00D74D04">
        <w:trPr>
          <w:trHeight w:val="658"/>
        </w:trPr>
        <w:tc>
          <w:tcPr>
            <w:tcW w:w="4720" w:type="dxa"/>
            <w:vMerge w:val="restart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0066CC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Մակրոտնտեսական ցուցանիշների կանխատեսվող ռիսկեր</w:t>
            </w:r>
          </w:p>
        </w:tc>
        <w:tc>
          <w:tcPr>
            <w:tcW w:w="170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0066CC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0066CC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2023</w:t>
            </w:r>
          </w:p>
        </w:tc>
        <w:tc>
          <w:tcPr>
            <w:tcW w:w="170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0066CC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b/>
                <w:color w:val="FFFFFF"/>
              </w:rPr>
              <w:t>2024</w:t>
            </w:r>
          </w:p>
        </w:tc>
      </w:tr>
      <w:tr w:rsidR="00A677EC" w:rsidRPr="008A3399" w:rsidTr="00D74D04">
        <w:trPr>
          <w:trHeight w:val="238"/>
        </w:trPr>
        <w:tc>
          <w:tcPr>
            <w:tcW w:w="4720" w:type="dxa"/>
            <w:vMerge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b/>
                <w:color w:val="FFFFFF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0066CC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FFFFFF"/>
              </w:rPr>
            </w:pPr>
            <w:r w:rsidRPr="001B5BE7">
              <w:rPr>
                <w:rFonts w:ascii="Calibri" w:hAnsi="Calibri"/>
                <w:b/>
                <w:color w:val="FFFFFF"/>
              </w:rPr>
              <w:t> </w:t>
            </w:r>
          </w:p>
        </w:tc>
      </w:tr>
      <w:tr w:rsidR="00A677EC" w:rsidRPr="008A3399" w:rsidTr="00D74D04">
        <w:trPr>
          <w:trHeight w:val="616"/>
        </w:trPr>
        <w:tc>
          <w:tcPr>
            <w:tcW w:w="472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B5BE7">
              <w:rPr>
                <w:color w:val="000000"/>
              </w:rPr>
              <w:t xml:space="preserve">1. Կանխատեսվածից </w:t>
            </w:r>
            <w:r w:rsidRPr="008A3399">
              <w:rPr>
                <w:rFonts w:eastAsia="Times New Roman" w:cs="Times New Roman"/>
                <w:color w:val="000000"/>
              </w:rPr>
              <w:t>2</w:t>
            </w:r>
            <w:r w:rsidRPr="001B5BE7">
              <w:rPr>
                <w:color w:val="000000"/>
              </w:rPr>
              <w:t>.0-</w:t>
            </w:r>
            <w:r w:rsidRPr="008A3399">
              <w:rPr>
                <w:rFonts w:eastAsia="Times New Roman" w:cs="Times New Roman"/>
                <w:color w:val="000000"/>
              </w:rPr>
              <w:t>2.6</w:t>
            </w:r>
            <w:r w:rsidRPr="001B5BE7">
              <w:rPr>
                <w:color w:val="000000"/>
              </w:rPr>
              <w:t xml:space="preserve"> տոկոսային կետով ավելի ցածր իրական ՀՆԱ-ի աճ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</w:t>
            </w:r>
            <w:r w:rsidRPr="008A3399">
              <w:rPr>
                <w:rFonts w:eastAsia="Times New Roman" w:cs="Times New Roman"/>
                <w:color w:val="000000"/>
              </w:rPr>
              <w:t>11.3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</w:t>
            </w:r>
            <w:r w:rsidRPr="008A3399">
              <w:rPr>
                <w:rFonts w:eastAsia="Times New Roman" w:cs="Times New Roman"/>
                <w:color w:val="000000"/>
              </w:rPr>
              <w:t>14</w:t>
            </w:r>
            <w:r w:rsidRPr="001B5BE7">
              <w:rPr>
                <w:color w:val="000000"/>
              </w:rPr>
              <w:t>.6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</w:t>
            </w:r>
            <w:r w:rsidRPr="008A3399">
              <w:rPr>
                <w:rFonts w:eastAsia="Times New Roman" w:cs="Times New Roman"/>
                <w:color w:val="000000"/>
              </w:rPr>
              <w:t>17.9</w:t>
            </w:r>
          </w:p>
        </w:tc>
      </w:tr>
      <w:tr w:rsidR="00A677EC" w:rsidRPr="008A3399" w:rsidTr="00D74D04">
        <w:trPr>
          <w:trHeight w:val="616"/>
        </w:trPr>
        <w:tc>
          <w:tcPr>
            <w:tcW w:w="47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B5BE7">
              <w:rPr>
                <w:color w:val="000000"/>
              </w:rPr>
              <w:t>2. 1.5 տոկոսային կետով ավելի ցածր գնաճի ռիսկ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3.5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3.5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4.0</w:t>
            </w:r>
          </w:p>
        </w:tc>
      </w:tr>
      <w:tr w:rsidR="00A677EC" w:rsidRPr="008A3399" w:rsidTr="00D74D04">
        <w:trPr>
          <w:trHeight w:val="616"/>
        </w:trPr>
        <w:tc>
          <w:tcPr>
            <w:tcW w:w="4720" w:type="dxa"/>
            <w:tcBorders>
              <w:top w:val="nil"/>
              <w:left w:val="single" w:sz="4" w:space="0" w:color="333399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B5BE7">
              <w:rPr>
                <w:color w:val="000000"/>
              </w:rPr>
              <w:t>3. Փոխարժեքի առավելագույնը 5.0 տոկոսով արժեզրկման ռիսկ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8A3399">
              <w:rPr>
                <w:rFonts w:eastAsia="Times New Roman" w:cs="Times New Roman"/>
                <w:color w:val="000000"/>
              </w:rPr>
              <w:t>9.1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8A3399">
              <w:rPr>
                <w:rFonts w:eastAsia="Times New Roman" w:cs="Times New Roman"/>
                <w:color w:val="000000"/>
              </w:rPr>
              <w:t>8.8</w:t>
            </w:r>
          </w:p>
        </w:tc>
        <w:tc>
          <w:tcPr>
            <w:tcW w:w="170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8A3399">
              <w:rPr>
                <w:rFonts w:eastAsia="Times New Roman" w:cs="Times New Roman"/>
                <w:color w:val="000000"/>
              </w:rPr>
              <w:t>10.1</w:t>
            </w:r>
          </w:p>
        </w:tc>
      </w:tr>
      <w:tr w:rsidR="00A677EC" w:rsidRPr="008A3399" w:rsidTr="00D74D04">
        <w:trPr>
          <w:trHeight w:val="714"/>
        </w:trPr>
        <w:tc>
          <w:tcPr>
            <w:tcW w:w="472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1B5BE7">
              <w:rPr>
                <w:color w:val="000000"/>
              </w:rPr>
              <w:t>4. Ներմուծման 11.8-20.0 տոկոսով նվազման ռիսկ</w:t>
            </w:r>
          </w:p>
        </w:tc>
        <w:tc>
          <w:tcPr>
            <w:tcW w:w="170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-23.3</w:t>
            </w:r>
          </w:p>
        </w:tc>
        <w:tc>
          <w:tcPr>
            <w:tcW w:w="1705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-33.9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color w:val="000000"/>
              </w:rPr>
            </w:pPr>
            <w:r w:rsidRPr="001B5BE7">
              <w:rPr>
                <w:color w:val="000000"/>
              </w:rPr>
              <w:t>-45.4</w:t>
            </w:r>
          </w:p>
        </w:tc>
      </w:tr>
      <w:tr w:rsidR="00A677EC" w:rsidRPr="008A3399" w:rsidTr="00D74D04">
        <w:trPr>
          <w:trHeight w:val="557"/>
        </w:trPr>
        <w:tc>
          <w:tcPr>
            <w:tcW w:w="472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Ընդամենը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69311D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lang w:val="hy-AM"/>
              </w:rPr>
            </w:pPr>
            <w:r w:rsidRPr="001B5BE7">
              <w:rPr>
                <w:b/>
                <w:color w:val="000000"/>
              </w:rPr>
              <w:t>-</w:t>
            </w:r>
            <w:r>
              <w:rPr>
                <w:b/>
                <w:color w:val="000000"/>
                <w:lang w:val="hy-AM"/>
              </w:rPr>
              <w:t>22.0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-</w:t>
            </w:r>
            <w:r w:rsidRPr="008A3399">
              <w:rPr>
                <w:rFonts w:eastAsia="Times New Roman" w:cs="Times New Roman"/>
                <w:b/>
                <w:bCs/>
                <w:color w:val="000000"/>
              </w:rPr>
              <w:t>36.2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677EC" w:rsidRPr="001B5BE7" w:rsidRDefault="00A677EC" w:rsidP="00D74D04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</w:rPr>
            </w:pPr>
            <w:r w:rsidRPr="001B5BE7">
              <w:rPr>
                <w:b/>
                <w:color w:val="000000"/>
              </w:rPr>
              <w:t>-</w:t>
            </w:r>
            <w:r w:rsidRPr="008A3399">
              <w:rPr>
                <w:rFonts w:eastAsia="Times New Roman" w:cs="Times New Roman"/>
                <w:b/>
                <w:bCs/>
                <w:color w:val="000000"/>
              </w:rPr>
              <w:t>49</w:t>
            </w:r>
            <w:r w:rsidRPr="001B5BE7">
              <w:rPr>
                <w:b/>
                <w:color w:val="000000"/>
              </w:rPr>
              <w:t>.3</w:t>
            </w:r>
          </w:p>
        </w:tc>
      </w:tr>
    </w:tbl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</w:p>
    <w:p w:rsidR="00A677EC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Աղյուսակ 3.2.1-ում ցույց են տրված գնահատված լրացուցիչ ռիսկերը, որոնք կհանգեցնեն լրացուցիչ ֆինանսավորման պահանջի առաջացման: Ակնհայտորեն երևում է, որ գնաճի տատանումների հետևանքով կնվազի նախատեսված ֆինանսավորման պահանջը և համապատասխանաբար կփոփոխվեն նաև պետական բյուջեի ծախսերը` նվազման ուղղությամբ: 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1B5BE7">
        <w:rPr>
          <w:lang w:val="hy-AM"/>
        </w:rPr>
        <w:t>Եվրոպական Միության կողմից ՀՀ-ին խոշորածավալ դրամական օգնության տրամադրումը միջնաժամկետում կարող է հանդիսանալ դրական ռիսկ հարկաբյուջետային շրջանակի տեսանկյունից:</w:t>
      </w:r>
      <w:r w:rsidRPr="008A7DF8">
        <w:rPr>
          <w:lang w:val="hy-AM"/>
        </w:rPr>
        <w:t xml:space="preserve"> Ս.թ. հուլիսի 2-ին Եվրոպական հանձնաժողովի կողմից հրապարակած աշխատանքային փաստաթղթում</w:t>
      </w:r>
      <w:r w:rsidRPr="006A0229">
        <w:rPr>
          <w:rStyle w:val="FootnoteReference"/>
          <w:lang w:val="hy-AM"/>
        </w:rPr>
        <w:footnoteReference w:id="6"/>
      </w:r>
      <w:r w:rsidRPr="008A7DF8">
        <w:rPr>
          <w:lang w:val="hy-AM"/>
        </w:rPr>
        <w:t xml:space="preserve">՝ «Վերականգնում, կայունություն և բարեփոխումներ» խորագրով ծրագրի համաձայն՝ ԵՄ-ն առաջիկա հինգ տարիների ընթացքում շուրջ </w:t>
      </w:r>
      <w:r>
        <w:rPr>
          <w:lang w:val="hy-AM"/>
        </w:rPr>
        <w:t>2</w:t>
      </w:r>
      <w:r w:rsidRPr="008A7DF8">
        <w:rPr>
          <w:lang w:val="hy-AM"/>
        </w:rPr>
        <w:t>.6 մլրդ եվրոյի չափով ֆինանսավորում կտրամադրի Հայաստանին՝ փաստաթղթով նախատեսված մի շարք ծրագրերի իրականացման նպատակով: Նշված ծրագրերի իրականացումը զգալի ազդեցություն կունենա հարկաբյուջետային ցուցանիշների վրա՝ առաջացնելով հարկաբյուջետային քաղաքականության վերանայման կարիք:</w:t>
      </w:r>
    </w:p>
    <w:p w:rsidR="00A677EC" w:rsidRPr="00FA1DE2" w:rsidRDefault="00A677EC" w:rsidP="00A677EC">
      <w:pPr>
        <w:spacing w:after="120" w:line="276" w:lineRule="auto"/>
        <w:ind w:firstLine="720"/>
        <w:rPr>
          <w:rFonts w:cs="Sylfaen"/>
          <w:lang w:val="hy-AM"/>
        </w:rPr>
      </w:pPr>
      <w:r w:rsidRPr="00FA1DE2">
        <w:rPr>
          <w:rFonts w:cs="Sylfaen"/>
          <w:lang w:val="hy-AM"/>
        </w:rPr>
        <w:t xml:space="preserve">Հաշվի առնելով մակրոտնտեսական ցուցանիշների կանխատեսվող մակարդակից վերոնշյալ հնարավոր շեղումների ռիսկերի գնահատականները` ՀՀ պետական բյուջեի եկամուտների հավաքագրման և ծախսերի կատարման տեսանկյունից 2022-2024 թվականներին ՀՀ պետական բյուջեի դեֆիցիտի լրացուցիչ ֆինանսավորման պահանջը կկազմի շուրջ </w:t>
      </w:r>
      <w:r>
        <w:rPr>
          <w:rFonts w:cs="Sylfaen"/>
          <w:lang w:val="hy-AM"/>
        </w:rPr>
        <w:t>22.0</w:t>
      </w:r>
      <w:r w:rsidRPr="00FA1DE2">
        <w:rPr>
          <w:rFonts w:cs="Sylfaen"/>
          <w:lang w:val="hy-AM"/>
        </w:rPr>
        <w:t>–5</w:t>
      </w:r>
      <w:r>
        <w:rPr>
          <w:rFonts w:cs="Sylfaen"/>
          <w:lang w:val="hy-AM"/>
        </w:rPr>
        <w:t>0</w:t>
      </w:r>
      <w:r w:rsidRPr="00FA1DE2">
        <w:rPr>
          <w:rFonts w:cs="Sylfaen"/>
          <w:lang w:val="hy-AM"/>
        </w:rPr>
        <w:t>.0 մլրդ ՀՀ դրամ կամ ՀՆԱ-ի 0.</w:t>
      </w:r>
      <w:r>
        <w:rPr>
          <w:rFonts w:cs="Sylfaen"/>
          <w:lang w:val="hy-AM"/>
        </w:rPr>
        <w:t>3</w:t>
      </w:r>
      <w:r w:rsidRPr="00FA1DE2">
        <w:rPr>
          <w:rFonts w:cs="Sylfaen"/>
          <w:lang w:val="hy-AM"/>
        </w:rPr>
        <w:t xml:space="preserve">-0.6%-ը: </w:t>
      </w:r>
    </w:p>
    <w:p w:rsidR="00A677EC" w:rsidRPr="003F4C0B" w:rsidRDefault="00A677EC" w:rsidP="00A677EC">
      <w:pPr>
        <w:ind w:firstLine="0"/>
        <w:rPr>
          <w:lang w:val="hy-AM"/>
        </w:rPr>
      </w:pPr>
    </w:p>
    <w:p w:rsidR="00A677EC" w:rsidRDefault="00A677EC" w:rsidP="00A677EC">
      <w:pPr>
        <w:pStyle w:val="BodyText2"/>
        <w:spacing w:line="276" w:lineRule="auto"/>
        <w:ind w:firstLine="0"/>
        <w:rPr>
          <w:b/>
          <w:color w:val="44546A" w:themeColor="text2"/>
          <w:sz w:val="24"/>
          <w:szCs w:val="24"/>
          <w:lang w:val="hy-AM"/>
        </w:rPr>
      </w:pPr>
    </w:p>
    <w:p w:rsidR="001D541A" w:rsidRDefault="00A677EC" w:rsidP="00846B8A">
      <w:pPr>
        <w:pStyle w:val="Heading3"/>
        <w:spacing w:before="0" w:after="120"/>
      </w:pPr>
      <w:bookmarkStart w:id="5" w:name="_GoBack"/>
      <w:bookmarkEnd w:id="3"/>
      <w:bookmarkEnd w:id="4"/>
      <w:bookmarkEnd w:id="5"/>
      <w:r>
        <w:rPr>
          <w:rFonts w:cs="Sylfaen"/>
        </w:rPr>
        <w:br w:type="page"/>
      </w:r>
      <w:bookmarkStart w:id="6" w:name="_Hlk45793805"/>
      <w:bookmarkEnd w:id="6"/>
      <w:r w:rsidR="00846B8A">
        <w:t xml:space="preserve"> </w:t>
      </w:r>
    </w:p>
    <w:sectPr w:rsidR="001D541A" w:rsidSect="00A677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EC" w:rsidRDefault="00A677EC" w:rsidP="00A677EC">
      <w:pPr>
        <w:spacing w:before="0" w:after="0" w:line="240" w:lineRule="auto"/>
      </w:pPr>
      <w:r>
        <w:separator/>
      </w:r>
    </w:p>
  </w:endnote>
  <w:endnote w:type="continuationSeparator" w:id="0">
    <w:p w:rsidR="00A677EC" w:rsidRDefault="00A677EC" w:rsidP="00A677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Unicode">
    <w:panose1 w:val="020206030504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EC" w:rsidRDefault="00A677EC" w:rsidP="00A677EC">
      <w:pPr>
        <w:spacing w:before="0" w:after="0" w:line="240" w:lineRule="auto"/>
      </w:pPr>
      <w:r>
        <w:separator/>
      </w:r>
    </w:p>
  </w:footnote>
  <w:footnote w:type="continuationSeparator" w:id="0">
    <w:p w:rsidR="00A677EC" w:rsidRDefault="00A677EC" w:rsidP="00A677EC">
      <w:pPr>
        <w:spacing w:before="0" w:after="0" w:line="240" w:lineRule="auto"/>
      </w:pPr>
      <w:r>
        <w:continuationSeparator/>
      </w:r>
    </w:p>
  </w:footnote>
  <w:footnote w:id="1">
    <w:p w:rsidR="00A677EC" w:rsidRPr="00117D85" w:rsidRDefault="00A677EC" w:rsidP="00A677EC">
      <w:pPr>
        <w:pStyle w:val="FootnoteText"/>
        <w:rPr>
          <w:sz w:val="14"/>
          <w:lang w:val="sk-SK"/>
        </w:rPr>
      </w:pPr>
      <w:r w:rsidRPr="00117D85">
        <w:rPr>
          <w:rStyle w:val="FootnoteReference"/>
          <w:rFonts w:eastAsiaTheme="majorEastAsia"/>
          <w:sz w:val="18"/>
        </w:rPr>
        <w:footnoteRef/>
      </w:r>
      <w:r w:rsidRPr="00117D85">
        <w:rPr>
          <w:sz w:val="18"/>
          <w:lang w:val="hy-AM"/>
        </w:rPr>
        <w:t>Սա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որոշակիորեն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կապված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է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նաև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մոդելների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սպեցիֆիկացիաների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հետ</w:t>
      </w:r>
      <w:r w:rsidRPr="00117D85">
        <w:rPr>
          <w:sz w:val="18"/>
          <w:lang w:val="sk-SK"/>
        </w:rPr>
        <w:t xml:space="preserve">, </w:t>
      </w:r>
      <w:r w:rsidRPr="00117D85">
        <w:rPr>
          <w:sz w:val="18"/>
          <w:lang w:val="hy-AM"/>
        </w:rPr>
        <w:t>քանի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որ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ժամանակային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շարքերի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վրա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հիմնված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մոդելներն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իրենց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մեջ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ներառում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են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տնտեսության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նախորդ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ժամանակահատվածի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զարգացումների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տեղեկատվությունը</w:t>
      </w:r>
      <w:r w:rsidRPr="00117D85">
        <w:rPr>
          <w:sz w:val="18"/>
          <w:lang w:val="sk-SK"/>
        </w:rPr>
        <w:t xml:space="preserve">, </w:t>
      </w:r>
      <w:r w:rsidRPr="00117D85">
        <w:rPr>
          <w:sz w:val="18"/>
          <w:lang w:val="hy-AM"/>
        </w:rPr>
        <w:t>իսկ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կանխատեսվող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տարում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ի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հայտ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եկող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տնտեսության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կառուցվածքային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տեղաշարժը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միայն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կարող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է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ներառվել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հաջորդ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տարվա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կանխատեսումների</w:t>
      </w:r>
      <w:r w:rsidRPr="00117D85">
        <w:rPr>
          <w:sz w:val="18"/>
          <w:lang w:val="sk-SK"/>
        </w:rPr>
        <w:t xml:space="preserve"> </w:t>
      </w:r>
      <w:r w:rsidRPr="00117D85">
        <w:rPr>
          <w:sz w:val="18"/>
          <w:lang w:val="hy-AM"/>
        </w:rPr>
        <w:t>մոդելներում</w:t>
      </w:r>
      <w:r w:rsidRPr="00117D85">
        <w:rPr>
          <w:sz w:val="18"/>
          <w:lang w:val="sk-SK"/>
        </w:rPr>
        <w:t xml:space="preserve">: </w:t>
      </w:r>
    </w:p>
  </w:footnote>
  <w:footnote w:id="2">
    <w:p w:rsidR="00A677EC" w:rsidRDefault="00A677EC" w:rsidP="00A677EC">
      <w:pPr>
        <w:pStyle w:val="FootnoteText"/>
        <w:rPr>
          <w:lang w:val="ro-RO"/>
        </w:rPr>
      </w:pPr>
      <w:r>
        <w:rPr>
          <w:rStyle w:val="FootnoteReference"/>
          <w:rFonts w:eastAsiaTheme="majorEastAsia"/>
        </w:rPr>
        <w:footnoteRef/>
      </w:r>
      <w:r>
        <w:t>ՀՆԱ</w:t>
      </w:r>
      <w:r>
        <w:rPr>
          <w:lang w:val="ro-RO"/>
        </w:rPr>
        <w:t xml:space="preserve">, </w:t>
      </w:r>
      <w:r>
        <w:t>ներմուծման</w:t>
      </w:r>
      <w:r>
        <w:rPr>
          <w:lang w:val="ro-RO"/>
        </w:rPr>
        <w:t xml:space="preserve">, </w:t>
      </w:r>
      <w:r>
        <w:t>փոխարժեքի</w:t>
      </w:r>
      <w:r>
        <w:rPr>
          <w:lang w:val="sk-SK"/>
        </w:rPr>
        <w:t xml:space="preserve"> </w:t>
      </w:r>
      <w:r>
        <w:t>և</w:t>
      </w:r>
      <w:r>
        <w:rPr>
          <w:lang w:val="sk-SK"/>
        </w:rPr>
        <w:t xml:space="preserve"> </w:t>
      </w:r>
      <w:r>
        <w:t>գների</w:t>
      </w:r>
      <w:r>
        <w:rPr>
          <w:lang w:val="sk-SK"/>
        </w:rPr>
        <w:t xml:space="preserve"> </w:t>
      </w:r>
      <w:r>
        <w:t>գծով</w:t>
      </w:r>
      <w:r>
        <w:rPr>
          <w:lang w:val="sk-SK"/>
        </w:rPr>
        <w:t xml:space="preserve"> </w:t>
      </w:r>
      <w:r>
        <w:t>հավանական</w:t>
      </w:r>
      <w:r>
        <w:rPr>
          <w:lang w:val="sk-SK"/>
        </w:rPr>
        <w:t xml:space="preserve"> </w:t>
      </w:r>
      <w:r>
        <w:t>ռիսկերի</w:t>
      </w:r>
      <w:r>
        <w:rPr>
          <w:lang w:val="sk-SK"/>
        </w:rPr>
        <w:t xml:space="preserve"> </w:t>
      </w:r>
      <w:r>
        <w:t>քանակային</w:t>
      </w:r>
      <w:r>
        <w:rPr>
          <w:lang w:val="sk-SK"/>
        </w:rPr>
        <w:t xml:space="preserve"> </w:t>
      </w:r>
      <w:r>
        <w:t>գնահատականը</w:t>
      </w:r>
      <w:r>
        <w:rPr>
          <w:lang w:val="sk-SK"/>
        </w:rPr>
        <w:t xml:space="preserve"> </w:t>
      </w:r>
      <w:r>
        <w:t>ստացվել</w:t>
      </w:r>
      <w:r>
        <w:rPr>
          <w:lang w:val="sk-SK"/>
        </w:rPr>
        <w:t xml:space="preserve"> </w:t>
      </w:r>
      <w:r>
        <w:t>է</w:t>
      </w:r>
      <w:r>
        <w:rPr>
          <w:lang w:val="sk-SK"/>
        </w:rPr>
        <w:t xml:space="preserve">` </w:t>
      </w:r>
      <w:r>
        <w:t>հիմք</w:t>
      </w:r>
      <w:r>
        <w:rPr>
          <w:lang w:val="sk-SK"/>
        </w:rPr>
        <w:t xml:space="preserve"> ըն</w:t>
      </w:r>
      <w:r>
        <w:t>դունելով</w:t>
      </w:r>
      <w:r>
        <w:rPr>
          <w:lang w:val="sk-SK"/>
        </w:rPr>
        <w:t xml:space="preserve"> </w:t>
      </w:r>
      <w:r>
        <w:t>այս</w:t>
      </w:r>
      <w:r>
        <w:rPr>
          <w:lang w:val="sk-SK"/>
        </w:rPr>
        <w:t xml:space="preserve"> </w:t>
      </w:r>
      <w:r>
        <w:t>գործոնների</w:t>
      </w:r>
      <w:r>
        <w:rPr>
          <w:lang w:val="sk-SK"/>
        </w:rPr>
        <w:t xml:space="preserve"> </w:t>
      </w:r>
      <w:r>
        <w:t>պատմական</w:t>
      </w:r>
      <w:r>
        <w:rPr>
          <w:lang w:val="sk-SK"/>
        </w:rPr>
        <w:t xml:space="preserve"> </w:t>
      </w:r>
      <w:r>
        <w:t>շարժի</w:t>
      </w:r>
      <w:r>
        <w:rPr>
          <w:lang w:val="sk-SK"/>
        </w:rPr>
        <w:t xml:space="preserve"> </w:t>
      </w:r>
      <w:r>
        <w:t>բացարձակ</w:t>
      </w:r>
      <w:r>
        <w:rPr>
          <w:lang w:val="sk-SK"/>
        </w:rPr>
        <w:t xml:space="preserve"> </w:t>
      </w:r>
      <w:r>
        <w:t>միջին</w:t>
      </w:r>
      <w:r>
        <w:rPr>
          <w:lang w:val="sk-SK"/>
        </w:rPr>
        <w:t xml:space="preserve"> </w:t>
      </w:r>
      <w:r>
        <w:t>սխալը</w:t>
      </w:r>
      <w:r>
        <w:rPr>
          <w:lang w:val="ro-RO"/>
        </w:rPr>
        <w:t>:</w:t>
      </w:r>
    </w:p>
  </w:footnote>
  <w:footnote w:id="3">
    <w:p w:rsidR="00A677EC" w:rsidRDefault="00A677EC" w:rsidP="00A677EC">
      <w:pPr>
        <w:rPr>
          <w:rFonts w:cs="Sylfaen"/>
          <w:i/>
          <w:sz w:val="16"/>
          <w:szCs w:val="16"/>
          <w:lang w:val="ro-RO"/>
        </w:rPr>
      </w:pPr>
      <w:r>
        <w:rPr>
          <w:rStyle w:val="FootnoteReference"/>
          <w:sz w:val="16"/>
          <w:szCs w:val="16"/>
        </w:rPr>
        <w:footnoteRef/>
      </w:r>
      <w:r>
        <w:rPr>
          <w:rFonts w:cs="Sylfaen"/>
          <w:sz w:val="16"/>
          <w:szCs w:val="16"/>
        </w:rPr>
        <w:t>Հարկային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եկամուտների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գծով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ռիսկերի</w:t>
      </w:r>
      <w:r>
        <w:rPr>
          <w:rFonts w:cs="Sylfaen"/>
          <w:sz w:val="16"/>
          <w:szCs w:val="16"/>
          <w:lang w:val="ro-RO"/>
        </w:rPr>
        <w:t xml:space="preserve"> ազդեցության </w:t>
      </w:r>
      <w:r>
        <w:rPr>
          <w:rFonts w:cs="Sylfaen"/>
          <w:sz w:val="16"/>
          <w:szCs w:val="16"/>
        </w:rPr>
        <w:t>գնահատականը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կառուցվել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է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ՀՀ</w:t>
      </w:r>
      <w:r>
        <w:rPr>
          <w:rFonts w:cs="Sylfaen"/>
          <w:sz w:val="16"/>
          <w:szCs w:val="16"/>
          <w:lang w:val="ro-RO"/>
        </w:rPr>
        <w:t xml:space="preserve"> ֆ</w:t>
      </w:r>
      <w:r>
        <w:rPr>
          <w:rFonts w:cs="Sylfaen"/>
          <w:sz w:val="16"/>
          <w:szCs w:val="16"/>
        </w:rPr>
        <w:t>ինանսների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նախարարության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ռիսկերի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գնահատման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համակարգի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ներքո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կառուցված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մոդելի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հիման</w:t>
      </w:r>
      <w:r>
        <w:rPr>
          <w:rFonts w:cs="Sylfaen"/>
          <w:sz w:val="16"/>
          <w:szCs w:val="16"/>
          <w:lang w:val="ro-RO"/>
        </w:rPr>
        <w:t xml:space="preserve"> </w:t>
      </w:r>
      <w:r>
        <w:rPr>
          <w:rFonts w:cs="Sylfaen"/>
          <w:sz w:val="16"/>
          <w:szCs w:val="16"/>
        </w:rPr>
        <w:t>վրա</w:t>
      </w:r>
      <w:r>
        <w:rPr>
          <w:rFonts w:cs="Sylfaen"/>
          <w:sz w:val="16"/>
          <w:szCs w:val="16"/>
          <w:lang w:val="ro-RO"/>
        </w:rPr>
        <w:t>:</w:t>
      </w:r>
      <w:r>
        <w:rPr>
          <w:rFonts w:cs="Sylfaen"/>
          <w:i/>
          <w:sz w:val="16"/>
          <w:szCs w:val="16"/>
          <w:lang w:val="ro-RO"/>
        </w:rPr>
        <w:t xml:space="preserve"> </w:t>
      </w:r>
    </w:p>
  </w:footnote>
  <w:footnote w:id="4">
    <w:p w:rsidR="00A677EC" w:rsidRPr="00CA4440" w:rsidRDefault="00A677EC" w:rsidP="00A677EC">
      <w:pPr>
        <w:pStyle w:val="FootnoteText"/>
        <w:rPr>
          <w:rFonts w:cs="Times New Roman"/>
          <w:sz w:val="14"/>
          <w:lang w:val="ro-RO"/>
        </w:rPr>
      </w:pPr>
      <w:r w:rsidRPr="00CA4440">
        <w:rPr>
          <w:rStyle w:val="FootnoteReference"/>
          <w:rFonts w:eastAsiaTheme="majorEastAsia"/>
          <w:sz w:val="18"/>
        </w:rPr>
        <w:footnoteRef/>
      </w:r>
      <w:r w:rsidRPr="00CA4440">
        <w:rPr>
          <w:sz w:val="18"/>
        </w:rPr>
        <w:t>Հավանականային</w:t>
      </w:r>
      <w:r w:rsidRPr="00CA4440">
        <w:rPr>
          <w:sz w:val="18"/>
          <w:lang w:val="ro-RO"/>
        </w:rPr>
        <w:t xml:space="preserve"> </w:t>
      </w:r>
      <w:r w:rsidRPr="00CA4440">
        <w:rPr>
          <w:sz w:val="18"/>
        </w:rPr>
        <w:t>կանխատեսման</w:t>
      </w:r>
      <w:r w:rsidRPr="00CA4440">
        <w:rPr>
          <w:sz w:val="18"/>
          <w:lang w:val="ro-RO"/>
        </w:rPr>
        <w:t xml:space="preserve"> </w:t>
      </w:r>
      <w:r w:rsidRPr="00CA4440">
        <w:rPr>
          <w:sz w:val="18"/>
        </w:rPr>
        <w:t>գրաֆիկի</w:t>
      </w:r>
      <w:r w:rsidRPr="00CA4440">
        <w:rPr>
          <w:sz w:val="18"/>
          <w:lang w:val="ro-RO"/>
        </w:rPr>
        <w:t xml:space="preserve"> </w:t>
      </w:r>
      <w:r w:rsidRPr="00CA4440">
        <w:rPr>
          <w:sz w:val="18"/>
        </w:rPr>
        <w:t>կառուցման</w:t>
      </w:r>
      <w:r w:rsidRPr="00CA4440">
        <w:rPr>
          <w:sz w:val="18"/>
          <w:lang w:val="ro-RO"/>
        </w:rPr>
        <w:t xml:space="preserve"> </w:t>
      </w:r>
      <w:r w:rsidRPr="00CA4440">
        <w:rPr>
          <w:sz w:val="18"/>
        </w:rPr>
        <w:t>ընդհանուր</w:t>
      </w:r>
      <w:r w:rsidRPr="00CA4440">
        <w:rPr>
          <w:sz w:val="18"/>
          <w:lang w:val="ro-RO"/>
        </w:rPr>
        <w:t xml:space="preserve"> </w:t>
      </w:r>
      <w:r w:rsidRPr="00CA4440">
        <w:rPr>
          <w:sz w:val="18"/>
        </w:rPr>
        <w:t>մեթոդաբանությունը</w:t>
      </w:r>
      <w:r w:rsidRPr="00CA4440">
        <w:rPr>
          <w:sz w:val="18"/>
          <w:lang w:val="ro-RO"/>
        </w:rPr>
        <w:t xml:space="preserve"> </w:t>
      </w:r>
      <w:r w:rsidRPr="00CA4440">
        <w:rPr>
          <w:sz w:val="18"/>
        </w:rPr>
        <w:t>ներկայացված</w:t>
      </w:r>
      <w:r w:rsidRPr="00CA4440">
        <w:rPr>
          <w:sz w:val="18"/>
          <w:lang w:val="ro-RO"/>
        </w:rPr>
        <w:t xml:space="preserve"> </w:t>
      </w:r>
      <w:r w:rsidRPr="00CA4440">
        <w:rPr>
          <w:sz w:val="18"/>
        </w:rPr>
        <w:t>է</w:t>
      </w:r>
      <w:r w:rsidRPr="00CA4440">
        <w:rPr>
          <w:sz w:val="18"/>
          <w:lang w:val="ro-RO"/>
        </w:rPr>
        <w:t xml:space="preserve"> </w:t>
      </w:r>
      <w:r w:rsidRPr="00CA4440">
        <w:rPr>
          <w:sz w:val="18"/>
        </w:rPr>
        <w:t>Ներդիր</w:t>
      </w:r>
      <w:r>
        <w:rPr>
          <w:sz w:val="18"/>
          <w:lang w:val="hy-AM"/>
        </w:rPr>
        <w:t>ում</w:t>
      </w:r>
      <w:r w:rsidRPr="00CA4440">
        <w:rPr>
          <w:sz w:val="18"/>
          <w:lang w:val="ro-RO"/>
        </w:rPr>
        <w:t>:</w:t>
      </w:r>
    </w:p>
  </w:footnote>
  <w:footnote w:id="5">
    <w:p w:rsidR="00A677EC" w:rsidRPr="00010E8E" w:rsidRDefault="00A677EC" w:rsidP="00A677EC">
      <w:pPr>
        <w:pStyle w:val="FootnoteText"/>
        <w:spacing w:line="240" w:lineRule="auto"/>
        <w:rPr>
          <w:szCs w:val="16"/>
          <w:lang w:val="ro-RO"/>
        </w:rPr>
      </w:pPr>
      <w:r w:rsidRPr="00010E8E">
        <w:rPr>
          <w:rStyle w:val="FootnoteReference"/>
          <w:szCs w:val="16"/>
        </w:rPr>
        <w:footnoteRef/>
      </w:r>
      <w:r w:rsidRPr="00010E8E">
        <w:rPr>
          <w:szCs w:val="16"/>
          <w:lang w:val="ro-RO"/>
        </w:rPr>
        <w:t>Ընդհանուր ազդեցության գնահատականը հիմնված է մակրոտնտեսական ռիսկերի առանձին հանդես գալու ենթադրության վրա:</w:t>
      </w:r>
    </w:p>
  </w:footnote>
  <w:footnote w:id="6">
    <w:p w:rsidR="00A677EC" w:rsidRPr="00010E8E" w:rsidRDefault="00A677EC" w:rsidP="00A677EC">
      <w:pPr>
        <w:pStyle w:val="FootnoteText"/>
        <w:spacing w:line="240" w:lineRule="auto"/>
        <w:rPr>
          <w:szCs w:val="16"/>
          <w:lang w:val="hy-AM"/>
        </w:rPr>
      </w:pPr>
      <w:r w:rsidRPr="00010E8E">
        <w:rPr>
          <w:rStyle w:val="FootnoteReference"/>
          <w:szCs w:val="16"/>
        </w:rPr>
        <w:footnoteRef/>
      </w:r>
      <w:r w:rsidRPr="00010E8E">
        <w:rPr>
          <w:szCs w:val="16"/>
          <w:lang w:val="hy-AM"/>
        </w:rPr>
        <w:t xml:space="preserve"> Փաստաթուղթը հասանելի է հետևյալ էլ. հղումով՝ </w:t>
      </w:r>
    </w:p>
    <w:p w:rsidR="00A677EC" w:rsidRPr="00010E8E" w:rsidRDefault="00846B8A" w:rsidP="00A677EC">
      <w:pPr>
        <w:pStyle w:val="FootnoteText"/>
        <w:spacing w:line="240" w:lineRule="auto"/>
        <w:rPr>
          <w:szCs w:val="16"/>
          <w:lang w:val="hy-AM"/>
        </w:rPr>
      </w:pPr>
      <w:r>
        <w:fldChar w:fldCharType="begin"/>
      </w:r>
      <w:r w:rsidRPr="00846B8A">
        <w:rPr>
          <w:lang w:val="hy-AM"/>
        </w:rPr>
        <w:instrText xml:space="preserve"> HYPERLINK "https://eeas.europa.eu/sites/default/files/swd_2021_186_f1_joint_staff_working_paper_en_v2_p1_1356457_0.pdf" </w:instrText>
      </w:r>
      <w:r>
        <w:fldChar w:fldCharType="separate"/>
      </w:r>
      <w:r w:rsidR="00A677EC" w:rsidRPr="00010E8E">
        <w:rPr>
          <w:rStyle w:val="Hyperlink"/>
          <w:szCs w:val="16"/>
          <w:lang w:val="hy-AM"/>
        </w:rPr>
        <w:t>https://eeas.europa.eu/sites/default/files/swd_2021_186_f1_joint_staff_working_paper_en_v2_p1_1356457_0.pdf</w:t>
      </w:r>
      <w:r>
        <w:rPr>
          <w:rStyle w:val="Hyperlink"/>
          <w:szCs w:val="16"/>
          <w:lang w:val="hy-AM"/>
        </w:rPr>
        <w:fldChar w:fldCharType="end"/>
      </w:r>
      <w:r w:rsidR="00A677EC" w:rsidRPr="00010E8E">
        <w:rPr>
          <w:szCs w:val="16"/>
          <w:lang w:val="hy-AM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8C"/>
    <w:rsid w:val="000876A8"/>
    <w:rsid w:val="001D541A"/>
    <w:rsid w:val="00846B8A"/>
    <w:rsid w:val="00920AA3"/>
    <w:rsid w:val="00A677EC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DA976-57D9-4014-85DB-35582E55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7EC"/>
    <w:pPr>
      <w:spacing w:before="40" w:after="60" w:line="312" w:lineRule="auto"/>
      <w:ind w:firstLine="567"/>
      <w:jc w:val="both"/>
    </w:pPr>
    <w:rPr>
      <w:rFonts w:ascii="GHEA Grapalat" w:eastAsiaTheme="minorEastAsia" w:hAnsi="GHEA Grapal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aliases w:val="(Sub-Chapter),Centered,(text),Heading 3 Char Char Char Char Char Char"/>
    <w:basedOn w:val="ListParagraph"/>
    <w:next w:val="Normal"/>
    <w:link w:val="Heading3Char"/>
    <w:uiPriority w:val="9"/>
    <w:unhideWhenUsed/>
    <w:qFormat/>
    <w:rsid w:val="00A677EC"/>
    <w:pPr>
      <w:keepNext/>
      <w:keepLines/>
      <w:spacing w:before="240"/>
      <w:ind w:left="0" w:firstLine="0"/>
      <w:jc w:val="left"/>
      <w:outlineLvl w:val="2"/>
    </w:pPr>
    <w:rPr>
      <w:b/>
      <w:caps/>
      <w:lang w:val="hy-AM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7EC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(Sub-Chapter) Char,Centered Char,(text) Char,Heading 3 Char Char Char Char Char Char Char"/>
    <w:basedOn w:val="DefaultParagraphFont"/>
    <w:link w:val="Heading3"/>
    <w:uiPriority w:val="9"/>
    <w:qFormat/>
    <w:rsid w:val="00A677EC"/>
    <w:rPr>
      <w:rFonts w:ascii="GHEA Grapalat" w:eastAsiaTheme="minorEastAsia" w:hAnsi="GHEA Grapalat"/>
      <w:b/>
      <w:caps/>
      <w:lang w:val="hy-AM"/>
    </w:rPr>
  </w:style>
  <w:style w:type="paragraph" w:styleId="BodyText2">
    <w:name w:val="Body Text 2"/>
    <w:aliases w:val="1Text"/>
    <w:basedOn w:val="Normal"/>
    <w:link w:val="BodyText2Char1"/>
    <w:qFormat/>
    <w:rsid w:val="00A677EC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uiPriority w:val="99"/>
    <w:semiHidden/>
    <w:rsid w:val="00A677EC"/>
    <w:rPr>
      <w:rFonts w:ascii="GHEA Grapalat" w:eastAsiaTheme="minorEastAsia" w:hAnsi="GHEA Grapalat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A677EC"/>
    <w:rPr>
      <w:vertAlign w:val="superscript"/>
    </w:rPr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,Footnote,Fußnote,WB-Fußnotentext,ft"/>
    <w:basedOn w:val="Normal"/>
    <w:link w:val="FootnoteTextChar"/>
    <w:qFormat/>
    <w:rsid w:val="00A677EC"/>
    <w:pPr>
      <w:ind w:firstLine="0"/>
    </w:pPr>
    <w:rPr>
      <w:sz w:val="16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,FOOTNOTES Char Char,FOOTNOTES Char Char Char Char,FOOTNOTES Char1,Footnote Text Char2 Char Char"/>
    <w:basedOn w:val="DefaultParagraphFont"/>
    <w:link w:val="FootnoteText"/>
    <w:rsid w:val="00A677EC"/>
    <w:rPr>
      <w:rFonts w:ascii="GHEA Grapalat" w:eastAsiaTheme="minorEastAsia" w:hAnsi="GHEA Grapalat"/>
      <w:sz w:val="16"/>
      <w:szCs w:val="20"/>
    </w:rPr>
  </w:style>
  <w:style w:type="character" w:styleId="Hyperlink">
    <w:name w:val="Hyperlink"/>
    <w:uiPriority w:val="99"/>
    <w:rsid w:val="00A677EC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A677EC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aliases w:val="1Text Char"/>
    <w:link w:val="BodyText2"/>
    <w:rsid w:val="00A677EC"/>
    <w:rPr>
      <w:rFonts w:ascii="GHEA Grapalat" w:eastAsiaTheme="minorEastAsia" w:hAnsi="GHEA Grapalat"/>
      <w:sz w:val="20"/>
      <w:szCs w:val="20"/>
      <w:lang w:val="ru-RU" w:eastAsia="ru-RU"/>
    </w:rPr>
  </w:style>
  <w:style w:type="table" w:customStyle="1" w:styleId="GridTable1Light-Accent11">
    <w:name w:val="Grid Table 1 Light - Accent 11"/>
    <w:basedOn w:val="TableNormal"/>
    <w:uiPriority w:val="46"/>
    <w:rsid w:val="00A677EC"/>
    <w:pPr>
      <w:spacing w:after="0" w:line="240" w:lineRule="auto"/>
    </w:pPr>
    <w:rPr>
      <w:sz w:val="20"/>
      <w:szCs w:val="20"/>
    </w:r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Աղյուսակներ"/>
    <w:basedOn w:val="Normal"/>
    <w:qFormat/>
    <w:rsid w:val="00A677EC"/>
    <w:pPr>
      <w:spacing w:before="60" w:after="40" w:line="360" w:lineRule="auto"/>
    </w:pPr>
    <w:rPr>
      <w:rFonts w:eastAsia="Calibri" w:cs="Sylfaen"/>
      <w:b/>
      <w:bCs/>
      <w:i/>
      <w:lang w:val="hy-AM"/>
    </w:rPr>
  </w:style>
  <w:style w:type="paragraph" w:customStyle="1" w:styleId="a0">
    <w:name w:val="Գծ. հղումներ"/>
    <w:basedOn w:val="Normal"/>
    <w:qFormat/>
    <w:rsid w:val="00A677EC"/>
    <w:pPr>
      <w:spacing w:after="160" w:line="276" w:lineRule="auto"/>
      <w:ind w:firstLine="0"/>
      <w:contextualSpacing/>
      <w:jc w:val="left"/>
    </w:pPr>
    <w:rPr>
      <w:rFonts w:eastAsia="Calibri" w:cs="Times New Roman"/>
      <w:i/>
      <w:sz w:val="18"/>
      <w:szCs w:val="16"/>
      <w:lang w:val="hy-AM"/>
    </w:rPr>
  </w:style>
  <w:style w:type="paragraph" w:customStyle="1" w:styleId="a1">
    <w:name w:val="Գծապատկեր"/>
    <w:basedOn w:val="Heading5"/>
    <w:qFormat/>
    <w:rsid w:val="00A677EC"/>
    <w:pPr>
      <w:keepLines w:val="0"/>
      <w:spacing w:before="240" w:after="120" w:line="240" w:lineRule="auto"/>
      <w:ind w:firstLine="0"/>
      <w:jc w:val="left"/>
    </w:pPr>
    <w:rPr>
      <w:rFonts w:ascii="GHEA Grapalat" w:eastAsia="Times New Roman" w:hAnsi="GHEA Grapalat" w:cs="Times Unicode"/>
      <w:b/>
      <w:bCs/>
      <w:i/>
      <w:iCs/>
      <w:color w:val="auto"/>
      <w:sz w:val="24"/>
      <w:szCs w:val="26"/>
      <w:lang w:val="hy-AM"/>
    </w:rPr>
  </w:style>
  <w:style w:type="paragraph" w:styleId="ListParagraph">
    <w:name w:val="List Paragraph"/>
    <w:basedOn w:val="Normal"/>
    <w:uiPriority w:val="34"/>
    <w:qFormat/>
    <w:rsid w:val="00A677E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677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67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677EC"/>
    <w:pPr>
      <w:spacing w:line="259" w:lineRule="auto"/>
      <w:ind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677E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677E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20.215.254\Share\macroeconomic\Armine\2021\MTEF21-24\&#1356;&#1387;&#1405;&#1391;&#1381;&#1408;\Risks_for_MTEF_2021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'3-15.'!$B$3</c:f>
              <c:strCache>
                <c:ptCount val="1"/>
              </c:strCache>
            </c:strRef>
          </c:tx>
          <c:spPr>
            <a:noFill/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'3-15.'!$B$4:$B$95</c:f>
              <c:numCache>
                <c:formatCode>General</c:formatCode>
                <c:ptCount val="7"/>
                <c:pt idx="0">
                  <c:v>8.6471304773412214</c:v>
                </c:pt>
                <c:pt idx="1">
                  <c:v>16.389092714898766</c:v>
                </c:pt>
                <c:pt idx="2">
                  <c:v>-5.402548022928471</c:v>
                </c:pt>
                <c:pt idx="3">
                  <c:v>5.8376545752261304</c:v>
                </c:pt>
                <c:pt idx="4">
                  <c:v>6.5425120688174561</c:v>
                </c:pt>
                <c:pt idx="5">
                  <c:v>1.6038646802548859</c:v>
                </c:pt>
                <c:pt idx="6">
                  <c:v>1.7778353963031286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14-45F3-86AD-453806E7A170}"/>
            </c:ext>
          </c:extLst>
        </c:ser>
        <c:ser>
          <c:idx val="1"/>
          <c:order val="1"/>
          <c:tx>
            <c:strRef>
              <c:f>'3-15.'!$C$3</c:f>
              <c:strCache>
                <c:ptCount val="1"/>
              </c:strCache>
            </c:strRef>
          </c:tx>
          <c:spPr>
            <a:solidFill>
              <a:srgbClr val="FF0000">
                <a:alpha val="2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'3-15.'!$C$4:$C$95</c:f>
              <c:numCache>
                <c:formatCode>General</c:formatCode>
                <c:ptCount val="7"/>
                <c:pt idx="3">
                  <c:v>1.1861247722831942</c:v>
                </c:pt>
                <c:pt idx="4">
                  <c:v>1.3223648233488667</c:v>
                </c:pt>
                <c:pt idx="5">
                  <c:v>1.6388139761941476</c:v>
                </c:pt>
                <c:pt idx="6">
                  <c:v>1.8761719689477632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14-45F3-86AD-453806E7A170}"/>
            </c:ext>
          </c:extLst>
        </c:ser>
        <c:ser>
          <c:idx val="2"/>
          <c:order val="2"/>
          <c:tx>
            <c:strRef>
              <c:f>'3-15.'!$D$3</c:f>
              <c:strCache>
                <c:ptCount val="1"/>
              </c:strCache>
            </c:strRef>
          </c:tx>
          <c:spPr>
            <a:solidFill>
              <a:srgbClr val="FF0000">
                <a:alpha val="3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'3-15.'!$D$4:$D$95</c:f>
              <c:numCache>
                <c:formatCode>General</c:formatCode>
                <c:ptCount val="7"/>
                <c:pt idx="3">
                  <c:v>0.80027275271948461</c:v>
                </c:pt>
                <c:pt idx="4">
                  <c:v>0.89219326837240143</c:v>
                </c:pt>
                <c:pt idx="5">
                  <c:v>1.1057000094513887</c:v>
                </c:pt>
                <c:pt idx="6">
                  <c:v>1.2658443203026541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14-45F3-86AD-453806E7A170}"/>
            </c:ext>
          </c:extLst>
        </c:ser>
        <c:ser>
          <c:idx val="3"/>
          <c:order val="3"/>
          <c:tx>
            <c:strRef>
              <c:f>'3-15.'!$E$3</c:f>
              <c:strCache>
                <c:ptCount val="1"/>
              </c:strCache>
            </c:strRef>
          </c:tx>
          <c:spPr>
            <a:solidFill>
              <a:srgbClr val="FF0000">
                <a:alpha val="4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'3-15.'!$E$4:$E$95</c:f>
              <c:numCache>
                <c:formatCode>General</c:formatCode>
                <c:ptCount val="7"/>
                <c:pt idx="3">
                  <c:v>0.63603141469891877</c:v>
                </c:pt>
                <c:pt idx="4">
                  <c:v>0.70908692660021089</c:v>
                </c:pt>
                <c:pt idx="5">
                  <c:v>0.87877531610836268</c:v>
                </c:pt>
                <c:pt idx="6">
                  <c:v>1.0060529376949843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14-45F3-86AD-453806E7A170}"/>
            </c:ext>
          </c:extLst>
        </c:ser>
        <c:ser>
          <c:idx val="4"/>
          <c:order val="4"/>
          <c:tx>
            <c:strRef>
              <c:f>'3-15.'!$F$3</c:f>
              <c:strCache>
                <c:ptCount val="1"/>
              </c:strCache>
            </c:strRef>
          </c:tx>
          <c:spPr>
            <a:solidFill>
              <a:srgbClr val="FF0000">
                <a:alpha val="5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'3-15.'!$F$4:$F$95</c:f>
              <c:numCache>
                <c:formatCode>General</c:formatCode>
                <c:ptCount val="7"/>
                <c:pt idx="3">
                  <c:v>0.54565832050064955</c:v>
                </c:pt>
                <c:pt idx="4">
                  <c:v>0.60833344472583484</c:v>
                </c:pt>
                <c:pt idx="5">
                  <c:v>0.75391097358312997</c:v>
                </c:pt>
                <c:pt idx="6">
                  <c:v>0.86310383989013229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14-45F3-86AD-453806E7A170}"/>
            </c:ext>
          </c:extLst>
        </c:ser>
        <c:ser>
          <c:idx val="5"/>
          <c:order val="5"/>
          <c:tx>
            <c:strRef>
              <c:f>'3-15.'!$G$3</c:f>
              <c:strCache>
                <c:ptCount val="1"/>
              </c:strCache>
            </c:strRef>
          </c:tx>
          <c:spPr>
            <a:solidFill>
              <a:srgbClr val="FF0000">
                <a:alpha val="6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'3-15.'!$G$4:$G$95</c:f>
              <c:numCache>
                <c:formatCode>General</c:formatCode>
                <c:ptCount val="7"/>
                <c:pt idx="3">
                  <c:v>0.49001803608894612</c:v>
                </c:pt>
                <c:pt idx="4">
                  <c:v>0.54630223469930783</c:v>
                </c:pt>
                <c:pt idx="5">
                  <c:v>0.67703535487583544</c:v>
                </c:pt>
                <c:pt idx="6">
                  <c:v>0.77509392356693052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F14-45F3-86AD-453806E7A170}"/>
            </c:ext>
          </c:extLst>
        </c:ser>
        <c:ser>
          <c:idx val="6"/>
          <c:order val="6"/>
          <c:tx>
            <c:strRef>
              <c:f>'3-15.'!$H$3</c:f>
              <c:strCache>
                <c:ptCount val="1"/>
              </c:strCache>
            </c:strRef>
          </c:tx>
          <c:spPr>
            <a:solidFill>
              <a:srgbClr val="FF0000">
                <a:alpha val="7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'3-15.'!$H$4:$H$95</c:f>
              <c:numCache>
                <c:formatCode>General</c:formatCode>
                <c:ptCount val="7"/>
                <c:pt idx="3">
                  <c:v>0.45407473772226759</c:v>
                </c:pt>
                <c:pt idx="4">
                  <c:v>0.50623043575716586</c:v>
                </c:pt>
                <c:pt idx="5">
                  <c:v>0.62737415473038904</c:v>
                </c:pt>
                <c:pt idx="6">
                  <c:v>0.71824003227075739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14-45F3-86AD-453806E7A170}"/>
            </c:ext>
          </c:extLst>
        </c:ser>
        <c:ser>
          <c:idx val="7"/>
          <c:order val="7"/>
          <c:tx>
            <c:strRef>
              <c:f>'3-15.'!$I$3</c:f>
              <c:strCache>
                <c:ptCount val="1"/>
              </c:strCache>
            </c:strRef>
          </c:tx>
          <c:spPr>
            <a:solidFill>
              <a:srgbClr val="FF0000">
                <a:alpha val="8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'3-15.'!$I$4:$I$95</c:f>
              <c:numCache>
                <c:formatCode>General</c:formatCode>
                <c:ptCount val="7"/>
                <c:pt idx="3">
                  <c:v>0.43087252203301851</c:v>
                </c:pt>
                <c:pt idx="4">
                  <c:v>0.48036317915130411</c:v>
                </c:pt>
                <c:pt idx="5">
                  <c:v>0.5953167217867863</c:v>
                </c:pt>
                <c:pt idx="6">
                  <c:v>0.68153955377905717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F14-45F3-86AD-453806E7A170}"/>
            </c:ext>
          </c:extLst>
        </c:ser>
        <c:ser>
          <c:idx val="8"/>
          <c:order val="8"/>
          <c:tx>
            <c:strRef>
              <c:f>'3-15.'!$J$3</c:f>
              <c:strCache>
                <c:ptCount val="1"/>
              </c:strCache>
            </c:strRef>
          </c:tx>
          <c:spPr>
            <a:solidFill>
              <a:srgbClr val="FF0000">
                <a:alpha val="9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'3-15.'!$J$4:$J$95</c:f>
              <c:numCache>
                <c:formatCode>General</c:formatCode>
                <c:ptCount val="7"/>
                <c:pt idx="3">
                  <c:v>0.41687415151401552</c:v>
                </c:pt>
                <c:pt idx="4">
                  <c:v>0.46475693502666715</c:v>
                </c:pt>
                <c:pt idx="5">
                  <c:v>0.57597581787300633</c:v>
                </c:pt>
                <c:pt idx="6">
                  <c:v>0.65939740567423399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F14-45F3-86AD-453806E7A170}"/>
            </c:ext>
          </c:extLst>
        </c:ser>
        <c:ser>
          <c:idx val="9"/>
          <c:order val="9"/>
          <c:tx>
            <c:strRef>
              <c:f>'3-15.'!$K$3</c:f>
              <c:strCache>
                <c:ptCount val="1"/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  <a:prstDash val="solid"/>
            </a:ln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'3-15.'!$K$4:$K$95</c:f>
              <c:numCache>
                <c:formatCode>General</c:formatCode>
                <c:ptCount val="7"/>
                <c:pt idx="3">
                  <c:v>0.60500049589546911</c:v>
                </c:pt>
                <c:pt idx="4">
                  <c:v>0.69395693279200898</c:v>
                </c:pt>
                <c:pt idx="5">
                  <c:v>0.7971542735708379</c:v>
                </c:pt>
                <c:pt idx="6">
                  <c:v>0.87527312393032375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F14-45F3-86AD-453806E7A170}"/>
            </c:ext>
          </c:extLst>
        </c:ser>
        <c:ser>
          <c:idx val="10"/>
          <c:order val="10"/>
          <c:tx>
            <c:strRef>
              <c:f>'3-15.'!$L$3</c:f>
              <c:strCache>
                <c:ptCount val="1"/>
              </c:strCache>
            </c:strRef>
          </c:tx>
          <c:spPr>
            <a:solidFill>
              <a:srgbClr val="FF0000">
                <a:alpha val="9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'3-15.'!$L$4:$L$95</c:f>
              <c:numCache>
                <c:formatCode>General</c:formatCode>
                <c:ptCount val="7"/>
                <c:pt idx="3">
                  <c:v>0.19787292705836101</c:v>
                </c:pt>
                <c:pt idx="4">
                  <c:v>0.24037967227066481</c:v>
                </c:pt>
                <c:pt idx="5">
                  <c:v>0.23402064357423669</c:v>
                </c:pt>
                <c:pt idx="6">
                  <c:v>0.22997640399955266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F14-45F3-86AD-453806E7A170}"/>
            </c:ext>
          </c:extLst>
        </c:ser>
        <c:ser>
          <c:idx val="11"/>
          <c:order val="11"/>
          <c:tx>
            <c:strRef>
              <c:f>'3-15.'!$M$3</c:f>
              <c:strCache>
                <c:ptCount val="1"/>
              </c:strCache>
            </c:strRef>
          </c:tx>
          <c:spPr>
            <a:solidFill>
              <a:srgbClr val="FF0000">
                <a:alpha val="8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'3-15.'!$M$4:$M$95</c:f>
              <c:numCache>
                <c:formatCode>General</c:formatCode>
                <c:ptCount val="7"/>
                <c:pt idx="3">
                  <c:v>0.2045173748817195</c:v>
                </c:pt>
                <c:pt idx="4">
                  <c:v>0.24845146973150278</c:v>
                </c:pt>
                <c:pt idx="5">
                  <c:v>0.24187890887072605</c:v>
                </c:pt>
                <c:pt idx="6">
                  <c:v>0.23769886628732095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F14-45F3-86AD-453806E7A170}"/>
            </c:ext>
          </c:extLst>
        </c:ser>
        <c:ser>
          <c:idx val="12"/>
          <c:order val="12"/>
          <c:tx>
            <c:strRef>
              <c:f>'3-15.'!$N$3</c:f>
              <c:strCache>
                <c:ptCount val="1"/>
              </c:strCache>
            </c:strRef>
          </c:tx>
          <c:spPr>
            <a:solidFill>
              <a:srgbClr val="FF0000">
                <a:alpha val="7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'3-15.'!$N$4:$N$95</c:f>
              <c:numCache>
                <c:formatCode>General</c:formatCode>
                <c:ptCount val="7"/>
                <c:pt idx="3">
                  <c:v>0.21553050754057423</c:v>
                </c:pt>
                <c:pt idx="4">
                  <c:v>0.26183042590587924</c:v>
                </c:pt>
                <c:pt idx="5">
                  <c:v>0.25490393675558565</c:v>
                </c:pt>
                <c:pt idx="6">
                  <c:v>0.25049880149476245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F14-45F3-86AD-453806E7A170}"/>
            </c:ext>
          </c:extLst>
        </c:ser>
        <c:ser>
          <c:idx val="13"/>
          <c:order val="13"/>
          <c:tx>
            <c:strRef>
              <c:f>'3-15.'!$O$3</c:f>
              <c:strCache>
                <c:ptCount val="1"/>
              </c:strCache>
            </c:strRef>
          </c:tx>
          <c:spPr>
            <a:solidFill>
              <a:srgbClr val="FF0000">
                <a:alpha val="6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'3-15.'!$O$4:$O$95</c:f>
              <c:numCache>
                <c:formatCode>General</c:formatCode>
                <c:ptCount val="7"/>
                <c:pt idx="3">
                  <c:v>0.23259130545792139</c:v>
                </c:pt>
                <c:pt idx="4">
                  <c:v>0.28255619710164304</c:v>
                </c:pt>
                <c:pt idx="5">
                  <c:v>0.27508142625787713</c:v>
                </c:pt>
                <c:pt idx="6">
                  <c:v>0.27032759269284945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F14-45F3-86AD-453806E7A170}"/>
            </c:ext>
          </c:extLst>
        </c:ser>
        <c:ser>
          <c:idx val="14"/>
          <c:order val="14"/>
          <c:tx>
            <c:strRef>
              <c:f>'3-15.'!$P$3</c:f>
              <c:strCache>
                <c:ptCount val="1"/>
              </c:strCache>
            </c:strRef>
          </c:tx>
          <c:spPr>
            <a:solidFill>
              <a:srgbClr val="FF0000">
                <a:alpha val="5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'3-15.'!$P$4:$P$95</c:f>
              <c:numCache>
                <c:formatCode>General</c:formatCode>
                <c:ptCount val="7"/>
                <c:pt idx="3">
                  <c:v>0.25900144842053585</c:v>
                </c:pt>
                <c:pt idx="4">
                  <c:v>0.31463972466831436</c:v>
                </c:pt>
                <c:pt idx="5">
                  <c:v>0.30631621287007427</c:v>
                </c:pt>
                <c:pt idx="6">
                  <c:v>0.30102259376222307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F14-45F3-86AD-453806E7A170}"/>
            </c:ext>
          </c:extLst>
        </c:ser>
        <c:ser>
          <c:idx val="15"/>
          <c:order val="15"/>
          <c:tx>
            <c:strRef>
              <c:f>'3-15.'!$Q$3</c:f>
              <c:strCache>
                <c:ptCount val="1"/>
              </c:strCache>
            </c:strRef>
          </c:tx>
          <c:spPr>
            <a:solidFill>
              <a:srgbClr val="FF0000">
                <a:alpha val="4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'3-15.'!$Q$4:$Q$95</c:f>
              <c:numCache>
                <c:formatCode>General</c:formatCode>
                <c:ptCount val="7"/>
                <c:pt idx="3">
                  <c:v>0.30189782041046875</c:v>
                </c:pt>
                <c:pt idx="4">
                  <c:v>0.36675102657218162</c:v>
                </c:pt>
                <c:pt idx="5">
                  <c:v>0.35704895700703432</c:v>
                </c:pt>
                <c:pt idx="6">
                  <c:v>0.35087859741835459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F14-45F3-86AD-453806E7A170}"/>
            </c:ext>
          </c:extLst>
        </c:ser>
        <c:ser>
          <c:idx val="16"/>
          <c:order val="16"/>
          <c:tx>
            <c:strRef>
              <c:f>'3-15.'!$R$3</c:f>
              <c:strCache>
                <c:ptCount val="1"/>
              </c:strCache>
            </c:strRef>
          </c:tx>
          <c:spPr>
            <a:solidFill>
              <a:srgbClr val="FF0000">
                <a:alpha val="3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'3-15.'!$R$4:$R$95</c:f>
              <c:numCache>
                <c:formatCode>General</c:formatCode>
                <c:ptCount val="7"/>
                <c:pt idx="3">
                  <c:v>0.37985639419125938</c:v>
                </c:pt>
                <c:pt idx="4">
                  <c:v>0.46145653628846794</c:v>
                </c:pt>
                <c:pt idx="5">
                  <c:v>0.44924911738031348</c:v>
                </c:pt>
                <c:pt idx="6">
                  <c:v>0.44148539606217874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F14-45F3-86AD-453806E7A170}"/>
            </c:ext>
          </c:extLst>
        </c:ser>
        <c:ser>
          <c:idx val="17"/>
          <c:order val="17"/>
          <c:tx>
            <c:strRef>
              <c:f>'3-15.'!$S$3</c:f>
              <c:strCache>
                <c:ptCount val="1"/>
              </c:strCache>
            </c:strRef>
          </c:tx>
          <c:spPr>
            <a:solidFill>
              <a:srgbClr val="FF0000">
                <a:alpha val="20000"/>
              </a:srgbClr>
            </a:solidFill>
          </c:spPr>
          <c:cat>
            <c:strRef>
              <c:f>'3-15.'!$A$4:$A$95</c:f>
              <c:strCach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2021*</c:v>
                </c:pt>
                <c:pt idx="4">
                  <c:v>2022*</c:v>
                </c:pt>
                <c:pt idx="5">
                  <c:v>2023*</c:v>
                </c:pt>
                <c:pt idx="6">
                  <c:v>2024*</c:v>
                </c:pt>
              </c:strCache>
            </c:strRef>
          </c:cat>
          <c:val>
            <c:numRef>
              <c:f>'3-15.'!$S$4:$S$95</c:f>
              <c:numCache>
                <c:formatCode>General</c:formatCode>
                <c:ptCount val="7"/>
                <c:pt idx="3">
                  <c:v>0.56300439759987242</c:v>
                </c:pt>
                <c:pt idx="4">
                  <c:v>0.68394810039922582</c:v>
                </c:pt>
                <c:pt idx="5">
                  <c:v>0.66585486665685956</c:v>
                </c:pt>
                <c:pt idx="6">
                  <c:v>0.65434786213964813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F14-45F3-86AD-453806E7A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5459584"/>
        <c:axId val="155461120"/>
      </c:areaChart>
      <c:catAx>
        <c:axId val="15545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461120"/>
        <c:crosses val="autoZero"/>
        <c:auto val="1"/>
        <c:lblAlgn val="ctr"/>
        <c:lblOffset val="100"/>
        <c:noMultiLvlLbl val="0"/>
      </c:catAx>
      <c:valAx>
        <c:axId val="15546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459584"/>
        <c:crosses val="autoZero"/>
        <c:crossBetween val="between"/>
      </c:valAx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637D-6E9C-4B7D-A27F-18FD6A9D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2004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Narek Karapetyan </dc:creator>
  <cp:keywords/>
  <dc:description/>
  <cp:lastModifiedBy>Greta Adamyan</cp:lastModifiedBy>
  <cp:revision>3</cp:revision>
  <dcterms:created xsi:type="dcterms:W3CDTF">2021-08-05T07:07:00Z</dcterms:created>
  <dcterms:modified xsi:type="dcterms:W3CDTF">2021-08-10T05:59:00Z</dcterms:modified>
</cp:coreProperties>
</file>