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0" w:rsidRPr="00CE0500" w:rsidRDefault="00CE0500" w:rsidP="00CE0500">
      <w:pPr>
        <w:pStyle w:val="1"/>
        <w:spacing w:before="120"/>
        <w:ind w:left="539"/>
        <w:rPr>
          <w:rFonts w:ascii="GHEA Grapalat" w:hAnsi="GHEA Grapalat" w:cs="Sylfaen"/>
          <w:sz w:val="22"/>
          <w:szCs w:val="22"/>
        </w:rPr>
      </w:pPr>
      <w:bookmarkStart w:id="0" w:name="_Toc290409637"/>
      <w:bookmarkStart w:id="1" w:name="_Toc291747226"/>
      <w:bookmarkStart w:id="2" w:name="_Toc291747555"/>
      <w:bookmarkStart w:id="3" w:name="_Toc291747925"/>
      <w:bookmarkStart w:id="4" w:name="_Toc322445707"/>
      <w:bookmarkStart w:id="5" w:name="_Toc322445785"/>
      <w:bookmarkStart w:id="6" w:name="_Toc353882533"/>
      <w:bookmarkStart w:id="7" w:name="_Toc354657490"/>
      <w:bookmarkStart w:id="8" w:name="_Toc354658844"/>
      <w:bookmarkStart w:id="9" w:name="_Toc385937079"/>
      <w:bookmarkStart w:id="10" w:name="_Toc390271436"/>
      <w:bookmarkStart w:id="11" w:name="_Toc417292091"/>
      <w:bookmarkStart w:id="12" w:name="_Toc448908370"/>
      <w:bookmarkStart w:id="13" w:name="_Toc448912547"/>
      <w:bookmarkStart w:id="14" w:name="_Toc448913276"/>
      <w:bookmarkStart w:id="15" w:name="_Toc480241612"/>
    </w:p>
    <w:p w:rsidR="00CE0500" w:rsidRPr="00CE0500" w:rsidRDefault="00CE0500" w:rsidP="00CE0500">
      <w:pPr>
        <w:shd w:val="clear" w:color="auto" w:fill="FFFFFF"/>
        <w:jc w:val="center"/>
        <w:rPr>
          <w:rFonts w:ascii="GHEA Grapalat" w:hAnsi="GHEA Grapalat" w:cs="Helvetica"/>
          <w:b/>
          <w:noProof w:val="0"/>
          <w:color w:val="1D2129"/>
          <w:lang w:eastAsia="ru-RU"/>
        </w:rPr>
      </w:pP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br/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Հ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Ա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Շ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Վ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Ե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Տ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Վ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ՈՒ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Թ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Յ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ՈՒ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Ն</w:t>
      </w:r>
    </w:p>
    <w:p w:rsidR="00CE0500" w:rsidRPr="00CE0500" w:rsidRDefault="00CE0500" w:rsidP="00CE0500">
      <w:pPr>
        <w:shd w:val="clear" w:color="auto" w:fill="FFFFFF"/>
        <w:jc w:val="center"/>
        <w:rPr>
          <w:rFonts w:ascii="GHEA Grapalat" w:hAnsi="GHEA Grapalat" w:cs="Helvetica"/>
          <w:b/>
          <w:noProof w:val="0"/>
          <w:color w:val="1D2129"/>
          <w:lang w:eastAsia="ru-RU"/>
        </w:rPr>
      </w:pP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ՀԱՅԱՍՏԱՆԻ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ՀԱՆՐԱՊԵՏՈՒԹՅԱՆ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2016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ԹՎԱԿԱՆԻ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ՊԵՏԱԿԱՆ</w:t>
      </w:r>
    </w:p>
    <w:p w:rsidR="00CE0500" w:rsidRPr="00CE0500" w:rsidRDefault="00CE0500" w:rsidP="00CE0500">
      <w:pPr>
        <w:shd w:val="clear" w:color="auto" w:fill="FFFFFF"/>
        <w:jc w:val="center"/>
        <w:rPr>
          <w:rFonts w:ascii="GHEA Grapalat" w:hAnsi="GHEA Grapalat" w:cs="Helvetica"/>
          <w:b/>
          <w:noProof w:val="0"/>
          <w:color w:val="1D2129"/>
          <w:lang w:eastAsia="ru-RU"/>
        </w:rPr>
      </w:pP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ԲՅՈՒՋԵԻ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ԿԱՏԱՐՄ</w:t>
      </w:r>
      <w:bookmarkStart w:id="16" w:name="_GoBack"/>
      <w:bookmarkEnd w:id="16"/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ԱՆ</w:t>
      </w:r>
      <w:r w:rsidRPr="00CE0500">
        <w:rPr>
          <w:rFonts w:ascii="GHEA Grapalat" w:hAnsi="GHEA Grapalat" w:cs="Helvetica"/>
          <w:b/>
          <w:noProof w:val="0"/>
          <w:color w:val="1D2129"/>
          <w:lang w:eastAsia="ru-RU"/>
        </w:rPr>
        <w:t xml:space="preserve"> </w:t>
      </w:r>
      <w:r w:rsidRPr="00CE0500">
        <w:rPr>
          <w:rFonts w:ascii="GHEA Grapalat" w:hAnsi="GHEA Grapalat" w:cs="Sylfaen"/>
          <w:b/>
          <w:noProof w:val="0"/>
          <w:color w:val="1D2129"/>
          <w:lang w:eastAsia="ru-RU"/>
        </w:rPr>
        <w:t>ՎԵՐԱԲԵՐՅԱԼ</w:t>
      </w:r>
    </w:p>
    <w:p w:rsidR="00CE0500" w:rsidRDefault="00CE0500" w:rsidP="00CE0500">
      <w:pPr>
        <w:pStyle w:val="1"/>
        <w:spacing w:before="120"/>
        <w:ind w:left="539"/>
        <w:rPr>
          <w:rFonts w:ascii="GHEA Grapalat" w:hAnsi="GHEA Grapalat" w:cs="Sylfaen"/>
          <w:sz w:val="22"/>
          <w:szCs w:val="22"/>
        </w:rPr>
      </w:pPr>
    </w:p>
    <w:p w:rsidR="00CE0500" w:rsidRDefault="00CE0500" w:rsidP="00CE0500">
      <w:pPr>
        <w:pStyle w:val="1"/>
        <w:spacing w:before="120"/>
        <w:ind w:left="539"/>
        <w:rPr>
          <w:rFonts w:ascii="GHEA Grapalat" w:hAnsi="GHEA Grapalat" w:cs="Sylfaen"/>
          <w:sz w:val="22"/>
          <w:szCs w:val="22"/>
        </w:rPr>
      </w:pPr>
    </w:p>
    <w:p w:rsidR="00CE0500" w:rsidRDefault="00CE0500" w:rsidP="00CE0500">
      <w:pPr>
        <w:pStyle w:val="1"/>
        <w:spacing w:before="120"/>
        <w:ind w:left="539"/>
        <w:rPr>
          <w:rFonts w:ascii="GHEA Grapalat" w:hAnsi="GHEA Grapalat" w:cs="Sylfaen"/>
          <w:sz w:val="22"/>
          <w:szCs w:val="22"/>
        </w:rPr>
      </w:pPr>
    </w:p>
    <w:p w:rsidR="00CE0500" w:rsidRPr="00FF25C5" w:rsidRDefault="00CE0500" w:rsidP="00CE0500">
      <w:pPr>
        <w:pStyle w:val="1"/>
        <w:spacing w:before="120"/>
        <w:ind w:left="539"/>
        <w:rPr>
          <w:rFonts w:ascii="GHEA Grapalat" w:hAnsi="GHEA Grapalat" w:cs="Sylfaen"/>
          <w:sz w:val="22"/>
          <w:szCs w:val="22"/>
          <w:lang w:val="af-ZA"/>
        </w:rPr>
      </w:pPr>
      <w:r w:rsidRPr="00FF25C5">
        <w:rPr>
          <w:rFonts w:ascii="GHEA Grapalat" w:hAnsi="GHEA Grapalat" w:cs="Sylfaen"/>
          <w:sz w:val="22"/>
          <w:szCs w:val="22"/>
        </w:rPr>
        <w:t>ՀԱՅԱՍՏԱՆԻ</w:t>
      </w:r>
      <w:r w:rsidRPr="00FF25C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 w:cs="Sylfaen"/>
          <w:sz w:val="22"/>
          <w:szCs w:val="22"/>
        </w:rPr>
        <w:t>ՀԱՆՐԱՊԵՏՈՒԹՅԱՆ</w:t>
      </w:r>
      <w:r w:rsidRPr="00FF25C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 w:cs="Sylfaen"/>
          <w:sz w:val="22"/>
          <w:szCs w:val="22"/>
        </w:rPr>
        <w:t>ՏՆՏԵՍՈՒԹՅԱՆ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F25C5">
        <w:rPr>
          <w:rFonts w:ascii="GHEA Grapalat" w:hAnsi="GHEA Grapalat" w:cs="Sylfaen"/>
          <w:sz w:val="22"/>
          <w:szCs w:val="22"/>
          <w:lang w:val="af-ZA"/>
        </w:rPr>
        <w:t xml:space="preserve"> </w:t>
      </w:r>
    </w:p>
    <w:p w:rsidR="00CE0500" w:rsidRPr="00FF25C5" w:rsidRDefault="00CE0500" w:rsidP="00CE0500">
      <w:pPr>
        <w:pStyle w:val="1"/>
        <w:ind w:left="539"/>
        <w:rPr>
          <w:rFonts w:ascii="GHEA Grapalat" w:hAnsi="GHEA Grapalat" w:cs="Sylfaen"/>
          <w:sz w:val="22"/>
          <w:szCs w:val="22"/>
          <w:lang w:val="af-ZA"/>
        </w:rPr>
      </w:pPr>
      <w:bookmarkStart w:id="17" w:name="_Toc322445708"/>
      <w:bookmarkStart w:id="18" w:name="_Toc322445786"/>
      <w:bookmarkStart w:id="19" w:name="_Toc353882534"/>
      <w:bookmarkStart w:id="20" w:name="_Toc354657491"/>
      <w:bookmarkStart w:id="21" w:name="_Toc354658845"/>
      <w:bookmarkStart w:id="22" w:name="_Toc385937080"/>
      <w:bookmarkStart w:id="23" w:name="_Toc417292092"/>
      <w:bookmarkStart w:id="24" w:name="_Toc448908371"/>
      <w:bookmarkStart w:id="25" w:name="_Toc448912548"/>
      <w:bookmarkStart w:id="26" w:name="_Toc448913277"/>
      <w:bookmarkStart w:id="27" w:name="_Toc480241613"/>
      <w:r w:rsidRPr="00FF25C5">
        <w:rPr>
          <w:rFonts w:ascii="GHEA Grapalat" w:hAnsi="GHEA Grapalat" w:cs="Sylfaen"/>
          <w:sz w:val="22"/>
          <w:szCs w:val="22"/>
        </w:rPr>
        <w:t>ԸՆԴՀԱՆՈՒՐ</w:t>
      </w:r>
      <w:bookmarkStart w:id="28" w:name="_Toc290409638"/>
      <w:bookmarkEnd w:id="0"/>
      <w:r w:rsidRPr="00FF25C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 w:cs="Sylfaen"/>
          <w:sz w:val="22"/>
          <w:szCs w:val="22"/>
        </w:rPr>
        <w:t>ԲՆՈՒԹԱԳԻՐԸ</w:t>
      </w:r>
      <w:r w:rsidRPr="00FF25C5">
        <w:rPr>
          <w:rFonts w:ascii="GHEA Grapalat" w:hAnsi="GHEA Grapalat" w:cs="Sylfaen"/>
          <w:sz w:val="22"/>
          <w:szCs w:val="22"/>
          <w:lang w:val="af-ZA"/>
        </w:rPr>
        <w:t xml:space="preserve"> 2016 </w:t>
      </w:r>
      <w:r w:rsidRPr="00FF25C5">
        <w:rPr>
          <w:rFonts w:ascii="GHEA Grapalat" w:hAnsi="GHEA Grapalat" w:cs="Sylfaen"/>
          <w:sz w:val="22"/>
          <w:szCs w:val="22"/>
        </w:rPr>
        <w:t>ԹՎԱԿԱՆԻՆ</w:t>
      </w:r>
      <w:bookmarkEnd w:id="1"/>
      <w:bookmarkEnd w:id="2"/>
      <w:bookmarkEnd w:id="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E0500" w:rsidRPr="00FF25C5" w:rsidRDefault="00CE0500" w:rsidP="00CE0500">
      <w:pPr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 տարեկան տվյալների ամփոփումը ցույց տվեց, որ տնտեսության զարգացման միտումները նախորդ տարվա համեմատ դանդաղել են: Տարվա առաջին երեք ամի</w:t>
      </w:r>
      <w:r w:rsidRPr="00FF25C5">
        <w:rPr>
          <w:rFonts w:ascii="GHEA Grapalat" w:hAnsi="GHEA Grapalat"/>
          <w:sz w:val="22"/>
          <w:szCs w:val="22"/>
          <w:lang w:val="en-US"/>
        </w:rPr>
        <w:t>ս</w:t>
      </w:r>
      <w:r w:rsidRPr="00FF25C5">
        <w:rPr>
          <w:rFonts w:ascii="GHEA Grapalat" w:hAnsi="GHEA Grapalat"/>
          <w:sz w:val="22"/>
          <w:szCs w:val="22"/>
        </w:rPr>
        <w:t>ներին տնտեսական աճը դրսևորեց արագացման միտումներ</w:t>
      </w:r>
      <w:r w:rsidRPr="00FF25C5">
        <w:rPr>
          <w:rFonts w:ascii="GHEA Grapalat" w:hAnsi="GHEA Grapalat"/>
          <w:sz w:val="22"/>
          <w:szCs w:val="22"/>
          <w:lang w:val="af-ZA"/>
        </w:rPr>
        <w:t>,</w:t>
      </w:r>
      <w:r w:rsidRPr="00FF25C5">
        <w:rPr>
          <w:rFonts w:ascii="GHEA Grapalat" w:hAnsi="GHEA Grapalat"/>
          <w:sz w:val="22"/>
          <w:szCs w:val="22"/>
        </w:rPr>
        <w:t xml:space="preserve"> սակայն մինչև տարեվերջ այն էապես դանդաղեց և կազմեց ընդամենը 0.2%՝ կրելով հիմնական գործընկեր երկրների տնտեսական անբարենպաստ զարգացումների, մետաղների միջազգային գների նվազման, Ռուսաստանից ներհոսող դրամական փոխանցումների կրճատման և, դրա արդյունքում, տնօրինվող եկամուտների </w:t>
      </w:r>
      <w:r w:rsidRPr="00FF25C5">
        <w:rPr>
          <w:rFonts w:ascii="GHEA Grapalat" w:hAnsi="GHEA Grapalat"/>
          <w:sz w:val="22"/>
          <w:szCs w:val="22"/>
          <w:lang w:val="en-US"/>
        </w:rPr>
        <w:t>դեռևս</w:t>
      </w:r>
      <w:r w:rsidRPr="0034566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ցածր</w:t>
      </w:r>
      <w:r w:rsidRPr="0034566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մակարդակի</w:t>
      </w:r>
      <w:r w:rsidRPr="0034566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ազդեցությունը</w:t>
      </w:r>
      <w:r w:rsidRPr="00FF25C5">
        <w:rPr>
          <w:rFonts w:ascii="GHEA Grapalat" w:hAnsi="GHEA Grapalat"/>
          <w:sz w:val="22"/>
          <w:szCs w:val="22"/>
        </w:rPr>
        <w:t>, որոնց ՀՀ կառավարություն</w:t>
      </w:r>
      <w:r w:rsidRPr="00FF25C5">
        <w:rPr>
          <w:rFonts w:ascii="GHEA Grapalat" w:hAnsi="GHEA Grapalat"/>
          <w:sz w:val="22"/>
          <w:szCs w:val="22"/>
          <w:lang w:val="en-US"/>
        </w:rPr>
        <w:t>ն</w:t>
      </w:r>
      <w:r w:rsidRPr="00FF25C5">
        <w:rPr>
          <w:rFonts w:ascii="GHEA Grapalat" w:hAnsi="GHEA Grapalat"/>
          <w:sz w:val="22"/>
          <w:szCs w:val="22"/>
        </w:rPr>
        <w:t xml:space="preserve"> արձագանքեց հակացիկլային հարկաբյուջետային քաղաքականությամբ: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միջին գնանկումը կազմել է 1.4%: Արձանագրվել է պետական բյուջեի եկամուտների անվանական 0.3% աճ, ծախսերի` 2.8% աճ: Ամբողջական պահանջարկի խթանման և մասնավոր ներդրումների թույլ ակտիվության բացասական հետևանքները մեղմելու նպատակով 2016 թվականի ընթացքում իրականացվել է ընդլայնող հարկաբյուջետային քաղաքականություն: Արդյունքում, պետական բյուջեի պակասուրդը տարվա արդյունքներով կազմել է ՀՆԱ-ի 5.5%-ը: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GHEA Grapalat" w:hAnsi="GHEA Grapalat"/>
          <w:sz w:val="22"/>
          <w:szCs w:val="22"/>
          <w:lang w:val="af-ZA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>Համախառն առաջարկ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արտաքին աշխարհից եկող ոչ բարենպաստ տնտեսական զարգացումների՝ գործընկեր երկրներում տնտեսական ակտիվության և հումքային ապրանքների գների նվազման պայմաններում, արձանագրվել է տնտեսական աճի դանդաղում: Նախորդ տարվա նույն ժամանակահատվածի նկատմամբ գրանցվել է ՀՆԱ-ի 0.2% աճ, ինչը զիջում է նախորդ տարվա ցուցանիշը 2.8 տոկոսային կետով: Ընդ որում՝ ՀՆԱ-ի աճին դրականորեն են նպաստել արդյունաբերության (0.8 տոկոսային կետ) և ծառայությունների (1.9 տոկոսային կետ) ճյուղերը, իսկ գյուղատնտեսությունը (-1.0 տոկոսային կետ) և շինարարությունը (-1.</w:t>
      </w:r>
      <w:r w:rsidRPr="00345666">
        <w:rPr>
          <w:rFonts w:ascii="GHEA Grapalat" w:hAnsi="GHEA Grapalat"/>
          <w:sz w:val="22"/>
          <w:szCs w:val="22"/>
        </w:rPr>
        <w:t>0</w:t>
      </w:r>
      <w:r w:rsidRPr="00FF25C5">
        <w:rPr>
          <w:rFonts w:ascii="GHEA Grapalat" w:hAnsi="GHEA Grapalat"/>
          <w:sz w:val="22"/>
          <w:szCs w:val="22"/>
        </w:rPr>
        <w:t xml:space="preserve"> տոկոսային կետ) տնտեսական աճի վրա ունեցել են բացասական ազդեցություն: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</w:p>
    <w:p w:rsidR="00CE0500" w:rsidRPr="00345666" w:rsidRDefault="00CE0500" w:rsidP="00CE0500">
      <w:pPr>
        <w:keepNext/>
        <w:tabs>
          <w:tab w:val="left" w:pos="0"/>
          <w:tab w:val="left" w:pos="900"/>
        </w:tabs>
        <w:spacing w:line="360" w:lineRule="auto"/>
        <w:ind w:firstLine="562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345666" w:rsidRDefault="00CE0500" w:rsidP="00CE0500">
      <w:pPr>
        <w:keepNext/>
        <w:tabs>
          <w:tab w:val="left" w:pos="0"/>
          <w:tab w:val="left" w:pos="900"/>
        </w:tabs>
        <w:spacing w:line="360" w:lineRule="auto"/>
        <w:ind w:firstLine="562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345666" w:rsidRDefault="00CE0500" w:rsidP="00CE0500">
      <w:pPr>
        <w:keepNext/>
        <w:tabs>
          <w:tab w:val="left" w:pos="0"/>
          <w:tab w:val="left" w:pos="900"/>
        </w:tabs>
        <w:spacing w:line="360" w:lineRule="auto"/>
        <w:ind w:firstLine="562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345666" w:rsidRDefault="00CE0500" w:rsidP="00CE0500">
      <w:pPr>
        <w:keepNext/>
        <w:tabs>
          <w:tab w:val="left" w:pos="0"/>
          <w:tab w:val="left" w:pos="900"/>
        </w:tabs>
        <w:spacing w:line="360" w:lineRule="auto"/>
        <w:ind w:firstLine="562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FF25C5" w:rsidRDefault="00CE0500" w:rsidP="00CE0500">
      <w:pPr>
        <w:keepNext/>
        <w:tabs>
          <w:tab w:val="left" w:pos="0"/>
          <w:tab w:val="left" w:pos="900"/>
        </w:tabs>
        <w:spacing w:line="360" w:lineRule="auto"/>
        <w:ind w:firstLine="562"/>
        <w:jc w:val="both"/>
        <w:rPr>
          <w:rFonts w:ascii="GHEA Grapalat" w:hAnsi="GHEA Grapalat"/>
          <w:sz w:val="22"/>
          <w:szCs w:val="22"/>
        </w:rPr>
      </w:pPr>
      <w:r w:rsidRPr="00FF25C5">
        <w:rPr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858520</wp:posOffset>
            </wp:positionV>
            <wp:extent cx="3141345" cy="1962785"/>
            <wp:effectExtent l="0" t="0" r="1905" b="0"/>
            <wp:wrapSquare wrapText="bothSides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C5">
        <w:rPr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797560</wp:posOffset>
            </wp:positionV>
            <wp:extent cx="3360420" cy="2104390"/>
            <wp:effectExtent l="0" t="0" r="1905" b="635"/>
            <wp:wrapSquare wrapText="bothSides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C5">
        <w:rPr>
          <w:rFonts w:ascii="GHEA Grapalat" w:hAnsi="GHEA Grapalat"/>
          <w:b/>
          <w:sz w:val="22"/>
          <w:szCs w:val="22"/>
        </w:rPr>
        <w:t xml:space="preserve">Գծապատկեր 1. </w:t>
      </w:r>
      <w:r w:rsidRPr="00FF25C5">
        <w:rPr>
          <w:rFonts w:ascii="GHEA Grapalat" w:hAnsi="GHEA Grapalat"/>
          <w:sz w:val="22"/>
          <w:szCs w:val="22"/>
        </w:rPr>
        <w:t>2015-2016 թվականներին տնտեսության ճյուղերի ավելացված արժեքների նպաստումները ՀՆԱ-ի իրական աճին, տոկոսային կետ</w:t>
      </w:r>
    </w:p>
    <w:p w:rsidR="00CE0500" w:rsidRPr="00FF25C5" w:rsidRDefault="00CE0500" w:rsidP="00CE0500">
      <w:pPr>
        <w:tabs>
          <w:tab w:val="num" w:pos="720"/>
        </w:tabs>
        <w:spacing w:line="360" w:lineRule="auto"/>
        <w:ind w:firstLine="540"/>
        <w:jc w:val="both"/>
        <w:rPr>
          <w:rFonts w:ascii="GHEA Grapalat" w:hAnsi="GHEA Grapalat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արդյունաբերությունն</w:t>
      </w:r>
      <w:r w:rsidRPr="00FF25C5">
        <w:rPr>
          <w:rFonts w:ascii="GHEA Grapalat" w:hAnsi="GHEA Grapalat"/>
          <w:sz w:val="22"/>
          <w:szCs w:val="22"/>
          <w:vertAlign w:val="superscript"/>
          <w:lang w:val="en-US"/>
        </w:rPr>
        <w:footnoteReference w:id="1"/>
      </w:r>
      <w:r w:rsidRPr="00FF25C5">
        <w:rPr>
          <w:rFonts w:ascii="GHEA Grapalat" w:hAnsi="GHEA Grapalat"/>
          <w:sz w:val="22"/>
          <w:szCs w:val="22"/>
        </w:rPr>
        <w:t xml:space="preserve"> աճել է՝ պայմանավորված մշակող և հանքագործական արդյունաբերության աճով: Արձանագրվել է արդյունաբերական արտադրանքի թողարկման ծավալի 6.7% աճ: Արդյունաբերությանը հիմնականում նպաստել են մշակող արդյունաբերության՝ 7.7%, ինչպես նաև հանքագործական արդյունաբերության 8.3% աճերը: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Մշակող արդյունաբերության աճն էապես պայմանավորված էր արտաքին շուկայում իրացված ապրանքների աճով: Մշակող արդյունաբերությունն աճել է 7.7%-ով, ինչը պայմանավորված է եղել հիմնականում ծխախոտային արտադրատեսակների (23.5%) և ոսկերչական արտադրատեսակների (97.7%) աճերով: Ծխախոտային արտադրատեսակների արտադրության աճը պայմանավորված է եղել ծխախոտի արտահանման ծավալների աճով: Ոսկերչական արտադրատեսակների արտադրության աճը նույնպես պայմանավորված է եղել արտահանման ծավալների աճով: Սննդամթերքի (2.6%) և խմիչքների (7.4%) արտադրության ծավալները նույնպես դրականորեն են նպաստել մշակող արդյունաբերության աճին: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Էլեկտրաէներգիայի և ջրամատակարարման ճյուղերն աճի ցուցանիշներ են արձանագրել: Էլեկտրաէներգիայի և ջրամատակարարման ճյուղերում արձանագրվել է համապատասխանաբար 2.0% և 7.0% աճ: Հատկանշական է, որ ոլորտի աճն ապահովվել է էլեկտրաէներգիայի բաշխման էական աճով, իսկ էլեկտրաէներգիայի արտադրությունը նվազել է 6.2%-ով: Էլեկտրաէներգիայի և </w:t>
      </w:r>
      <w:r w:rsidRPr="00FF25C5">
        <w:rPr>
          <w:rFonts w:ascii="GHEA Grapalat" w:hAnsi="GHEA Grapalat"/>
          <w:sz w:val="22"/>
          <w:szCs w:val="22"/>
        </w:rPr>
        <w:lastRenderedPageBreak/>
        <w:t xml:space="preserve">ջերմաէներգիայի արտադրության նվազումը պայմանավորված է եղել հիմնականում ՀԱԷԿ-ի կողմից արտադրված էլեկտրաէներգիայի՝ 14.6% և ՋԵԿ-երի կողմից արտադրված էլեկտրաէներգիայի 7.8% նվազմամբ: Միևնույն ժամանակ ՀԷԿ-երի արտադրության ծավալներն աճել են 6.6%-ով: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Գյուղատնտեսությունը նվազել է` պայմանավորված բուսաբուծության նվազմամբ: 201</w:t>
      </w:r>
      <w:r w:rsidRPr="00345666">
        <w:rPr>
          <w:rFonts w:ascii="GHEA Grapalat" w:hAnsi="GHEA Grapalat"/>
          <w:sz w:val="22"/>
          <w:szCs w:val="22"/>
        </w:rPr>
        <w:t>6</w:t>
      </w:r>
      <w:r w:rsidRPr="00FF25C5">
        <w:rPr>
          <w:rFonts w:ascii="GHEA Grapalat" w:hAnsi="GHEA Grapalat"/>
          <w:sz w:val="22"/>
          <w:szCs w:val="22"/>
        </w:rPr>
        <w:t xml:space="preserve"> թվականին գյուղատնտեսության համախառն </w:t>
      </w:r>
      <w:r w:rsidRPr="00345666">
        <w:rPr>
          <w:rFonts w:ascii="GHEA Grapalat" w:hAnsi="GHEA Grapalat"/>
          <w:sz w:val="22"/>
          <w:szCs w:val="22"/>
        </w:rPr>
        <w:t>արտադրանք</w:t>
      </w:r>
      <w:r w:rsidRPr="00FF25C5">
        <w:rPr>
          <w:rFonts w:ascii="GHEA Grapalat" w:hAnsi="GHEA Grapalat"/>
          <w:sz w:val="22"/>
          <w:szCs w:val="22"/>
        </w:rPr>
        <w:t xml:space="preserve">ն իրական արտահայտությամբ նվազել է 5%-ով: Գյուղատնտեսության նվազումը պայմանավորված է եղել բուսաբուծության 11.7% նվազմամբ: Բուսաբուծության նվազմանն ամենամեծ նպաստումն են ունեցել պտուղ, հատապտղի և խաղողի համապատասխանաբար 37.2% և 42.2% նվազումները: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Միևնույն ժամանակ, անասնաբուծությունը և ձկնորսությունը դրականորեն են նպաստել գյուղա</w:t>
      </w:r>
      <w:r w:rsidRPr="00FF25C5">
        <w:rPr>
          <w:rFonts w:ascii="GHEA Grapalat" w:hAnsi="GHEA Grapalat"/>
          <w:sz w:val="22"/>
          <w:szCs w:val="22"/>
        </w:rPr>
        <w:softHyphen/>
        <w:t>տնտեսությանը՝ աճելով համապատասխանաբար 4.7%-ով և 3.0%-ով: Անասնաբու</w:t>
      </w:r>
      <w:r w:rsidRPr="00FF25C5">
        <w:rPr>
          <w:rFonts w:ascii="GHEA Grapalat" w:hAnsi="GHEA Grapalat"/>
          <w:sz w:val="22"/>
          <w:szCs w:val="22"/>
        </w:rPr>
        <w:softHyphen/>
        <w:t>ծութ</w:t>
      </w:r>
      <w:r w:rsidRPr="00FF25C5">
        <w:rPr>
          <w:rFonts w:ascii="GHEA Grapalat" w:hAnsi="GHEA Grapalat"/>
          <w:sz w:val="22"/>
          <w:szCs w:val="22"/>
        </w:rPr>
        <w:softHyphen/>
        <w:t xml:space="preserve">յան ճյուղի աճը պայմանավորված է եղել հիմնականում մսի արտադրության 6.2% աճով: Կաթի և ձվի արտադրությունները նույնպես աճել են՝ համապատասխանաբար 3.5%-ով և 5.3%-ով: </w:t>
      </w: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Շի</w:t>
      </w:r>
      <w:r w:rsidRPr="00FF25C5">
        <w:rPr>
          <w:rFonts w:ascii="GHEA Grapalat" w:hAnsi="GHEA Grapalat"/>
          <w:sz w:val="22"/>
          <w:szCs w:val="22"/>
        </w:rPr>
        <w:softHyphen/>
        <w:t>նա</w:t>
      </w:r>
      <w:r w:rsidRPr="00FF25C5">
        <w:rPr>
          <w:rFonts w:ascii="GHEA Grapalat" w:hAnsi="GHEA Grapalat"/>
          <w:sz w:val="22"/>
          <w:szCs w:val="22"/>
        </w:rPr>
        <w:softHyphen/>
        <w:t>րա</w:t>
      </w:r>
      <w:r w:rsidRPr="00FF25C5">
        <w:rPr>
          <w:rFonts w:ascii="GHEA Grapalat" w:hAnsi="GHEA Grapalat"/>
          <w:sz w:val="22"/>
          <w:szCs w:val="22"/>
        </w:rPr>
        <w:softHyphen/>
        <w:t>րու</w:t>
      </w:r>
      <w:r w:rsidRPr="00FF25C5">
        <w:rPr>
          <w:rFonts w:ascii="GHEA Grapalat" w:hAnsi="GHEA Grapalat"/>
          <w:sz w:val="22"/>
          <w:szCs w:val="22"/>
        </w:rPr>
        <w:softHyphen/>
        <w:t>թյան ծավալների նվազումը խորացել է: 2016 թվականին ֆինանսավորման բոլոր աղբյուրների հաշվին իրականացված շի</w:t>
      </w:r>
      <w:r w:rsidRPr="00FF25C5">
        <w:rPr>
          <w:rFonts w:ascii="GHEA Grapalat" w:hAnsi="GHEA Grapalat"/>
          <w:sz w:val="22"/>
          <w:szCs w:val="22"/>
        </w:rPr>
        <w:softHyphen/>
        <w:t>նա</w:t>
      </w:r>
      <w:r w:rsidRPr="00FF25C5">
        <w:rPr>
          <w:rFonts w:ascii="GHEA Grapalat" w:hAnsi="GHEA Grapalat"/>
          <w:sz w:val="22"/>
          <w:szCs w:val="22"/>
        </w:rPr>
        <w:softHyphen/>
        <w:t>րա</w:t>
      </w:r>
      <w:r w:rsidRPr="00FF25C5">
        <w:rPr>
          <w:rFonts w:ascii="GHEA Grapalat" w:hAnsi="GHEA Grapalat"/>
          <w:sz w:val="22"/>
          <w:szCs w:val="22"/>
        </w:rPr>
        <w:softHyphen/>
        <w:t>րու</w:t>
      </w:r>
      <w:r w:rsidRPr="00FF25C5">
        <w:rPr>
          <w:rFonts w:ascii="GHEA Grapalat" w:hAnsi="GHEA Grapalat"/>
          <w:sz w:val="22"/>
          <w:szCs w:val="22"/>
        </w:rPr>
        <w:softHyphen/>
        <w:t>թյան ծավալները նախորդ տարվա նկատմամբ նվազել են 10.8%-ով, ինչը հիմնականում պայմանավորված է եղել պետական բյուջեի (36.9%</w:t>
      </w:r>
      <w:r w:rsidRPr="00345666">
        <w:rPr>
          <w:rFonts w:ascii="GHEA Grapalat" w:hAnsi="GHEA Grapalat"/>
          <w:sz w:val="22"/>
          <w:szCs w:val="22"/>
        </w:rPr>
        <w:t>, առանց արտաքին աղբյուրներից տրամադրված միջոցների</w:t>
      </w:r>
      <w:r w:rsidRPr="00FF25C5">
        <w:rPr>
          <w:rFonts w:ascii="GHEA Grapalat" w:hAnsi="GHEA Grapalat"/>
          <w:sz w:val="22"/>
          <w:szCs w:val="22"/>
        </w:rPr>
        <w:t xml:space="preserve">), կազմակերպությունների (8.6%), բնակչության (11.6%), ինչպես նաև մարդասիրական օգնության միջոցների (60.3%) հաշվին իրականացված շինարարության ծավալների նվազմամբ: Շինարարության նվազմանը հակազդել է միջազգային վարկերի հաշվին իրականացվող շինարարության աճը (28.3%):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Շինարարության նվազումը, ըստ տնտեսական գործունեության տեսակների, 2016 թվականին հիմնականում պայմանավորված է եղել կացության և հանրային սննդի կազմակերպում (79.9%), անշարժ գույքի հետ կապված (15.3%), ջրամատակարարում, կոյուղի, թափոնների կառավարում և վերամշակում (43.3%), ինչպես նաև կրթություն (49.7%) գործունեության տեսակների մասով իրականացված շինարարության ծավալների նվազմամբ: Շինարարության նվազմանը հիմնականում հակազդել են էլեկտրականության, գազի, գոլորշու և լավորակ օդի մատակարարում (54.6%), գյուղատնտեսություն, անտառային տնտեսություն և ձկնորսություն (55.8%), հանքագործական արդյունաբերություն և բաց հանքերի շահագործում (89.4%), ինչպես նաև մշակող արդյունաբերության (61.7%) ոլորտներում իրականացված շինարարության աճը: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Ծառայություններ</w:t>
      </w:r>
      <w:r w:rsidRPr="00345666">
        <w:rPr>
          <w:rFonts w:ascii="GHEA Grapalat" w:hAnsi="GHEA Grapalat"/>
          <w:sz w:val="22"/>
          <w:szCs w:val="22"/>
        </w:rPr>
        <w:t>ն</w:t>
      </w:r>
      <w:r w:rsidRPr="00FF25C5">
        <w:rPr>
          <w:rFonts w:ascii="GHEA Grapalat" w:hAnsi="GHEA Grapalat"/>
          <w:sz w:val="22"/>
          <w:szCs w:val="22"/>
        </w:rPr>
        <w:t xml:space="preserve"> աճ</w:t>
      </w:r>
      <w:r w:rsidRPr="00345666">
        <w:rPr>
          <w:rFonts w:ascii="GHEA Grapalat" w:hAnsi="GHEA Grapalat"/>
          <w:sz w:val="22"/>
          <w:szCs w:val="22"/>
        </w:rPr>
        <w:t>ել</w:t>
      </w:r>
      <w:r w:rsidRPr="00FF25C5">
        <w:rPr>
          <w:rFonts w:ascii="GHEA Grapalat" w:hAnsi="GHEA Grapalat"/>
          <w:sz w:val="22"/>
          <w:szCs w:val="22"/>
        </w:rPr>
        <w:t xml:space="preserve"> </w:t>
      </w:r>
      <w:r w:rsidRPr="00345666">
        <w:rPr>
          <w:rFonts w:ascii="GHEA Grapalat" w:hAnsi="GHEA Grapalat"/>
          <w:sz w:val="22"/>
          <w:szCs w:val="22"/>
        </w:rPr>
        <w:t>են</w:t>
      </w:r>
      <w:r w:rsidRPr="00FF25C5">
        <w:rPr>
          <w:rFonts w:ascii="GHEA Grapalat" w:hAnsi="GHEA Grapalat"/>
          <w:sz w:val="22"/>
          <w:szCs w:val="22"/>
        </w:rPr>
        <w:t>, առևտուրը</w:t>
      </w:r>
      <w:r w:rsidRPr="00345666">
        <w:rPr>
          <w:rFonts w:ascii="GHEA Grapalat" w:hAnsi="GHEA Grapalat"/>
          <w:sz w:val="22"/>
          <w:szCs w:val="22"/>
        </w:rPr>
        <w:t>՝</w:t>
      </w:r>
      <w:r w:rsidRPr="00FF25C5">
        <w:rPr>
          <w:rFonts w:ascii="GHEA Grapalat" w:hAnsi="GHEA Grapalat"/>
          <w:sz w:val="22"/>
          <w:szCs w:val="22"/>
        </w:rPr>
        <w:t xml:space="preserve"> վերականգնվել: 2016 թվականի ընթացքում մատուցված ծառա</w:t>
      </w:r>
      <w:r w:rsidRPr="00FF25C5">
        <w:rPr>
          <w:rFonts w:ascii="GHEA Grapalat" w:hAnsi="GHEA Grapalat"/>
          <w:sz w:val="22"/>
          <w:szCs w:val="22"/>
        </w:rPr>
        <w:softHyphen/>
        <w:t>յու</w:t>
      </w:r>
      <w:r w:rsidRPr="00FF25C5">
        <w:rPr>
          <w:rFonts w:ascii="GHEA Grapalat" w:hAnsi="GHEA Grapalat"/>
          <w:sz w:val="22"/>
          <w:szCs w:val="22"/>
        </w:rPr>
        <w:softHyphen/>
        <w:t>թյունների ծավալը նախորդ տարվա նկատմամբ աճել է 7.1%-ով, ինչը հիմնականում պայմանավորված է եղել մշակույթ, զվարճու</w:t>
      </w:r>
      <w:r w:rsidRPr="00FF25C5">
        <w:rPr>
          <w:rFonts w:ascii="GHEA Grapalat" w:hAnsi="GHEA Grapalat"/>
          <w:sz w:val="22"/>
          <w:szCs w:val="22"/>
        </w:rPr>
        <w:softHyphen/>
        <w:t>թյուն</w:t>
      </w:r>
      <w:r w:rsidRPr="00FF25C5">
        <w:rPr>
          <w:rFonts w:ascii="GHEA Grapalat" w:hAnsi="GHEA Grapalat"/>
          <w:sz w:val="22"/>
          <w:szCs w:val="22"/>
        </w:rPr>
        <w:softHyphen/>
        <w:t xml:space="preserve">ներ և հանգիստ (22.2%), տրանսպորտ (17.9%, հատկապես` ցամաքային տրանսպորտ), ինչպես նաև ֆինանսական և ապահովագրական (3.9%) գործունեության տեսակների հետ կապված ծառայությունների աճով: Ծառայությունների աճին չնչին հակազդել է մասնագիտական, գիտական և տեխնիկական գործունեության հետ կապված </w:t>
      </w:r>
      <w:r w:rsidRPr="00FF25C5">
        <w:rPr>
          <w:rFonts w:ascii="GHEA Grapalat" w:hAnsi="GHEA Grapalat"/>
          <w:sz w:val="22"/>
          <w:szCs w:val="22"/>
        </w:rPr>
        <w:lastRenderedPageBreak/>
        <w:t>ծառայությունների նվազումը (2.9%, հատկապես` գիտական հետազոտությունների և մշակումների մասով):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նախորդ տարվա նկատմամբ առևտրի շրջանառությունն աճել է 1%-ով, ինչը պայմանավորված է եղել մեծածախ առևտրի և ավտոմեքենաների առևտրի շրջանառության ծավալների համապատաս</w:t>
      </w:r>
      <w:r w:rsidRPr="00FF25C5">
        <w:rPr>
          <w:rFonts w:ascii="GHEA Grapalat" w:hAnsi="GHEA Grapalat"/>
          <w:sz w:val="22"/>
          <w:szCs w:val="22"/>
        </w:rPr>
        <w:softHyphen/>
        <w:t>խանաբար 4.5% և 22.5% աճերով: Առևտրի շրջանառության աճին հակազդել է մանրածախ առևտրի 2.6% նվազումը, ինչը հիմնականում պայմանավորված է եղել առևտրի այլ օբյեկտների</w:t>
      </w:r>
      <w:r w:rsidRPr="00FF25C5">
        <w:rPr>
          <w:sz w:val="22"/>
          <w:szCs w:val="22"/>
          <w:vertAlign w:val="superscript"/>
        </w:rPr>
        <w:footnoteReference w:id="2"/>
      </w:r>
      <w:r w:rsidRPr="00FF25C5">
        <w:rPr>
          <w:rFonts w:ascii="GHEA Grapalat" w:hAnsi="GHEA Grapalat"/>
          <w:sz w:val="22"/>
          <w:szCs w:val="22"/>
        </w:rPr>
        <w:t xml:space="preserve"> 23.8% նվազմամբ, իսկ խանութներում առևտրի աճը (2.1%) հակազդել է մանրածախ առևտրի շրջանառության ընդհանուր նվազմանը: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Ընդհանուր օգտագործման տրանսպորտով բեռնափոխադրումների ծավալներն աճել են, իսկ ուղևորափոխադրումների ծավալները՝ նվազել: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Բեռնափոխադրումների ծավալն աճել է հիմնականում ավտոմոբիլային տրանսպորտի միջոցներով իրականացված ներհանրապետական փոխադրումների հաշվին: 2016 թվականին նախորդ տարվա համեմատ արձանագրվել է բեռնափո</w:t>
      </w:r>
      <w:r w:rsidRPr="00FF25C5">
        <w:rPr>
          <w:rFonts w:ascii="GHEA Grapalat" w:hAnsi="GHEA Grapalat"/>
          <w:sz w:val="22"/>
          <w:szCs w:val="22"/>
        </w:rPr>
        <w:softHyphen/>
        <w:t>խադրումների ծավալի 85.3% աճ` պայմանավորված հիմնականում ավտոմոբիլային տրանսպորտով (2.4 անգամ) ներհան</w:t>
      </w:r>
      <w:r w:rsidRPr="00FF25C5">
        <w:rPr>
          <w:rFonts w:ascii="GHEA Grapalat" w:hAnsi="GHEA Grapalat"/>
          <w:sz w:val="22"/>
          <w:szCs w:val="22"/>
        </w:rPr>
        <w:softHyphen/>
        <w:t>րապետական բեռնափոխադրումների զգալի աճով: Օդային</w:t>
      </w:r>
      <w:r w:rsidRPr="00FF25C5">
        <w:rPr>
          <w:sz w:val="22"/>
          <w:szCs w:val="22"/>
          <w:vertAlign w:val="superscript"/>
          <w:lang w:val="en-US"/>
        </w:rPr>
        <w:footnoteReference w:id="3"/>
      </w:r>
      <w:r w:rsidRPr="00FF25C5">
        <w:rPr>
          <w:rFonts w:ascii="GHEA Grapalat" w:hAnsi="GHEA Grapalat"/>
          <w:sz w:val="22"/>
          <w:szCs w:val="22"/>
        </w:rPr>
        <w:t xml:space="preserve"> (հիմնականում արտահանման) և երկաթուղային (հիմնականում ներհանր</w:t>
      </w:r>
      <w:r w:rsidRPr="00FF25C5">
        <w:rPr>
          <w:rFonts w:ascii="GHEA Grapalat" w:hAnsi="GHEA Grapalat"/>
          <w:sz w:val="22"/>
          <w:szCs w:val="22"/>
        </w:rPr>
        <w:softHyphen/>
        <w:t>ապետական) տրանսպորտի տեսակներով ևս արձանագրվել է բեռնափո</w:t>
      </w:r>
      <w:r w:rsidRPr="00FF25C5">
        <w:rPr>
          <w:rFonts w:ascii="GHEA Grapalat" w:hAnsi="GHEA Grapalat"/>
          <w:sz w:val="22"/>
          <w:szCs w:val="22"/>
        </w:rPr>
        <w:softHyphen/>
        <w:t>խա</w:t>
      </w:r>
      <w:r w:rsidRPr="00FF25C5">
        <w:rPr>
          <w:rFonts w:ascii="GHEA Grapalat" w:hAnsi="GHEA Grapalat"/>
          <w:sz w:val="22"/>
          <w:szCs w:val="22"/>
        </w:rPr>
        <w:softHyphen/>
        <w:t>դրումների աճ (համապատաս</w:t>
      </w:r>
      <w:r w:rsidRPr="00FF25C5">
        <w:rPr>
          <w:rFonts w:ascii="GHEA Grapalat" w:hAnsi="GHEA Grapalat"/>
          <w:sz w:val="22"/>
          <w:szCs w:val="22"/>
        </w:rPr>
        <w:softHyphen/>
        <w:t>խանաբար 79.4% և 3.1%), սակայն, պայմանավորված ընդհանուր բեռնափո</w:t>
      </w:r>
      <w:r w:rsidRPr="00FF25C5">
        <w:rPr>
          <w:rFonts w:ascii="GHEA Grapalat" w:hAnsi="GHEA Grapalat"/>
          <w:sz w:val="22"/>
          <w:szCs w:val="22"/>
        </w:rPr>
        <w:softHyphen/>
        <w:t>խա</w:t>
      </w:r>
      <w:r w:rsidRPr="00FF25C5">
        <w:rPr>
          <w:rFonts w:ascii="GHEA Grapalat" w:hAnsi="GHEA Grapalat"/>
          <w:sz w:val="22"/>
          <w:szCs w:val="22"/>
        </w:rPr>
        <w:softHyphen/>
        <w:t>դրումների մեջ վերջիններիս փոքր տեսակարար կշռով, բեռնափոխադրումների ընդհանուր աճին նպաստումները եղել են զգալիորեն փոքր: Մայրուղային խողովակաշարային տրանսպորտով բեռնափո</w:t>
      </w:r>
      <w:r w:rsidRPr="00FF25C5">
        <w:rPr>
          <w:rFonts w:ascii="GHEA Grapalat" w:hAnsi="GHEA Grapalat"/>
          <w:sz w:val="22"/>
          <w:szCs w:val="22"/>
        </w:rPr>
        <w:softHyphen/>
        <w:t>խա</w:t>
      </w:r>
      <w:r w:rsidRPr="00FF25C5">
        <w:rPr>
          <w:rFonts w:ascii="GHEA Grapalat" w:hAnsi="GHEA Grapalat"/>
          <w:sz w:val="22"/>
          <w:szCs w:val="22"/>
        </w:rPr>
        <w:softHyphen/>
        <w:t xml:space="preserve">դրումները նվազել են 2.3%-ով` փոքր-ինչ հակազդելով ընդհանուր բեռնափոխադրումների ծավալի աճին: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Ուղևորափոխադրումների ծավալը նվազել է՝ պայմանավորված հիմնականում ավտոմոբիլային տրանսպորտային միջոցներով իրականացված փոխադրումներով: 2016 թվականին նախորդ տարվա համեմատ ուղևորափոխադրումների ծավալը նվազել է 1.3%-ով` պայմանավորված հիմնականում ավտոմոբիլային տրանսպորտով (հատկապես տաքսիներով) իրականացվող ուղևորափոխադրումների ծավալի 1.5% նվազմամբ: Ուղևորափոխադրումների նվազմանը չնչին հակազդել է օդային և երկաթուղային տրանսպորտով իրականացվող ուղևորափոխադրումների ծավալների աճը (համապատասխանաբար 10.4% և 1.6%):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Կապի ծառայությունները նվազման միտում են դրսևորել: 2016 թվականին կապի ծառայություններից ստացված հասույթը նախորդ տարվա նկատմամբ նվազել է 9.5%-ով, ինչը հիմնականում պայմանավորված է եղել հեռահաղորդակցության ծառայությունների 21.5%-ով </w:t>
      </w:r>
      <w:r w:rsidRPr="00FF25C5">
        <w:rPr>
          <w:rFonts w:ascii="GHEA Grapalat" w:hAnsi="GHEA Grapalat"/>
          <w:sz w:val="22"/>
          <w:szCs w:val="22"/>
        </w:rPr>
        <w:lastRenderedPageBreak/>
        <w:t>կրճատմամբ` հիմնականում պայմանավորված բջջային հեռահաղորդակցման ծառայությունների 16% նվազմամբ: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>Աշխատանքի շուկա</w:t>
      </w:r>
      <w:r w:rsidRPr="00FF25C5">
        <w:rPr>
          <w:rFonts w:ascii="GHEA Grapalat" w:hAnsi="GHEA Grapalat"/>
          <w:sz w:val="22"/>
          <w:szCs w:val="22"/>
        </w:rPr>
        <w:t xml:space="preserve">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Իրական և անվանական աշխատավարձերն աճել են: 2016 թվականին միջին ամսական անվանական աշխատավարձը 2015 թվականի նկատմամբ աճել է 2.3%-ով` կազմելով 188851 դրամ</w:t>
      </w:r>
      <w:r w:rsidRPr="00FF25C5">
        <w:rPr>
          <w:sz w:val="22"/>
          <w:szCs w:val="22"/>
          <w:vertAlign w:val="superscript"/>
          <w:lang w:val="en-US"/>
        </w:rPr>
        <w:footnoteReference w:id="4"/>
      </w:r>
      <w:r w:rsidRPr="00FF25C5">
        <w:rPr>
          <w:rFonts w:ascii="GHEA Grapalat" w:hAnsi="GHEA Grapalat"/>
          <w:sz w:val="22"/>
          <w:szCs w:val="22"/>
        </w:rPr>
        <w:t xml:space="preserve">: Միջին ամսական անվանական աշխատավարձը պետական հատվածում նվազել է 1.2%-ով` կազմելով 162,983 դրամ, իսկ ոչ պետական հատվածում աճել է 5.0%-ով` կազմելով` 222,699 դրամ: Իրական աշխատավարձը 2015 թվականի համեմատ աճել է 3.7%-ով, իսկ աշխատուժի արտադրողականությունն իրական արտահայտությամբ աճել է 6.8%-ով: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Գործազրկության մակարդակը 2016 թվականին նվազման միտում է ցուցաբերել` նվազելով 0.5 տոկոսային կետով և կազմելով 18.0%: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>Համախառն պահանջարկ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2016 թվականի տնտեսական աճն ուղեկցվել է սպառման վերականգնմամբ և նախորդ տարվա նկատմամբ զուտ արտահանման բարելավմամբ: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Վերջնական սպառումն աճել է՝ պայմանավորված և´ մասնավոր, և´ պետական հատվածի սպառման աճով: Առևտրի վերականգնման և սպառողների վստահության բարելավման պայմաններում սպառումը նախորդ տարվա նկատմամբ իրական արտահայտությամբ աճել է 1.4%</w:t>
      </w:r>
      <w:r w:rsidRPr="00FF25C5">
        <w:rPr>
          <w:rFonts w:ascii="GHEA Grapalat" w:hAnsi="GHEA Grapalat"/>
          <w:sz w:val="22"/>
          <w:szCs w:val="22"/>
        </w:rPr>
        <w:noBreakHyphen/>
        <w:t xml:space="preserve">ով: Ընդ որում՝ մասնավոր սպառումն աճել է 1.0%-ով, իսկ պետականը՝ 3.8%-ով: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Կապիտալ ներդրումները նվազել են՝ պայմանավորված մասնավոր ներդրումների նվազմամբ: 2016 թվականին կապիտալ ներդրումները նախորդ տարվա նկատմամբ իրական արտահայտությամբ նվազել են 8.5%-ով` պայմանավորված մասնավոր ներդրումների 12.1% իրական նվազմամբ: Մասնավոր ներդրումների թույլ ակտիվության բացասական հետևանքները մեղմելու նպատակով իրականացվել է խթանող հարկաբյուջետային քաղաքականություն, որի արդյունքում 2016 թվականին պետական ներդրումներն իրական արտահայտությամբ աճել են 9.1%-ով: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Ներդրումների փոփոխությանը դրականորեն են նպաստել գյուղատնտեսության և արդյունաբերության ճյուղում կատարված ներդրումների աճը, բացասական նպաստում է ունեցել ծառայությունների ճյուղում կատարված ներդրումների նվազումը</w:t>
      </w:r>
      <w:r w:rsidRPr="00FF25C5">
        <w:rPr>
          <w:sz w:val="22"/>
          <w:szCs w:val="22"/>
          <w:vertAlign w:val="superscript"/>
          <w:lang w:val="en-US"/>
        </w:rPr>
        <w:footnoteReference w:id="5"/>
      </w:r>
      <w:r w:rsidRPr="00FF25C5">
        <w:rPr>
          <w:rFonts w:ascii="GHEA Grapalat" w:hAnsi="GHEA Grapalat"/>
          <w:sz w:val="22"/>
          <w:szCs w:val="22"/>
        </w:rPr>
        <w:t>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Զուտ արտահանումը բարելավվել է՝ հիմնականում պայմանավորված արտահանման՝ ներմուծման համեմատ առաջանցիկ աճով: 2016 թվականին ապրանքների և ծառայությունների </w:t>
      </w:r>
      <w:r w:rsidRPr="00FF25C5">
        <w:rPr>
          <w:rFonts w:ascii="GHEA Grapalat" w:hAnsi="GHEA Grapalat"/>
          <w:sz w:val="22"/>
          <w:szCs w:val="22"/>
        </w:rPr>
        <w:lastRenderedPageBreak/>
        <w:t xml:space="preserve">արտահանման իրական դրամային ծավալները նախորդ տարվա համեմատ աճել են 19.2%-ով` հիմնականում պայմանավորված արտահանման մրցունակության բարելավմամբ: Ապրանքների և ծառայությունների ներմուծումն իրական արտահայտությամբ աճել է 8.8%-ով, ինչը հիմնականում պայմանավորված է եղել բնակչության տնօրինվող եկամտի և վարկավորման ծավալների աճով: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 xml:space="preserve">Գներ և սակագներ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պահպանվեց նախորդ տարվա կեսից սկիզբ առած գնանկումային միջավայրը: 2016 թվականին միջին գնանկումը կազմեց 1.4%, որին հիմնականում նպաստեցին ներքին թույլ պահանջարկը, միջազգային շուկաներում որոշ ապրանքների գծով ձևավորված գների ցածր մակարդակը, ինչպես նաև գյուղատնտեսության ճյուղի զարգացումներով պայմանավորված՝ պարենային ապրանքների ցածր գների ձևավորումը: 2016 թվականի առաջին եռամսյակում գնանկումային միջավայրը խորացել է և պահպանվել հաջորդող երկու եռամսյակներում, սակայն չորրորդ եռամսյակում այն որոշ չափով մեղմվել է, և տարվերջին 12-ամսյա գնանկումը կազմել է 1.1%:</w:t>
      </w:r>
    </w:p>
    <w:p w:rsidR="00CE0500" w:rsidRPr="00FF25C5" w:rsidRDefault="00CE0500" w:rsidP="00CE0500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 w:cs="Sylfaen"/>
          <w:b/>
          <w:i/>
        </w:rPr>
      </w:pPr>
    </w:p>
    <w:p w:rsidR="00CE0500" w:rsidRPr="00FF25C5" w:rsidRDefault="00CE0500" w:rsidP="00CE0500">
      <w:pPr>
        <w:tabs>
          <w:tab w:val="right" w:pos="8640"/>
        </w:tabs>
        <w:spacing w:line="360" w:lineRule="auto"/>
        <w:ind w:firstLine="540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 w:cs="Sylfaen"/>
          <w:b/>
          <w:sz w:val="22"/>
          <w:szCs w:val="22"/>
        </w:rPr>
        <w:t xml:space="preserve">Գծապատկեր 2. </w:t>
      </w:r>
      <w:r w:rsidRPr="00FF25C5">
        <w:rPr>
          <w:rFonts w:ascii="GHEA Grapalat" w:hAnsi="GHEA Grapalat"/>
          <w:sz w:val="22"/>
          <w:szCs w:val="22"/>
        </w:rPr>
        <w:t>2015-2016 թվականներին 12-ամսյա գնաճի նպաստումները 3 խոշոր ապրանքախմբերով, տոկոսային կետ</w:t>
      </w:r>
    </w:p>
    <w:p w:rsidR="00CE0500" w:rsidRPr="00FF25C5" w:rsidRDefault="00CE0500" w:rsidP="00CE0500">
      <w:pPr>
        <w:tabs>
          <w:tab w:val="left" w:pos="0"/>
          <w:tab w:val="left" w:pos="720"/>
          <w:tab w:val="right" w:pos="8640"/>
        </w:tabs>
        <w:jc w:val="both"/>
        <w:rPr>
          <w:rFonts w:ascii="GHEA Grapalat" w:hAnsi="GHEA Grapalat" w:cs="Sylfaen"/>
          <w:color w:val="000000"/>
          <w:lang w:val="it-IT"/>
        </w:rPr>
      </w:pP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3200400" cy="24669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3124200" cy="245745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500" w:rsidRPr="00FF25C5" w:rsidRDefault="00CE0500" w:rsidP="00CE0500">
      <w:pPr>
        <w:tabs>
          <w:tab w:val="right" w:pos="8640"/>
        </w:tabs>
        <w:ind w:firstLine="540"/>
        <w:jc w:val="both"/>
        <w:rPr>
          <w:rFonts w:ascii="GHEA Grapalat" w:hAnsi="GHEA Grapalat" w:cs="Sylfaen"/>
          <w:color w:val="000000"/>
          <w:lang w:val="it-IT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ՀՀ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սպառողական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շուկայում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արձանագրված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1.1% 12-</w:t>
      </w:r>
      <w:r w:rsidRPr="00FF25C5">
        <w:rPr>
          <w:rFonts w:ascii="GHEA Grapalat" w:hAnsi="GHEA Grapalat"/>
          <w:sz w:val="22"/>
          <w:szCs w:val="22"/>
          <w:lang w:val="en-US"/>
        </w:rPr>
        <w:t>ամսյա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գնանկմանը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նպաստել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են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բոլոր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խոշոր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ապրանքախմբերը</w:t>
      </w:r>
      <w:r w:rsidRPr="00FF25C5">
        <w:rPr>
          <w:rFonts w:ascii="GHEA Grapalat" w:hAnsi="GHEA Grapalat"/>
          <w:sz w:val="22"/>
          <w:szCs w:val="22"/>
          <w:lang w:val="it-IT"/>
        </w:rPr>
        <w:t>: 12-</w:t>
      </w:r>
      <w:r w:rsidRPr="00FF25C5">
        <w:rPr>
          <w:rFonts w:ascii="GHEA Grapalat" w:hAnsi="GHEA Grapalat"/>
          <w:sz w:val="22"/>
          <w:szCs w:val="22"/>
          <w:lang w:val="en-US"/>
        </w:rPr>
        <w:t>ամսյա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գնանկումն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առավելապես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պայմանավորվել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պարենային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ապրանքների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FF25C5">
        <w:rPr>
          <w:rFonts w:ascii="GHEA Grapalat" w:hAnsi="GHEA Grapalat"/>
          <w:sz w:val="22"/>
          <w:szCs w:val="22"/>
          <w:lang w:val="en-US"/>
        </w:rPr>
        <w:t>ներառյալ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ոգելից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խմիչքը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և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ծխախոտ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) </w:t>
      </w:r>
      <w:r w:rsidRPr="00FF25C5">
        <w:rPr>
          <w:rFonts w:ascii="GHEA Grapalat" w:hAnsi="GHEA Grapalat"/>
          <w:sz w:val="22"/>
          <w:szCs w:val="22"/>
          <w:lang w:val="en-US"/>
        </w:rPr>
        <w:t>ապրանքախմբում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արձանագրված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0.2% </w:t>
      </w:r>
      <w:r w:rsidRPr="00FF25C5">
        <w:rPr>
          <w:rFonts w:ascii="GHEA Grapalat" w:hAnsi="GHEA Grapalat"/>
          <w:sz w:val="22"/>
          <w:szCs w:val="22"/>
          <w:lang w:val="en-US"/>
        </w:rPr>
        <w:t>գնանկմամբ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FF25C5">
        <w:rPr>
          <w:rFonts w:ascii="GHEA Grapalat" w:hAnsi="GHEA Grapalat"/>
          <w:sz w:val="22"/>
          <w:szCs w:val="22"/>
          <w:lang w:val="en-US"/>
        </w:rPr>
        <w:t>բացասական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նպաստումը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գնաճին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0.1 </w:t>
      </w:r>
      <w:r w:rsidRPr="00FF25C5">
        <w:rPr>
          <w:rFonts w:ascii="GHEA Grapalat" w:hAnsi="GHEA Grapalat"/>
          <w:sz w:val="22"/>
          <w:szCs w:val="22"/>
          <w:lang w:val="en-US"/>
        </w:rPr>
        <w:t>տոկոսային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կետ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), </w:t>
      </w:r>
      <w:r w:rsidRPr="00FF25C5">
        <w:rPr>
          <w:rFonts w:ascii="GHEA Grapalat" w:hAnsi="GHEA Grapalat"/>
          <w:sz w:val="22"/>
          <w:szCs w:val="22"/>
          <w:lang w:val="en-US"/>
        </w:rPr>
        <w:t>ոչ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պարենային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ապրանքների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խմբում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արձանագրված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3.4% </w:t>
      </w:r>
      <w:r w:rsidRPr="00FF25C5">
        <w:rPr>
          <w:rFonts w:ascii="GHEA Grapalat" w:hAnsi="GHEA Grapalat"/>
          <w:sz w:val="22"/>
          <w:szCs w:val="22"/>
          <w:lang w:val="en-US"/>
        </w:rPr>
        <w:t>գնանկմամբ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FF25C5">
        <w:rPr>
          <w:rFonts w:ascii="GHEA Grapalat" w:hAnsi="GHEA Grapalat"/>
          <w:sz w:val="22"/>
          <w:szCs w:val="22"/>
          <w:lang w:val="en-US"/>
        </w:rPr>
        <w:t>բացասական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նպաստումը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գնաճին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0.8 </w:t>
      </w:r>
      <w:r w:rsidRPr="00FF25C5">
        <w:rPr>
          <w:rFonts w:ascii="GHEA Grapalat" w:hAnsi="GHEA Grapalat"/>
          <w:sz w:val="22"/>
          <w:szCs w:val="22"/>
          <w:lang w:val="en-US"/>
        </w:rPr>
        <w:t>տոկոսային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կետ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) </w:t>
      </w:r>
      <w:r w:rsidRPr="00FF25C5">
        <w:rPr>
          <w:rFonts w:ascii="GHEA Grapalat" w:hAnsi="GHEA Grapalat"/>
          <w:sz w:val="22"/>
          <w:szCs w:val="22"/>
          <w:lang w:val="en-US"/>
        </w:rPr>
        <w:t>և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բնակչությանը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մատուցված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ծառայությունների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ոլորտում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արձանագրված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սակագների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0.7% </w:t>
      </w:r>
      <w:r w:rsidRPr="00FF25C5">
        <w:rPr>
          <w:rFonts w:ascii="GHEA Grapalat" w:hAnsi="GHEA Grapalat"/>
          <w:sz w:val="22"/>
          <w:szCs w:val="22"/>
          <w:lang w:val="en-US"/>
        </w:rPr>
        <w:t>նվազմամբ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FF25C5">
        <w:rPr>
          <w:rFonts w:ascii="GHEA Grapalat" w:hAnsi="GHEA Grapalat"/>
          <w:sz w:val="22"/>
          <w:szCs w:val="22"/>
          <w:lang w:val="en-US"/>
        </w:rPr>
        <w:t>բացասական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նպաստումը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գնաճին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0.2 </w:t>
      </w:r>
      <w:r w:rsidRPr="00FF25C5">
        <w:rPr>
          <w:rFonts w:ascii="GHEA Grapalat" w:hAnsi="GHEA Grapalat"/>
          <w:sz w:val="22"/>
          <w:szCs w:val="22"/>
          <w:lang w:val="en-US"/>
        </w:rPr>
        <w:t>տոկոսային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կետ</w:t>
      </w:r>
      <w:r w:rsidRPr="00FF25C5">
        <w:rPr>
          <w:rFonts w:ascii="GHEA Grapalat" w:hAnsi="GHEA Grapalat"/>
          <w:sz w:val="22"/>
          <w:szCs w:val="22"/>
          <w:lang w:val="it-IT"/>
        </w:rPr>
        <w:t>):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FF25C5">
        <w:rPr>
          <w:rFonts w:ascii="GHEA Grapalat" w:hAnsi="GHEA Grapalat"/>
          <w:sz w:val="22"/>
          <w:szCs w:val="22"/>
          <w:lang w:val="en-US"/>
        </w:rPr>
        <w:lastRenderedPageBreak/>
        <w:t>Տարվա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ընթացքում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ՀՀ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ԿԲ</w:t>
      </w:r>
      <w:r w:rsidRPr="00FF25C5">
        <w:rPr>
          <w:rFonts w:ascii="GHEA Grapalat" w:hAnsi="GHEA Grapalat"/>
          <w:sz w:val="22"/>
          <w:szCs w:val="22"/>
          <w:lang w:val="it-IT"/>
        </w:rPr>
        <w:t>-</w:t>
      </w:r>
      <w:r w:rsidRPr="00FF25C5">
        <w:rPr>
          <w:rFonts w:ascii="GHEA Grapalat" w:hAnsi="GHEA Grapalat"/>
          <w:sz w:val="22"/>
          <w:szCs w:val="22"/>
          <w:lang w:val="en-US"/>
        </w:rPr>
        <w:t>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արձագանքել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գնանկումային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միջավայրին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</w:t>
      </w:r>
      <w:r w:rsidRPr="00FF25C5">
        <w:rPr>
          <w:rFonts w:ascii="GHEA Grapalat" w:hAnsi="GHEA Grapalat"/>
          <w:sz w:val="22"/>
          <w:szCs w:val="22"/>
          <w:lang w:val="en-US"/>
        </w:rPr>
        <w:t>իրականացնելով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ընդլայնող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դրամավարկային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քաղաքականություն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: </w:t>
      </w:r>
      <w:r w:rsidRPr="00FF25C5">
        <w:rPr>
          <w:rFonts w:ascii="GHEA Grapalat" w:hAnsi="GHEA Grapalat"/>
          <w:sz w:val="22"/>
          <w:szCs w:val="22"/>
          <w:lang w:val="en-US"/>
        </w:rPr>
        <w:t>Այսպես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. </w:t>
      </w:r>
      <w:r w:rsidRPr="00FF25C5">
        <w:rPr>
          <w:rFonts w:ascii="GHEA Grapalat" w:hAnsi="GHEA Grapalat"/>
          <w:sz w:val="22"/>
          <w:szCs w:val="22"/>
          <w:lang w:val="en-US"/>
        </w:rPr>
        <w:t>վերաֆինանսավորման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տոկոսադրույքն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իջեցվել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2.5 </w:t>
      </w:r>
      <w:r w:rsidRPr="00FF25C5">
        <w:rPr>
          <w:rFonts w:ascii="GHEA Grapalat" w:hAnsi="GHEA Grapalat"/>
          <w:sz w:val="22"/>
          <w:szCs w:val="22"/>
          <w:lang w:val="en-US"/>
        </w:rPr>
        <w:t>տոկոսային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կետով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</w:t>
      </w:r>
      <w:r w:rsidRPr="00FF25C5">
        <w:rPr>
          <w:rFonts w:ascii="GHEA Grapalat" w:hAnsi="GHEA Grapalat"/>
          <w:sz w:val="22"/>
          <w:szCs w:val="22"/>
          <w:lang w:val="en-US"/>
        </w:rPr>
        <w:t>դեկտեմբերի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վերջին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կազմելով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6.25%: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>Արտաքին հատված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Ընթացիկ հաշվի պակասուրդը մնացել է նախորդ տարվա ցածր մակարդակում: 2016 թվականին տնտեսության արտաքին հատվածը բնութագրող ցուցանիշների բարելավումը շարունակվել է. պահպանվել են արտահանման բարձր աճի տեմպերը, ինչին զուգընթաց տարվա արդյունքներով գրանցվել է ներմուծման ցածր աճի տեմպ: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Ապրանքների և ծառայությունների հաշվեկշռի բարելավման միտումը պայմանավորվել է ներմուծման աճի համեմատ արտահանման առաջանցիկ աճով (համապատասխանաբար 3.4% և 11.6%): Տնտեսություն ներհոսող դրամական փոխանցումների ծավալները 2016 թվականին կրճատվել են 8.6%-ով՝ շարունակելով նախորդ երկու տարիների կրճատման միտումը: Նշված գործոններով պայմանավորված՝ ընթացիկ հաշվի պակասուրդը կազմել է ՀՆԱ-ի 2.7%-ը և պահպանել է նախորդ տարվա մակարդակը: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it-IT"/>
        </w:rPr>
      </w:pPr>
      <w:r w:rsidRPr="00FF25C5">
        <w:rPr>
          <w:rFonts w:ascii="GHEA Grapalat" w:hAnsi="GHEA Grapalat"/>
          <w:b/>
          <w:sz w:val="22"/>
          <w:szCs w:val="22"/>
        </w:rPr>
        <w:t>Գծապատկեր 3.</w:t>
      </w:r>
      <w:r w:rsidRPr="00FF25C5">
        <w:rPr>
          <w:rFonts w:ascii="GHEA Grapalat" w:hAnsi="GHEA Grapalat"/>
          <w:sz w:val="22"/>
          <w:szCs w:val="22"/>
        </w:rPr>
        <w:t xml:space="preserve"> Ընթացիկ հաշվի դինամիկան և բաղադրատարրերը, % ՀՆԱ-ի նկատման</w:t>
      </w:r>
      <w:r w:rsidRPr="00FF25C5">
        <w:rPr>
          <w:rFonts w:ascii="GHEA Grapalat" w:hAnsi="GHEA Grapalat" w:cs="Sylfaen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ru-RU" w:eastAsia="ru-RU"/>
        </w:rPr>
        <w:drawing>
          <wp:inline distT="0" distB="0" distL="0" distR="0">
            <wp:extent cx="6638925" cy="27908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Ապրանքների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և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ծառայությունների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արտահանման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կշիռը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ՀՆԱ</w:t>
      </w:r>
      <w:r w:rsidRPr="00FF25C5">
        <w:rPr>
          <w:rFonts w:ascii="GHEA Grapalat" w:hAnsi="GHEA Grapalat"/>
          <w:sz w:val="22"/>
          <w:szCs w:val="22"/>
          <w:lang w:val="it-IT"/>
        </w:rPr>
        <w:t>-</w:t>
      </w:r>
      <w:r w:rsidRPr="00FF25C5">
        <w:rPr>
          <w:rFonts w:ascii="GHEA Grapalat" w:hAnsi="GHEA Grapalat"/>
          <w:sz w:val="22"/>
          <w:szCs w:val="22"/>
          <w:lang w:val="en-US"/>
        </w:rPr>
        <w:t>ում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2016 </w:t>
      </w:r>
      <w:r w:rsidRPr="00FF25C5">
        <w:rPr>
          <w:rFonts w:ascii="GHEA Grapalat" w:hAnsi="GHEA Grapalat"/>
          <w:sz w:val="22"/>
          <w:szCs w:val="22"/>
          <w:lang w:val="en-US"/>
        </w:rPr>
        <w:t>թվականին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կազմել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33.2%` </w:t>
      </w:r>
      <w:r w:rsidRPr="00FF25C5">
        <w:rPr>
          <w:rFonts w:ascii="GHEA Grapalat" w:hAnsi="GHEA Grapalat"/>
          <w:sz w:val="22"/>
          <w:szCs w:val="22"/>
          <w:lang w:val="en-US"/>
        </w:rPr>
        <w:t>բարելավելով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նախորդ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տարվա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ցուցանիշը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3.4 </w:t>
      </w:r>
      <w:r w:rsidRPr="00FF25C5">
        <w:rPr>
          <w:rFonts w:ascii="GHEA Grapalat" w:hAnsi="GHEA Grapalat"/>
          <w:sz w:val="22"/>
          <w:szCs w:val="22"/>
          <w:lang w:val="en-US"/>
        </w:rPr>
        <w:t>տոկոսային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կետով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: </w:t>
      </w:r>
      <w:r w:rsidRPr="00FF25C5">
        <w:rPr>
          <w:rFonts w:ascii="GHEA Grapalat" w:hAnsi="GHEA Grapalat"/>
          <w:sz w:val="22"/>
          <w:szCs w:val="22"/>
          <w:lang w:val="en-US"/>
        </w:rPr>
        <w:t>Իսկ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ապրանքների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և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ծառայությունների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ներմուծման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մասնաբաժինը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կազմել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43.3%-</w:t>
      </w:r>
      <w:r w:rsidRPr="00FF25C5">
        <w:rPr>
          <w:rFonts w:ascii="GHEA Grapalat" w:hAnsi="GHEA Grapalat"/>
          <w:sz w:val="22"/>
          <w:szCs w:val="22"/>
          <w:lang w:val="en-US"/>
        </w:rPr>
        <w:t>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</w:t>
      </w:r>
      <w:r w:rsidRPr="00FF25C5">
        <w:rPr>
          <w:rFonts w:ascii="GHEA Grapalat" w:hAnsi="GHEA Grapalat"/>
          <w:sz w:val="22"/>
          <w:szCs w:val="22"/>
          <w:lang w:val="en-US"/>
        </w:rPr>
        <w:t>նախորդ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տարվա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42%-</w:t>
      </w:r>
      <w:r w:rsidRPr="00FF25C5">
        <w:rPr>
          <w:rFonts w:ascii="GHEA Grapalat" w:hAnsi="GHEA Grapalat"/>
          <w:sz w:val="22"/>
          <w:szCs w:val="22"/>
          <w:lang w:val="en-US"/>
        </w:rPr>
        <w:t>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դիմաց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: </w:t>
      </w:r>
      <w:r w:rsidRPr="00FF25C5">
        <w:rPr>
          <w:rFonts w:ascii="GHEA Grapalat" w:hAnsi="GHEA Grapalat"/>
          <w:sz w:val="22"/>
          <w:szCs w:val="22"/>
          <w:lang w:val="en-US"/>
        </w:rPr>
        <w:t>Դրամական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փոխանցումները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տարվա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արդյունքներով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կազմել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են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ՀՆԱ</w:t>
      </w:r>
      <w:r w:rsidRPr="00FF25C5">
        <w:rPr>
          <w:rFonts w:ascii="GHEA Grapalat" w:hAnsi="GHEA Grapalat"/>
          <w:sz w:val="22"/>
          <w:szCs w:val="22"/>
          <w:lang w:val="it-IT"/>
        </w:rPr>
        <w:t>-</w:t>
      </w:r>
      <w:r w:rsidRPr="00FF25C5">
        <w:rPr>
          <w:rFonts w:ascii="GHEA Grapalat" w:hAnsi="GHEA Grapalat"/>
          <w:sz w:val="22"/>
          <w:szCs w:val="22"/>
          <w:lang w:val="en-US"/>
        </w:rPr>
        <w:t>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9.4%-</w:t>
      </w:r>
      <w:r w:rsidRPr="00FF25C5">
        <w:rPr>
          <w:rFonts w:ascii="GHEA Grapalat" w:hAnsi="GHEA Grapalat"/>
          <w:sz w:val="22"/>
          <w:szCs w:val="22"/>
          <w:lang w:val="en-US"/>
        </w:rPr>
        <w:t>ը՝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մոտենալով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2000 </w:t>
      </w:r>
      <w:r w:rsidRPr="00FF25C5">
        <w:rPr>
          <w:rFonts w:ascii="GHEA Grapalat" w:hAnsi="GHEA Grapalat"/>
          <w:sz w:val="22"/>
          <w:szCs w:val="22"/>
          <w:lang w:val="en-US"/>
        </w:rPr>
        <w:t>թվականի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պատմական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ամենացածր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մակարդակին</w:t>
      </w:r>
      <w:r w:rsidRPr="00FF25C5">
        <w:rPr>
          <w:rFonts w:ascii="GHEA Grapalat" w:hAnsi="GHEA Grapalat"/>
          <w:sz w:val="22"/>
          <w:szCs w:val="22"/>
          <w:lang w:val="it-IT"/>
        </w:rPr>
        <w:t>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FF25C5">
        <w:rPr>
          <w:rFonts w:ascii="GHEA Grapalat" w:hAnsi="GHEA Grapalat"/>
          <w:sz w:val="22"/>
          <w:szCs w:val="22"/>
          <w:lang w:val="en-US"/>
        </w:rPr>
        <w:lastRenderedPageBreak/>
        <w:t>Դոլարային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արտահայտությամբ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արտահանման</w:t>
      </w:r>
      <w:r w:rsidRPr="00FF25C5">
        <w:rPr>
          <w:rFonts w:ascii="GHEA Grapalat" w:hAnsi="GHEA Grapalat"/>
          <w:sz w:val="22"/>
          <w:szCs w:val="22"/>
          <w:vertAlign w:val="superscript"/>
          <w:lang w:val="en-US"/>
        </w:rPr>
        <w:footnoteReference w:id="6"/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զգալի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աճով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պայմանավորված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` 2016 </w:t>
      </w:r>
      <w:r w:rsidRPr="00FF25C5">
        <w:rPr>
          <w:rFonts w:ascii="GHEA Grapalat" w:hAnsi="GHEA Grapalat"/>
          <w:sz w:val="22"/>
          <w:szCs w:val="22"/>
          <w:lang w:val="en-US"/>
        </w:rPr>
        <w:t>թվականին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ավելացել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արտաքին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առևտրաշրջանառությունը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և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կրճատվել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առևտրային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հաշվեկշռի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բացասական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մնացորդը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: </w:t>
      </w:r>
      <w:r w:rsidRPr="00FF25C5">
        <w:rPr>
          <w:rFonts w:ascii="GHEA Grapalat" w:hAnsi="GHEA Grapalat"/>
          <w:sz w:val="22"/>
          <w:szCs w:val="22"/>
          <w:lang w:val="en-US"/>
        </w:rPr>
        <w:t>Ապրանքների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արտաքին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առևտրի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բացասական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մնացորդը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նախորդ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տարվա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նկատմամբ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բարելավվել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է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13.9%-</w:t>
      </w:r>
      <w:r w:rsidRPr="00FF25C5">
        <w:rPr>
          <w:rFonts w:ascii="GHEA Grapalat" w:hAnsi="GHEA Grapalat"/>
          <w:sz w:val="22"/>
          <w:szCs w:val="22"/>
          <w:lang w:val="en-US"/>
        </w:rPr>
        <w:t>ով՝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կազմելով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1509.5 </w:t>
      </w:r>
      <w:r w:rsidRPr="00FF25C5">
        <w:rPr>
          <w:rFonts w:ascii="GHEA Grapalat" w:hAnsi="GHEA Grapalat"/>
          <w:sz w:val="22"/>
          <w:szCs w:val="22"/>
          <w:lang w:val="en-US"/>
        </w:rPr>
        <w:t>մլն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ԱՄՆ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դոլար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it-IT"/>
        </w:rPr>
      </w:pPr>
      <w:r w:rsidRPr="00FF25C5">
        <w:rPr>
          <w:rFonts w:ascii="GHEA Grapalat" w:hAnsi="GHEA Grapalat"/>
          <w:b/>
          <w:sz w:val="22"/>
          <w:szCs w:val="22"/>
          <w:lang w:val="en-US"/>
        </w:rPr>
        <w:t>Գծապատկեր</w:t>
      </w:r>
      <w:r w:rsidRPr="00FF25C5">
        <w:rPr>
          <w:rFonts w:ascii="GHEA Grapalat" w:hAnsi="GHEA Grapalat"/>
          <w:b/>
          <w:sz w:val="22"/>
          <w:szCs w:val="22"/>
          <w:lang w:val="it-IT"/>
        </w:rPr>
        <w:t xml:space="preserve"> 4.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Առևտրային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հաշվեկշռի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դինամիկան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(</w:t>
      </w:r>
      <w:r w:rsidRPr="00FF25C5">
        <w:rPr>
          <w:rFonts w:ascii="GHEA Grapalat" w:hAnsi="GHEA Grapalat"/>
          <w:sz w:val="22"/>
          <w:szCs w:val="22"/>
          <w:lang w:val="en-US"/>
        </w:rPr>
        <w:t>մլն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ԱՄՆ</w:t>
      </w:r>
      <w:r w:rsidRPr="00FF25C5">
        <w:rPr>
          <w:rFonts w:ascii="GHEA Grapalat" w:hAnsi="GHEA Grapalat"/>
          <w:sz w:val="22"/>
          <w:szCs w:val="22"/>
          <w:lang w:val="it-IT"/>
        </w:rPr>
        <w:t xml:space="preserve"> </w:t>
      </w:r>
      <w:r w:rsidRPr="00FF25C5">
        <w:rPr>
          <w:rFonts w:ascii="GHEA Grapalat" w:hAnsi="GHEA Grapalat"/>
          <w:sz w:val="22"/>
          <w:szCs w:val="22"/>
          <w:lang w:val="en-US"/>
        </w:rPr>
        <w:t>դոլար</w:t>
      </w:r>
      <w:r w:rsidRPr="00FF25C5">
        <w:rPr>
          <w:rFonts w:ascii="GHEA Grapalat" w:hAnsi="GHEA Grapalat"/>
          <w:sz w:val="22"/>
          <w:szCs w:val="22"/>
          <w:lang w:val="it-IT"/>
        </w:rPr>
        <w:t>)</w:t>
      </w:r>
    </w:p>
    <w:p w:rsidR="00CE0500" w:rsidRPr="00FF25C5" w:rsidRDefault="00CE0500" w:rsidP="00CE0500">
      <w:pPr>
        <w:tabs>
          <w:tab w:val="num" w:pos="270"/>
        </w:tabs>
        <w:spacing w:line="360" w:lineRule="auto"/>
        <w:jc w:val="center"/>
        <w:rPr>
          <w:rFonts w:ascii="GHEA Grapalat" w:hAnsi="GHEA Grapalat" w:cs="Sylfaen"/>
        </w:rPr>
      </w:pPr>
      <w:r w:rsidRPr="00FF25C5">
        <w:rPr>
          <w:rFonts w:ascii="GHEA Grapalat" w:hAnsi="GHEA Grapalat" w:cs="Sylfaen"/>
          <w:lang w:val="ru-RU" w:eastAsia="ru-RU"/>
        </w:rPr>
        <w:drawing>
          <wp:inline distT="0" distB="0" distL="0" distR="0">
            <wp:extent cx="5915025" cy="295275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Արտաքին ապրանքաշրջանառությունը 2016 թվականին կազմել է 5075.3 մլն ԱՄՆ դոլար` նախորդ տարվա համեմատ աճելով 7.4%-ով: Հաշվետու ժամանակահատվածում տեղի է ունեցել դոլարային արտահայտությամբ արտահանման և ներմուծման ծավալների աճ. արտահանումն աճել է 20%-ով` կազմելով 1782.9 մլն ԱՄՆ դոլար, իսկ ներմուծումը` 1.6%-ով և կազմել է 3292.4 մլն ԱՄՆ դոլար: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Ներքին թույլ պահանջարկի և հումքային ապրանքների գների նվազման պայմաններում արձանագրվել է ներմուծման ծավալների թույլ աճ: Ներմուծման 1.6% աճի 5 տոկոսային կետը պայմանավորվել է «Մանածագործական իրեր», «Մեքենաներ, սարքավորումներ և մեխանիզմներ» և «Թանկարժեք և կիսաթանկարժեք քարեր, թանկարժեք մետաղներ և դրանցից իրեր» ապրանքախմբերով: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Ներմուծման կառուցվածքում ամենամեծ (18%) կշիռ ունեցող «Հանքահումքային արտադրանք» ապրանքախումբը կրճատել է ներմուծվող ծավալները` 1.5 տոկոսային կետով, ինչը հիմնականում պայմանավորված է եղել հումքային ապրանքների գների նվազմամբ: Մեկական տոկոսային կետերով ներմուծման վրա բացասական ազդեցություն են ունեցել նաև «Ոչ թանկարժեք մետաղներ և դրանցից </w:t>
      </w:r>
      <w:r w:rsidRPr="00FF25C5">
        <w:rPr>
          <w:rFonts w:ascii="GHEA Grapalat" w:hAnsi="GHEA Grapalat"/>
          <w:sz w:val="22"/>
          <w:szCs w:val="22"/>
          <w:lang w:val="en-US"/>
        </w:rPr>
        <w:lastRenderedPageBreak/>
        <w:t xml:space="preserve">պատրաստված իրեր» և «Վերգետնյա օդային և ջրային տրանսպորտի միջոցներ» ապրանքախմբերը` շարունակելով նախորդ տարվա նվազման միտումները: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Տարվա արդյունքներով ըստ ապրանքների լայն տնտեսական դասակարգման</w:t>
      </w:r>
      <w:r w:rsidRPr="00FF25C5">
        <w:rPr>
          <w:rFonts w:ascii="GHEA Grapalat" w:hAnsi="GHEA Grapalat"/>
          <w:sz w:val="22"/>
          <w:szCs w:val="22"/>
          <w:vertAlign w:val="superscript"/>
          <w:lang w:val="en-US"/>
        </w:rPr>
        <w:footnoteReference w:id="7"/>
      </w:r>
      <w:r w:rsidRPr="00FF25C5">
        <w:rPr>
          <w:rFonts w:ascii="GHEA Grapalat" w:hAnsi="GHEA Grapalat"/>
          <w:sz w:val="22"/>
          <w:szCs w:val="22"/>
          <w:lang w:val="en-US"/>
        </w:rPr>
        <w:t xml:space="preserve"> ներմուծման աճին նպաստել են. «Վերջնական սպառման ապրանքները»` 2.4 տոկոսային կետով, «Կապիտալ ապրանքները»` 0.4 տոկոսային կետով, իսկ «Մարդատար ավտոմեքենաները» և «Միջանկյալ սպառման ապրանքները» հակազդել են ներմուծման աճին՝ համապատասխաաբար 0.9 և 0.2 տոկոսային կետերով: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Հիմնականում պայմանավորված տարածաշրջանային երկրներում պահանջարկի վերականգնմամբ և տնտեսության մրցունակության բարձրացմամբ՝ 2016 թվականին արձանագրվել է արտահանման երկնիշ աճ: Դեպի ԵԱՏՄ անդամ պետություններ ՀՀ արտահանման ծավալները զգալիորեն աճել են՝ կրելով հիմնական գործընկեր երկրների տնտեսական զարգացումների ազդեցությունը: 2016 թվականի արտահանման 20% աճին հիմնականում նպաստել են «Թանկարժեք և կիսաթանկարժեք քարեր, թանկարժեք մետաղներ և դրանցից իրեր» (9.6 տոկոսային կետ), «Պատրաստի սննդի արտադրանք» (6.3 տոկոսային կետ) և «Բուսական ծագման արտադրանք» (2.1 տոկոսային կետ) ապրանքախմբերը: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Զգալի է եղել նաև «Մանածագործական իրեր» խմբի դրական նպաստումը (1.7 տոկոսային կետ), որը վերջին տարիներին դրսևորել է արտահանվող ծավալների կայուն աճի միտում և ըստ գնահատականների արտաքին շուկաներում ունի բացահայտված հարաբերական առավելություն: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Արտահանման աճը զսպել են հիմնականում «Ոչ թանկարժեք մետաղներ և դրանցից պատրաստված իրեր» (0.5 տոկոսային կետ) և «Հանքահումքային արտադրանք» (0.4 տոկոսային կետ) ապրանքախմբերը, ինչը մասամբ պայմանավորվել է միջազգային շուկաներում մետաղների գների նվազմամբ: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Ներմուծման ծածկման գործակիցը գտնվում է իր պատմական առավելագույն մակարդակին` հիմնականում պայմանավորված արտահանման երկնիշ աճով: 2016 թվականի ընթացքում ներմուծման ծածկման գործակիցը նախորդ տարվա համեմատ աճել է 5.6 տոկոսային կետով. արտահանման հաշվին ֆինանսավորվել է ապրանքների և ծառայությունների ներմուծման 76.6%-ը: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b/>
          <w:sz w:val="22"/>
          <w:szCs w:val="22"/>
          <w:lang w:val="en-US"/>
        </w:rPr>
        <w:t>Գծապատկեր 5.</w:t>
      </w:r>
      <w:r w:rsidRPr="00FF25C5">
        <w:rPr>
          <w:rFonts w:ascii="GHEA Grapalat" w:hAnsi="GHEA Grapalat"/>
          <w:sz w:val="22"/>
          <w:szCs w:val="22"/>
          <w:lang w:val="en-US"/>
        </w:rPr>
        <w:t xml:space="preserve"> Ներմուծման ծածկման գործակիցը, տոկոսներով </w:t>
      </w:r>
    </w:p>
    <w:p w:rsidR="00CE0500" w:rsidRPr="00FF25C5" w:rsidRDefault="00CE0500" w:rsidP="00CE0500">
      <w:pPr>
        <w:jc w:val="center"/>
        <w:rPr>
          <w:rFonts w:ascii="GHEA Grapalat" w:hAnsi="GHEA Grapalat"/>
          <w:i/>
          <w:lang w:val="en-GB"/>
        </w:rPr>
      </w:pPr>
      <w:r w:rsidRPr="00FF25C5">
        <w:rPr>
          <w:rFonts w:ascii="GHEA Grapalat" w:hAnsi="GHEA Grapalat"/>
          <w:i/>
          <w:lang w:val="ru-RU" w:eastAsia="ru-RU"/>
        </w:rPr>
        <w:lastRenderedPageBreak/>
        <w:drawing>
          <wp:inline distT="0" distB="0" distL="0" distR="0">
            <wp:extent cx="6067425" cy="32766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0500" w:rsidRPr="00FF25C5" w:rsidRDefault="00CE0500" w:rsidP="00CE0500">
      <w:pPr>
        <w:spacing w:line="360" w:lineRule="auto"/>
        <w:ind w:firstLine="720"/>
        <w:jc w:val="both"/>
        <w:rPr>
          <w:rFonts w:ascii="GHEA Grapalat" w:hAnsi="GHEA Grapalat" w:cs="Sylfaen"/>
          <w:i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2016 թվականին ՀՀ արտաքին առևտրի աշխարհագրությունը փոխվել է ի օգուտ ԵԱՏՄ երկրների: 2016 թվականի արտաքին առևտրաշրջանառության 30.4%-ը բաժին է ընկել ԱՊՀ (որից 27.8%-ը՝ ԵԱՏՄ), 24%-ը` ԵՄ և 45.6%-ը՝ այլ երկրներին: ՀՀ արտաքին առևտրաշրջանառության մեջ ԵԱՏՄ երկների կշիռը նախորդ տարվա նկատմամբ աճել է 1.9 տոկոսային կետով, ինչը հիմնականում պայմանավորվել է դեպի այդ երկներ արտահանման 53% աճով (հիմնականում՝ Ռուսաստան):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2016 թվականին ՀՀ խոշոր առևտրային գործընկերների շրջանակում ընդգրկված էին ԱՊՀ երկրներից՝ Ռուսաստանը (առևտրաշրջանառության 26.9%-ը՝ նախորդ տարվա 25.1%-ի դիմաց) և Ուկրաինան (համապատասխանաբար՝ 2.2% և 2.8%), իսկ ԵՄ և այլ երկրներից՝ Չինաստանը (8.9% և 10.2%), Գերմանիան (6.4% և 7.2%), Իրանը (4.7% և 5.9%), Վրաստանը (4.8% և 4.1%), Իտալիան (3.2% և 3.8%), ԱՄՆ-ն (2.5% և 3.4%), Թուրքիան (3.2% և 2.9%), Կանադան (3% և 2.6%), Իրաքը (2.7% և 2.8%): Հանրապետության թվով 38 հիմնական գործընկեր երկրները մեծամասամբ (89.5%-ով) հանդիսանում են ԱՀԿ անդամ պետություններ: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ՀՀ դրամը շարունակել է արժեզրկվել ԱՄՆ դոլարի նկատմամբ: Չնայած 2016 թվականի տարեսկզբից նկատվող արժևորմանը՝ 2016 թվականի չորրորդ եռամսյակում ԱՄՆ դոլարի նկատմամբ ՀՀ դրամի փոխարժեքը դրսևորել է արժեզրկման միտում: Արդյունքում 2016 թվականի դեկտեմբեր ամսվա միջին փոխարժեքը կազմել է 482.8 դրամ ԱՄՆ դոլարի դիմաց, որը նախորդ տարվա դեկտեմբեր ամսին ձևավորված միջինի (482.9) նկատմամբ արժեզրկվել է փոքր չափով՝ 0.02%-ով, իսկ նախորդ ամսվա միջինի նկատմամբ` 0.9%-ով: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lastRenderedPageBreak/>
        <w:t xml:space="preserve">2016 թվականի տարեկան միջին փոխարժեքը կազմել է 480.5 դրամ մեկ ԱՄՆ դոլարի դիմաց` նախորդ տարվա (477.9) նկատմամբ արժեզրկվելով 0.5%-ով՝ 2015 թվականի համապատասխան ցուցանիշի 13% արժեզրկման դիմաց: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 xml:space="preserve">Դրամավարկային հատված և ֆինանսական շուկա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փողի բազան ընդլայնվել է ՀՀ ԿԲ զուտ արտաքին ակտիվների համալրման հաշվին, ինչը զուգորդվել է զուտ ներքին ակտիվների նվազմամբ: 2016 թվականի տարեվերջին փողի բազան կազմել է շուրջ 1042.3 մլրդ դրամ` տարեսկզբի համեմատ աճելով 13.1%-ով: Ընդ որում, զուտ արտաքին ակտիվներն աճել են 35%-ով, իսկ զուտ ներքին ակտիվերը նվազել են 12.6%-ով: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Փողի բազայի աճին հիմնականում նպաստել են ՀՀ ԿԲ-ում արտարժութային թղթակցային հաշիվները և ԿԲ-ից դուրս կանխիկը: Այսպես, փողի բազայում ԿԲ-ից դուրս կանխիկն աճել է 10.1%</w:t>
      </w:r>
      <w:r w:rsidRPr="00FF25C5">
        <w:rPr>
          <w:rFonts w:ascii="GHEA Grapalat" w:hAnsi="GHEA Grapalat"/>
          <w:sz w:val="22"/>
          <w:szCs w:val="22"/>
        </w:rPr>
        <w:noBreakHyphen/>
        <w:t>ով (նպաստումը փողի բազայի աճին կազմել է 4.5 տոկոսային կետ), իսկ պարտադիր պահուստները դրամով նվազել են 2.3%-ով և արտարժույթով՝ աճել 40%-ով (նպաստումը փողի բազայում կազմել է համապատասխանաբար -0.8 և 7.9 տոկոսային կետ):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Փողի զանգվածի աճը արագացման միտում է ցուցաբերել: 2016 թվականի տարեվերջին փողի զանգվածը կազմել է 2180.1 մլրդ դրամ` տարեսկզբի նկատմամբ աճելով 17.5%-ով, նախորդ տարվա 10.8%-ի համեմատ: Ընդ որում, զուտ արտաքին ակտիվների աճը կազմել է 31.1%, իսկ զուտ ներքին ակտիվներինը` 11.3%: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Փողի զանգվածի աճը պայմանավորվել է հիմնականում դրամային դեպոզիտների աճով: Փողի զանգվածի աճին բանկային համակարգից դուրս կանխիկը նպաստել է 2.4 տոկոսային կետով, իսկ դրամային և արտարժութով ավանդները՝ համապատասխանաբար 9 և 6 տոկոսային կետերով: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b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b/>
          <w:sz w:val="22"/>
          <w:szCs w:val="22"/>
        </w:rPr>
        <w:t>Գծապատկեր 6.</w:t>
      </w:r>
      <w:r w:rsidRPr="00FF25C5">
        <w:rPr>
          <w:rFonts w:ascii="GHEA Grapalat" w:hAnsi="GHEA Grapalat"/>
          <w:sz w:val="22"/>
          <w:szCs w:val="22"/>
        </w:rPr>
        <w:t xml:space="preserve"> 2016 թվականին փողի բազայի և փողի զանգվածի աճին նպաստումները, տոկոսային կետ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ind w:firstLine="540"/>
        <w:jc w:val="both"/>
        <w:rPr>
          <w:rFonts w:ascii="GHEA Grapalat" w:hAnsi="GHEA Grapalat" w:cs="Sylfaen"/>
          <w:lang w:val="en-US"/>
        </w:rPr>
      </w:pP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3067050" cy="30956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2905125" cy="3095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0500" w:rsidRPr="00FF25C5" w:rsidRDefault="00CE0500" w:rsidP="00CE0500">
      <w:pPr>
        <w:spacing w:line="360" w:lineRule="auto"/>
        <w:ind w:firstLine="540"/>
        <w:jc w:val="both"/>
        <w:rPr>
          <w:rFonts w:ascii="GHEA Grapalat" w:hAnsi="GHEA Grapalat" w:cs="Sylfaen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2016 թվականի ընթացքում դոլարայնացման մակարդակը նվազել է` ի տարբերություն 2015 թվականին արձանագրված աճի: Ռեզիդենտների արտարժութային ավանդներ/փողի զանգված հարաբերակցությունը նախորդ տարվա դեկտեմբերի նկատմամբ նվազել է 3 տոկոսային կետով՝ կազմելով 49.2%: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2016 թվականին ավանդների ծավալների աճն արագացել է նախորդ տարվա համեմատ: Առևտրային բանկերի կողմից ռեզիդենտներից և ոչ ռեզիդենտներից ներգրավված ավանդները 2016 թվականին նախորդ տարվա նկատմամբ աճել են 23.7%-ով, որին 13.4 տոկոսային կետով նպաստել է դրամային ավանդների, 10.3 տոկոսային կետով` արտարժույթային ավանդների աճը: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2016 թվականին վարկերի ծավալներն աճել են նախորդ տարվա նվազման համեմատ: Առևտրային բանկերի կողմից ռեզիդենտներին և ոչ ռեզիդենտներին տրամադրված վարկերի ծավալները 2016 թվականին նախորդ տարվա նկատմամբ զգալիորեն աճել են՝ 14.9%</w:t>
      </w:r>
      <w:r w:rsidRPr="00FF25C5">
        <w:rPr>
          <w:rFonts w:ascii="GHEA Grapalat" w:hAnsi="GHEA Grapalat"/>
          <w:sz w:val="22"/>
          <w:szCs w:val="22"/>
          <w:vertAlign w:val="superscript"/>
          <w:lang w:val="en-US"/>
        </w:rPr>
        <w:footnoteReference w:id="8"/>
      </w:r>
      <w:r w:rsidRPr="00FF25C5">
        <w:rPr>
          <w:rFonts w:ascii="GHEA Grapalat" w:hAnsi="GHEA Grapalat"/>
          <w:sz w:val="22"/>
          <w:szCs w:val="22"/>
          <w:lang w:val="en-US"/>
        </w:rPr>
        <w:t>-ով, 2015 թվականի 3.1% նվազման դիմաց (վարկավորման ընդհանուր կառուցվածքում գերակշռում են արտարժույթով վարկերը՝ 63%): Վարկերի աճին 8.16 տոկոսային կետով նպաստել է դրամային վարկերի և 6.77 տոկոսային կետով՝ արտարժութային վարկերի աճը: Վարկերի աճին հիմնականում դրականորեն են նպաստել արդյունաբերության, սպասարկման ոլորտի և սպառողական վարկերի աճերը, իսկ գյուղատնտեսության, շինարարության ու առևտրի ոլորտին տրամադրված վարկերը նվազել են` բացասաբար նպաստելով վարկերի աճին: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b/>
          <w:sz w:val="22"/>
          <w:szCs w:val="22"/>
          <w:lang w:val="en-US"/>
        </w:rPr>
        <w:lastRenderedPageBreak/>
        <w:t>Գծապատկեր 7.</w:t>
      </w:r>
      <w:r w:rsidRPr="00FF25C5">
        <w:rPr>
          <w:rFonts w:ascii="GHEA Grapalat" w:hAnsi="GHEA Grapalat"/>
          <w:sz w:val="22"/>
          <w:szCs w:val="22"/>
          <w:lang w:val="en-US"/>
        </w:rPr>
        <w:t xml:space="preserve"> 2015-2016 թվականներին վարկերի և ավանդների ծավալների աճը, (նախորդ տարվա նույն ժամանակահատվածի նկատմամբ, %) </w:t>
      </w:r>
    </w:p>
    <w:p w:rsidR="00CE0500" w:rsidRPr="00FF25C5" w:rsidRDefault="00CE0500" w:rsidP="00CE0500">
      <w:pPr>
        <w:tabs>
          <w:tab w:val="left" w:pos="-180"/>
          <w:tab w:val="left" w:pos="540"/>
        </w:tabs>
        <w:spacing w:line="360" w:lineRule="auto"/>
        <w:jc w:val="both"/>
        <w:rPr>
          <w:rFonts w:ascii="GHEA Grapalat" w:eastAsia="Calibri" w:hAnsi="GHEA Grapalat"/>
          <w:lang w:val="en-US"/>
        </w:rPr>
      </w:pP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3152775" cy="29908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F25C5">
        <w:rPr>
          <w:lang w:val="ru-RU" w:eastAsia="ru-RU"/>
        </w:rPr>
        <w:drawing>
          <wp:inline distT="0" distB="0" distL="0" distR="0">
            <wp:extent cx="3200400" cy="29813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Ֆինանսական շուկայում արտարժույթով և դրամով միջին կշռված մինչև 1 տարի ժամկետով տոկոսադրույքների միջև սպրեդը 2016 թվականին մնացել է անփոփոխ` կազմելով շուրջ 4.5 տոկոսային կետ: Ընդ որում դրամով վարկերի և ավանդների միջև տոկոսադրուքների սպրեդն աճել է 2.3 տոկոսային կետով` կազմելով 5.7, իսկ արտարժույթով սպրեդը նվազել է 0.8-ով` կազմելով 3.7 տոկոսային կետ: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Ավանդների և վարկերի տոկոսադրույքները նվազման միտումներ են դրսևորել: 2016 թվականին ՀՀ դրամային ավանդների (մինչև մեկ տարի ժամկետով) միջին տարեկան տոկոսադրույքը կազմել է 11.6%՝ նախորդ տարվա համեմատ նվազելով 2.5 տոկոսային կետով: ՀՀ դրամով վարկավորման (մինչև մեկ տարի ժամկետով) միջին տարեկան տոկոսադրույքը կազմել է 17.4%՝ նվազելով 0.2 տոկոսային կետով: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>Արտարժույթով ավանդների (մինչև մեկ տարի ժամկետով) միջին տարեկան տոկոսադրույքը 2016 թվականին կազմել է 5.3%՝ նախորդ տարվա համեմատ նվազելով 0.4 տոկոսային կետով: Արտարժույթով վարկավորման (մինչև մեկ տարի ժամկետով) միջին տարեկան տոկոսադրույքը կազմել է 9%՝ նվազելով 1.3 տոկոսային կետով: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ՀՀ պետական պարտատոմսերի շուկայում նկատվել է ՊՊ տեղաբաշխման միջին կշռված եկամտաբերության նվազում: Նվազումը պայմանավորված է եղել ՀՀ ԿԲ-ի վերաֆինասավորման տոկոսադրույքի նվազմամբ, ինչպես նաև ընդհանուր առմամբ ֆինանսական շուկայի տոկոսադրույքների նվազման միտումներով: 2016 թվականի ընթացքում ՀՀ պետական պարտատոմսերի շուկայում նկատվել է միջին կշռված եկամտաբերության նվազում (շուրջ 3.5 </w:t>
      </w:r>
      <w:r w:rsidRPr="00FF25C5">
        <w:rPr>
          <w:rFonts w:ascii="GHEA Grapalat" w:hAnsi="GHEA Grapalat"/>
          <w:sz w:val="22"/>
          <w:szCs w:val="22"/>
          <w:lang w:val="en-US"/>
        </w:rPr>
        <w:lastRenderedPageBreak/>
        <w:t>տոկոսային կետով): Այսպես, եթե 2015 թվականին տեղաբաշխված պետական արժեթղթերի միջին կշռված եկամտաբերությունը կազմել է 14.6%, ապա 2016 թվականին այն կազմել է 11.1%: Նույն ժամանակահատվածում տեղաբաշխված պետական արժեթղթերի ծավալը կազմել է 143.9 մլրդ դրամ՝ 2016 թվականի 317.3 մլրդ դրամի դիմաց, իսկ միջին ժամկետայնությունը` 2077 օր, 2015 թվականի նույն ժամանակահատվածի 1939-ի համեմատ: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2016 թվականին պետական (շուկայական) պարտատոմսերի նկատմամբ պահանջարկը գերազանցել է թողարկման ցուցանիշը 2.38 անգամ (2015 թվականին` 1.67 անգամ), իսկ տեղաբաշխում/թողարկում հարաբերակցության միջին մեծությունը կազմել է 0.98 (2015 թվականին` 0.97):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sz w:val="22"/>
          <w:szCs w:val="22"/>
          <w:lang w:val="en-US"/>
        </w:rPr>
        <w:t xml:space="preserve">ՀՀ եվրապարտատոմսերի երկրորդային շուկայում ևս նկատվել է միջին կշռված եկամտաբերության նվազում: Միջազգային կապիտալի շուկայում 2013 թվականին 6.25% եկամտաբերությամբ թողարկված պետական արտարժութային պարտատոմսերի եկամտաբերությունը 2016 թվականի տարեվերջին կազմել է 4.99%՝ 2015 թվականի տարեվերջին արձանագրված 6.76%-ի դիմաց: Իսկ 2015 թվականին 7.5% եկամտաբերությամբ թողարկված պետական արտարժութային պարտատոմսերի եկամտաբերությունը 2016 թվականի տարեվերջին կազմել է 6.34%՝ 2015 թվականի տարեվերջին արձանագրված 7.58%-ի դիմաց: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 w:cs="Sylfaen"/>
          <w:b/>
          <w:i/>
          <w:sz w:val="22"/>
          <w:szCs w:val="22"/>
        </w:rPr>
      </w:pPr>
      <w:r w:rsidRPr="00FF25C5">
        <w:rPr>
          <w:rFonts w:ascii="GHEA Grapalat" w:hAnsi="GHEA Grapalat" w:cs="Sylfaen"/>
          <w:b/>
          <w:i/>
          <w:sz w:val="22"/>
          <w:szCs w:val="22"/>
        </w:rPr>
        <w:t>Հարկաբյուջետային հատված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Ներքին տնտեսության թույլ ակտիվության պայմաններում պետական բյուջեի հարկերի և տուրքերի մասնաբաժինը ՀՆԱ-ում փոքր-ինչ բարելավվել է: 2016 թվականի արդյունքներով պետական բյուջեի ընդհանուր եկամուտները կազմել են ՀՆԱ-ի 23.1%-ը՝ նախորդ տարվա 23.2%-ի դիմաց, իսկ հարկերը և տուրքերը՝ ՀՆԱ-ի 21.3%-ը՝ նախորդ տարվա 21.2%-ի դիմաց: Նախորդ տարվա նկատմամբ պետական բյուջեի եկամուտների անվանական աճը կազմել է 0.3%, իսկ հարկերինը և տուրքերինը` 1.1%: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Հարկերի և տուրքերի աճին դրականորեն են նպաստել ներքին տնտեսությունից հավաքագրված հարկերը և բացասաբար` ներմուծման հարկերը: Այսպես, ներքին տնտեսությունից հավաքագրված հարկերը 1.6 տոկոսային կետով դրականորեն են նպաստել հարկերի և տուրքերի աճին՝ աճելով 2.4%-ով, իսկ ներմուծման հարկերը (ներառյալ մաքսատուրքը) բացասաբար են նպաստել 0.6 տոկոսային կետով՝ նվազելով 1.6%-ով, որը հիմնականում պայմանավորված էր ԵԱՏՄ անդամ երկրներից ներմուծման 2% նվազման ցուցանիշով: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b/>
          <w:sz w:val="22"/>
          <w:szCs w:val="22"/>
        </w:rPr>
        <w:t>Գծապատկեր 8.</w:t>
      </w:r>
      <w:r w:rsidRPr="00FF25C5">
        <w:rPr>
          <w:rFonts w:ascii="GHEA Grapalat" w:hAnsi="GHEA Grapalat"/>
          <w:sz w:val="22"/>
          <w:szCs w:val="22"/>
        </w:rPr>
        <w:t xml:space="preserve"> Հարկեր</w:t>
      </w:r>
      <w:r w:rsidRPr="00345666">
        <w:rPr>
          <w:rFonts w:ascii="GHEA Grapalat" w:hAnsi="GHEA Grapalat"/>
          <w:sz w:val="22"/>
          <w:szCs w:val="22"/>
        </w:rPr>
        <w:t>ի</w:t>
      </w:r>
      <w:r w:rsidRPr="00FF25C5">
        <w:rPr>
          <w:rFonts w:ascii="GHEA Grapalat" w:hAnsi="GHEA Grapalat"/>
          <w:sz w:val="22"/>
          <w:szCs w:val="22"/>
        </w:rPr>
        <w:t xml:space="preserve"> և տուրքերի աճի նպաստումներ</w:t>
      </w:r>
      <w:r w:rsidRPr="00345666">
        <w:rPr>
          <w:rFonts w:ascii="GHEA Grapalat" w:hAnsi="GHEA Grapalat"/>
          <w:sz w:val="22"/>
          <w:szCs w:val="22"/>
        </w:rPr>
        <w:t>ն</w:t>
      </w:r>
      <w:r w:rsidRPr="00FF25C5">
        <w:rPr>
          <w:rFonts w:ascii="GHEA Grapalat" w:hAnsi="GHEA Grapalat"/>
          <w:sz w:val="22"/>
          <w:szCs w:val="22"/>
        </w:rPr>
        <w:t xml:space="preserve"> ըստ տնտեսության առանձին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FF25C5">
        <w:rPr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357505</wp:posOffset>
            </wp:positionV>
            <wp:extent cx="3226435" cy="2260600"/>
            <wp:effectExtent l="2540" t="0" r="0" b="2540"/>
            <wp:wrapSquare wrapText="bothSides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C5">
        <w:rPr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357505</wp:posOffset>
            </wp:positionV>
            <wp:extent cx="3228975" cy="2260600"/>
            <wp:effectExtent l="0" t="0" r="3810" b="2540"/>
            <wp:wrapSquare wrapText="bothSides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C5">
        <w:rPr>
          <w:rFonts w:ascii="GHEA Grapalat" w:hAnsi="GHEA Grapalat"/>
          <w:sz w:val="22"/>
          <w:szCs w:val="22"/>
        </w:rPr>
        <w:t>հատվածների 2015-2016թթ.</w:t>
      </w: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2016 թվականին հարկային եկամուտների աճն ապահովվել է ուղղակի հարկերի հաշվին: Հարկերի և տուրքերի տարեկան աճն ըստ հարկատեսակների հիմնականում պայմանավորվել է եկամտային հարկի և շահութահարկի աճով, իսկ բացասական նպաստում է արձանագրվել ավելացված արժեքի հարկի մասով: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Պետական բյուջեի ծախսերը ՀՆԱ-ի նկատմամբ բարելավվել են` հիմնականում պայմանավորված ընթացիկ ծախսերով: ՀՆԱ-ի նկատմամբ պետական բյուջեի ծախսերի ցուցանիշը 2016 թվականի արդյունքներով նախորդ տարվա նույն ժամանակահատվածի նկատմամբ աճել է 0.6 տոկոսային կետով՝ կազմելով 28.6%: Ծախսերի աճին նպաստել են հիմնականում ընթացիկ ծախսերը` աճելով 3.5%-ով (նպաստումը` 3 տոկոսային կետ), իսկ ոչ ֆինանսական ակտիվների գծով ծախսերն աճել են 1.7%-ով` ծախսերի աճին նպաստելով 0.2 տոկոսային կետով: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>Արդյունքում տնտեսական աճի նվազման ռիսկերի մեղմմանն ուղղված խթանող հարկաբյուջետային քաղաքականության անհրաժեշտությամբ պայմանավորված` պետական բյուջեի պակասուրդն աճել է: Պետական բյուջեի պակասուրդը 2016 թվականին կազմել է ՀՆԱ-ի 5.5%-ը` նախորդ տարվա 4.8%-ի համեմատ: Պակասուրդի ֆինանսավորման 61.4%-ը կատարվել է արտաքին աղբյուրների միջոցների ներգրավմամբ, որով պայմանավորված` 2016 թվականին արտաքին պետական պարտք/ՀՆԱ ցուցանիշը կազմել է 45.</w:t>
      </w:r>
      <w:r w:rsidRPr="00345666">
        <w:rPr>
          <w:rFonts w:ascii="GHEA Grapalat" w:hAnsi="GHEA Grapalat"/>
          <w:sz w:val="22"/>
          <w:szCs w:val="22"/>
        </w:rPr>
        <w:t>9</w:t>
      </w:r>
      <w:r w:rsidRPr="00FF25C5">
        <w:rPr>
          <w:rFonts w:ascii="GHEA Grapalat" w:hAnsi="GHEA Grapalat"/>
          <w:sz w:val="22"/>
          <w:szCs w:val="22"/>
        </w:rPr>
        <w:t>%` նախորդ տարվա 41</w:t>
      </w:r>
      <w:r w:rsidRPr="00345666">
        <w:rPr>
          <w:rFonts w:ascii="GHEA Grapalat" w:hAnsi="GHEA Grapalat"/>
          <w:sz w:val="22"/>
          <w:szCs w:val="22"/>
        </w:rPr>
        <w:t>.5</w:t>
      </w:r>
      <w:r w:rsidRPr="00FF25C5">
        <w:rPr>
          <w:rFonts w:ascii="GHEA Grapalat" w:hAnsi="GHEA Grapalat"/>
          <w:sz w:val="22"/>
          <w:szCs w:val="22"/>
        </w:rPr>
        <w:t>%-ի համեմատ: Արդյունքում կառավարության պարտք/ՀՆԱ ցուցանիշը կազմել է 51.9%, իսկ պետական պարտք/ՀՆԱ ցուցանիշը` 56.</w:t>
      </w:r>
      <w:r w:rsidRPr="00345666">
        <w:rPr>
          <w:rFonts w:ascii="GHEA Grapalat" w:hAnsi="GHEA Grapalat"/>
          <w:sz w:val="22"/>
          <w:szCs w:val="22"/>
        </w:rPr>
        <w:t>7</w:t>
      </w:r>
      <w:r w:rsidRPr="00FF25C5">
        <w:rPr>
          <w:rFonts w:ascii="GHEA Grapalat" w:hAnsi="GHEA Grapalat"/>
          <w:sz w:val="22"/>
          <w:szCs w:val="22"/>
        </w:rPr>
        <w:t xml:space="preserve">%: </w:t>
      </w: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u w:val="single"/>
        </w:rPr>
      </w:pPr>
      <w:r w:rsidRPr="00FF25C5">
        <w:rPr>
          <w:rFonts w:ascii="GHEA Grapalat" w:hAnsi="GHEA Grapalat"/>
          <w:sz w:val="22"/>
          <w:szCs w:val="22"/>
          <w:u w:val="single"/>
        </w:rPr>
        <w:t>Հարկաբյուջետային ազդակը</w:t>
      </w: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FF25C5">
        <w:rPr>
          <w:rFonts w:ascii="GHEA Grapalat" w:hAnsi="GHEA Grapalat"/>
          <w:sz w:val="22"/>
          <w:szCs w:val="22"/>
        </w:rPr>
        <w:t xml:space="preserve">ՀՀ կառավարությունը տնտեսության թույլ ակտիվությունը խթանելու նպատակով իրականացրել է հակացիկլային հարկաբյուջետային քաղաքականություն: ՀՀ կառավարության խթանող </w:t>
      </w:r>
      <w:r w:rsidRPr="00FF25C5">
        <w:rPr>
          <w:rFonts w:ascii="GHEA Grapalat" w:hAnsi="GHEA Grapalat"/>
          <w:sz w:val="22"/>
          <w:szCs w:val="22"/>
        </w:rPr>
        <w:lastRenderedPageBreak/>
        <w:t xml:space="preserve">հարկաբյուջետային քաղաքականությունը պայմանավորվել է թե´ ծախսերի և թե´ եկամուտների ընդլայնող ազդեցությամբ: </w:t>
      </w:r>
    </w:p>
    <w:p w:rsidR="00CE0500" w:rsidRPr="00345666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</w:rPr>
      </w:pPr>
    </w:p>
    <w:p w:rsidR="00CE0500" w:rsidRPr="00FF25C5" w:rsidRDefault="00CE0500" w:rsidP="00CE0500">
      <w:pPr>
        <w:tabs>
          <w:tab w:val="left" w:pos="0"/>
          <w:tab w:val="left" w:pos="900"/>
        </w:tabs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en-US"/>
        </w:rPr>
      </w:pPr>
      <w:r w:rsidRPr="00FF25C5">
        <w:rPr>
          <w:rFonts w:ascii="GHEA Grapalat" w:hAnsi="GHEA Grapalat"/>
          <w:b/>
          <w:sz w:val="22"/>
          <w:szCs w:val="22"/>
          <w:lang w:val="en-US"/>
        </w:rPr>
        <w:t>Գծապատկեր 9.</w:t>
      </w:r>
      <w:r w:rsidRPr="00FF25C5">
        <w:rPr>
          <w:rFonts w:ascii="GHEA Grapalat" w:hAnsi="GHEA Grapalat"/>
          <w:sz w:val="22"/>
          <w:szCs w:val="22"/>
          <w:lang w:val="en-US"/>
        </w:rPr>
        <w:t xml:space="preserve"> Հարկաբյուջետային ազդակը 2009-2016 թվականներին</w:t>
      </w:r>
    </w:p>
    <w:p w:rsidR="00CE0500" w:rsidRPr="00CE0500" w:rsidRDefault="00CE0500" w:rsidP="00CE0500">
      <w:pPr>
        <w:rPr>
          <w:rFonts w:ascii="GHEA Grapalat" w:hAnsi="GHEA Grapalat"/>
        </w:rPr>
        <w:sectPr w:rsidR="00CE0500" w:rsidRPr="00CE0500" w:rsidSect="002D4A3F">
          <w:headerReference w:type="default" r:id="rId19"/>
          <w:pgSz w:w="11909" w:h="16834" w:code="9"/>
          <w:pgMar w:top="1134" w:right="567" w:bottom="567" w:left="1134" w:header="720" w:footer="720" w:gutter="0"/>
          <w:cols w:space="720"/>
          <w:docGrid w:linePitch="360"/>
        </w:sectPr>
      </w:pPr>
      <w:r w:rsidRPr="00FF25C5">
        <w:rPr>
          <w:rFonts w:ascii="GHEA Grapalat" w:hAnsi="GHEA Grapalat"/>
          <w:lang w:val="ru-RU" w:eastAsia="ru-RU"/>
        </w:rPr>
        <w:drawing>
          <wp:inline distT="0" distB="0" distL="0" distR="0">
            <wp:extent cx="5934075" cy="3000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8696C" w:rsidRPr="00CE0500" w:rsidRDefault="00B8696C">
      <w:pPr>
        <w:rPr>
          <w:rFonts w:ascii="Sylfaen" w:hAnsi="Sylfaen"/>
        </w:rPr>
      </w:pPr>
    </w:p>
    <w:sectPr w:rsidR="00B8696C" w:rsidRPr="00CE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CF" w:rsidRDefault="008521CF" w:rsidP="00CE0500">
      <w:r>
        <w:separator/>
      </w:r>
    </w:p>
  </w:endnote>
  <w:endnote w:type="continuationSeparator" w:id="0">
    <w:p w:rsidR="008521CF" w:rsidRDefault="008521CF" w:rsidP="00C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CF" w:rsidRDefault="008521CF" w:rsidP="00CE0500">
      <w:r>
        <w:separator/>
      </w:r>
    </w:p>
  </w:footnote>
  <w:footnote w:type="continuationSeparator" w:id="0">
    <w:p w:rsidR="008521CF" w:rsidRDefault="008521CF" w:rsidP="00CE0500">
      <w:r>
        <w:continuationSeparator/>
      </w:r>
    </w:p>
  </w:footnote>
  <w:footnote w:id="1">
    <w:p w:rsidR="00CE0500" w:rsidRPr="00C30FA3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C30FA3">
        <w:rPr>
          <w:rStyle w:val="a7"/>
          <w:rFonts w:ascii="GHEA Grapalat" w:hAnsi="GHEA Grapalat"/>
          <w:sz w:val="18"/>
          <w:szCs w:val="18"/>
        </w:rPr>
        <w:footnoteRef/>
      </w:r>
      <w:r w:rsidRPr="00C30FA3">
        <w:rPr>
          <w:rFonts w:ascii="GHEA Grapalat" w:hAnsi="GHEA Grapalat"/>
          <w:sz w:val="18"/>
          <w:szCs w:val="18"/>
        </w:rPr>
        <w:t xml:space="preserve"> </w:t>
      </w:r>
      <w:r w:rsidRPr="00C30FA3">
        <w:rPr>
          <w:rFonts w:ascii="GHEA Grapalat" w:hAnsi="GHEA Grapalat" w:cs="Sylfaen"/>
          <w:sz w:val="18"/>
          <w:szCs w:val="18"/>
        </w:rPr>
        <w:t>Այսուհետ ներկայացված են ճյուղերի համախառն թողարկումների ցուցանիշները:</w:t>
      </w:r>
    </w:p>
  </w:footnote>
  <w:footnote w:id="2">
    <w:p w:rsidR="00CE0500" w:rsidRPr="0009053B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09053B">
        <w:rPr>
          <w:rStyle w:val="a7"/>
          <w:rFonts w:ascii="GHEA Grapalat" w:hAnsi="GHEA Grapalat" w:cs="Sylfaen"/>
          <w:sz w:val="18"/>
          <w:szCs w:val="18"/>
          <w:lang w:val="en-US"/>
        </w:rPr>
        <w:footnoteRef/>
      </w:r>
      <w:r w:rsidRPr="0009053B">
        <w:rPr>
          <w:rFonts w:ascii="GHEA Grapalat" w:hAnsi="GHEA Grapalat"/>
          <w:sz w:val="18"/>
          <w:szCs w:val="18"/>
        </w:rPr>
        <w:t xml:space="preserve"> Այն ներառում է շարժիչային և կենցաղային վառելիքի մանրածախ առևտրի կետերը:</w:t>
      </w:r>
    </w:p>
  </w:footnote>
  <w:footnote w:id="3">
    <w:p w:rsidR="00CE0500" w:rsidRPr="0009053B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09053B">
        <w:rPr>
          <w:rStyle w:val="a7"/>
          <w:rFonts w:ascii="GHEA Grapalat" w:hAnsi="GHEA Grapalat"/>
          <w:sz w:val="18"/>
          <w:szCs w:val="18"/>
        </w:rPr>
        <w:footnoteRef/>
      </w:r>
      <w:r w:rsidRPr="0009053B">
        <w:rPr>
          <w:rFonts w:ascii="GHEA Grapalat" w:hAnsi="GHEA Grapalat" w:cs="Sylfaen"/>
          <w:sz w:val="18"/>
          <w:szCs w:val="18"/>
        </w:rPr>
        <w:t xml:space="preserve"> </w:t>
      </w:r>
      <w:r w:rsidRPr="0009053B">
        <w:rPr>
          <w:rFonts w:ascii="GHEA Grapalat" w:hAnsi="GHEA Grapalat"/>
          <w:sz w:val="18"/>
          <w:szCs w:val="18"/>
        </w:rPr>
        <w:t>Այն իր մեջ ներառում է նաև այլ երկրների ավիաընկերությունների ինքնաթիռներով իրականացված բեռնա</w:t>
      </w:r>
      <w:r w:rsidRPr="0009053B">
        <w:rPr>
          <w:rFonts w:ascii="GHEA Grapalat" w:hAnsi="GHEA Grapalat"/>
          <w:sz w:val="18"/>
          <w:szCs w:val="18"/>
        </w:rPr>
        <w:softHyphen/>
        <w:t>փո</w:t>
      </w:r>
      <w:r w:rsidRPr="0009053B">
        <w:rPr>
          <w:rFonts w:ascii="GHEA Grapalat" w:hAnsi="GHEA Grapalat"/>
          <w:sz w:val="18"/>
          <w:szCs w:val="18"/>
        </w:rPr>
        <w:softHyphen/>
        <w:t>խա</w:t>
      </w:r>
      <w:r w:rsidRPr="0009053B">
        <w:rPr>
          <w:rFonts w:ascii="GHEA Grapalat" w:hAnsi="GHEA Grapalat"/>
          <w:sz w:val="18"/>
          <w:szCs w:val="18"/>
        </w:rPr>
        <w:softHyphen/>
        <w:t>դրումները:</w:t>
      </w:r>
    </w:p>
  </w:footnote>
  <w:footnote w:id="4">
    <w:p w:rsidR="00CE0500" w:rsidRPr="00C30FA3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C30FA3">
        <w:rPr>
          <w:rStyle w:val="a7"/>
          <w:rFonts w:ascii="GHEA Grapalat" w:hAnsi="GHEA Grapalat"/>
          <w:sz w:val="18"/>
          <w:szCs w:val="18"/>
        </w:rPr>
        <w:footnoteRef/>
      </w:r>
      <w:r>
        <w:rPr>
          <w:rFonts w:ascii="GHEA Grapalat" w:hAnsi="GHEA Grapalat"/>
          <w:sz w:val="18"/>
          <w:szCs w:val="18"/>
        </w:rPr>
        <w:t xml:space="preserve"> </w:t>
      </w:r>
      <w:r w:rsidRPr="00C30FA3">
        <w:rPr>
          <w:rFonts w:ascii="GHEA Grapalat" w:hAnsi="GHEA Grapalat"/>
          <w:sz w:val="18"/>
          <w:szCs w:val="18"/>
        </w:rPr>
        <w:t>Ցուցանիշը նախնական է: Ներառված չեն փոքր և գերփոքր կազմակերպությունների տվյալները:</w:t>
      </w:r>
    </w:p>
  </w:footnote>
  <w:footnote w:id="5">
    <w:p w:rsidR="00CE0500" w:rsidRPr="00C30FA3" w:rsidRDefault="00CE0500" w:rsidP="00CE0500">
      <w:pPr>
        <w:pStyle w:val="a5"/>
        <w:jc w:val="both"/>
        <w:rPr>
          <w:rFonts w:ascii="GHEA Grapalat" w:hAnsi="GHEA Grapalat" w:cs="Sylfaen"/>
          <w:sz w:val="18"/>
          <w:szCs w:val="18"/>
        </w:rPr>
      </w:pPr>
      <w:r w:rsidRPr="00C30FA3">
        <w:rPr>
          <w:rStyle w:val="a7"/>
          <w:rFonts w:ascii="GHEA Grapalat" w:hAnsi="GHEA Grapalat"/>
          <w:sz w:val="18"/>
          <w:szCs w:val="18"/>
        </w:rPr>
        <w:footnoteRef/>
      </w:r>
      <w:r w:rsidRPr="00C30FA3">
        <w:rPr>
          <w:rFonts w:ascii="GHEA Grapalat" w:hAnsi="GHEA Grapalat"/>
          <w:sz w:val="18"/>
          <w:szCs w:val="18"/>
        </w:rPr>
        <w:t xml:space="preserve"> </w:t>
      </w:r>
      <w:r w:rsidRPr="00C30FA3">
        <w:rPr>
          <w:rFonts w:ascii="GHEA Grapalat" w:hAnsi="GHEA Grapalat" w:cs="Sylfaen"/>
          <w:sz w:val="18"/>
          <w:szCs w:val="18"/>
        </w:rPr>
        <w:t xml:space="preserve">Ներդրումների ճյուղային կառուցվածքի ցուցանիշները վերաբերում են ներդրումների կապիտալ շինարարությանն ուղղվող մասին: Ավելի մանրամասն տես </w:t>
      </w:r>
      <w:r w:rsidRPr="00832782">
        <w:rPr>
          <w:rFonts w:ascii="GHEA Grapalat" w:hAnsi="GHEA Grapalat" w:cs="Sylfaen"/>
          <w:sz w:val="18"/>
          <w:szCs w:val="18"/>
        </w:rPr>
        <w:t>«</w:t>
      </w:r>
      <w:r w:rsidRPr="00C30FA3">
        <w:rPr>
          <w:rFonts w:ascii="GHEA Grapalat" w:hAnsi="GHEA Grapalat" w:cs="Sylfaen"/>
          <w:sz w:val="18"/>
          <w:szCs w:val="18"/>
        </w:rPr>
        <w:t>Շինարարություն</w:t>
      </w:r>
      <w:r w:rsidRPr="00832782">
        <w:rPr>
          <w:rFonts w:ascii="GHEA Grapalat" w:hAnsi="GHEA Grapalat" w:cs="Sylfaen"/>
          <w:sz w:val="18"/>
          <w:szCs w:val="18"/>
        </w:rPr>
        <w:t>»</w:t>
      </w:r>
      <w:r w:rsidRPr="00C30FA3">
        <w:rPr>
          <w:rFonts w:ascii="GHEA Grapalat" w:hAnsi="GHEA Grapalat" w:cs="Sylfaen"/>
          <w:sz w:val="18"/>
          <w:szCs w:val="18"/>
        </w:rPr>
        <w:t xml:space="preserve"> հատվածում:</w:t>
      </w:r>
    </w:p>
  </w:footnote>
  <w:footnote w:id="6">
    <w:p w:rsidR="00CE0500" w:rsidRPr="0009053B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09053B">
        <w:rPr>
          <w:rStyle w:val="a7"/>
          <w:rFonts w:ascii="GHEA Grapalat" w:hAnsi="GHEA Grapalat"/>
          <w:sz w:val="18"/>
          <w:szCs w:val="18"/>
        </w:rPr>
        <w:footnoteRef/>
      </w:r>
      <w:r w:rsidRPr="0009053B">
        <w:rPr>
          <w:rFonts w:ascii="GHEA Grapalat" w:hAnsi="GHEA Grapalat" w:cs="Sylfaen"/>
          <w:sz w:val="18"/>
          <w:szCs w:val="18"/>
        </w:rPr>
        <w:t xml:space="preserve"> Այսուհետ ներկայացված է արտաքին առևտրի (ներմուծում՝ ՍԻՖ գներով) վիճակագրությունն ըստ բեռնամաքսային հայտարարագրերի:</w:t>
      </w:r>
    </w:p>
  </w:footnote>
  <w:footnote w:id="7">
    <w:p w:rsidR="00CE0500" w:rsidRPr="0009053B" w:rsidRDefault="00CE0500" w:rsidP="00CE0500">
      <w:pPr>
        <w:pStyle w:val="a5"/>
        <w:jc w:val="both"/>
        <w:rPr>
          <w:rFonts w:ascii="GHEA Grapalat" w:hAnsi="GHEA Grapalat"/>
          <w:sz w:val="18"/>
          <w:szCs w:val="18"/>
        </w:rPr>
      </w:pPr>
      <w:r w:rsidRPr="0009053B">
        <w:rPr>
          <w:rStyle w:val="a7"/>
          <w:rFonts w:ascii="GHEA Grapalat" w:hAnsi="GHEA Grapalat"/>
          <w:sz w:val="18"/>
          <w:szCs w:val="18"/>
        </w:rPr>
        <w:footnoteRef/>
      </w:r>
      <w:r w:rsidRPr="0009053B">
        <w:rPr>
          <w:rFonts w:ascii="GHEA Grapalat" w:hAnsi="GHEA Grapalat" w:cs="Sylfaen"/>
          <w:sz w:val="18"/>
          <w:szCs w:val="18"/>
        </w:rPr>
        <w:t xml:space="preserve"> Ապրանքների լայն տնտեսական դասակարգմամբ (BEC) խմբավորումները ՀՀ ֆինանսների նախարարության գնահատականներն են:</w:t>
      </w:r>
    </w:p>
  </w:footnote>
  <w:footnote w:id="8">
    <w:p w:rsidR="00CE0500" w:rsidRPr="0009053B" w:rsidRDefault="00CE0500" w:rsidP="00CE0500">
      <w:pPr>
        <w:pStyle w:val="a5"/>
        <w:tabs>
          <w:tab w:val="left" w:pos="180"/>
          <w:tab w:val="left" w:pos="360"/>
        </w:tabs>
        <w:jc w:val="both"/>
        <w:rPr>
          <w:rFonts w:ascii="GHEA Grapalat" w:hAnsi="GHEA Grapalat" w:cs="Sylfaen"/>
          <w:sz w:val="18"/>
          <w:szCs w:val="18"/>
        </w:rPr>
      </w:pPr>
      <w:r w:rsidRPr="0009053B">
        <w:rPr>
          <w:rStyle w:val="a7"/>
          <w:rFonts w:ascii="GHEA Grapalat" w:hAnsi="GHEA Grapalat"/>
          <w:sz w:val="18"/>
          <w:szCs w:val="18"/>
        </w:rPr>
        <w:footnoteRef/>
      </w:r>
      <w:r w:rsidRPr="0009053B">
        <w:rPr>
          <w:rFonts w:ascii="GHEA Grapalat" w:hAnsi="GHEA Grapalat"/>
          <w:sz w:val="18"/>
          <w:szCs w:val="18"/>
        </w:rPr>
        <w:t xml:space="preserve"> </w:t>
      </w:r>
      <w:r w:rsidRPr="0009053B">
        <w:rPr>
          <w:rFonts w:ascii="GHEA Grapalat" w:hAnsi="GHEA Grapalat" w:cs="Sylfaen"/>
          <w:sz w:val="18"/>
          <w:szCs w:val="18"/>
        </w:rPr>
        <w:t>Ընդգրկված չեն կուտակված տոկոսները: Վարկերի մեջ ներառված են նաև ֆակտորինգային, լիզինգային գործառնությունները և ռեպո համաձայնագրերը: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00" w:rsidRPr="00B179E6" w:rsidRDefault="00CE0500" w:rsidP="002D4A3F">
    <w:pPr>
      <w:pStyle w:val="a3"/>
      <w:jc w:val="right"/>
      <w:rPr>
        <w:rFonts w:ascii="GHEA Grapalat" w:hAnsi="GHEA Grapalat"/>
        <w:b/>
        <w:bCs/>
        <w:i/>
        <w:iCs/>
        <w:sz w:val="18"/>
      </w:rPr>
    </w:pPr>
    <w:r w:rsidRPr="00B179E6">
      <w:rPr>
        <w:rFonts w:ascii="GHEA Grapalat" w:hAnsi="GHEA Grapalat" w:cs="Sylfaen"/>
        <w:b/>
        <w:bCs/>
        <w:i/>
        <w:iCs/>
        <w:sz w:val="18"/>
      </w:rPr>
      <w:t>ՀԱՅԱՍՏԱՆԻ</w:t>
    </w:r>
    <w:r w:rsidRPr="00B179E6">
      <w:rPr>
        <w:rFonts w:ascii="GHEA Grapalat" w:hAnsi="GHEA Grapalat" w:cs="Times Armenian"/>
        <w:b/>
        <w:bCs/>
        <w:i/>
        <w:iCs/>
        <w:sz w:val="18"/>
      </w:rPr>
      <w:t xml:space="preserve"> </w:t>
    </w:r>
    <w:r w:rsidRPr="00B179E6">
      <w:rPr>
        <w:rFonts w:ascii="GHEA Grapalat" w:hAnsi="GHEA Grapalat" w:cs="Sylfaen"/>
        <w:b/>
        <w:bCs/>
        <w:i/>
        <w:iCs/>
        <w:sz w:val="18"/>
      </w:rPr>
      <w:t>ՀԱՆՐԱՊԵՏՈՒԹՅԱՆ</w:t>
    </w:r>
    <w:r w:rsidRPr="00B179E6">
      <w:rPr>
        <w:rFonts w:ascii="GHEA Grapalat" w:hAnsi="GHEA Grapalat" w:cs="Times Armenian"/>
        <w:b/>
        <w:bCs/>
        <w:i/>
        <w:iCs/>
        <w:sz w:val="18"/>
      </w:rPr>
      <w:t xml:space="preserve"> </w:t>
    </w:r>
    <w:r w:rsidRPr="00B179E6">
      <w:rPr>
        <w:rFonts w:ascii="GHEA Grapalat" w:hAnsi="GHEA Grapalat" w:cs="Sylfaen"/>
        <w:b/>
        <w:bCs/>
        <w:i/>
        <w:iCs/>
        <w:sz w:val="18"/>
      </w:rPr>
      <w:t>ՏՆՏԵՍՈՒԹՅԱՆ</w:t>
    </w:r>
  </w:p>
  <w:p w:rsidR="00CE0500" w:rsidRPr="00B179E6" w:rsidRDefault="00CE0500" w:rsidP="002D4A3F">
    <w:pPr>
      <w:pStyle w:val="a3"/>
      <w:jc w:val="right"/>
      <w:rPr>
        <w:rFonts w:ascii="GHEA Grapalat" w:hAnsi="GHEA Grapalat"/>
        <w:b/>
        <w:bCs/>
        <w:i/>
        <w:iCs/>
        <w:sz w:val="18"/>
        <w:lang w:val="en-US"/>
      </w:rPr>
    </w:pPr>
    <w:r w:rsidRPr="00B179E6">
      <w:rPr>
        <w:rFonts w:ascii="GHEA Grapalat" w:hAnsi="GHEA Grapalat" w:cs="Sylfaen"/>
        <w:b/>
        <w:bCs/>
        <w:i/>
        <w:iCs/>
        <w:sz w:val="18"/>
      </w:rPr>
      <w:t>ԸՆԴՀԱՆՈՒՐ</w:t>
    </w:r>
    <w:r w:rsidRPr="00B179E6">
      <w:rPr>
        <w:rFonts w:ascii="GHEA Grapalat" w:hAnsi="GHEA Grapalat" w:cs="Times Armenian"/>
        <w:b/>
        <w:bCs/>
        <w:i/>
        <w:iCs/>
        <w:sz w:val="18"/>
      </w:rPr>
      <w:t xml:space="preserve"> </w:t>
    </w:r>
    <w:r w:rsidRPr="00B179E6">
      <w:rPr>
        <w:rFonts w:ascii="GHEA Grapalat" w:hAnsi="GHEA Grapalat" w:cs="Sylfaen"/>
        <w:b/>
        <w:bCs/>
        <w:i/>
        <w:iCs/>
        <w:sz w:val="18"/>
      </w:rPr>
      <w:t>ԲՆՈՒԹԱԳԻՐԸ</w:t>
    </w:r>
    <w:r w:rsidRPr="00B179E6">
      <w:rPr>
        <w:rFonts w:ascii="GHEA Grapalat" w:hAnsi="GHEA Grapalat" w:cs="Times Armenian"/>
        <w:b/>
        <w:bCs/>
        <w:i/>
        <w:iCs/>
        <w:sz w:val="18"/>
      </w:rPr>
      <w:t xml:space="preserve"> 201</w:t>
    </w:r>
    <w:r>
      <w:rPr>
        <w:rFonts w:ascii="GHEA Grapalat" w:hAnsi="GHEA Grapalat" w:cs="Times Armenian"/>
        <w:b/>
        <w:bCs/>
        <w:i/>
        <w:iCs/>
        <w:sz w:val="18"/>
        <w:lang w:val="en-US"/>
      </w:rPr>
      <w:t>6</w:t>
    </w:r>
    <w:r w:rsidRPr="00B179E6">
      <w:rPr>
        <w:rFonts w:ascii="GHEA Grapalat" w:hAnsi="GHEA Grapalat" w:cs="Times Armenian"/>
        <w:b/>
        <w:bCs/>
        <w:i/>
        <w:iCs/>
        <w:sz w:val="18"/>
      </w:rPr>
      <w:t xml:space="preserve"> </w:t>
    </w:r>
    <w:r w:rsidRPr="00B179E6">
      <w:rPr>
        <w:rFonts w:ascii="GHEA Grapalat" w:hAnsi="GHEA Grapalat" w:cs="Sylfaen"/>
        <w:b/>
        <w:bCs/>
        <w:i/>
        <w:iCs/>
        <w:sz w:val="18"/>
      </w:rPr>
      <w:t>ԹՎԱԿԱՆԻՆ</w:t>
    </w:r>
    <w:r w:rsidRPr="00B179E6">
      <w:rPr>
        <w:rFonts w:ascii="GHEA Grapalat" w:hAnsi="GHEA Grapalat"/>
        <w:b/>
        <w:bCs/>
        <w:i/>
        <w:iCs/>
        <w:sz w:val="18"/>
      </w:rPr>
      <w:t xml:space="preserve"> </w:t>
    </w:r>
  </w:p>
  <w:p w:rsidR="00CE0500" w:rsidRDefault="00CE0500">
    <w:pPr>
      <w:pStyle w:val="a3"/>
      <w:jc w:val="right"/>
    </w:pPr>
    <w:r>
      <w:rPr>
        <w:rFonts w:ascii="GHEA Grapalat" w:hAnsi="GHEA Grapalat" w:cs="Sylfaen"/>
        <w:b/>
        <w:bCs/>
        <w:i/>
        <w:iCs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6515100" cy="0"/>
              <wp:effectExtent l="34290" t="34290" r="32385" b="32385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94B5C"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1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4"/>
    <w:rsid w:val="002E0D34"/>
    <w:rsid w:val="008521CF"/>
    <w:rsid w:val="00B8696C"/>
    <w:rsid w:val="00C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63F7D-5765-4E4E-8250-ACE2D2E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paragraph" w:styleId="1">
    <w:name w:val="heading 1"/>
    <w:basedOn w:val="a"/>
    <w:next w:val="a"/>
    <w:link w:val="10"/>
    <w:qFormat/>
    <w:rsid w:val="00CE0500"/>
    <w:pPr>
      <w:keepNext/>
      <w:outlineLvl w:val="0"/>
    </w:pPr>
    <w:rPr>
      <w:rFonts w:ascii="Times Armenian" w:hAnsi="Times Armeni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500"/>
    <w:rPr>
      <w:rFonts w:ascii="Times Armenian" w:eastAsia="Times New Roman" w:hAnsi="Times Armenian" w:cs="Times New Roman"/>
      <w:b/>
      <w:i/>
      <w:noProof/>
      <w:sz w:val="28"/>
      <w:szCs w:val="20"/>
      <w:lang w:val="hy-AM"/>
    </w:rPr>
  </w:style>
  <w:style w:type="paragraph" w:styleId="a3">
    <w:name w:val="header"/>
    <w:aliases w:val="Header Char Char Char Char Char Char Char Char Char Char,Header Char Char Char Char Char Char Char Char Char Char Char Char,h"/>
    <w:basedOn w:val="a"/>
    <w:link w:val="a4"/>
    <w:rsid w:val="00CE050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aliases w:val="Header Char Char Char Char Char Char Char Char Char Char Знак,Header Char Char Char Char Char Char Char Char Char Char Char Char Знак,h Знак"/>
    <w:basedOn w:val="a0"/>
    <w:link w:val="a3"/>
    <w:rsid w:val="00CE0500"/>
    <w:rPr>
      <w:rFonts w:ascii="Times New Roman" w:eastAsia="Times New Roman" w:hAnsi="Times New Roman" w:cs="Times New Roman"/>
      <w:noProof/>
      <w:sz w:val="24"/>
      <w:szCs w:val="24"/>
      <w:lang w:val="hy-AM"/>
    </w:rPr>
  </w:style>
  <w:style w:type="paragraph" w:styleId="a5">
    <w:name w:val="footnote text"/>
    <w:aliases w:val="fn,ADB,single space,footnote text Char,fn Char,ADB Char,single space Char Char,footnote text,FOOTNOTES Char,FOOTNOTES Char Char Char,FOOTNOTES,Footnote Text Char2 Char,Footnote Text Char1 Char Char,Footnote Text Char2 Char Char Char"/>
    <w:basedOn w:val="a"/>
    <w:link w:val="a6"/>
    <w:rsid w:val="00CE0500"/>
    <w:rPr>
      <w:sz w:val="20"/>
      <w:szCs w:val="20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"/>
    <w:basedOn w:val="a0"/>
    <w:link w:val="a5"/>
    <w:rsid w:val="00CE0500"/>
    <w:rPr>
      <w:rFonts w:ascii="Times New Roman" w:eastAsia="Times New Roman" w:hAnsi="Times New Roman" w:cs="Times New Roman"/>
      <w:noProof/>
      <w:sz w:val="20"/>
      <w:szCs w:val="20"/>
      <w:lang w:val="hy-AM"/>
    </w:rPr>
  </w:style>
  <w:style w:type="character" w:styleId="a7">
    <w:name w:val="footnote reference"/>
    <w:aliases w:val="ftref,Footnote Reference Number,Footnote Reference_LVL6,Footnote Reference_LVL61,Footnote Reference_LVL62,Footnote Reference_LVL63,Footnote Reference_LVL64,16 Point,Superscript 6 Point,Знак сноски-FN"/>
    <w:rsid w:val="00CE0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3"/>
            </a:pPr>
            <a:r>
              <a:rPr lang="en-US" sz="893">
                <a:latin typeface="GHEA Grapalat" pitchFamily="50" charset="0"/>
              </a:rPr>
              <a:t>2016 </a:t>
            </a:r>
            <a:r>
              <a:rPr lang="ru-RU" sz="893">
                <a:latin typeface="GHEA Grapalat" pitchFamily="50" charset="0"/>
              </a:rPr>
              <a:t>թվականի  ՀՆԱ-ի աճին  ճյուղերի</a:t>
            </a:r>
            <a:r>
              <a:rPr lang="ru-RU" sz="893" baseline="0">
                <a:latin typeface="GHEA Grapalat" pitchFamily="50" charset="0"/>
              </a:rPr>
              <a:t> ավելացված արժեքների նպաստումները</a:t>
            </a:r>
            <a:r>
              <a:rPr lang="ru-RU" sz="893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35094626329606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  <c:spPr>
              <a:pattFill prst="horzBrick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Արդյունաբերություն</c:v>
                </c:pt>
                <c:pt idx="1">
                  <c:v>Գյուղատնտեսություն</c:v>
                </c:pt>
                <c:pt idx="2">
                  <c:v>Շինարարություն</c:v>
                </c:pt>
                <c:pt idx="3">
                  <c:v>Ծառայություններ</c:v>
                </c:pt>
                <c:pt idx="4">
                  <c:v>Զուտ անուղղակի հարկեր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0.82953818980546645</c:v>
                </c:pt>
                <c:pt idx="1">
                  <c:v>-1.0015838471855321</c:v>
                </c:pt>
                <c:pt idx="2">
                  <c:v>-1</c:v>
                </c:pt>
                <c:pt idx="3">
                  <c:v>1.9010922143865079</c:v>
                </c:pt>
                <c:pt idx="4">
                  <c:v>-0.4577607431029137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8357">
          <a:noFill/>
        </a:ln>
      </c:spPr>
    </c:plotArea>
    <c:legend>
      <c:legendPos val="r"/>
      <c:layout>
        <c:manualLayout>
          <c:xMode val="edge"/>
          <c:yMode val="edge"/>
          <c:x val="9.9337748344370865E-3"/>
          <c:y val="0.71823204419889508"/>
          <c:w val="0.9370860927152318"/>
          <c:h val="0.22651933701657459"/>
        </c:manualLayout>
      </c:layout>
      <c:overlay val="0"/>
      <c:txPr>
        <a:bodyPr/>
        <a:lstStyle/>
        <a:p>
          <a:pPr>
            <a:defRPr sz="893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00" b="1" i="0" baseline="0">
                <a:effectLst/>
                <a:latin typeface="GHEA Grapalat" pitchFamily="50" charset="0"/>
              </a:rPr>
              <a:t>Ավանդների ծավալների աճ , 2015 2016թթ.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7827447949374425"/>
          <c:y val="6.36941174432403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11"/>
              <c:layout>
                <c:manualLayout>
                  <c:x val="-6.7460317460317457E-2"/>
                  <c:y val="-8.49256900212322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11.376589946600674</c:v>
                </c:pt>
                <c:pt idx="1">
                  <c:v>11.4031367283131</c:v>
                </c:pt>
                <c:pt idx="2">
                  <c:v>3.8435915852024607</c:v>
                </c:pt>
                <c:pt idx="3">
                  <c:v>9.7654431820391778</c:v>
                </c:pt>
                <c:pt idx="4">
                  <c:v>10.448971941141068</c:v>
                </c:pt>
                <c:pt idx="5">
                  <c:v>7.1458757294243327</c:v>
                </c:pt>
                <c:pt idx="6">
                  <c:v>11.085690715698874</c:v>
                </c:pt>
                <c:pt idx="7">
                  <c:v>12.588025315093304</c:v>
                </c:pt>
                <c:pt idx="8">
                  <c:v>11.971507436325538</c:v>
                </c:pt>
                <c:pt idx="9">
                  <c:v>10.688313587109064</c:v>
                </c:pt>
                <c:pt idx="10">
                  <c:v>8.8965827359002816</c:v>
                </c:pt>
                <c:pt idx="11">
                  <c:v>11.015178318717261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1"/>
              <c:layout>
                <c:manualLayout>
                  <c:x val="-7.4282686273048681E-2"/>
                  <c:y val="1.05639843800012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13.231277255231149</c:v>
                </c:pt>
                <c:pt idx="1">
                  <c:v>16.010156981245487</c:v>
                </c:pt>
                <c:pt idx="2">
                  <c:v>17.772799090814217</c:v>
                </c:pt>
                <c:pt idx="3">
                  <c:v>12.913876409932314</c:v>
                </c:pt>
                <c:pt idx="4">
                  <c:v>10.1404860947315</c:v>
                </c:pt>
                <c:pt idx="5">
                  <c:v>14.179008522284747</c:v>
                </c:pt>
                <c:pt idx="6">
                  <c:v>12.46272061397795</c:v>
                </c:pt>
                <c:pt idx="7">
                  <c:v>14.020671261063413</c:v>
                </c:pt>
                <c:pt idx="8">
                  <c:v>15.734204754056961</c:v>
                </c:pt>
                <c:pt idx="9">
                  <c:v>17.347046002852281</c:v>
                </c:pt>
                <c:pt idx="10">
                  <c:v>18.389253963190754</c:v>
                </c:pt>
                <c:pt idx="11">
                  <c:v>23.691871825037495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005680"/>
        <c:axId val="381006072"/>
      </c:lineChart>
      <c:catAx>
        <c:axId val="38100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006072"/>
        <c:crosses val="autoZero"/>
        <c:auto val="1"/>
        <c:lblAlgn val="ctr"/>
        <c:lblOffset val="100"/>
        <c:noMultiLvlLbl val="0"/>
      </c:catAx>
      <c:valAx>
        <c:axId val="3810060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38100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246913580246915"/>
          <c:y val="0.89700996677740863"/>
          <c:w val="0.38271604938271603"/>
          <c:h val="6.6445182724252497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99"/>
            </a:pPr>
            <a:r>
              <a:rPr lang="en-US" sz="799">
                <a:latin typeface="GHEA Grapalat" pitchFamily="50" charset="0"/>
              </a:rPr>
              <a:t>2016 </a:t>
            </a:r>
            <a:r>
              <a:rPr lang="ru-RU" sz="799">
                <a:latin typeface="GHEA Grapalat" pitchFamily="50" charset="0"/>
              </a:rPr>
              <a:t>թվականի </a:t>
            </a:r>
            <a:r>
              <a:rPr lang="en-US" sz="799">
                <a:latin typeface="GHEA Grapalat" pitchFamily="50" charset="0"/>
              </a:rPr>
              <a:t>հարկերի</a:t>
            </a:r>
            <a:r>
              <a:rPr lang="en-US" sz="799" baseline="0">
                <a:latin typeface="GHEA Grapalat" pitchFamily="50" charset="0"/>
              </a:rPr>
              <a:t> և տուրքեր</a:t>
            </a:r>
            <a:r>
              <a:rPr lang="ru-RU" sz="799">
                <a:latin typeface="GHEA Grapalat" pitchFamily="50" charset="0"/>
              </a:rPr>
              <a:t>ի աճի  </a:t>
            </a:r>
            <a:r>
              <a:rPr lang="ru-RU" sz="799" baseline="0">
                <a:latin typeface="GHEA Grapalat" pitchFamily="50" charset="0"/>
              </a:rPr>
              <a:t>նպաստումները</a:t>
            </a:r>
            <a:r>
              <a:rPr lang="ru-RU" sz="799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33513443853716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1.6245542015833709</c:v>
                </c:pt>
                <c:pt idx="1">
                  <c:v>4.7633508254841965E-2</c:v>
                </c:pt>
                <c:pt idx="2">
                  <c:v>-0.56717262714030692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2.7522935779816515E-2"/>
          <c:y val="0.76"/>
          <c:w val="0.90519877675840976"/>
          <c:h val="0.21333333333333335"/>
        </c:manualLayout>
      </c:layout>
      <c:overlay val="0"/>
      <c:txPr>
        <a:bodyPr/>
        <a:lstStyle/>
        <a:p>
          <a:pPr>
            <a:defRPr sz="799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798"/>
            </a:pPr>
            <a:r>
              <a:rPr lang="en-US" sz="798">
                <a:latin typeface="GHEA Grapalat" pitchFamily="50" charset="0"/>
              </a:rPr>
              <a:t>2015 </a:t>
            </a:r>
            <a:r>
              <a:rPr lang="ru-RU" sz="798">
                <a:latin typeface="GHEA Grapalat" pitchFamily="50" charset="0"/>
              </a:rPr>
              <a:t>թվականի</a:t>
            </a:r>
            <a:r>
              <a:rPr lang="en-US" sz="798" baseline="0">
                <a:latin typeface="GHEA Grapalat" pitchFamily="50" charset="0"/>
              </a:rPr>
              <a:t> հ</a:t>
            </a:r>
            <a:r>
              <a:rPr lang="en-US" sz="798">
                <a:latin typeface="GHEA Grapalat" pitchFamily="50" charset="0"/>
              </a:rPr>
              <a:t>արկերի</a:t>
            </a:r>
            <a:r>
              <a:rPr lang="en-US" sz="798" baseline="0">
                <a:latin typeface="GHEA Grapalat" pitchFamily="50" charset="0"/>
              </a:rPr>
              <a:t> և տուրքեր</a:t>
            </a:r>
            <a:r>
              <a:rPr lang="ru-RU" sz="798">
                <a:latin typeface="GHEA Grapalat" pitchFamily="50" charset="0"/>
              </a:rPr>
              <a:t>ի աճի  </a:t>
            </a:r>
            <a:r>
              <a:rPr lang="ru-RU" sz="798" baseline="0">
                <a:latin typeface="GHEA Grapalat" pitchFamily="50" charset="0"/>
              </a:rPr>
              <a:t>նպաստումները</a:t>
            </a:r>
            <a:r>
              <a:rPr lang="ru-RU" sz="798">
                <a:latin typeface="GHEA Grapalat" pitchFamily="50" charset="0"/>
              </a:rPr>
              <a:t> </a:t>
            </a: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473333360954881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Ներքին տնտեսությունից հավաքագրված հարկեր</c:v>
                </c:pt>
                <c:pt idx="1">
                  <c:v>Ներմուծման գծով հարկեր</c:v>
                </c:pt>
                <c:pt idx="2">
                  <c:v>Մաքսատուրքեր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2.5266411693113024</c:v>
                </c:pt>
                <c:pt idx="1">
                  <c:v>-3.4024854036064824</c:v>
                </c:pt>
                <c:pt idx="2">
                  <c:v>1.2301633985399663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2.4464831804281346E-2"/>
          <c:y val="0.75663716814159288"/>
          <c:w val="0.91437308868501532"/>
          <c:h val="0.21238938053097345"/>
        </c:manualLayout>
      </c:layout>
      <c:overlay val="0"/>
      <c:txPr>
        <a:bodyPr/>
        <a:lstStyle/>
        <a:p>
          <a:pPr>
            <a:defRPr sz="798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86220472440945E-2"/>
          <c:y val="5.1191256830601092E-2"/>
          <c:w val="0.8507175624786032"/>
          <c:h val="0.743286433458112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եկամուտների ազդակ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Sheet1!$B$2:$B$9</c:f>
              <c:numCache>
                <c:formatCode>0.00</c:formatCode>
                <c:ptCount val="8"/>
                <c:pt idx="0">
                  <c:v>-0.24104406289584862</c:v>
                </c:pt>
                <c:pt idx="1">
                  <c:v>-0.57085673533720649</c:v>
                </c:pt>
                <c:pt idx="2">
                  <c:v>0.25679943442304326</c:v>
                </c:pt>
                <c:pt idx="3">
                  <c:v>-1.3511365090303733</c:v>
                </c:pt>
                <c:pt idx="4">
                  <c:v>-1.4863256211431626</c:v>
                </c:pt>
                <c:pt idx="5">
                  <c:v>-0.12448532982367402</c:v>
                </c:pt>
                <c:pt idx="6">
                  <c:v>0.73864187735302644</c:v>
                </c:pt>
                <c:pt idx="7">
                  <c:v>0.12348098108023167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ծախսերի ազդակ</c:v>
                </c:pt>
              </c:strCache>
            </c:strRef>
          </c:tx>
          <c:spPr>
            <a:pattFill prst="wdUpDiag">
              <a:fgClr>
                <a:srgbClr val="4F81BD"/>
              </a:fgClr>
              <a:bgClr>
                <a:sysClr val="window" lastClr="FFFFFF"/>
              </a:bgClr>
            </a:pattFill>
            <a:ln w="25400"/>
          </c:spPr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Sheet1!$C$2:$C$9</c:f>
              <c:numCache>
                <c:formatCode>0.00</c:formatCode>
                <c:ptCount val="8"/>
                <c:pt idx="0">
                  <c:v>5.5572844716171517</c:v>
                </c:pt>
                <c:pt idx="1">
                  <c:v>-1.7900764859907794</c:v>
                </c:pt>
                <c:pt idx="2">
                  <c:v>-0.98266150694292576</c:v>
                </c:pt>
                <c:pt idx="3">
                  <c:v>-0.75197006315636683</c:v>
                </c:pt>
                <c:pt idx="4">
                  <c:v>1.5740160014346336</c:v>
                </c:pt>
                <c:pt idx="5">
                  <c:v>0.20151651457764613</c:v>
                </c:pt>
                <c:pt idx="6">
                  <c:v>1.860170599918183</c:v>
                </c:pt>
                <c:pt idx="7">
                  <c:v>0.25729667183718335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1699720"/>
        <c:axId val="581698936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հարկաբյուջետային ազդակ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Sheet1!$D$2:$D$9</c:f>
              <c:numCache>
                <c:formatCode>0.00</c:formatCode>
                <c:ptCount val="8"/>
                <c:pt idx="0">
                  <c:v>5.3162404087213027</c:v>
                </c:pt>
                <c:pt idx="1">
                  <c:v>-2.3609332213279859</c:v>
                </c:pt>
                <c:pt idx="2">
                  <c:v>-0.72586207251988255</c:v>
                </c:pt>
                <c:pt idx="3">
                  <c:v>-2.1031065721867401</c:v>
                </c:pt>
                <c:pt idx="4">
                  <c:v>8.7690380291471026E-2</c:v>
                </c:pt>
                <c:pt idx="5">
                  <c:v>7.703118475397211E-2</c:v>
                </c:pt>
                <c:pt idx="6">
                  <c:v>2.5988124772712093</c:v>
                </c:pt>
                <c:pt idx="7">
                  <c:v>0.38077765291741505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1699720"/>
        <c:axId val="581698936"/>
      </c:lineChart>
      <c:catAx>
        <c:axId val="581699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81698936"/>
        <c:crosses val="autoZero"/>
        <c:auto val="1"/>
        <c:lblAlgn val="ctr"/>
        <c:lblOffset val="100"/>
        <c:noMultiLvlLbl val="0"/>
      </c:catAx>
      <c:valAx>
        <c:axId val="581698936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81699720"/>
        <c:crosses val="autoZero"/>
        <c:crossBetween val="between"/>
      </c:valAx>
      <c:spPr>
        <a:ln w="25400">
          <a:noFill/>
        </a:ln>
      </c:spPr>
    </c:plotArea>
    <c:legend>
      <c:legendPos val="r"/>
      <c:layout>
        <c:manualLayout>
          <c:xMode val="edge"/>
          <c:yMode val="edge"/>
          <c:x val="4.241435171337711E-2"/>
          <c:y val="0.89508205887916137"/>
          <c:w val="0.89885813711644869"/>
          <c:h val="8.5245762442754835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100" b="1" i="0" baseline="0">
                <a:effectLst/>
              </a:rPr>
              <a:t>2015թ</a:t>
            </a:r>
            <a:r>
              <a:rPr lang="ru-RU" sz="1100" b="1" i="0" baseline="0">
                <a:effectLst/>
              </a:rPr>
              <a:t> -0</a:t>
            </a:r>
            <a:r>
              <a:rPr lang="en-US" sz="1100" b="1" i="0" baseline="0">
                <a:effectLst/>
              </a:rPr>
              <a:t>.</a:t>
            </a:r>
            <a:r>
              <a:rPr lang="ru-RU" sz="1100" b="1" i="0" baseline="0">
                <a:effectLst/>
              </a:rPr>
              <a:t>1</a:t>
            </a:r>
            <a:r>
              <a:rPr lang="en-US" sz="1100" b="1" i="0" baseline="0">
                <a:effectLst/>
              </a:rPr>
              <a:t>%</a:t>
            </a:r>
            <a:r>
              <a:rPr lang="hy-AM" sz="1100" b="1" i="0" baseline="0">
                <a:effectLst/>
              </a:rPr>
              <a:t> </a:t>
            </a:r>
            <a:r>
              <a:rPr lang="en-US" sz="1100" b="1" i="0" baseline="0">
                <a:effectLst/>
              </a:rPr>
              <a:t>12-</a:t>
            </a:r>
            <a:r>
              <a:rPr lang="ru-RU" sz="1100" b="1" i="0" baseline="0">
                <a:effectLst/>
              </a:rPr>
              <a:t>ամսյա</a:t>
            </a:r>
            <a:r>
              <a:rPr lang="hy-AM" sz="1100" b="1" i="0" baseline="0">
                <a:effectLst/>
              </a:rPr>
              <a:t> գնաճ</a:t>
            </a:r>
            <a:r>
              <a:rPr lang="en-US" sz="1100" b="1" i="0" baseline="0">
                <a:effectLst/>
              </a:rPr>
              <a:t>  (նպաստումներ 3 ապրանքախմբով)</a:t>
            </a:r>
            <a:endParaRPr lang="en-US" sz="11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3.1449112339218467E-2"/>
          <c:y val="4.310246933419036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12-ամսյա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պարենային ապրանքներ (ներառյալ ոգելից խմիչքը և ծխախոտ) </c:v>
                </c:pt>
                <c:pt idx="1">
                  <c:v>ոչ պարենային ապրանքներ</c:v>
                </c:pt>
                <c:pt idx="2">
                  <c:v>ծառայություններ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-1.8</c:v>
                </c:pt>
                <c:pt idx="1">
                  <c:v>0.7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2.8125000000000001E-2"/>
          <c:y val="0.75720164609053497"/>
          <c:w val="0.91249999999999998"/>
          <c:h val="0.23868312757201646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y-AM" sz="1100" b="1" i="0" baseline="0">
                <a:effectLst/>
              </a:rPr>
              <a:t>2016թ</a:t>
            </a:r>
            <a:r>
              <a:rPr lang="en-US" sz="1100" b="1" i="0" baseline="0">
                <a:effectLst/>
              </a:rPr>
              <a:t> -1.1</a:t>
            </a:r>
            <a:r>
              <a:rPr lang="ru-RU" sz="1100" b="1" i="0" baseline="0">
                <a:effectLst/>
              </a:rPr>
              <a:t>%</a:t>
            </a:r>
            <a:r>
              <a:rPr lang="hy-AM" sz="1100" b="1" i="0" baseline="0">
                <a:effectLst/>
              </a:rPr>
              <a:t> </a:t>
            </a:r>
            <a:r>
              <a:rPr lang="en-US" sz="1100" b="1" i="0" baseline="0">
                <a:effectLst/>
              </a:rPr>
              <a:t>12-ամսյա գնաճ  (նպաստումներ 3 ապրանքախմբով)</a:t>
            </a:r>
            <a:endParaRPr lang="en-US" sz="11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GHEA Grapalat" pitchFamily="50" charset="0"/>
              </a:rPr>
              <a:t> 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3.9971607322669571E-2"/>
          <c:y val="1.4765896198459065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79665246762188E-2"/>
          <c:y val="0.2718556847060784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12-ամսյա գնաճ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պարենային ապրանքներ (ներառյալ ոգելից խմիչքը և ծխախոտ) </c:v>
                </c:pt>
                <c:pt idx="1">
                  <c:v>ոչ պարենային ապրանքներ</c:v>
                </c:pt>
                <c:pt idx="2">
                  <c:v>ծառայություններ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-0.1</c:v>
                </c:pt>
                <c:pt idx="1">
                  <c:v>-0.8</c:v>
                </c:pt>
                <c:pt idx="2">
                  <c:v>-0.2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2658227848101266E-2"/>
          <c:y val="0.75609756097560976"/>
          <c:w val="0.90822784810126578"/>
          <c:h val="0.2113821138211382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50198639086901"/>
          <c:y val="5.2830294608895816E-2"/>
          <c:w val="0.83154361024020929"/>
          <c:h val="0.6415094339622641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Ապրանքների և ծառայությունների արտահանում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Sheet1!$B$2:$R$2</c:f>
              <c:numCache>
                <c:formatCode>0.0</c:formatCode>
                <c:ptCount val="17"/>
                <c:pt idx="0">
                  <c:v>23.8</c:v>
                </c:pt>
                <c:pt idx="1">
                  <c:v>26.5</c:v>
                </c:pt>
                <c:pt idx="2">
                  <c:v>31.5</c:v>
                </c:pt>
                <c:pt idx="3">
                  <c:v>35</c:v>
                </c:pt>
                <c:pt idx="4">
                  <c:v>31.2</c:v>
                </c:pt>
                <c:pt idx="5">
                  <c:v>29.8</c:v>
                </c:pt>
                <c:pt idx="6">
                  <c:v>25.8</c:v>
                </c:pt>
                <c:pt idx="7">
                  <c:v>21.4</c:v>
                </c:pt>
                <c:pt idx="8">
                  <c:v>16.7</c:v>
                </c:pt>
                <c:pt idx="9">
                  <c:v>18</c:v>
                </c:pt>
                <c:pt idx="10">
                  <c:v>23.9</c:v>
                </c:pt>
                <c:pt idx="11">
                  <c:v>27</c:v>
                </c:pt>
                <c:pt idx="12">
                  <c:v>27.5</c:v>
                </c:pt>
                <c:pt idx="13">
                  <c:v>28.4</c:v>
                </c:pt>
                <c:pt idx="14">
                  <c:v>28.6</c:v>
                </c:pt>
                <c:pt idx="15">
                  <c:v>29.8</c:v>
                </c:pt>
                <c:pt idx="16">
                  <c:v>33.200000000000003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Ապրանքների և ծառայությունների ներմուծում</c:v>
                </c:pt>
              </c:strCache>
            </c:strRef>
          </c:tx>
          <c:spPr>
            <a:solidFill>
              <a:srgbClr val="9BBB59"/>
            </a:solidFill>
            <a:ln w="12700">
              <a:solidFill>
                <a:srgbClr val="000000"/>
              </a:solidFill>
              <a:prstDash val="solid"/>
            </a:ln>
            <a:effectLst>
              <a:outerShdw blurRad="50800" dist="50800" dir="5400000" algn="ctr" rotWithShape="0">
                <a:schemeClr val="accent3">
                  <a:lumMod val="75000"/>
                </a:schemeClr>
              </a:outerShdw>
            </a:effectLst>
          </c:spPr>
          <c:invertIfNegative val="0"/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Sheet1!$B$4:$R$4</c:f>
              <c:numCache>
                <c:formatCode>0.0</c:formatCode>
                <c:ptCount val="17"/>
                <c:pt idx="0">
                  <c:v>51.6</c:v>
                </c:pt>
                <c:pt idx="1">
                  <c:v>51.1</c:v>
                </c:pt>
                <c:pt idx="2">
                  <c:v>50.8</c:v>
                </c:pt>
                <c:pt idx="3">
                  <c:v>54.5</c:v>
                </c:pt>
                <c:pt idx="4">
                  <c:v>49.3</c:v>
                </c:pt>
                <c:pt idx="5">
                  <c:v>45.7</c:v>
                </c:pt>
                <c:pt idx="6">
                  <c:v>42</c:v>
                </c:pt>
                <c:pt idx="7">
                  <c:v>42.1</c:v>
                </c:pt>
                <c:pt idx="8">
                  <c:v>43.5</c:v>
                </c:pt>
                <c:pt idx="9">
                  <c:v>45.4</c:v>
                </c:pt>
                <c:pt idx="10">
                  <c:v>49</c:v>
                </c:pt>
                <c:pt idx="11">
                  <c:v>48.5</c:v>
                </c:pt>
                <c:pt idx="12">
                  <c:v>48.3</c:v>
                </c:pt>
                <c:pt idx="13">
                  <c:v>49.2</c:v>
                </c:pt>
                <c:pt idx="14">
                  <c:v>47.3</c:v>
                </c:pt>
                <c:pt idx="15">
                  <c:v>42</c:v>
                </c:pt>
                <c:pt idx="16">
                  <c:v>43.3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Դրամական փոխանցումներ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Sheet1!$B$5:$R$5</c:f>
              <c:numCache>
                <c:formatCode>0.0</c:formatCode>
                <c:ptCount val="17"/>
                <c:pt idx="0">
                  <c:v>8.5</c:v>
                </c:pt>
                <c:pt idx="1">
                  <c:v>11.8</c:v>
                </c:pt>
                <c:pt idx="2">
                  <c:v>12</c:v>
                </c:pt>
                <c:pt idx="3">
                  <c:v>12.7</c:v>
                </c:pt>
                <c:pt idx="4">
                  <c:v>18.3</c:v>
                </c:pt>
                <c:pt idx="5">
                  <c:v>15.4</c:v>
                </c:pt>
                <c:pt idx="6">
                  <c:v>16</c:v>
                </c:pt>
                <c:pt idx="7">
                  <c:v>15.4</c:v>
                </c:pt>
                <c:pt idx="8">
                  <c:v>14.3</c:v>
                </c:pt>
                <c:pt idx="9">
                  <c:v>14.6</c:v>
                </c:pt>
                <c:pt idx="10">
                  <c:v>15.4</c:v>
                </c:pt>
                <c:pt idx="11">
                  <c:v>14.2</c:v>
                </c:pt>
                <c:pt idx="12">
                  <c:v>14.5</c:v>
                </c:pt>
                <c:pt idx="13">
                  <c:v>15.8</c:v>
                </c:pt>
                <c:pt idx="14">
                  <c:v>13.9</c:v>
                </c:pt>
                <c:pt idx="15">
                  <c:v>10.3</c:v>
                </c:pt>
                <c:pt idx="16">
                  <c:v>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781088"/>
        <c:axId val="5117803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Ընթացիկ հաշվի պակասուրդը (աջ առանցք)</c:v>
                </c:pt>
              </c:strCache>
            </c:strRef>
          </c:tx>
          <c:spPr>
            <a:ln w="12700" cmpd="sng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"/>
              <c:layout>
                <c:manualLayout>
                  <c:x val="-1.2158054711246201E-2"/>
                  <c:y val="2.1390374331550801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84397163120567E-2"/>
                  <c:y val="3.5650623885918005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263424518743668E-2"/>
                  <c:y val="3.2085561497326207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210739614994935E-2"/>
                  <c:y val="3.2085561497326207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526849037487338E-3"/>
                  <c:y val="2.8520499108734401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3390722142515544E-2"/>
                  <c:y val="-2.4955436720142603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7388809182209472E-3"/>
                  <c:y val="-7.1301247771836003E-3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2878779320447209E-2"/>
                  <c:y val="-4.6345811051693407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2955523672883789E-2"/>
                  <c:y val="-4.6345811051693407E-2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Sheet1!$B$3:$R$3</c:f>
              <c:numCache>
                <c:formatCode>0.0</c:formatCode>
                <c:ptCount val="17"/>
                <c:pt idx="0">
                  <c:v>-15.8</c:v>
                </c:pt>
                <c:pt idx="1">
                  <c:v>-10.4</c:v>
                </c:pt>
                <c:pt idx="2">
                  <c:v>-6.2</c:v>
                </c:pt>
                <c:pt idx="3">
                  <c:v>-6.2</c:v>
                </c:pt>
                <c:pt idx="4">
                  <c:v>-2.2000000000000002</c:v>
                </c:pt>
                <c:pt idx="5">
                  <c:v>-2.5</c:v>
                </c:pt>
                <c:pt idx="6">
                  <c:v>-2.4</c:v>
                </c:pt>
                <c:pt idx="7">
                  <c:v>-7.4</c:v>
                </c:pt>
                <c:pt idx="8">
                  <c:v>-14.2</c:v>
                </c:pt>
                <c:pt idx="9">
                  <c:v>-16.5</c:v>
                </c:pt>
                <c:pt idx="10">
                  <c:v>-13.6</c:v>
                </c:pt>
                <c:pt idx="11">
                  <c:v>-10.4</c:v>
                </c:pt>
                <c:pt idx="12">
                  <c:v>-10</c:v>
                </c:pt>
                <c:pt idx="13">
                  <c:v>-7.3</c:v>
                </c:pt>
                <c:pt idx="14">
                  <c:v>-7.6</c:v>
                </c:pt>
                <c:pt idx="15">
                  <c:v>-2.7</c:v>
                </c:pt>
                <c:pt idx="16">
                  <c:v>-2.7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779520"/>
        <c:axId val="511781480"/>
      </c:lineChart>
      <c:catAx>
        <c:axId val="511781088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117803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1178030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11781088"/>
        <c:crosses val="autoZero"/>
        <c:crossBetween val="between"/>
      </c:valAx>
      <c:catAx>
        <c:axId val="511779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1781480"/>
        <c:crossesAt val="0"/>
        <c:auto val="0"/>
        <c:lblAlgn val="ctr"/>
        <c:lblOffset val="100"/>
        <c:noMultiLvlLbl val="0"/>
      </c:catAx>
      <c:valAx>
        <c:axId val="511781480"/>
        <c:scaling>
          <c:orientation val="minMax"/>
          <c:max val="0"/>
          <c:min val="-18"/>
        </c:scaling>
        <c:delete val="0"/>
        <c:axPos val="r"/>
        <c:numFmt formatCode="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ru-RU"/>
          </a:p>
        </c:txPr>
        <c:crossAx val="511779520"/>
        <c:crosses val="max"/>
        <c:crossBetween val="between"/>
        <c:majorUnit val="4"/>
        <c:minorUnit val="2"/>
      </c:valAx>
      <c:spPr>
        <a:solidFill>
          <a:sysClr val="window" lastClr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80769223635031484"/>
          <c:w val="0.91411935953420664"/>
          <c:h val="0.12637377924932525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4255954273890238E-2"/>
          <c:y val="5.3058636487643349E-2"/>
          <c:w val="0.8470751656850648"/>
          <c:h val="0.85492177114224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Արտահանում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Sheet1!$B$2:$R$2</c:f>
              <c:numCache>
                <c:formatCode>0.0</c:formatCode>
                <c:ptCount val="17"/>
                <c:pt idx="0">
                  <c:v>300.48750000000001</c:v>
                </c:pt>
                <c:pt idx="1">
                  <c:v>341.83610000000004</c:v>
                </c:pt>
                <c:pt idx="2">
                  <c:v>505.15965999999997</c:v>
                </c:pt>
                <c:pt idx="3">
                  <c:v>685.59920000000011</c:v>
                </c:pt>
                <c:pt idx="4">
                  <c:v>722.91147999999987</c:v>
                </c:pt>
                <c:pt idx="5">
                  <c:v>973.92048000099999</c:v>
                </c:pt>
                <c:pt idx="6">
                  <c:v>985.10820000000024</c:v>
                </c:pt>
                <c:pt idx="7">
                  <c:v>1152.3009999999999</c:v>
                </c:pt>
                <c:pt idx="8">
                  <c:v>1057.1613800000005</c:v>
                </c:pt>
                <c:pt idx="9">
                  <c:v>710.15729999999996</c:v>
                </c:pt>
                <c:pt idx="10">
                  <c:v>1041.0564999999999</c:v>
                </c:pt>
                <c:pt idx="11">
                  <c:v>1334.3357999999998</c:v>
                </c:pt>
                <c:pt idx="12">
                  <c:v>1380.1992000000002</c:v>
                </c:pt>
                <c:pt idx="13">
                  <c:v>1478.7486000000001</c:v>
                </c:pt>
                <c:pt idx="14">
                  <c:v>1547.2868999999996</c:v>
                </c:pt>
                <c:pt idx="15">
                  <c:v>1485.3</c:v>
                </c:pt>
                <c:pt idx="16">
                  <c:v>1782.9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Ներմուծում(CIF)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Sheet1!$B$3:$R$3</c:f>
              <c:numCache>
                <c:formatCode>0.0</c:formatCode>
                <c:ptCount val="17"/>
                <c:pt idx="0">
                  <c:v>-884.73360000000002</c:v>
                </c:pt>
                <c:pt idx="1">
                  <c:v>-877.43419999999981</c:v>
                </c:pt>
                <c:pt idx="2">
                  <c:v>-987.15545999999995</c:v>
                </c:pt>
                <c:pt idx="3">
                  <c:v>-1279.4857</c:v>
                </c:pt>
                <c:pt idx="4">
                  <c:v>-1350.6976000000002</c:v>
                </c:pt>
                <c:pt idx="5">
                  <c:v>-1801.73585</c:v>
                </c:pt>
                <c:pt idx="6">
                  <c:v>-2191.6126400000003</c:v>
                </c:pt>
                <c:pt idx="7">
                  <c:v>-3267.7879999999996</c:v>
                </c:pt>
                <c:pt idx="8">
                  <c:v>-4426.1293000000005</c:v>
                </c:pt>
                <c:pt idx="9">
                  <c:v>-3321.1333999999997</c:v>
                </c:pt>
                <c:pt idx="10">
                  <c:v>-3748.9537</c:v>
                </c:pt>
                <c:pt idx="11">
                  <c:v>-4145.3320000000003</c:v>
                </c:pt>
                <c:pt idx="12">
                  <c:v>-4261.2327999999998</c:v>
                </c:pt>
                <c:pt idx="13">
                  <c:v>-4385.8657999999996</c:v>
                </c:pt>
                <c:pt idx="14">
                  <c:v>-4424.4244000000008</c:v>
                </c:pt>
                <c:pt idx="15">
                  <c:v>-3239.2</c:v>
                </c:pt>
                <c:pt idx="16">
                  <c:v>-3292.4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Առևտրային հաշվեկշիռ</c:v>
                </c:pt>
              </c:strCache>
            </c:strRef>
          </c:tx>
          <c:invertIfNegative val="0"/>
          <c:cat>
            <c:strRef>
              <c:f>Sheet1!$B$1:$R$1</c:f>
              <c:strCache>
                <c:ptCount val="17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strCache>
            </c:strRef>
          </c:cat>
          <c:val>
            <c:numRef>
              <c:f>Sheet1!$B$4:$R$4</c:f>
              <c:numCache>
                <c:formatCode>0.0</c:formatCode>
                <c:ptCount val="17"/>
                <c:pt idx="0">
                  <c:v>-584.24610000000007</c:v>
                </c:pt>
                <c:pt idx="1">
                  <c:v>-535.5980999999997</c:v>
                </c:pt>
                <c:pt idx="2">
                  <c:v>-481.99579999999997</c:v>
                </c:pt>
                <c:pt idx="3">
                  <c:v>-593.88649999999984</c:v>
                </c:pt>
                <c:pt idx="4">
                  <c:v>-627.78612000000032</c:v>
                </c:pt>
                <c:pt idx="5">
                  <c:v>-827.81536999900004</c:v>
                </c:pt>
                <c:pt idx="6">
                  <c:v>-1206.5044400000002</c:v>
                </c:pt>
                <c:pt idx="7">
                  <c:v>-2115.4869999999996</c:v>
                </c:pt>
                <c:pt idx="8">
                  <c:v>-3368.96792</c:v>
                </c:pt>
                <c:pt idx="9">
                  <c:v>-2610.9760999999999</c:v>
                </c:pt>
                <c:pt idx="10">
                  <c:v>-2707.8972000000003</c:v>
                </c:pt>
                <c:pt idx="11">
                  <c:v>-2810.9962000000005</c:v>
                </c:pt>
                <c:pt idx="12">
                  <c:v>-2881.0335999999998</c:v>
                </c:pt>
                <c:pt idx="13">
                  <c:v>-2907.1171999999997</c:v>
                </c:pt>
                <c:pt idx="14">
                  <c:v>-2877.1375000000012</c:v>
                </c:pt>
                <c:pt idx="15">
                  <c:v>-1753.9</c:v>
                </c:pt>
                <c:pt idx="16">
                  <c:v>-1509.5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782264"/>
        <c:axId val="555325904"/>
      </c:barChart>
      <c:catAx>
        <c:axId val="51178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5325904"/>
        <c:crosses val="autoZero"/>
        <c:auto val="1"/>
        <c:lblAlgn val="ctr"/>
        <c:lblOffset val="100"/>
        <c:noMultiLvlLbl val="0"/>
      </c:catAx>
      <c:valAx>
        <c:axId val="5553259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11782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786885245901639"/>
          <c:y val="0.90635451505016718"/>
          <c:w val="0.73278688524590163"/>
          <c:h val="9.6989966555183951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029575006827857E-2"/>
          <c:y val="4.0281973816717019E-2"/>
          <c:w val="0.9009386789614261"/>
          <c:h val="0.83385995269109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Ներմուծուման ծածկման գործակից (%)</c:v>
                </c:pt>
              </c:strCache>
            </c:strRef>
          </c:tx>
          <c:invertIfNegative val="0"/>
          <c:dLbls>
            <c:spPr>
              <a:noFill/>
              <a:ln w="253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Sheet1!$B$1:$V$1</c:f>
              <c:strCache>
                <c:ptCount val="21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</c:strCache>
            </c:strRef>
          </c:cat>
          <c:val>
            <c:numRef>
              <c:f>Sheet1!$B$2:$V$2</c:f>
              <c:numCache>
                <c:formatCode>0.0</c:formatCode>
                <c:ptCount val="21"/>
                <c:pt idx="0">
                  <c:v>40.783366122688079</c:v>
                </c:pt>
                <c:pt idx="1">
                  <c:v>34.313772809818495</c:v>
                </c:pt>
                <c:pt idx="2">
                  <c:v>35.882885202410542</c:v>
                </c:pt>
                <c:pt idx="3">
                  <c:v>42.707355734161581</c:v>
                </c:pt>
                <c:pt idx="4">
                  <c:v>46.064579182924184</c:v>
                </c:pt>
                <c:pt idx="5">
                  <c:v>51.879748426376729</c:v>
                </c:pt>
                <c:pt idx="6">
                  <c:v>61.934297809497117</c:v>
                </c:pt>
                <c:pt idx="7">
                  <c:v>64.180007507358795</c:v>
                </c:pt>
                <c:pt idx="8">
                  <c:v>63.394889769807691</c:v>
                </c:pt>
                <c:pt idx="9">
                  <c:v>65.085255330658271</c:v>
                </c:pt>
                <c:pt idx="10">
                  <c:v>61.399347392550531</c:v>
                </c:pt>
                <c:pt idx="11">
                  <c:v>50.794833013145293</c:v>
                </c:pt>
                <c:pt idx="12">
                  <c:v>38.327435896293224</c:v>
                </c:pt>
                <c:pt idx="13">
                  <c:v>39.721504312580571</c:v>
                </c:pt>
                <c:pt idx="14">
                  <c:v>48.723686331798213</c:v>
                </c:pt>
                <c:pt idx="15">
                  <c:v>55.760024050048699</c:v>
                </c:pt>
                <c:pt idx="16">
                  <c:v>56.863771972067113</c:v>
                </c:pt>
                <c:pt idx="17">
                  <c:v>57.627070081876276</c:v>
                </c:pt>
                <c:pt idx="18">
                  <c:v>60.483786651900616</c:v>
                </c:pt>
                <c:pt idx="19">
                  <c:v>71.00347789162285</c:v>
                </c:pt>
                <c:pt idx="20">
                  <c:v>76.599999999999994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5324336"/>
        <c:axId val="555318064"/>
      </c:barChart>
      <c:catAx>
        <c:axId val="55532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5318064"/>
        <c:crosses val="autoZero"/>
        <c:auto val="1"/>
        <c:lblAlgn val="ctr"/>
        <c:lblOffset val="100"/>
        <c:noMultiLvlLbl val="0"/>
      </c:catAx>
      <c:valAx>
        <c:axId val="55531806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532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879999999999999"/>
          <c:y val="0.77777777777777779"/>
          <c:w val="0.36959999999999998"/>
          <c:h val="9.0090090090090086E-2"/>
        </c:manualLayout>
      </c:layout>
      <c:overlay val="0"/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9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99">
                <a:effectLst/>
                <a:latin typeface="GHEA Grapalat" pitchFamily="50" charset="0"/>
              </a:rPr>
              <a:t>2016թ փողի զանգվածի 17.5</a:t>
            </a:r>
            <a:r>
              <a:rPr lang="hy-AM" sz="1199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99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99" baseline="0">
                <a:effectLst/>
                <a:latin typeface="GHEA Grapalat" pitchFamily="50" charset="0"/>
              </a:rPr>
              <a:t> </a:t>
            </a:r>
            <a:endParaRPr lang="en-US" sz="12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0968239381217932"/>
          <c:y val="6.36941215681373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 Շրջանառությունում կանխիկ դրամ</c:v>
                </c:pt>
                <c:pt idx="1">
                  <c:v> Դրամային դեպոզիտներ</c:v>
                </c:pt>
                <c:pt idx="2">
                  <c:v> Արտարժութային դեպոզիտներ</c:v>
                </c:pt>
              </c:strCache>
            </c:strRef>
          </c:cat>
          <c:val>
            <c:numRef>
              <c:f>Sheet1!$B$2:$B$4</c:f>
              <c:numCache>
                <c:formatCode>0.00</c:formatCode>
                <c:ptCount val="3"/>
                <c:pt idx="0">
                  <c:v>2.4471905951034985</c:v>
                </c:pt>
                <c:pt idx="1">
                  <c:v>9.0447876114922856</c:v>
                </c:pt>
                <c:pt idx="2">
                  <c:v>5.9906716359204655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2.3255813953488372E-2"/>
          <c:y val="0.83112582781456956"/>
          <c:w val="0.93355481727574752"/>
          <c:h val="0.16556291390728478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99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1199">
                <a:effectLst/>
                <a:latin typeface="GHEA Grapalat" pitchFamily="50" charset="0"/>
              </a:rPr>
              <a:t>2016թ փողի բազայի</a:t>
            </a:r>
            <a:r>
              <a:rPr lang="en-US" sz="1199" baseline="0">
                <a:effectLst/>
                <a:latin typeface="GHEA Grapalat" pitchFamily="50" charset="0"/>
              </a:rPr>
              <a:t> </a:t>
            </a:r>
            <a:r>
              <a:rPr lang="en-US" sz="1199">
                <a:effectLst/>
                <a:latin typeface="GHEA Grapalat" pitchFamily="50" charset="0"/>
              </a:rPr>
              <a:t>13.1</a:t>
            </a:r>
            <a:r>
              <a:rPr lang="hy-AM" sz="1199" b="1" i="0" u="none" strike="noStrike" baseline="0">
                <a:effectLst/>
                <a:latin typeface="GHEA Grapalat" pitchFamily="50" charset="0"/>
              </a:rPr>
              <a:t>%</a:t>
            </a:r>
            <a:r>
              <a:rPr lang="en-US" sz="1199" b="1" i="0" u="none" strike="noStrike" baseline="0">
                <a:effectLst/>
                <a:latin typeface="GHEA Grapalat" pitchFamily="50" charset="0"/>
              </a:rPr>
              <a:t> աճի նպաստման չափերը</a:t>
            </a:r>
            <a:r>
              <a:rPr lang="en-US" sz="1199" baseline="0">
                <a:effectLst/>
                <a:latin typeface="GHEA Grapalat" pitchFamily="50" charset="0"/>
              </a:rPr>
              <a:t> </a:t>
            </a:r>
            <a:endParaRPr lang="en-US" sz="12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20968253266094547"/>
          <c:y val="6.36941215681373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464888974767725E-2"/>
          <c:y val="0.27185557902823121"/>
          <c:w val="0.89912430021391831"/>
          <c:h val="0.498028828363667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explosion val="25"/>
          <c:dPt>
            <c:idx val="0"/>
            <c:bubble3D val="0"/>
            <c:spPr>
              <a:pattFill prst="pct1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</c:dPt>
          <c:dPt>
            <c:idx val="3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ԿԲ-ից դուրս կանխիկ դրամ</c:v>
                </c:pt>
                <c:pt idx="1">
                  <c:v>Թղթակցային հաշիվներ ԿԲ-ում ՀՀ դրամով</c:v>
                </c:pt>
                <c:pt idx="2">
                  <c:v>Թղթակցային հաշիվներ ԿԲ-ում արտարժույթով </c:v>
                </c:pt>
                <c:pt idx="3">
                  <c:v>Թղթակցային հաշիվներ ԿԲ-ում այլ հաշիվներ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4.5356298327028934</c:v>
                </c:pt>
                <c:pt idx="1">
                  <c:v>-0.80848384945261831</c:v>
                </c:pt>
                <c:pt idx="2">
                  <c:v>7.9430992160057352</c:v>
                </c:pt>
                <c:pt idx="3">
                  <c:v>1.4602676481905414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2.1126760563380281E-2"/>
          <c:y val="0.83112582781456956"/>
          <c:w val="0.9401408450704225"/>
          <c:h val="0.16556291390728478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  <a:latin typeface="GHEA Grapalat" pitchFamily="50" charset="0"/>
              </a:rPr>
              <a:t>Վարկերի ծավալների աճ, 2015 2016թթ.</a:t>
            </a:r>
            <a:endParaRPr lang="en-US" sz="11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9811579627312939"/>
          <c:y val="6.36942257217847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464888974767725E-2"/>
          <c:y val="0.27185557902823121"/>
          <c:w val="0.83578516871854935"/>
          <c:h val="0.4980288283636676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dLbl>
              <c:idx val="11"/>
              <c:layout>
                <c:manualLayout>
                  <c:x val="-4.4927394058860339E-3"/>
                  <c:y val="-8.41693165758126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Sheet1!$B$2:$B$13</c:f>
              <c:numCache>
                <c:formatCode>0.0</c:formatCode>
                <c:ptCount val="12"/>
                <c:pt idx="0">
                  <c:v>19.723688902839598</c:v>
                </c:pt>
                <c:pt idx="1">
                  <c:v>17.146812362126539</c:v>
                </c:pt>
                <c:pt idx="2">
                  <c:v>14.1661721418551</c:v>
                </c:pt>
                <c:pt idx="3">
                  <c:v>13.1186337194966</c:v>
                </c:pt>
                <c:pt idx="4">
                  <c:v>11.633300002466868</c:v>
                </c:pt>
                <c:pt idx="5">
                  <c:v>10.413018548886839</c:v>
                </c:pt>
                <c:pt idx="6">
                  <c:v>10.90319245806451</c:v>
                </c:pt>
                <c:pt idx="7">
                  <c:v>9.5898299853812006</c:v>
                </c:pt>
                <c:pt idx="8">
                  <c:v>6.9793550627532426</c:v>
                </c:pt>
                <c:pt idx="9">
                  <c:v>5.7442809472975256</c:v>
                </c:pt>
                <c:pt idx="10">
                  <c:v>2.4741963095271444</c:v>
                </c:pt>
                <c:pt idx="11">
                  <c:v>-3.1459128482947136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11"/>
              <c:layout>
                <c:manualLayout>
                  <c:x val="-2.3809523809523808E-2"/>
                  <c:y val="-3.82165605095541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M1</c:v>
                </c:pt>
                <c:pt idx="1">
                  <c:v>M2</c:v>
                </c:pt>
                <c:pt idx="2">
                  <c:v>M3</c:v>
                </c:pt>
                <c:pt idx="3">
                  <c:v>M4</c:v>
                </c:pt>
                <c:pt idx="4">
                  <c:v>M5</c:v>
                </c:pt>
                <c:pt idx="5">
                  <c:v>M6</c:v>
                </c:pt>
                <c:pt idx="6">
                  <c:v>M7</c:v>
                </c:pt>
                <c:pt idx="7">
                  <c:v>M8</c:v>
                </c:pt>
                <c:pt idx="8">
                  <c:v>M9</c:v>
                </c:pt>
                <c:pt idx="9">
                  <c:v>M10</c:v>
                </c:pt>
                <c:pt idx="10">
                  <c:v>M11</c:v>
                </c:pt>
                <c:pt idx="11">
                  <c:v>M12</c:v>
                </c:pt>
              </c:strCache>
            </c:strRef>
          </c:cat>
          <c:val>
            <c:numRef>
              <c:f>Sheet1!$C$2:$C$13</c:f>
              <c:numCache>
                <c:formatCode>0.0</c:formatCode>
                <c:ptCount val="12"/>
                <c:pt idx="0">
                  <c:v>-0.77910986307325913</c:v>
                </c:pt>
                <c:pt idx="1">
                  <c:v>2.2530498606732579</c:v>
                </c:pt>
                <c:pt idx="2">
                  <c:v>3.4783603515704726</c:v>
                </c:pt>
                <c:pt idx="3">
                  <c:v>3.2284094869394835</c:v>
                </c:pt>
                <c:pt idx="4">
                  <c:v>4.2495923468750334</c:v>
                </c:pt>
                <c:pt idx="5">
                  <c:v>6.0407700574337753</c:v>
                </c:pt>
                <c:pt idx="6">
                  <c:v>5.559168766141326</c:v>
                </c:pt>
                <c:pt idx="7">
                  <c:v>5.8852735125223035</c:v>
                </c:pt>
                <c:pt idx="8">
                  <c:v>7.1731849866813349</c:v>
                </c:pt>
                <c:pt idx="9">
                  <c:v>8.9164397853158448</c:v>
                </c:pt>
                <c:pt idx="10">
                  <c:v>10.448545061223811</c:v>
                </c:pt>
                <c:pt idx="11">
                  <c:v>14.935918052610248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2827896"/>
        <c:axId val="502837696"/>
      </c:lineChart>
      <c:catAx>
        <c:axId val="50282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2837696"/>
        <c:crosses val="autoZero"/>
        <c:auto val="1"/>
        <c:lblAlgn val="ctr"/>
        <c:lblOffset val="100"/>
        <c:noMultiLvlLbl val="0"/>
      </c:catAx>
      <c:valAx>
        <c:axId val="5028376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02827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780564263322884"/>
          <c:y val="0.89403973509933776"/>
          <c:w val="0.38871473354231972"/>
          <c:h val="6.9536423841059597E-2"/>
        </c:manualLayout>
      </c:layout>
      <c:overlay val="0"/>
      <c:txPr>
        <a:bodyPr/>
        <a:lstStyle/>
        <a:p>
          <a:pPr>
            <a:defRPr sz="700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effectLst>
      <a:outerShdw blurRad="50800" dist="50800" dir="5400000" algn="ctr" rotWithShape="0">
        <a:schemeClr val="tx2">
          <a:lumMod val="40000"/>
          <a:lumOff val="60000"/>
          <a:alpha val="25000"/>
        </a:scheme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3805</Words>
  <Characters>21692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2017-12-26T08:10:00Z</dcterms:created>
  <dcterms:modified xsi:type="dcterms:W3CDTF">2017-12-26T08:12:00Z</dcterms:modified>
</cp:coreProperties>
</file>