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  <w:bookmarkStart w:id="0" w:name="_Toc77837907"/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P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  <w:bookmarkStart w:id="1" w:name="_Toc79054224"/>
      <w:r w:rsidRPr="00A677EC">
        <w:rPr>
          <w:rFonts w:ascii="GHEA Grapalat" w:hAnsi="GHEA Grapalat"/>
          <w:b/>
          <w:lang w:val="hy-AM"/>
        </w:rPr>
        <w:t>ՎԵՐԼՈՒԾՈՒԹՅՈՒՆՆԵՐ</w:t>
      </w:r>
      <w:bookmarkEnd w:id="0"/>
      <w:bookmarkEnd w:id="1"/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Pr="00D2536E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  <w:r>
        <w:rPr>
          <w:rFonts w:cs="Sylfaen"/>
        </w:rPr>
        <w:lastRenderedPageBreak/>
        <w:br w:type="page"/>
      </w:r>
      <w:bookmarkStart w:id="2" w:name="_Hlk45793805"/>
      <w:bookmarkStart w:id="3" w:name="_Toc77837911"/>
      <w:bookmarkStart w:id="4" w:name="_Toc79054226"/>
      <w:bookmarkStart w:id="5" w:name="_Toc45838561"/>
      <w:bookmarkEnd w:id="2"/>
      <w:r w:rsidRPr="00D2536E">
        <w:rPr>
          <w:rFonts w:eastAsia="Times New Roman" w:cs="Times New Roman"/>
          <w:caps w:val="0"/>
          <w:color w:val="44546A" w:themeColor="text2"/>
          <w:sz w:val="28"/>
          <w:szCs w:val="28"/>
        </w:rPr>
        <w:t xml:space="preserve">ՀՀ ԿԱՌԱՎԱՐՈՒԹՅԱՆ ՊԱՐՏՔԻ ԿԱՅՈՒՆՈՒԹՅԱՆ </w:t>
      </w:r>
      <w:bookmarkStart w:id="6" w:name="_GoBack"/>
      <w:bookmarkEnd w:id="6"/>
      <w:r w:rsidRPr="00D2536E">
        <w:rPr>
          <w:rFonts w:eastAsia="Times New Roman" w:cs="Times New Roman"/>
          <w:caps w:val="0"/>
          <w:color w:val="44546A" w:themeColor="text2"/>
          <w:sz w:val="28"/>
          <w:szCs w:val="28"/>
        </w:rPr>
        <w:t>ՎԵՐԼՈՒԾՈՒԹՅՈՒՆԸ</w:t>
      </w:r>
      <w:bookmarkEnd w:id="3"/>
      <w:bookmarkEnd w:id="4"/>
      <w:r w:rsidRPr="00D2536E">
        <w:rPr>
          <w:rFonts w:eastAsia="Times New Roman" w:cs="Times New Roman"/>
          <w:caps w:val="0"/>
          <w:color w:val="44546A" w:themeColor="text2"/>
          <w:sz w:val="28"/>
          <w:szCs w:val="28"/>
        </w:rPr>
        <w:t xml:space="preserve"> </w:t>
      </w:r>
      <w:bookmarkEnd w:id="5"/>
    </w:p>
    <w:p w:rsidR="00A677EC" w:rsidRPr="00DC175B" w:rsidRDefault="00A677EC" w:rsidP="00A677EC">
      <w:pPr>
        <w:spacing w:line="276" w:lineRule="auto"/>
        <w:ind w:firstLine="720"/>
        <w:rPr>
          <w:i/>
          <w:lang w:val="hy-AM"/>
        </w:rPr>
      </w:pPr>
      <w:r w:rsidRPr="00DC175B">
        <w:rPr>
          <w:i/>
          <w:lang w:val="hy-AM"/>
        </w:rPr>
        <w:t>Միջնաժամկետ հատվածում ՀՀ կառավարության պարտքը շարունակում է գնահատվել կայուն և կառավարելի, սակայն բավականին շոշափելի են պարտքի բեռի ներկա մակարդակից բխող ռիսկերը՝ հատկապես հաշվի առնելով ՀՀ տնտեսությանը բնորոշ շոկերի հավանականությունը։ Պարտքի կայունության ապահովման համար հրամայական է հարկաբյուջետային կոնսոլիդացիայի իրականացումը և պարտքի բեռի նվազեցումը պարտք/ՀՆԱ սահմանային 60%-ի շեմից, որի իրականացումը ևս որոշակի անորոշության է ենթակա` հաշվի առնելով պարտք ձևավորող գործոնների պատմական տատանողականությունը։  Միաժամանակ, ՀՀ կառավարության պարտքի պորտֆելը` ձևավորումից սկսած, շարունակում է մնալ խոցելի՝ պայմանավորված արտարժութային և ոչ ռեզիդետների նկատմամբ պարտքի բարձր մասնաբաժիններով։</w:t>
      </w:r>
    </w:p>
    <w:p w:rsidR="00A677EC" w:rsidRPr="00DC175B" w:rsidRDefault="00A677EC" w:rsidP="00A677EC">
      <w:pPr>
        <w:spacing w:line="276" w:lineRule="auto"/>
        <w:ind w:firstLine="720"/>
        <w:rPr>
          <w:b/>
          <w:lang w:val="hy-AM"/>
        </w:rPr>
      </w:pPr>
      <w:r w:rsidRPr="00DC175B">
        <w:rPr>
          <w:b/>
          <w:lang w:val="hy-AM"/>
        </w:rPr>
        <w:t>ՀՀ կառավարության պարտք/ՀՆԱ ցուցանիշի ներկա մակարդակը՝ ՀՀ հարկաբյուջետային կանոնների համատեքստում, անհրաժեշտություն է դարձնում կոնկրետ գործողությունների իրականացումը, քանի որ այն գերազանցել է 60%</w:t>
      </w:r>
      <w:r w:rsidRPr="00DC175B">
        <w:rPr>
          <w:b/>
          <w:lang w:val="hy-AM"/>
        </w:rPr>
        <w:noBreakHyphen/>
        <w:t xml:space="preserve">ի՝ ՀՀ տնտեսության ներկա հնարավորությունների տեսակետից սահմանային գնահատվող շեմը։ </w:t>
      </w:r>
      <w:r w:rsidRPr="00DC175B">
        <w:rPr>
          <w:lang w:val="hy-AM"/>
        </w:rPr>
        <w:t>Պետական պարտքի համար լրացուցիչ ռիսկեր են առաջացնում պարտքի միջին կշռված տոկոսադրույքների և սպասարկման բեռի բարձրացման միտումը (այդ թվում՝ ՀՆԱ աճի և պարտքի անվանական տոկոսադրույքի ճեղքի փոքրացումը վերջին տասնամյակում), ինչը զուգորդվում է նաև մասնավոր հատվածի արտաքին պարտքի աճի հետ և բարձրացնում տնտեսության խոցելիությունը ցնցումների նկատմամբ։ Այս իրավիճակից բխում է ՀՀ հարկաբյուջետային կանոններին համահունչ հարկաբյուջետային կոնսոլիդացիայի քաղաքականության ընդունման և միջնաժամկետ հատվածում իրականացման անհրաժեշտությունը, ինչն ապահովվում է սույն Պետական միջնաժամկետ ծախսերի ծրագրով և ՀՀ կառավարության պարտքի բեռի նվազեցման 2022-2026թթ</w:t>
      </w:r>
      <w:r w:rsidRPr="00DC175B">
        <w:rPr>
          <w:rFonts w:ascii="Cambria Math" w:hAnsi="Cambria Math" w:cs="Cambria Math"/>
          <w:lang w:val="hy-AM"/>
        </w:rPr>
        <w:t>․</w:t>
      </w:r>
      <w:r w:rsidRPr="00DC175B">
        <w:rPr>
          <w:lang w:val="hy-AM"/>
        </w:rPr>
        <w:t xml:space="preserve"> ծրագրով, և որի իրականացումը թույլ կտա նվազեցնել պարտքից բխող ռիսկերը և ֆինանսական «բարձիկ» ստեղծել հետագա հնարավոր ցնցումներին դիմակայելու համար։ </w:t>
      </w:r>
    </w:p>
    <w:p w:rsidR="00A677EC" w:rsidRPr="00DC175B" w:rsidRDefault="00A677EC" w:rsidP="00A677EC">
      <w:pPr>
        <w:spacing w:line="276" w:lineRule="auto"/>
        <w:ind w:firstLine="720"/>
        <w:rPr>
          <w:lang w:val="hy-AM"/>
        </w:rPr>
      </w:pPr>
      <w:r w:rsidRPr="00DC175B">
        <w:rPr>
          <w:b/>
          <w:lang w:val="hy-AM"/>
        </w:rPr>
        <w:t xml:space="preserve">Չնայած կառավարության պարտք/ՀՆԱ ցուցանիշի ներկա մակարդակից բխող ռիսկերին, պարտքի կայունությունը գնահատելու առանցքային ուղենիշները ֆինանսական շուկաների վարքագիծը և պարտքի կանխատեսվող միտումներն են, որոնց համաձայն, հիմնվելով միջազգայնորեն ընդունված մեթոդաբանության վրա, կառավարության պարտքի և պարտքի սպասարկման ռիսկերը գնահատվում են ցածր, սակայն խիստ մոտ միջին ռիսկայնության գնահատվելու սահմանագծին։ </w:t>
      </w:r>
      <w:r w:rsidRPr="00DC175B">
        <w:rPr>
          <w:lang w:val="hy-AM"/>
        </w:rPr>
        <w:t>Սթրես թեստերի շրջանակներում ՀՀ կառավարության պարտքը ամենաշատը զգայուն է տնտեսական աճի և փոխարժեքի շոկերի նկատմամբ, որոնցից   առաջինի ի հայտ գալու պարագայում 2023թ</w:t>
      </w:r>
      <w:r w:rsidRPr="00DC175B">
        <w:rPr>
          <w:rFonts w:ascii="Cambria Math" w:hAnsi="Cambria Math" w:cs="Cambria Math"/>
          <w:lang w:val="hy-AM"/>
        </w:rPr>
        <w:t>․</w:t>
      </w:r>
      <w:r w:rsidRPr="00DC175B">
        <w:rPr>
          <w:lang w:val="hy-AM"/>
        </w:rPr>
        <w:t>-ին կառավարության պարտք/ՀՆԱ հարաբերակցությունը հասնում է 69</w:t>
      </w:r>
      <w:r w:rsidRPr="00DC175B">
        <w:rPr>
          <w:rFonts w:ascii="Cambria Math" w:hAnsi="Cambria Math" w:cs="Cambria Math"/>
          <w:lang w:val="hy-AM"/>
        </w:rPr>
        <w:t>․</w:t>
      </w:r>
      <w:r w:rsidRPr="00DC175B">
        <w:rPr>
          <w:lang w:val="hy-AM"/>
        </w:rPr>
        <w:t xml:space="preserve">7% մակարդակին՝ միջնաժամկետ հեռանկարում (մինչև 2026թ-ը) մնալով ՀՀ հարկաբյուջետային կանոններով սահմանված 60% սահմանային շեմից բարձր և պարտքի ռիսկայնության 70% շեմին ընդհուպ մոտ մակարդակում։ Փոխարժեքի շոկի դեպքում կառավարության պարտք/ՀՆԱ հարաբերակցությունը առավելագույն մակարդակին է հասնում 2022թ-ին՝ 62%, սակայն միջնաժամկետ հորիզոնում նվազում 60% շեմից։ ՀՀ պետական բյուջեի համախառն ֆինանսավորման կարիքը կանխատեսվող ժամակահատվածում իրականացված սթրես թեստերից ոչ մեկի դեպքում չի գերազանցում զարգացող երկրների համար ռիսկայնության համար ընդունված սահմանաչափը 15% սահմանաչափը։ </w:t>
      </w:r>
    </w:p>
    <w:p w:rsidR="00A677EC" w:rsidRPr="00DC175B" w:rsidRDefault="00A677EC" w:rsidP="00A677EC">
      <w:pPr>
        <w:spacing w:line="276" w:lineRule="auto"/>
        <w:ind w:firstLine="720"/>
        <w:rPr>
          <w:lang w:val="hy-AM"/>
        </w:rPr>
      </w:pPr>
      <w:r w:rsidRPr="00DC175B">
        <w:rPr>
          <w:b/>
          <w:lang w:val="hy-AM"/>
        </w:rPr>
        <w:t xml:space="preserve">ՀՀ կառավարության պարտքի կառուցվածքը բարձր ռիսկային է գնահատվում, սակայն միջազգային շուկայի վարքագիծը գնահատվում է միջին ռիսկայնության տիրույթում։ </w:t>
      </w:r>
      <w:r w:rsidRPr="00DC175B">
        <w:rPr>
          <w:lang w:val="hy-AM"/>
        </w:rPr>
        <w:t>Մասնավորապես, ՀՀ կառավարության պարտքի կառուցվածքում արտարժութային և ոչ ռեզիդենտների նկատմամբ պարտքի մասնաբաժինները բարձր ռիսկայնության տիրույթում են եղել 2021թ-ի մայիսի դրությամբ՝ կազմելով համապատասխանաբար 76.4% և 75.2%: Միևնույն ժամանակ, ՀՀ կառավարության պարտքի  համար միջազգային ֆինանսական շուկայի գնահատականը (ՀՀ երկրի ռիսկի հավելավճար՝ արտարժութային պարտատոմսերի եկամտաբերությունների սփրեդը) 2021թ</w:t>
      </w:r>
      <w:r w:rsidRPr="00DC175B">
        <w:rPr>
          <w:rFonts w:ascii="Cambria Math" w:hAnsi="Cambria Math" w:cs="Cambria Math"/>
          <w:lang w:val="hy-AM"/>
        </w:rPr>
        <w:t>․</w:t>
      </w:r>
      <w:r w:rsidRPr="00DC175B">
        <w:rPr>
          <w:lang w:val="hy-AM"/>
        </w:rPr>
        <w:t xml:space="preserve">-ի հունիսի վերջի դրությամբ միջին ռիսկայնության տիրույթում է գտնվել՝ առավել մոտենալով ցածր ռիսկայնության շեմին։ </w:t>
      </w:r>
    </w:p>
    <w:p w:rsidR="00A677EC" w:rsidRPr="00DC175B" w:rsidRDefault="00A677EC" w:rsidP="00A677EC">
      <w:pPr>
        <w:spacing w:line="276" w:lineRule="auto"/>
        <w:ind w:firstLine="720"/>
        <w:rPr>
          <w:lang w:val="hy-AM"/>
        </w:rPr>
      </w:pPr>
      <w:r w:rsidRPr="00DC175B">
        <w:rPr>
          <w:b/>
          <w:lang w:val="hy-AM"/>
        </w:rPr>
        <w:t xml:space="preserve">ՀՀ կառավարության պարտքի կանխատեսումները անորոշության բարձր աստիճան են պարունակում, քանի որ պարտք ձևավորող գործոնները պատմականորեն ունեն բարձր տատանողականություն։  </w:t>
      </w:r>
      <w:r w:rsidRPr="00DC175B">
        <w:rPr>
          <w:lang w:val="hy-AM"/>
        </w:rPr>
        <w:t>Այս նկարագիրը բացահայտվում է ստորև ներկայացված հավանականությունների բաշխման գրաֆիկում, ըստ որի՝ 2024թ</w:t>
      </w:r>
      <w:r w:rsidRPr="00DC175B">
        <w:rPr>
          <w:rFonts w:ascii="Cambria Math" w:hAnsi="Cambria Math" w:cs="Cambria Math"/>
          <w:lang w:val="hy-AM"/>
        </w:rPr>
        <w:t>․</w:t>
      </w:r>
      <w:r w:rsidRPr="00DC175B">
        <w:rPr>
          <w:lang w:val="hy-AM"/>
        </w:rPr>
        <w:t>-ի համար 10-ից 90% հավանականային միջակայքում ուրվագծում է ՀՆԱ-ում 48%-ից 72%, իսկ 2026թ</w:t>
      </w:r>
      <w:r w:rsidRPr="00DC175B">
        <w:rPr>
          <w:rFonts w:ascii="Cambria Math" w:hAnsi="Cambria Math" w:cs="Cambria Math"/>
          <w:lang w:val="hy-AM"/>
        </w:rPr>
        <w:t>․</w:t>
      </w:r>
      <w:r w:rsidRPr="00DC175B">
        <w:rPr>
          <w:lang w:val="hy-AM"/>
        </w:rPr>
        <w:t xml:space="preserve">-ի համար՝ 40%-ից 70% միջակայք։   </w:t>
      </w:r>
    </w:p>
    <w:p w:rsidR="00A677EC" w:rsidRPr="00DC175B" w:rsidRDefault="00A677EC" w:rsidP="00A677EC">
      <w:pPr>
        <w:spacing w:line="276" w:lineRule="auto"/>
        <w:ind w:firstLine="720"/>
        <w:rPr>
          <w:lang w:val="hy-AM"/>
        </w:rPr>
      </w:pPr>
      <w:r w:rsidRPr="00DC175B">
        <w:rPr>
          <w:b/>
          <w:lang w:val="hy-AM"/>
        </w:rPr>
        <w:t>Թիրախային (2022-26 թթ</w:t>
      </w:r>
      <w:r w:rsidRPr="00DC175B">
        <w:rPr>
          <w:rFonts w:ascii="Cambria Math" w:hAnsi="Cambria Math" w:cs="Cambria Math"/>
          <w:b/>
          <w:lang w:val="hy-AM"/>
        </w:rPr>
        <w:t>․</w:t>
      </w:r>
      <w:r w:rsidRPr="00DC175B">
        <w:rPr>
          <w:b/>
          <w:lang w:val="hy-AM"/>
        </w:rPr>
        <w:t xml:space="preserve"> համար միջինում առնվազն 7%) տնտեսական աճի սցենարի պարագայում պարտքի հետագիծն առավել բարենպաստ է։</w:t>
      </w:r>
      <w:r w:rsidRPr="00DC175B">
        <w:rPr>
          <w:lang w:val="hy-AM"/>
        </w:rPr>
        <w:t xml:space="preserve"> Չնայած ՄԺԾԾ մակրոտնտեսական սցենարի համեմատությամբ բյուջեի առավել խորը պակասուրդին, Թիրախային աճի սցենարում պարտքի ավելի մեծ նվազում է ապահովվում</w:t>
      </w:r>
      <w:r w:rsidRPr="00DC175B" w:rsidDel="00E36780">
        <w:rPr>
          <w:lang w:val="hy-AM"/>
        </w:rPr>
        <w:t xml:space="preserve"> </w:t>
      </w:r>
      <w:r w:rsidRPr="00DC175B">
        <w:rPr>
          <w:lang w:val="hy-AM"/>
        </w:rPr>
        <w:t>։ Թիրախային աճի սցենարի (այդ թվում՝ դրա շրջանակներում ՀՀ կառավարության պարտքի ռիսկերի) վերաբերյալ առավել մանրամասն վերլուծությունների կիրականացվեն այդ սցենարի իրագործմանն ուղղված միջոցառումների նյութականացմանը զուգընթաց</w:t>
      </w:r>
      <w:r w:rsidRPr="00DC175B">
        <w:rPr>
          <w:rStyle w:val="FootnoteReference"/>
          <w:lang w:val="hy-AM"/>
        </w:rPr>
        <w:footnoteReference w:id="1"/>
      </w:r>
      <w:r w:rsidRPr="00DC175B">
        <w:rPr>
          <w:lang w:val="hy-AM"/>
        </w:rPr>
        <w:t>։</w:t>
      </w:r>
    </w:p>
    <w:p w:rsidR="00A677EC" w:rsidRPr="00DC175B" w:rsidRDefault="00A677EC" w:rsidP="00A677EC">
      <w:pPr>
        <w:pStyle w:val="a1"/>
      </w:pPr>
      <w:r w:rsidRPr="00DC175B">
        <w:t>Գծապատկեր 4.</w:t>
      </w:r>
      <w:r w:rsidRPr="00DC175B">
        <w:fldChar w:fldCharType="begin"/>
      </w:r>
      <w:r w:rsidRPr="00DC175B">
        <w:instrText xml:space="preserve"> SEQ Գծապատկեր \* ARABIC </w:instrText>
      </w:r>
      <w:r w:rsidRPr="00DC175B">
        <w:fldChar w:fldCharType="separate"/>
      </w:r>
      <w:r w:rsidRPr="00DC175B">
        <w:rPr>
          <w:noProof/>
        </w:rPr>
        <w:t>1</w:t>
      </w:r>
      <w:r w:rsidRPr="00DC175B">
        <w:fldChar w:fldCharType="end"/>
      </w:r>
      <w:r w:rsidRPr="00DC175B">
        <w:t xml:space="preserve">. ՀՀ Կառավարության պարտքի տոկոսադրույքը և ՀՆԱ անվանական աճը </w:t>
      </w:r>
    </w:p>
    <w:p w:rsidR="00A677EC" w:rsidRPr="00DC175B" w:rsidRDefault="00A677EC" w:rsidP="00A677EC">
      <w:pPr>
        <w:spacing w:line="276" w:lineRule="auto"/>
        <w:rPr>
          <w:b/>
          <w:lang w:val="hy-AM"/>
        </w:rPr>
      </w:pPr>
      <w:r w:rsidRPr="00DC175B">
        <w:rPr>
          <w:noProof/>
          <w:lang w:val="hy-AM"/>
        </w:rPr>
        <w:t xml:space="preserve"> </w:t>
      </w:r>
      <w:r w:rsidRPr="00DC175B">
        <w:rPr>
          <w:b/>
          <w:noProof/>
        </w:rPr>
        <w:drawing>
          <wp:inline distT="0" distB="0" distL="0" distR="0" wp14:anchorId="5A89C159" wp14:editId="71CB4B5F">
            <wp:extent cx="6320155" cy="2628900"/>
            <wp:effectExtent l="0" t="0" r="444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7EC" w:rsidRPr="00DC175B" w:rsidRDefault="00A677EC" w:rsidP="00A677EC">
      <w:pPr>
        <w:pStyle w:val="a1"/>
      </w:pPr>
      <w:r w:rsidRPr="00DC175B">
        <w:t>Գծապատկեր 4.2. ՀՀ Կառավարության պարտքի և համախառն ֆինանսավորման կարիքի սթրես թեստեր*</w:t>
      </w:r>
    </w:p>
    <w:p w:rsidR="00A677EC" w:rsidRPr="00DC175B" w:rsidRDefault="00A677EC" w:rsidP="00A677EC">
      <w:pPr>
        <w:spacing w:after="0" w:line="276" w:lineRule="auto"/>
        <w:ind w:firstLine="0"/>
        <w:rPr>
          <w:b/>
          <w:lang w:val="hy-AM"/>
        </w:rPr>
      </w:pPr>
      <w:r w:rsidRPr="00DC175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65C3" wp14:editId="5FA7B331">
                <wp:simplePos x="0" y="0"/>
                <wp:positionH relativeFrom="column">
                  <wp:posOffset>384810</wp:posOffset>
                </wp:positionH>
                <wp:positionV relativeFrom="paragraph">
                  <wp:posOffset>776605</wp:posOffset>
                </wp:positionV>
                <wp:extent cx="2786380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3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C0DA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61.15pt" to="249.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" strokecolor="#c00000" strokeweight="2pt">
                <v:stroke joinstyle="miter"/>
              </v:line>
            </w:pict>
          </mc:Fallback>
        </mc:AlternateContent>
      </w:r>
      <w:r w:rsidRPr="00DC175B">
        <w:rPr>
          <w:b/>
          <w:noProof/>
        </w:rPr>
        <w:drawing>
          <wp:inline distT="0" distB="0" distL="0" distR="0" wp14:anchorId="3F925856" wp14:editId="6C53A68B">
            <wp:extent cx="3167380" cy="2628900"/>
            <wp:effectExtent l="0" t="0" r="1397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C175B">
        <w:rPr>
          <w:b/>
          <w:noProof/>
        </w:rPr>
        <w:drawing>
          <wp:inline distT="0" distB="0" distL="0" distR="0" wp14:anchorId="60291163" wp14:editId="228CFC93">
            <wp:extent cx="3100705" cy="2619375"/>
            <wp:effectExtent l="0" t="0" r="444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C175B">
        <w:rPr>
          <w:b/>
          <w:noProof/>
        </w:rPr>
        <w:drawing>
          <wp:inline distT="0" distB="0" distL="0" distR="0" wp14:anchorId="15C265AD" wp14:editId="5DC36241">
            <wp:extent cx="6296025" cy="89535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77EC" w:rsidRPr="00DC175B" w:rsidRDefault="00A677EC" w:rsidP="00A677EC">
      <w:pPr>
        <w:pStyle w:val="a0"/>
      </w:pPr>
      <w:r w:rsidRPr="00DC175B">
        <w:t>* 2025 և 2026թթ</w:t>
      </w:r>
      <w:r w:rsidRPr="00DC175B">
        <w:rPr>
          <w:rFonts w:ascii="Cambria Math" w:hAnsi="Cambria Math" w:cs="Cambria Math"/>
        </w:rPr>
        <w:t>․</w:t>
      </w:r>
      <w:r w:rsidRPr="00DC175B">
        <w:t xml:space="preserve"> կանխատեսումները հիմնվում են 2022-2026թթ</w:t>
      </w:r>
      <w:r w:rsidRPr="00DC175B">
        <w:rPr>
          <w:rFonts w:ascii="Cambria Math" w:hAnsi="Cambria Math" w:cs="Cambria Math"/>
        </w:rPr>
        <w:t>․</w:t>
      </w:r>
      <w:r w:rsidRPr="00DC175B">
        <w:t xml:space="preserve"> ՀՀ կառավարության պարտքի նվազեցման ծրագրի վրա</w:t>
      </w:r>
    </w:p>
    <w:p w:rsidR="00A677EC" w:rsidRPr="00DC175B" w:rsidRDefault="00A677EC" w:rsidP="00A677EC">
      <w:pPr>
        <w:spacing w:after="0" w:line="276" w:lineRule="auto"/>
        <w:rPr>
          <w:i/>
          <w:lang w:val="hy-AM"/>
        </w:rPr>
      </w:pPr>
    </w:p>
    <w:p w:rsidR="00A677EC" w:rsidRPr="00DC175B" w:rsidRDefault="00A677EC" w:rsidP="00A677EC">
      <w:pPr>
        <w:spacing w:after="0" w:line="276" w:lineRule="auto"/>
        <w:rPr>
          <w:i/>
          <w:lang w:val="hy-AM"/>
        </w:rPr>
      </w:pPr>
    </w:p>
    <w:p w:rsidR="00A677EC" w:rsidRPr="00DC175B" w:rsidRDefault="00A677EC" w:rsidP="00A677EC">
      <w:pPr>
        <w:pStyle w:val="a"/>
      </w:pPr>
      <w:r w:rsidRPr="00DC175B">
        <w:t>Աղյուսակ 4.3. ՀՀ կառավարության պարտքի պորտֆելի ռիսկայնության ցուցանիշներ</w:t>
      </w:r>
    </w:p>
    <w:tbl>
      <w:tblPr>
        <w:tblStyle w:val="GridTable1Light-Accent11"/>
        <w:tblW w:w="10060" w:type="dxa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701"/>
        <w:gridCol w:w="1560"/>
      </w:tblGrid>
      <w:tr w:rsidR="00A677EC" w:rsidRPr="00DC175B" w:rsidTr="00D7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5B9BD5" w:themeFill="accent1"/>
            <w:noWrap/>
            <w:hideMark/>
          </w:tcPr>
          <w:p w:rsidR="00A677EC" w:rsidRPr="00DC175B" w:rsidRDefault="00A677EC" w:rsidP="00D74D04">
            <w:pPr>
              <w:spacing w:line="276" w:lineRule="auto"/>
              <w:rPr>
                <w:rFonts w:eastAsia="Times New Roman" w:cs="Calibri"/>
                <w:color w:val="000000"/>
                <w:lang w:val="hy-AM"/>
              </w:rPr>
            </w:pPr>
            <w:r w:rsidRPr="00DC175B">
              <w:rPr>
                <w:rFonts w:ascii="Calibri" w:eastAsia="Times New Roman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4819" w:type="dxa"/>
            <w:gridSpan w:val="3"/>
            <w:shd w:val="clear" w:color="auto" w:fill="5B9BD5" w:themeFill="accent1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</w:rPr>
            </w:pPr>
            <w:r w:rsidRPr="00DC175B">
              <w:rPr>
                <w:rFonts w:eastAsia="Times New Roman" w:cs="Calibri"/>
                <w:color w:val="FFFFFF" w:themeColor="background1"/>
              </w:rPr>
              <w:t>Շեմեր</w:t>
            </w:r>
          </w:p>
        </w:tc>
        <w:tc>
          <w:tcPr>
            <w:tcW w:w="1560" w:type="dxa"/>
            <w:vMerge w:val="restart"/>
            <w:shd w:val="clear" w:color="auto" w:fill="5B9BD5" w:themeFill="accent1"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</w:rPr>
            </w:pPr>
            <w:r w:rsidRPr="00DC175B">
              <w:rPr>
                <w:rFonts w:eastAsia="Times New Roman" w:cs="Calibri"/>
                <w:color w:val="FFFFFF" w:themeColor="background1"/>
              </w:rPr>
              <w:t>ՀՀ ցուցանիշ</w:t>
            </w:r>
          </w:p>
        </w:tc>
      </w:tr>
      <w:tr w:rsidR="00A677EC" w:rsidRPr="00DC175B" w:rsidTr="00D74D0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hideMark/>
          </w:tcPr>
          <w:p w:rsidR="00A677EC" w:rsidRPr="00DC175B" w:rsidRDefault="00A677EC" w:rsidP="00D74D04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59" w:type="dxa"/>
            <w:shd w:val="clear" w:color="auto" w:fill="5B9BD5" w:themeFill="accent1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</w:rPr>
            </w:pPr>
            <w:r w:rsidRPr="00DC175B">
              <w:rPr>
                <w:rFonts w:eastAsia="Times New Roman" w:cs="Calibri"/>
                <w:b/>
                <w:color w:val="FFFFFF" w:themeColor="background1"/>
              </w:rPr>
              <w:t>Ցածր</w:t>
            </w:r>
          </w:p>
        </w:tc>
        <w:tc>
          <w:tcPr>
            <w:tcW w:w="1559" w:type="dxa"/>
            <w:shd w:val="clear" w:color="auto" w:fill="5B9BD5" w:themeFill="accent1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</w:rPr>
            </w:pPr>
            <w:r w:rsidRPr="00DC175B">
              <w:rPr>
                <w:rFonts w:eastAsia="Times New Roman" w:cs="Calibri"/>
                <w:b/>
                <w:color w:val="FFFFFF" w:themeColor="background1"/>
              </w:rPr>
              <w:t>Միջին</w:t>
            </w:r>
          </w:p>
        </w:tc>
        <w:tc>
          <w:tcPr>
            <w:tcW w:w="1701" w:type="dxa"/>
            <w:shd w:val="clear" w:color="auto" w:fill="5B9BD5" w:themeFill="accent1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</w:rPr>
            </w:pPr>
            <w:r w:rsidRPr="00DC175B">
              <w:rPr>
                <w:rFonts w:eastAsia="Times New Roman" w:cs="Calibri"/>
                <w:b/>
                <w:color w:val="FFFFFF" w:themeColor="background1"/>
              </w:rPr>
              <w:t>Բարձր</w:t>
            </w:r>
          </w:p>
        </w:tc>
        <w:tc>
          <w:tcPr>
            <w:tcW w:w="1560" w:type="dxa"/>
            <w:vMerge/>
            <w:hideMark/>
          </w:tcPr>
          <w:p w:rsidR="00A677EC" w:rsidRPr="00DC175B" w:rsidRDefault="00A677EC" w:rsidP="00D74D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A677EC" w:rsidRPr="00DC175B" w:rsidTr="00D74D0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ՀՀ երկրի ռիսկի հավելավճար, բազիսային կետ*</w:t>
            </w:r>
          </w:p>
        </w:tc>
        <w:tc>
          <w:tcPr>
            <w:tcW w:w="1559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&lt;200</w:t>
            </w:r>
          </w:p>
        </w:tc>
        <w:tc>
          <w:tcPr>
            <w:tcW w:w="1559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200-600</w:t>
            </w:r>
          </w:p>
        </w:tc>
        <w:tc>
          <w:tcPr>
            <w:tcW w:w="1701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&gt;600</w:t>
            </w:r>
          </w:p>
        </w:tc>
        <w:tc>
          <w:tcPr>
            <w:tcW w:w="1560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291.1</w:t>
            </w:r>
          </w:p>
        </w:tc>
      </w:tr>
      <w:tr w:rsidR="00A677EC" w:rsidRPr="00DC175B" w:rsidTr="00D74D04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Ոչ ռեզիդենտների նկատմամբ պարտքի կշիռ, % ընդհանուր պարտքում**</w:t>
            </w:r>
          </w:p>
        </w:tc>
        <w:tc>
          <w:tcPr>
            <w:tcW w:w="1559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&lt;15</w:t>
            </w:r>
          </w:p>
        </w:tc>
        <w:tc>
          <w:tcPr>
            <w:tcW w:w="1559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15-45</w:t>
            </w:r>
          </w:p>
        </w:tc>
        <w:tc>
          <w:tcPr>
            <w:tcW w:w="1701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&gt;45</w:t>
            </w:r>
          </w:p>
        </w:tc>
        <w:tc>
          <w:tcPr>
            <w:tcW w:w="1560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75.2</w:t>
            </w:r>
          </w:p>
        </w:tc>
      </w:tr>
      <w:tr w:rsidR="00A677EC" w:rsidRPr="00DC175B" w:rsidTr="00D74D04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Արտարժութային պարտքի կշիռ, % ընդհանուր պարտքում**</w:t>
            </w:r>
          </w:p>
        </w:tc>
        <w:tc>
          <w:tcPr>
            <w:tcW w:w="1559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&lt;20</w:t>
            </w:r>
          </w:p>
        </w:tc>
        <w:tc>
          <w:tcPr>
            <w:tcW w:w="1559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20-60</w:t>
            </w:r>
          </w:p>
        </w:tc>
        <w:tc>
          <w:tcPr>
            <w:tcW w:w="1701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&gt;60</w:t>
            </w:r>
          </w:p>
        </w:tc>
        <w:tc>
          <w:tcPr>
            <w:tcW w:w="1560" w:type="dxa"/>
            <w:noWrap/>
            <w:vAlign w:val="center"/>
            <w:hideMark/>
          </w:tcPr>
          <w:p w:rsidR="00A677EC" w:rsidRPr="00DC175B" w:rsidRDefault="00A677EC" w:rsidP="00D74D04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DC175B">
              <w:rPr>
                <w:rFonts w:eastAsia="Times New Roman" w:cs="Calibri"/>
                <w:color w:val="000000"/>
              </w:rPr>
              <w:t>76.4</w:t>
            </w:r>
          </w:p>
        </w:tc>
      </w:tr>
    </w:tbl>
    <w:p w:rsidR="00A677EC" w:rsidRPr="00DC175B" w:rsidRDefault="00A677EC" w:rsidP="00A677EC">
      <w:pPr>
        <w:pStyle w:val="a0"/>
      </w:pPr>
      <w:r w:rsidRPr="00DC175B">
        <w:t>*Հաշվարկված է որպես 2021թ</w:t>
      </w:r>
      <w:r w:rsidRPr="00DC175B">
        <w:rPr>
          <w:rFonts w:ascii="Cambria Math" w:hAnsi="Cambria Math" w:cs="Cambria Math"/>
        </w:rPr>
        <w:t>․</w:t>
      </w:r>
      <w:r w:rsidRPr="00DC175B">
        <w:t xml:space="preserve"> մարտ-մայիս ամիսներին երկրորդային շուկայում 2029 և 2031թթ</w:t>
      </w:r>
      <w:r w:rsidRPr="00DC175B">
        <w:rPr>
          <w:rFonts w:ascii="Cambria Math" w:hAnsi="Cambria Math" w:cs="Cambria Math"/>
        </w:rPr>
        <w:t>․</w:t>
      </w:r>
      <w:r w:rsidRPr="00DC175B">
        <w:t xml:space="preserve"> մարվող ՀՀ եվրոբոնդերի եկամտաբերություններ՝ ԱՄՆ գանձապետական պարտատոմսերի հետ միջին սփրեդ։</w:t>
      </w:r>
    </w:p>
    <w:p w:rsidR="00A677EC" w:rsidRPr="00DC175B" w:rsidRDefault="00A677EC" w:rsidP="00A677EC">
      <w:pPr>
        <w:pStyle w:val="a0"/>
      </w:pPr>
      <w:r w:rsidRPr="00DC175B">
        <w:t>**2021թ</w:t>
      </w:r>
      <w:r w:rsidRPr="00DC175B">
        <w:rPr>
          <w:rFonts w:ascii="Cambria Math" w:hAnsi="Cambria Math" w:cs="Cambria Math"/>
        </w:rPr>
        <w:t>․</w:t>
      </w:r>
      <w:r w:rsidRPr="00DC175B">
        <w:t xml:space="preserve"> մայիսի դրությամբ։</w:t>
      </w:r>
    </w:p>
    <w:p w:rsidR="00A677EC" w:rsidRPr="00DC175B" w:rsidRDefault="00A677EC" w:rsidP="00A677EC">
      <w:pPr>
        <w:spacing w:after="0" w:line="276" w:lineRule="auto"/>
        <w:rPr>
          <w:lang w:val="hy-AM"/>
        </w:rPr>
      </w:pPr>
    </w:p>
    <w:p w:rsidR="00A677EC" w:rsidRPr="00DC175B" w:rsidRDefault="00A677EC" w:rsidP="00A677EC">
      <w:pPr>
        <w:pStyle w:val="a1"/>
      </w:pPr>
      <w:r w:rsidRPr="00DC175B">
        <w:t xml:space="preserve">Գծապատկեր 4.4. ՀՀ Կառավարության պարտքի կանխատեսումների հավանականությունների բաշխման գրաֆիկը </w:t>
      </w:r>
    </w:p>
    <w:p w:rsidR="00A677EC" w:rsidRPr="00DC175B" w:rsidRDefault="00A677EC" w:rsidP="00A677EC">
      <w:pPr>
        <w:spacing w:line="276" w:lineRule="auto"/>
        <w:ind w:firstLine="0"/>
        <w:rPr>
          <w:lang w:val="hy-AM"/>
        </w:rPr>
      </w:pPr>
      <w:r w:rsidRPr="00DC175B">
        <w:rPr>
          <w:noProof/>
        </w:rPr>
        <w:drawing>
          <wp:inline distT="0" distB="0" distL="0" distR="0" wp14:anchorId="2B9D5199" wp14:editId="4D502955">
            <wp:extent cx="6391275" cy="2609850"/>
            <wp:effectExtent l="0" t="0" r="9525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7EC" w:rsidRPr="00DC175B" w:rsidRDefault="00A677EC" w:rsidP="00A677EC">
      <w:pPr>
        <w:spacing w:line="276" w:lineRule="auto"/>
        <w:rPr>
          <w:lang w:val="hy-AM"/>
        </w:rPr>
      </w:pPr>
    </w:p>
    <w:p w:rsidR="00A677EC" w:rsidRPr="00DC175B" w:rsidRDefault="00A677EC" w:rsidP="00A677EC">
      <w:pPr>
        <w:spacing w:line="276" w:lineRule="auto"/>
        <w:rPr>
          <w:lang w:val="hy-AM"/>
        </w:rPr>
      </w:pPr>
    </w:p>
    <w:tbl>
      <w:tblPr>
        <w:tblStyle w:val="TableGrid"/>
        <w:tblW w:w="10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73"/>
        <w:gridCol w:w="5650"/>
      </w:tblGrid>
      <w:tr w:rsidR="00A677EC" w:rsidRPr="00DC175B" w:rsidTr="00D74D04">
        <w:tc>
          <w:tcPr>
            <w:tcW w:w="5273" w:type="dxa"/>
          </w:tcPr>
          <w:p w:rsidR="00A677EC" w:rsidRPr="00DC175B" w:rsidRDefault="00A677EC" w:rsidP="00D74D04">
            <w:pPr>
              <w:spacing w:line="276" w:lineRule="auto"/>
              <w:rPr>
                <w:lang w:val="hy-AM"/>
              </w:rPr>
            </w:pPr>
          </w:p>
        </w:tc>
        <w:tc>
          <w:tcPr>
            <w:tcW w:w="5650" w:type="dxa"/>
          </w:tcPr>
          <w:p w:rsidR="00A677EC" w:rsidRPr="00DC175B" w:rsidRDefault="00A677EC" w:rsidP="00D74D04">
            <w:pPr>
              <w:spacing w:line="276" w:lineRule="auto"/>
              <w:rPr>
                <w:lang w:val="hy-AM"/>
              </w:rPr>
            </w:pPr>
          </w:p>
        </w:tc>
      </w:tr>
    </w:tbl>
    <w:p w:rsidR="001D541A" w:rsidRDefault="001D541A"/>
    <w:sectPr w:rsidR="001D541A" w:rsidSect="00A677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EC" w:rsidRDefault="00A677EC" w:rsidP="00A677EC">
      <w:pPr>
        <w:spacing w:before="0" w:after="0" w:line="240" w:lineRule="auto"/>
      </w:pPr>
      <w:r>
        <w:separator/>
      </w:r>
    </w:p>
  </w:endnote>
  <w:endnote w:type="continuationSeparator" w:id="0">
    <w:p w:rsidR="00A677EC" w:rsidRDefault="00A677EC" w:rsidP="00A67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EC" w:rsidRDefault="00A677EC" w:rsidP="00A677EC">
      <w:pPr>
        <w:spacing w:before="0" w:after="0" w:line="240" w:lineRule="auto"/>
      </w:pPr>
      <w:r>
        <w:separator/>
      </w:r>
    </w:p>
  </w:footnote>
  <w:footnote w:type="continuationSeparator" w:id="0">
    <w:p w:rsidR="00A677EC" w:rsidRDefault="00A677EC" w:rsidP="00A677EC">
      <w:pPr>
        <w:spacing w:before="0" w:after="0" w:line="240" w:lineRule="auto"/>
      </w:pPr>
      <w:r>
        <w:continuationSeparator/>
      </w:r>
    </w:p>
  </w:footnote>
  <w:footnote w:id="1">
    <w:p w:rsidR="00A677EC" w:rsidRPr="000B2578" w:rsidRDefault="00A677EC" w:rsidP="00A677EC">
      <w:pPr>
        <w:pStyle w:val="FootnoteText"/>
        <w:rPr>
          <w:lang w:val="hy-AM"/>
        </w:rPr>
      </w:pPr>
      <w:r w:rsidRPr="000B2578">
        <w:rPr>
          <w:rStyle w:val="FootnoteReference"/>
        </w:rPr>
        <w:footnoteRef/>
      </w:r>
      <w:r w:rsidRPr="000B2578">
        <w:rPr>
          <w:lang w:val="hy-AM"/>
        </w:rPr>
        <w:t xml:space="preserve"> Թիրախային տնտեսական աճի </w:t>
      </w:r>
      <w:r>
        <w:rPr>
          <w:lang w:val="hy-AM"/>
        </w:rPr>
        <w:t xml:space="preserve">մակրոտնտեսական </w:t>
      </w:r>
      <w:r w:rsidRPr="000B2578">
        <w:rPr>
          <w:lang w:val="hy-AM"/>
        </w:rPr>
        <w:t xml:space="preserve">սցենարի նկարագրությանը, դրա ապահովման պայմաններին և հարկաբյուջետային </w:t>
      </w:r>
      <w:r>
        <w:rPr>
          <w:lang w:val="hy-AM"/>
        </w:rPr>
        <w:t xml:space="preserve">սցենարին կարելի է ծանոթանալ </w:t>
      </w:r>
      <w:r w:rsidRPr="000B2578">
        <w:rPr>
          <w:lang w:val="hy-AM"/>
        </w:rPr>
        <w:t xml:space="preserve">2022-2024 </w:t>
      </w:r>
      <w:r>
        <w:rPr>
          <w:lang w:val="hy-AM"/>
        </w:rPr>
        <w:t xml:space="preserve">թթ․ ՄԺԾԾ փաստաթղթի «1․3․1․ Թիրախային </w:t>
      </w:r>
      <w:r w:rsidRPr="000B2578">
        <w:rPr>
          <w:lang w:val="hy-AM"/>
        </w:rPr>
        <w:t>(</w:t>
      </w:r>
      <w:r>
        <w:rPr>
          <w:lang w:val="hy-AM"/>
        </w:rPr>
        <w:t>բարձր</w:t>
      </w:r>
      <w:r w:rsidRPr="000B2578">
        <w:rPr>
          <w:lang w:val="hy-AM"/>
        </w:rPr>
        <w:t xml:space="preserve">) </w:t>
      </w:r>
      <w:r>
        <w:rPr>
          <w:lang w:val="hy-AM"/>
        </w:rPr>
        <w:t>տնտեսական աճի սցենար» ենթաբաժնում</w:t>
      </w:r>
      <w:r w:rsidRPr="000B2578">
        <w:rPr>
          <w:lang w:val="hy-AM"/>
        </w:rPr>
        <w:t xml:space="preserve">: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C"/>
    <w:rsid w:val="000876A8"/>
    <w:rsid w:val="001D541A"/>
    <w:rsid w:val="00920AA3"/>
    <w:rsid w:val="00A677EC"/>
    <w:rsid w:val="00D238E7"/>
    <w:rsid w:val="00D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A976-57D9-4014-85DB-35582E5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EC"/>
    <w:pPr>
      <w:spacing w:before="40" w:after="60" w:line="312" w:lineRule="auto"/>
      <w:ind w:firstLine="567"/>
      <w:jc w:val="both"/>
    </w:pPr>
    <w:rPr>
      <w:rFonts w:ascii="GHEA Grapalat" w:eastAsiaTheme="minorEastAsia" w:hAnsi="GHEA Grapal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(Sub-Chapter),Centered,(text),Heading 3 Char Char Char Char Char Char"/>
    <w:basedOn w:val="ListParagraph"/>
    <w:next w:val="Normal"/>
    <w:link w:val="Heading3Char"/>
    <w:uiPriority w:val="9"/>
    <w:unhideWhenUsed/>
    <w:qFormat/>
    <w:rsid w:val="00A677EC"/>
    <w:pPr>
      <w:keepNext/>
      <w:keepLines/>
      <w:spacing w:before="240"/>
      <w:ind w:left="0" w:firstLine="0"/>
      <w:jc w:val="left"/>
      <w:outlineLvl w:val="2"/>
    </w:pPr>
    <w:rPr>
      <w:b/>
      <w:caps/>
      <w:lang w:val="hy-AM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7E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(Sub-Chapter) Char,Centered Char,(text) Char,Heading 3 Char Char Char Char Char Char Char"/>
    <w:basedOn w:val="DefaultParagraphFont"/>
    <w:link w:val="Heading3"/>
    <w:uiPriority w:val="9"/>
    <w:qFormat/>
    <w:rsid w:val="00A677EC"/>
    <w:rPr>
      <w:rFonts w:ascii="GHEA Grapalat" w:eastAsiaTheme="minorEastAsia" w:hAnsi="GHEA Grapalat"/>
      <w:b/>
      <w:caps/>
      <w:lang w:val="hy-AM"/>
    </w:rPr>
  </w:style>
  <w:style w:type="paragraph" w:styleId="BodyText2">
    <w:name w:val="Body Text 2"/>
    <w:aliases w:val="1Text"/>
    <w:basedOn w:val="Normal"/>
    <w:link w:val="BodyText2Char1"/>
    <w:qFormat/>
    <w:rsid w:val="00A677EC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uiPriority w:val="99"/>
    <w:semiHidden/>
    <w:rsid w:val="00A677EC"/>
    <w:rPr>
      <w:rFonts w:ascii="GHEA Grapalat" w:eastAsiaTheme="minorEastAsia" w:hAnsi="GHEA Grapalat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A677EC"/>
    <w:rPr>
      <w:vertAlign w:val="superscript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,WB-Fußnotentext,ft"/>
    <w:basedOn w:val="Normal"/>
    <w:link w:val="FootnoteTextChar"/>
    <w:qFormat/>
    <w:rsid w:val="00A677EC"/>
    <w:pPr>
      <w:ind w:firstLine="0"/>
    </w:pPr>
    <w:rPr>
      <w:sz w:val="16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,FOOTNOTES Char Char,FOOTNOTES Char Char Char Char,FOOTNOTES Char1,Footnote Text Char2 Char Char"/>
    <w:basedOn w:val="DefaultParagraphFont"/>
    <w:link w:val="FootnoteText"/>
    <w:rsid w:val="00A677EC"/>
    <w:rPr>
      <w:rFonts w:ascii="GHEA Grapalat" w:eastAsiaTheme="minorEastAsia" w:hAnsi="GHEA Grapalat"/>
      <w:sz w:val="16"/>
      <w:szCs w:val="20"/>
    </w:rPr>
  </w:style>
  <w:style w:type="character" w:styleId="Hyperlink">
    <w:name w:val="Hyperlink"/>
    <w:uiPriority w:val="99"/>
    <w:rsid w:val="00A677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A677E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aliases w:val="1Text Char"/>
    <w:link w:val="BodyText2"/>
    <w:rsid w:val="00A677EC"/>
    <w:rPr>
      <w:rFonts w:ascii="GHEA Grapalat" w:eastAsiaTheme="minorEastAsia" w:hAnsi="GHEA Grapalat"/>
      <w:sz w:val="20"/>
      <w:szCs w:val="20"/>
      <w:lang w:val="ru-RU" w:eastAsia="ru-RU"/>
    </w:rPr>
  </w:style>
  <w:style w:type="table" w:customStyle="1" w:styleId="GridTable1Light-Accent11">
    <w:name w:val="Grid Table 1 Light - Accent 11"/>
    <w:basedOn w:val="TableNormal"/>
    <w:uiPriority w:val="46"/>
    <w:rsid w:val="00A677EC"/>
    <w:pPr>
      <w:spacing w:after="0" w:line="240" w:lineRule="auto"/>
    </w:pPr>
    <w:rPr>
      <w:sz w:val="20"/>
      <w:szCs w:val="20"/>
    </w:r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Աղյուսակներ"/>
    <w:basedOn w:val="Normal"/>
    <w:qFormat/>
    <w:rsid w:val="00A677EC"/>
    <w:pPr>
      <w:spacing w:before="60" w:after="40" w:line="360" w:lineRule="auto"/>
    </w:pPr>
    <w:rPr>
      <w:rFonts w:eastAsia="Calibri" w:cs="Sylfaen"/>
      <w:b/>
      <w:bCs/>
      <w:i/>
      <w:lang w:val="hy-AM"/>
    </w:rPr>
  </w:style>
  <w:style w:type="paragraph" w:customStyle="1" w:styleId="a0">
    <w:name w:val="Գծ. հղումներ"/>
    <w:basedOn w:val="Normal"/>
    <w:qFormat/>
    <w:rsid w:val="00A677EC"/>
    <w:pPr>
      <w:spacing w:after="160" w:line="276" w:lineRule="auto"/>
      <w:ind w:firstLine="0"/>
      <w:contextualSpacing/>
      <w:jc w:val="left"/>
    </w:pPr>
    <w:rPr>
      <w:rFonts w:eastAsia="Calibri" w:cs="Times New Roman"/>
      <w:i/>
      <w:sz w:val="18"/>
      <w:szCs w:val="16"/>
      <w:lang w:val="hy-AM"/>
    </w:rPr>
  </w:style>
  <w:style w:type="paragraph" w:customStyle="1" w:styleId="a1">
    <w:name w:val="Գծապատկեր"/>
    <w:basedOn w:val="Heading5"/>
    <w:qFormat/>
    <w:rsid w:val="00A677EC"/>
    <w:pPr>
      <w:keepLines w:val="0"/>
      <w:spacing w:before="240" w:after="120" w:line="240" w:lineRule="auto"/>
      <w:ind w:firstLine="0"/>
      <w:jc w:val="left"/>
    </w:pPr>
    <w:rPr>
      <w:rFonts w:ascii="GHEA Grapalat" w:eastAsia="Times New Roman" w:hAnsi="GHEA Grapalat" w:cs="Times Unicode"/>
      <w:b/>
      <w:bCs/>
      <w:i/>
      <w:iCs/>
      <w:color w:val="auto"/>
      <w:sz w:val="24"/>
      <w:szCs w:val="26"/>
      <w:lang w:val="hy-AM"/>
    </w:rPr>
  </w:style>
  <w:style w:type="paragraph" w:styleId="ListParagraph">
    <w:name w:val="List Paragraph"/>
    <w:basedOn w:val="Normal"/>
    <w:uiPriority w:val="34"/>
    <w:qFormat/>
    <w:rsid w:val="00A677E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677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67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77EC"/>
    <w:pPr>
      <w:spacing w:line="259" w:lineRule="auto"/>
      <w:ind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77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677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rek_Karapetyan\Desktop\DSA_13,07,202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Պարտքի արդյունավետ տոկոսադրույք,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2001-2009թթ․</c:v>
                </c:pt>
                <c:pt idx="1">
                  <c:v>2010-2020թթ․</c:v>
                </c:pt>
                <c:pt idx="2">
                  <c:v>2021-2026թթ․ (կանխ․)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2.5367283333333335</c:v>
                </c:pt>
                <c:pt idx="1">
                  <c:v>3.9407422904963068</c:v>
                </c:pt>
                <c:pt idx="2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1-41D0-9C65-3AC18A8639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Անվանական ՀՆԱ-ի աճ,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2001-2009թթ․</c:v>
                </c:pt>
                <c:pt idx="1">
                  <c:v>2010-2020թթ․</c:v>
                </c:pt>
                <c:pt idx="2">
                  <c:v>2021-2026թթ․ (կանխ․)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>
                  <c:v>13.606408411072769</c:v>
                </c:pt>
                <c:pt idx="1">
                  <c:v>5.8331401996788399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1-41D0-9C65-3AC18A863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495040"/>
        <c:axId val="155500928"/>
      </c:barChart>
      <c:catAx>
        <c:axId val="15549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155500928"/>
        <c:crosses val="autoZero"/>
        <c:auto val="1"/>
        <c:lblAlgn val="ctr"/>
        <c:lblOffset val="100"/>
        <c:noMultiLvlLbl val="0"/>
      </c:catAx>
      <c:valAx>
        <c:axId val="15550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15549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22225" cap="flat" cmpd="sng" algn="ctr">
      <a:solidFill>
        <a:schemeClr val="tx1">
          <a:alpha val="20000"/>
        </a:schemeClr>
      </a:solidFill>
      <a:round/>
    </a:ln>
    <a:effectLst/>
  </c:spPr>
  <c:txPr>
    <a:bodyPr/>
    <a:lstStyle/>
    <a:p>
      <a:pPr>
        <a:defRPr sz="1050"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050" b="1">
                <a:solidFill>
                  <a:schemeClr val="tx2"/>
                </a:solidFill>
                <a:latin typeface="GHEA Grapalat" panose="02000506050000020003" pitchFamily="50" charset="0"/>
              </a:rPr>
              <a:t>ՀՀ կառավարության</a:t>
            </a:r>
            <a:r>
              <a:rPr lang="hy-AM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 պարտք</a:t>
            </a:r>
            <a:r>
              <a:rPr lang="en-US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/</a:t>
            </a:r>
            <a:r>
              <a:rPr lang="hy-AM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ՀՆԱ</a:t>
            </a:r>
            <a:r>
              <a:rPr lang="en-US" sz="1050" b="1" baseline="0">
                <a:solidFill>
                  <a:schemeClr val="tx2"/>
                </a:solidFill>
                <a:latin typeface="GHEA Grapalat" panose="02000506050000020003" pitchFamily="50" charset="0"/>
              </a:rPr>
              <a:t>, %</a:t>
            </a:r>
            <a:endParaRPr lang="en-US" sz="1050" b="1">
              <a:solidFill>
                <a:schemeClr val="tx2"/>
              </a:solidFill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2640249769277592"/>
          <c:y val="9.467418934837870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74385837753548E-2"/>
          <c:y val="0.14718253968253969"/>
          <c:w val="0.87807136032682109"/>
          <c:h val="0.7488560804899387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ՄԺԾԾ սցենար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Sheet1!$B$2:$B$7</c:f>
              <c:numCache>
                <c:formatCode>0.00</c:formatCode>
                <c:ptCount val="6"/>
                <c:pt idx="0">
                  <c:v>62.289690407211985</c:v>
                </c:pt>
                <c:pt idx="1">
                  <c:v>60.478075894545569</c:v>
                </c:pt>
                <c:pt idx="2">
                  <c:v>58.702390902856841</c:v>
                </c:pt>
                <c:pt idx="3">
                  <c:v>56.830208645307664</c:v>
                </c:pt>
                <c:pt idx="4">
                  <c:v>55.181594264149361</c:v>
                </c:pt>
                <c:pt idx="5">
                  <c:v>53.836536077822053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01-431B-B2F9-3920385D83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Բարձր աճի սցենար</c:v>
                </c:pt>
              </c:strCache>
            </c:strRef>
          </c:tx>
          <c:spPr>
            <a:ln w="41275" cap="rnd">
              <a:solidFill>
                <a:schemeClr val="accent2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Sheet1!$C$2:$C$7</c:f>
              <c:numCache>
                <c:formatCode>0.00</c:formatCode>
                <c:ptCount val="6"/>
                <c:pt idx="0">
                  <c:v>62.299070370467071</c:v>
                </c:pt>
                <c:pt idx="1">
                  <c:v>61.530749625836457</c:v>
                </c:pt>
                <c:pt idx="2">
                  <c:v>59.199870142868427</c:v>
                </c:pt>
                <c:pt idx="3">
                  <c:v>56.791337612384439</c:v>
                </c:pt>
                <c:pt idx="4">
                  <c:v>54.351875840149368</c:v>
                </c:pt>
                <c:pt idx="5">
                  <c:v>52.144390676734496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01-431B-B2F9-3920385D83C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Փոխարժեքի շոկ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Sheet1!$D$2:$D$7</c:f>
              <c:numCache>
                <c:formatCode>0.00</c:formatCode>
                <c:ptCount val="6"/>
                <c:pt idx="0">
                  <c:v>62.289690407211971</c:v>
                </c:pt>
                <c:pt idx="1">
                  <c:v>66.960505398045527</c:v>
                </c:pt>
                <c:pt idx="2">
                  <c:v>64.846751639011572</c:v>
                </c:pt>
                <c:pt idx="3">
                  <c:v>62.648044895607626</c:v>
                </c:pt>
                <c:pt idx="4">
                  <c:v>60.699668618649646</c:v>
                </c:pt>
                <c:pt idx="5">
                  <c:v>59.122777780707878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01-431B-B2F9-3920385D83C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Տնտեսական աճի շոկ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Sheet1!$E$2:$E$7</c:f>
              <c:numCache>
                <c:formatCode>0.00</c:formatCode>
                <c:ptCount val="6"/>
                <c:pt idx="0">
                  <c:v>62.289690407211971</c:v>
                </c:pt>
                <c:pt idx="1">
                  <c:v>65.200678256322178</c:v>
                </c:pt>
                <c:pt idx="2">
                  <c:v>69.701156532187909</c:v>
                </c:pt>
                <c:pt idx="3">
                  <c:v>67.758644979812914</c:v>
                </c:pt>
                <c:pt idx="4">
                  <c:v>66.041134734055419</c:v>
                </c:pt>
                <c:pt idx="5">
                  <c:v>64.648481189407107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A01-431B-B2F9-3920385D83C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Առաջնային հաշվեկշռի շոկ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Sheet1!$F$2:$F$7</c:f>
              <c:numCache>
                <c:formatCode>0.00</c:formatCode>
                <c:ptCount val="6"/>
                <c:pt idx="0">
                  <c:v>62.289690407211971</c:v>
                </c:pt>
                <c:pt idx="1">
                  <c:v>61.324015536609053</c:v>
                </c:pt>
                <c:pt idx="2">
                  <c:v>60.397168627465561</c:v>
                </c:pt>
                <c:pt idx="3">
                  <c:v>58.521683875984422</c:v>
                </c:pt>
                <c:pt idx="4">
                  <c:v>56.86774100275678</c:v>
                </c:pt>
                <c:pt idx="5">
                  <c:v>55.51691893005389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A01-431B-B2F9-3920385D83C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Իրական տոկոսադրույքի շոկ</c:v>
                </c:pt>
              </c:strCache>
            </c:strRef>
          </c:tx>
          <c:spPr>
            <a:ln w="412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Sheet1!$G$2:$G$7</c:f>
              <c:numCache>
                <c:formatCode>0.00</c:formatCode>
                <c:ptCount val="6"/>
                <c:pt idx="0">
                  <c:v>62.289690407211971</c:v>
                </c:pt>
                <c:pt idx="1">
                  <c:v>60.478075894545526</c:v>
                </c:pt>
                <c:pt idx="2">
                  <c:v>58.853112251922511</c:v>
                </c:pt>
                <c:pt idx="3">
                  <c:v>57.289836130979722</c:v>
                </c:pt>
                <c:pt idx="4">
                  <c:v>56.094217271910274</c:v>
                </c:pt>
                <c:pt idx="5">
                  <c:v>55.425690271101921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A01-431B-B2F9-3920385D8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614208"/>
        <c:axId val="155632384"/>
      </c:lineChart>
      <c:catAx>
        <c:axId val="1556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32384"/>
        <c:crosses val="autoZero"/>
        <c:auto val="1"/>
        <c:lblAlgn val="ctr"/>
        <c:lblOffset val="100"/>
        <c:noMultiLvlLbl val="0"/>
      </c:catAx>
      <c:valAx>
        <c:axId val="155632384"/>
        <c:scaling>
          <c:orientation val="minMax"/>
          <c:min val="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1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0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y-AM" sz="1100" b="1">
                <a:solidFill>
                  <a:schemeClr val="tx2"/>
                </a:solidFill>
                <a:latin typeface="GHEA Grapalat" panose="02000506050000020003" pitchFamily="50" charset="0"/>
              </a:rPr>
              <a:t>Համախառն ֆինանսավորման կարիք/ՀՆԱ, </a:t>
            </a:r>
            <a:r>
              <a:rPr lang="en-US" sz="1100" b="1">
                <a:solidFill>
                  <a:schemeClr val="tx2"/>
                </a:solidFill>
                <a:latin typeface="GHEA Grapalat" panose="02000506050000020003" pitchFamily="50" charset="0"/>
              </a:rPr>
              <a:t>%</a:t>
            </a:r>
          </a:p>
        </c:rich>
      </c:tx>
      <c:layout>
        <c:manualLayout>
          <c:xMode val="edge"/>
          <c:yMode val="edge"/>
          <c:x val="0.1591085233452518"/>
          <c:y val="1.7361111111111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0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74385837753548E-2"/>
          <c:y val="0.14718253968253969"/>
          <c:w val="0.87807136032682109"/>
          <c:h val="0.7414132608423946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Բազային սցենար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Sheet1!$B$2:$B$7</c:f>
              <c:numCache>
                <c:formatCode>0.0</c:formatCode>
                <c:ptCount val="6"/>
                <c:pt idx="0">
                  <c:v>7.6520199105333075</c:v>
                </c:pt>
                <c:pt idx="1">
                  <c:v>5.3996832430447199</c:v>
                </c:pt>
                <c:pt idx="2">
                  <c:v>5.7007430720471239</c:v>
                </c:pt>
                <c:pt idx="3">
                  <c:v>5.7832136072286806</c:v>
                </c:pt>
                <c:pt idx="4">
                  <c:v>9.5082496053190209</c:v>
                </c:pt>
                <c:pt idx="5">
                  <c:v>6.4520399006210161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A7-41A5-AA80-5AF8F87A74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31750" cap="rnd">
              <a:solidFill>
                <a:schemeClr val="accent2">
                  <a:lumMod val="50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A7-41A5-AA80-5AF8F87A74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Փոխարժեքի շոկ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Sheet1!$D$2:$D$7</c:f>
              <c:numCache>
                <c:formatCode>0.0</c:formatCode>
                <c:ptCount val="6"/>
                <c:pt idx="0">
                  <c:v>7.6520199105333031</c:v>
                </c:pt>
                <c:pt idx="1">
                  <c:v>5.7250974626669855</c:v>
                </c:pt>
                <c:pt idx="2">
                  <c:v>6.131323448066758</c:v>
                </c:pt>
                <c:pt idx="3">
                  <c:v>6.3523229780918191</c:v>
                </c:pt>
                <c:pt idx="4">
                  <c:v>10.464720431574225</c:v>
                </c:pt>
                <c:pt idx="5">
                  <c:v>7.1017302293124462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A7-41A5-AA80-5AF8F87A74E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Տնտեսական աճի շոկ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Sheet1!$E$2:$E$7</c:f>
              <c:numCache>
                <c:formatCode>0.0</c:formatCode>
                <c:ptCount val="6"/>
                <c:pt idx="0">
                  <c:v>7.6520199105333031</c:v>
                </c:pt>
                <c:pt idx="1">
                  <c:v>7.0440063959878394</c:v>
                </c:pt>
                <c:pt idx="2">
                  <c:v>9.328690929565763</c:v>
                </c:pt>
                <c:pt idx="3">
                  <c:v>7.152020821467203</c:v>
                </c:pt>
                <c:pt idx="4">
                  <c:v>11.380170186052142</c:v>
                </c:pt>
                <c:pt idx="5">
                  <c:v>8.013051571479382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6A7-41A5-AA80-5AF8F87A74E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Առաջնային հաշվեկշռի շոկ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Sheet1!$F$2:$F$7</c:f>
              <c:numCache>
                <c:formatCode>0.0</c:formatCode>
                <c:ptCount val="6"/>
                <c:pt idx="0">
                  <c:v>7.6520199105333031</c:v>
                </c:pt>
                <c:pt idx="1">
                  <c:v>6.2451075306239359</c:v>
                </c:pt>
                <c:pt idx="2">
                  <c:v>6.655713471153188</c:v>
                </c:pt>
                <c:pt idx="3">
                  <c:v>6.0142163049988211</c:v>
                </c:pt>
                <c:pt idx="4">
                  <c:v>9.7627288640071193</c:v>
                </c:pt>
                <c:pt idx="5">
                  <c:v>6.7192308886129064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6A7-41A5-AA80-5AF8F87A74E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Իրական տոկոսադրույքի շոկ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</c:numCache>
            </c:numRef>
          </c:cat>
          <c:val>
            <c:numRef>
              <c:f>Sheet1!$G$2:$G$7</c:f>
              <c:numCache>
                <c:formatCode>0.0</c:formatCode>
                <c:ptCount val="6"/>
                <c:pt idx="0">
                  <c:v>7.6520199105333031</c:v>
                </c:pt>
                <c:pt idx="1">
                  <c:v>5.3996832430447173</c:v>
                </c:pt>
                <c:pt idx="2">
                  <c:v>5.8513335294189259</c:v>
                </c:pt>
                <c:pt idx="3">
                  <c:v>6.109817080359111</c:v>
                </c:pt>
                <c:pt idx="4">
                  <c:v>10.025892736910331</c:v>
                </c:pt>
                <c:pt idx="5">
                  <c:v>7.2686758907719193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6A7-41A5-AA80-5AF8F87A7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677440"/>
        <c:axId val="155678976"/>
      </c:lineChart>
      <c:catAx>
        <c:axId val="15567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78976"/>
        <c:crosses val="autoZero"/>
        <c:auto val="1"/>
        <c:lblAlgn val="ctr"/>
        <c:lblOffset val="100"/>
        <c:noMultiLvlLbl val="0"/>
      </c:catAx>
      <c:valAx>
        <c:axId val="1556789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7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74385837753548E-2"/>
          <c:y val="0.14718253968253969"/>
          <c:w val="0.87807136032682109"/>
          <c:h val="8.2924584812785959E-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ՄԺԾԾ մակրոտնտեսական սցենար</c:v>
                </c:pt>
              </c:strCache>
            </c:strRef>
          </c:tx>
          <c:spPr>
            <a:ln w="412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DD-4A2A-B6E0-822C5F95B5D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Թիրախային աճի սցենար</c:v>
                </c:pt>
              </c:strCache>
            </c:strRef>
          </c:tx>
          <c:spPr>
            <a:ln w="41275" cap="rnd">
              <a:solidFill>
                <a:schemeClr val="accent2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DD-4A2A-B6E0-822C5F95B5D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Փոխարժեքի շոկ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DD-4A2A-B6E0-822C5F95B5D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Տնտեսական աճի շոկ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9DD-4A2A-B6E0-822C5F95B5D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Առաջնային հաշվեկշռի շոկ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Sheet1!$F$2:$F$7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9DD-4A2A-B6E0-822C5F95B5D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Իրական տոկոսադրույքի շոկ</c:v>
                </c:pt>
              </c:strCache>
            </c:strRef>
          </c:tx>
          <c:spPr>
            <a:ln w="41275" cap="rnd">
              <a:solidFill>
                <a:schemeClr val="accent6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Sheet1!$G$2:$G$7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9DD-4A2A-B6E0-822C5F95B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812032"/>
        <c:axId val="156813568"/>
      </c:lineChart>
      <c:catAx>
        <c:axId val="156812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6813568"/>
        <c:crosses val="autoZero"/>
        <c:auto val="1"/>
        <c:lblAlgn val="ctr"/>
        <c:lblOffset val="100"/>
        <c:noMultiLvlLbl val="0"/>
      </c:catAx>
      <c:valAx>
        <c:axId val="156813568"/>
        <c:scaling>
          <c:orientation val="minMax"/>
          <c:min val="45"/>
        </c:scaling>
        <c:delete val="1"/>
        <c:axPos val="l"/>
        <c:numFmt formatCode="General" sourceLinked="1"/>
        <c:majorTickMark val="none"/>
        <c:minorTickMark val="none"/>
        <c:tickLblPos val="nextTo"/>
        <c:crossAx val="1568120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4.9274845176075055E-2"/>
          <c:y val="0.19339176942504829"/>
          <c:w val="0.91957719786537262"/>
          <c:h val="0.73113653246174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GHEA Grapalat" panose="02000506050000020003" pitchFamily="50" charset="0"/>
              </a:defRPr>
            </a:pPr>
            <a:r>
              <a:rPr lang="hy-AM" sz="1200" b="1" i="0" baseline="0">
                <a:effectLst/>
                <a:latin typeface="GHEA Grapalat" panose="02000506050000020003" pitchFamily="50" charset="0"/>
              </a:rPr>
              <a:t>ՀՀ կառավարության պարտք</a:t>
            </a:r>
            <a:r>
              <a:rPr lang="en-US" sz="1200" b="1" i="0" baseline="0">
                <a:effectLst/>
                <a:latin typeface="GHEA Grapalat" panose="02000506050000020003" pitchFamily="50" charset="0"/>
              </a:rPr>
              <a:t>/</a:t>
            </a:r>
            <a:r>
              <a:rPr lang="hy-AM" sz="1200" b="1" i="0" baseline="0">
                <a:effectLst/>
                <a:latin typeface="GHEA Grapalat" panose="02000506050000020003" pitchFamily="50" charset="0"/>
              </a:rPr>
              <a:t>ՀՆԱ</a:t>
            </a:r>
            <a:r>
              <a:rPr lang="en-US" sz="1200" b="1" i="0" baseline="0">
                <a:effectLst/>
                <a:latin typeface="GHEA Grapalat" panose="02000506050000020003" pitchFamily="50" charset="0"/>
              </a:rPr>
              <a:t>, %</a:t>
            </a:r>
            <a:endParaRPr lang="en-US" sz="1200">
              <a:effectLst/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6.4062871969329999E-2"/>
          <c:y val="9.732360097323601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9476609328318144E-2"/>
          <c:y val="0.16107503082751048"/>
          <c:w val="0.84467857745457919"/>
          <c:h val="0.60159587715769103"/>
        </c:manualLayout>
      </c:layout>
      <c:areaChart>
        <c:grouping val="stacked"/>
        <c:varyColors val="0"/>
        <c:ser>
          <c:idx val="0"/>
          <c:order val="0"/>
          <c:tx>
            <c:v/>
          </c:tx>
          <c:spPr>
            <a:noFill/>
            <a:ln w="25400">
              <a:noFill/>
            </a:ln>
          </c:spPr>
          <c:cat>
            <c:numRef>
              <c:f>'Fan Chart'!$AE$41:$AL$41</c:f>
              <c:numCache>
                <c:formatCode>General</c:formatCode>
                <c:ptCount val="8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</c:numCache>
            </c:numRef>
          </c:cat>
          <c:val>
            <c:numRef>
              <c:f>'Fan Chart'!$AE$42:$AL$42</c:f>
              <c:numCache>
                <c:formatCode>0.0</c:formatCode>
                <c:ptCount val="8"/>
                <c:pt idx="0">
                  <c:v>50.107236973610512</c:v>
                </c:pt>
                <c:pt idx="1">
                  <c:v>63.476258231461003</c:v>
                </c:pt>
                <c:pt idx="2">
                  <c:v>55.538001935750216</c:v>
                </c:pt>
                <c:pt idx="3">
                  <c:v>51.012879456017181</c:v>
                </c:pt>
                <c:pt idx="4">
                  <c:v>47.647103904909216</c:v>
                </c:pt>
                <c:pt idx="5">
                  <c:v>44.615307255756413</c:v>
                </c:pt>
                <c:pt idx="6">
                  <c:v>43.203908430983063</c:v>
                </c:pt>
                <c:pt idx="7">
                  <c:v>40.170790121433669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D-4234-A48B-53F4C31F91FB}"/>
            </c:ext>
          </c:extLst>
        </c:ser>
        <c:ser>
          <c:idx val="2"/>
          <c:order val="1"/>
          <c:tx>
            <c:strRef>
              <c:f>'Fan Chart'!$Z$43</c:f>
              <c:strCache>
                <c:ptCount val="1"/>
                <c:pt idx="0">
                  <c:v>10-25%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8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</c:numCache>
            </c:numRef>
          </c:cat>
          <c:val>
            <c:numRef>
              <c:f>'Fan Chart'!$AE$43:$AL$43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2.977849017068801</c:v>
                </c:pt>
                <c:pt idx="3">
                  <c:v>4.4592225062694446</c:v>
                </c:pt>
                <c:pt idx="4">
                  <c:v>5.3045928027525502</c:v>
                </c:pt>
                <c:pt idx="5">
                  <c:v>5.7129106388545345</c:v>
                </c:pt>
                <c:pt idx="6">
                  <c:v>5.0712151376021701</c:v>
                </c:pt>
                <c:pt idx="7">
                  <c:v>6.1735951956651771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D-4234-A48B-53F4C31F91FB}"/>
            </c:ext>
          </c:extLst>
        </c:ser>
        <c:ser>
          <c:idx val="3"/>
          <c:order val="2"/>
          <c:tx>
            <c:strRef>
              <c:f>'Fan Chart'!$Z$44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rgbClr val="57B7FF"/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8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</c:numCache>
            </c:numRef>
          </c:cat>
          <c:val>
            <c:numRef>
              <c:f>'Fan Chart'!$AE$44:$AL$44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3.8378177873464425</c:v>
                </c:pt>
                <c:pt idx="3">
                  <c:v>5.1485444053358531</c:v>
                </c:pt>
                <c:pt idx="4">
                  <c:v>6.0899072963841121</c:v>
                </c:pt>
                <c:pt idx="5">
                  <c:v>6.6606182735340802</c:v>
                </c:pt>
                <c:pt idx="6">
                  <c:v>7.1139049687634071</c:v>
                </c:pt>
                <c:pt idx="7">
                  <c:v>7.593899545925642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1D-4234-A48B-53F4C31F91FB}"/>
            </c:ext>
          </c:extLst>
        </c:ser>
        <c:ser>
          <c:idx val="4"/>
          <c:order val="3"/>
          <c:tx>
            <c:strRef>
              <c:f>'Fan Chart'!$Z$45</c:f>
              <c:strCache>
                <c:ptCount val="1"/>
                <c:pt idx="0">
                  <c:v>50-75%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8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</c:numCache>
            </c:numRef>
          </c:cat>
          <c:val>
            <c:numRef>
              <c:f>'Fan Chart'!$AE$45:$AL$45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3.0946651854775742</c:v>
                </c:pt>
                <c:pt idx="3">
                  <c:v>3.8379922658255849</c:v>
                </c:pt>
                <c:pt idx="4">
                  <c:v>4.6074074466959996</c:v>
                </c:pt>
                <c:pt idx="5">
                  <c:v>5.5588691530257028</c:v>
                </c:pt>
                <c:pt idx="6">
                  <c:v>5.8792673765571184</c:v>
                </c:pt>
                <c:pt idx="7">
                  <c:v>6.7368401216899576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1D-4234-A48B-53F4C31F91FB}"/>
            </c:ext>
          </c:extLst>
        </c:ser>
        <c:ser>
          <c:idx val="5"/>
          <c:order val="4"/>
          <c:tx>
            <c:strRef>
              <c:f>'Fan Chart'!$Z$46</c:f>
              <c:strCache>
                <c:ptCount val="1"/>
                <c:pt idx="0">
                  <c:v>75-90%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noFill/>
              <a:prstDash val="solid"/>
            </a:ln>
          </c:spPr>
          <c:cat>
            <c:numRef>
              <c:f>'Fan Chart'!$AE$41:$AL$41</c:f>
              <c:numCache>
                <c:formatCode>General</c:formatCode>
                <c:ptCount val="8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</c:numCache>
            </c:numRef>
          </c:cat>
          <c:val>
            <c:numRef>
              <c:f>'Fan Chart'!$AE$46:$AL$46</c:f>
              <c:numCache>
                <c:formatCode>0.0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4.7327765387006888</c:v>
                </c:pt>
                <c:pt idx="3">
                  <c:v>7.0068966505490549</c:v>
                </c:pt>
                <c:pt idx="4">
                  <c:v>8.25065589053815</c:v>
                </c:pt>
                <c:pt idx="5">
                  <c:v>8.8429066233895455</c:v>
                </c:pt>
                <c:pt idx="6">
                  <c:v>9.7111253915324269</c:v>
                </c:pt>
                <c:pt idx="7">
                  <c:v>9.7918393642897232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1D-4234-A48B-53F4C31F9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603520"/>
        <c:axId val="156605056"/>
      </c:areaChart>
      <c:lineChart>
        <c:grouping val="standard"/>
        <c:varyColors val="0"/>
        <c:ser>
          <c:idx val="1"/>
          <c:order val="5"/>
          <c:tx>
            <c:v>Կանխատեսում</c:v>
          </c:tx>
          <c:spPr>
            <a:ln>
              <a:solidFill>
                <a:srgbClr val="000000"/>
              </a:solidFill>
            </a:ln>
          </c:spPr>
          <c:marker>
            <c:symbol val="none"/>
          </c:marker>
          <c:cat>
            <c:numRef>
              <c:f>'Fan Chart'!$R$52:$Y$52</c:f>
              <c:numCache>
                <c:formatCode>General</c:formatCode>
                <c:ptCount val="8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</c:numCache>
            </c:numRef>
          </c:cat>
          <c:val>
            <c:numRef>
              <c:f>'Fan Chart'!$R$53:$Y$53</c:f>
              <c:numCache>
                <c:formatCode>0.0</c:formatCode>
                <c:ptCount val="8"/>
                <c:pt idx="0">
                  <c:v>50.107236973610512</c:v>
                </c:pt>
                <c:pt idx="1">
                  <c:v>63.476258231461003</c:v>
                </c:pt>
                <c:pt idx="2">
                  <c:v>62.289690407211985</c:v>
                </c:pt>
                <c:pt idx="3">
                  <c:v>60.478075894545569</c:v>
                </c:pt>
                <c:pt idx="4">
                  <c:v>58.702390902856841</c:v>
                </c:pt>
                <c:pt idx="5">
                  <c:v>56.830208645307664</c:v>
                </c:pt>
                <c:pt idx="6">
                  <c:v>55.181594264149361</c:v>
                </c:pt>
                <c:pt idx="7">
                  <c:v>53.836536077822053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61D-4234-A48B-53F4C31F9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603520"/>
        <c:axId val="156605056"/>
      </c:lineChart>
      <c:catAx>
        <c:axId val="1566035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7F7F7F"/>
            </a:solidFill>
            <a:prstDash val="solid"/>
          </a:ln>
        </c:spPr>
        <c:txPr>
          <a:bodyPr rot="0" vert="horz"/>
          <a:lstStyle/>
          <a:p>
            <a:pPr>
              <a:defRPr sz="1200">
                <a:latin typeface="Segoe UI" pitchFamily="34" charset="0"/>
                <a:ea typeface="Segoe UI" pitchFamily="34" charset="0"/>
                <a:cs typeface="Segoe UI" pitchFamily="34" charset="0"/>
              </a:defRPr>
            </a:pPr>
            <a:endParaRPr lang="en-US"/>
          </a:p>
        </c:txPr>
        <c:crossAx val="15660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605056"/>
        <c:scaling>
          <c:orientation val="minMax"/>
        </c:scaling>
        <c:delete val="0"/>
        <c:axPos val="l"/>
        <c:numFmt formatCode="0" sourceLinked="0"/>
        <c:majorTickMark val="in"/>
        <c:minorTickMark val="none"/>
        <c:tickLblPos val="nextTo"/>
        <c:spPr>
          <a:ln>
            <a:solidFill>
              <a:srgbClr val="7F7F7F"/>
            </a:solidFill>
          </a:ln>
        </c:spPr>
        <c:txPr>
          <a:bodyPr rot="0" vert="horz"/>
          <a:lstStyle/>
          <a:p>
            <a:pPr>
              <a:defRPr sz="1200">
                <a:latin typeface="Segoe UI" pitchFamily="34" charset="0"/>
                <a:ea typeface="Segoe UI" pitchFamily="34" charset="0"/>
                <a:cs typeface="Segoe UI" pitchFamily="34" charset="0"/>
              </a:defRPr>
            </a:pPr>
            <a:endParaRPr lang="en-US"/>
          </a:p>
        </c:txPr>
        <c:crossAx val="156603520"/>
        <c:crosses val="autoZero"/>
        <c:crossBetween val="midCat"/>
      </c:valAx>
      <c:spPr>
        <a:noFill/>
        <a:ln w="0">
          <a:solidFill>
            <a:srgbClr val="7F7F7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78811575199623E-3"/>
          <c:y val="0.89796886712598878"/>
          <c:w val="0.93562425672321314"/>
          <c:h val="7.4546339542565884E-2"/>
        </c:manualLayout>
      </c:layout>
      <c:overlay val="0"/>
      <c:txPr>
        <a:bodyPr/>
        <a:lstStyle/>
        <a:p>
          <a:pPr>
            <a:defRPr sz="1200">
              <a:latin typeface="Segoe UI" pitchFamily="34" charset="0"/>
              <a:ea typeface="Segoe UI" pitchFamily="34" charset="0"/>
              <a:cs typeface="Segoe UI" pitchFamily="34" charset="0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9525">
      <a:solidFill>
        <a:schemeClr val="tx1"/>
      </a:solidFill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Calibri" pitchFamily="34" charset="0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0.11427</cdr:x>
      <cdr:y>0.51929</cdr:y>
    </cdr:from>
    <cdr:to>
      <cdr:x>0.99399</cdr:x>
      <cdr:y>0.51929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361950" y="1495425"/>
          <a:ext cx="2786380" cy="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0.16059</cdr:x>
      <cdr:y>0.20176</cdr:y>
    </cdr:from>
    <cdr:to>
      <cdr:x>0.44928</cdr:x>
      <cdr:y>0.26792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508635" y="581025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0.09443</cdr:x>
      <cdr:y>0.18523</cdr:y>
    </cdr:from>
    <cdr:to>
      <cdr:x>0.43605</cdr:x>
      <cdr:y>0.28445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299085" y="533400"/>
          <a:ext cx="108204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GHEA Grapalat" panose="02000506050000020003" pitchFamily="50" charset="0"/>
            </a:rPr>
            <a:t>MAC DSA </a:t>
          </a:r>
          <a:r>
            <a:rPr lang="hy-AM" sz="900">
              <a:latin typeface="GHEA Grapalat" panose="02000506050000020003" pitchFamily="50" charset="0"/>
            </a:rPr>
            <a:t>շեմ</a:t>
          </a:r>
          <a:endParaRPr lang="en-US" sz="900">
            <a:latin typeface="GHEA Grapalat" panose="02000506050000020003" pitchFamily="50" charset="0"/>
          </a:endParaRPr>
        </a:p>
      </cdr:txBody>
    </cdr:sp>
  </cdr:relSizeAnchor>
  <cdr:relSizeAnchor xmlns:cdr="http://schemas.openxmlformats.org/drawingml/2006/chartDrawing">
    <cdr:from>
      <cdr:x>0.07438</cdr:x>
      <cdr:y>0.53693</cdr:y>
    </cdr:from>
    <cdr:to>
      <cdr:x>0.6255</cdr:x>
      <cdr:y>0.63616</cdr:y>
    </cdr:to>
    <cdr:sp macro="" textlink="">
      <cdr:nvSpPr>
        <cdr:cNvPr id="7" name="Text Box 1"/>
        <cdr:cNvSpPr txBox="1"/>
      </cdr:nvSpPr>
      <cdr:spPr>
        <a:xfrm xmlns:a="http://schemas.openxmlformats.org/drawingml/2006/main">
          <a:off x="235584" y="1546225"/>
          <a:ext cx="174561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latin typeface="GHEA Grapalat" panose="02000506050000020003" pitchFamily="50" charset="0"/>
            </a:rPr>
            <a:t>Հ</a:t>
          </a:r>
          <a:r>
            <a:rPr lang="hy-AM" sz="900">
              <a:latin typeface="GHEA Grapalat" panose="02000506050000020003" pitchFamily="50" charset="0"/>
            </a:rPr>
            <a:t>Հ հարկաբյուջետային կանոնի</a:t>
          </a:r>
          <a:r>
            <a:rPr lang="hy-AM" sz="900" baseline="0">
              <a:latin typeface="GHEA Grapalat" panose="02000506050000020003" pitchFamily="50" charset="0"/>
            </a:rPr>
            <a:t> սահմանային շեմ</a:t>
          </a:r>
          <a:endParaRPr lang="en-US" sz="900">
            <a:latin typeface="GHEA Grapalat" panose="02000506050000020003" pitchFamily="50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0.16059</cdr:x>
      <cdr:y>0.20176</cdr:y>
    </cdr:from>
    <cdr:to>
      <cdr:x>0.44928</cdr:x>
      <cdr:y>0.26792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508635" y="581025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E539-9CB4-4462-8EA5-C72394B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Karapetyan </dc:creator>
  <cp:keywords/>
  <dc:description/>
  <cp:lastModifiedBy>Greta Adamyan</cp:lastModifiedBy>
  <cp:revision>3</cp:revision>
  <dcterms:created xsi:type="dcterms:W3CDTF">2021-08-05T07:07:00Z</dcterms:created>
  <dcterms:modified xsi:type="dcterms:W3CDTF">2021-08-10T05:59:00Z</dcterms:modified>
</cp:coreProperties>
</file>