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drawings/drawing7.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drawings/drawing8.xml" ContentType="application/vnd.openxmlformats-officedocument.drawingml.chartshapes+xml"/>
  <Override PartName="/word/charts/chart15.xml" ContentType="application/vnd.openxmlformats-officedocument.drawingml.chart+xml"/>
  <Override PartName="/word/theme/themeOverride14.xml" ContentType="application/vnd.openxmlformats-officedocument.themeOverride+xml"/>
  <Override PartName="/word/drawings/drawing9.xml" ContentType="application/vnd.openxmlformats-officedocument.drawingml.chartshapes+xml"/>
  <Override PartName="/word/charts/chart16.xml" ContentType="application/vnd.openxmlformats-officedocument.drawingml.chart+xml"/>
  <Override PartName="/word/theme/themeOverride15.xml" ContentType="application/vnd.openxmlformats-officedocument.themeOverride+xml"/>
  <Override PartName="/word/drawings/drawing10.xml" ContentType="application/vnd.openxmlformats-officedocument.drawingml.chartshapes+xml"/>
  <Override PartName="/word/charts/chart17.xml" ContentType="application/vnd.openxmlformats-officedocument.drawingml.chart+xml"/>
  <Override PartName="/word/theme/themeOverride16.xml" ContentType="application/vnd.openxmlformats-officedocument.themeOverride+xml"/>
  <Override PartName="/word/drawings/drawing11.xml" ContentType="application/vnd.openxmlformats-officedocument.drawingml.chartshapes+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drawings/drawing12.xml" ContentType="application/vnd.openxmlformats-officedocument.drawingml.chartshapes+xml"/>
  <Override PartName="/word/charts/chart20.xml" ContentType="application/vnd.openxmlformats-officedocument.drawingml.chart+xml"/>
  <Override PartName="/word/theme/themeOverride19.xml" ContentType="application/vnd.openxmlformats-officedocument.themeOverride+xml"/>
  <Override PartName="/word/drawings/drawing13.xml" ContentType="application/vnd.openxmlformats-officedocument.drawingml.chartshapes+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drawings/drawing14.xml" ContentType="application/vnd.openxmlformats-officedocument.drawingml.chartshapes+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drawings/drawing15.xml" ContentType="application/vnd.openxmlformats-officedocument.drawingml.chartshapes+xml"/>
  <Override PartName="/word/charts/chart26.xml" ContentType="application/vnd.openxmlformats-officedocument.drawingml.chart+xml"/>
  <Override PartName="/word/theme/themeOverride25.xml" ContentType="application/vnd.openxmlformats-officedocument.themeOverride+xml"/>
  <Override PartName="/word/drawings/drawing16.xml" ContentType="application/vnd.openxmlformats-officedocument.drawingml.chartshapes+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drawings/drawing17.xml" ContentType="application/vnd.openxmlformats-officedocument.drawingml.chartshapes+xml"/>
  <Override PartName="/word/charts/chart30.xml" ContentType="application/vnd.openxmlformats-officedocument.drawingml.chart+xml"/>
  <Override PartName="/word/theme/themeOverride29.xml" ContentType="application/vnd.openxmlformats-officedocument.themeOverride+xml"/>
  <Override PartName="/word/drawings/drawing18.xml" ContentType="application/vnd.openxmlformats-officedocument.drawingml.chartshapes+xml"/>
  <Override PartName="/word/charts/chart31.xml" ContentType="application/vnd.openxmlformats-officedocument.drawingml.chart+xml"/>
  <Override PartName="/word/theme/themeOverride30.xml" ContentType="application/vnd.openxmlformats-officedocument.themeOverride+xml"/>
  <Override PartName="/word/drawings/drawing19.xml" ContentType="application/vnd.openxmlformats-officedocument.drawingml.chartshapes+xml"/>
  <Override PartName="/word/charts/chart32.xml" ContentType="application/vnd.openxmlformats-officedocument.drawingml.chart+xml"/>
  <Override PartName="/word/theme/themeOverride31.xml" ContentType="application/vnd.openxmlformats-officedocument.themeOverride+xml"/>
  <Override PartName="/word/drawings/drawing20.xml" ContentType="application/vnd.openxmlformats-officedocument.drawingml.chartshapes+xml"/>
  <Override PartName="/word/charts/chart33.xml" ContentType="application/vnd.openxmlformats-officedocument.drawingml.chart+xml"/>
  <Override PartName="/word/theme/themeOverride32.xml" ContentType="application/vnd.openxmlformats-officedocument.themeOverride+xml"/>
  <Override PartName="/word/drawings/drawing21.xml" ContentType="application/vnd.openxmlformats-officedocument.drawingml.chartshapes+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drawings/drawing22.xml" ContentType="application/vnd.openxmlformats-officedocument.drawingml.chartshapes+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A25" w:rsidRPr="00BB575A" w:rsidRDefault="009F0A25" w:rsidP="00F21B33">
      <w:pPr>
        <w:pStyle w:val="Heading1"/>
        <w:rPr>
          <w:bCs/>
        </w:rPr>
      </w:pPr>
      <w:bookmarkStart w:id="0" w:name="_Toc51947410"/>
      <w:bookmarkStart w:id="1" w:name="_Toc52452083"/>
      <w:bookmarkStart w:id="2" w:name="_Toc45838512"/>
      <w:bookmarkStart w:id="3" w:name="_Toc46154342"/>
      <w:bookmarkStart w:id="4" w:name="_Toc57559411"/>
      <w:bookmarkStart w:id="5" w:name="_Toc57655444"/>
      <w:bookmarkStart w:id="6" w:name="_Toc46760415"/>
      <w:r w:rsidRPr="00BB575A">
        <w:t>ՄԱԿՐՈՏՆՏԵՍԱԿԱՆ ԶԱՐԳԱՑՈՒՄՆԵՐ ԵՎ ԿԱՆԽԱՏԵՍՈՒՄՆԵՐ</w:t>
      </w:r>
      <w:bookmarkEnd w:id="0"/>
      <w:bookmarkEnd w:id="1"/>
      <w:bookmarkEnd w:id="2"/>
      <w:bookmarkEnd w:id="3"/>
      <w:bookmarkEnd w:id="4"/>
      <w:bookmarkEnd w:id="5"/>
    </w:p>
    <w:p w:rsidR="009F0A25" w:rsidRPr="00C86F6C" w:rsidRDefault="009F0A25" w:rsidP="007730AA">
      <w:pPr>
        <w:keepNext/>
        <w:keepLines/>
        <w:spacing w:before="0" w:line="276" w:lineRule="auto"/>
        <w:outlineLvl w:val="2"/>
        <w:rPr>
          <w:b w:val="0"/>
          <w:bCs/>
          <w:sz w:val="28"/>
          <w:szCs w:val="28"/>
          <w:lang w:val="hy-AM"/>
        </w:rPr>
      </w:pPr>
      <w:bookmarkStart w:id="7" w:name="_Toc51947412"/>
      <w:bookmarkStart w:id="8" w:name="_Toc52452085"/>
      <w:bookmarkStart w:id="9" w:name="_Toc57559412"/>
      <w:bookmarkStart w:id="10" w:name="_Toc57655445"/>
      <w:r w:rsidRPr="00C86F6C">
        <w:rPr>
          <w:bCs/>
          <w:sz w:val="28"/>
          <w:szCs w:val="28"/>
          <w:lang w:val="hy-AM"/>
        </w:rPr>
        <w:t>1.1 ՄԱԿՐՈՏՆՏԵՍԱԿԱՆ ԱՄՓՈՓԱԳԻՐ ԵՎ ՇՐՋԱՆԱԿ</w:t>
      </w:r>
      <w:bookmarkEnd w:id="7"/>
      <w:bookmarkEnd w:id="8"/>
      <w:bookmarkEnd w:id="9"/>
      <w:bookmarkEnd w:id="10"/>
      <w:r w:rsidRPr="00C86F6C">
        <w:rPr>
          <w:bCs/>
          <w:sz w:val="28"/>
          <w:szCs w:val="28"/>
          <w:lang w:val="hy-AM"/>
        </w:rPr>
        <w:t xml:space="preserve"> </w:t>
      </w:r>
    </w:p>
    <w:p w:rsidR="00034178"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Դեռևս 2019թ. վերջին կանխատեսվում էր, որ աշխարհի ավելի քան 170 երկրների տնտեսությունները 2020թ. կաճեն։ Մինչդեռ, կորոնավիրուսի համավարակի (COVID 19) ազդեցության գնահատականների ձևավորմանը զուգընթաց վերանայվեցին նաև հենց այդ նույն թվով երկրների տնտեսական զարգացումների կանխատեսումները՝ անկման ուղղությամբ։ Ներկայում, ամբողջ աշխարհը շարունակելով կրել համավարակի առաջին ալիքի բացասական հետևանքները, պայքարում</w:t>
      </w:r>
      <w:bookmarkStart w:id="11" w:name="_GoBack"/>
      <w:bookmarkEnd w:id="11"/>
      <w:r w:rsidRPr="00034178">
        <w:rPr>
          <w:rFonts w:cs="Times Armenian"/>
          <w:b w:val="0"/>
          <w:bCs/>
          <w:szCs w:val="22"/>
          <w:lang w:val="hy-AM" w:eastAsia="en-US"/>
        </w:rPr>
        <w:t xml:space="preserve"> է բռնկված երկրոդ ալիքի առողջապահական և տնտեսական ազդեցությունների դեմ: Այս պայմաններում հատկանշական է, որ զգալի անկում է կանխատեսվում ՀՀ գործընկեր երկրների տնտեսությունների համար, որի էական բացասական ազդեցությունը ՀՀ տնտեսության վրա անխուսափելի է։  </w:t>
      </w:r>
    </w:p>
    <w:p w:rsidR="00034178"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Կորոնավիրուսի համավարակով պայմանավորված արտակարգ դրության, կիրառվող սահմանափակումների պայմաններում ՀՀ-ում նվազել է ինչպես պահանջարկը, այնպես էլ առաջարկը: Առավելապես տուժել են ծառայությունների, շինարարության և մշակող արդյունաբերության ճյուղերը։ Վերոնշյալ ընթացիկ իրավիճակի, ՀՀ գործընկեր երկրների ընթացիկ և կանխատեսված տնտեսական զարգացումների</w:t>
      </w:r>
      <w:bookmarkStart w:id="12" w:name="_Hlk57389409"/>
      <w:r w:rsidRPr="00034178">
        <w:rPr>
          <w:rFonts w:cs="Times Armenian"/>
          <w:b w:val="0"/>
          <w:bCs/>
          <w:szCs w:val="22"/>
          <w:lang w:val="hy-AM" w:eastAsia="en-US"/>
        </w:rPr>
        <w:t xml:space="preserve">, համավարակի երկրորդ ալիքի և 2020թ. սեպտեմբերի 27-ին Ադրբեջանի կողմից Արցախի Հանրապետության դեմ սանձազերծած լայնամասշտաբ պատերազմական գործողությունների (այսուհետ՝ Արցախյան պատերազմ) գնահատվող  ազդեցությունների պայմաններում 2020թ. սպասվում է 7.9% տնտեսական անկում, իսկ 2021թ.՝ 3.2% տնտեսական աճ: </w:t>
      </w:r>
    </w:p>
    <w:bookmarkEnd w:id="12"/>
    <w:p w:rsidR="00034178"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Տնտեսական ակտիվության դանդաղման և թուլացող ներքին ու արտաքին պահանջարկի պայմաններում 2020թ. կանխատեսվում է արտահանման և ներմուծման դոլարային ծավալների անկում, որի պատճառով առևտրային բացասական պակասուրդը կկրճատվի, իսկ ընթացիկ հաշիվը կբարելավվի: 2021թ. ընթացիկ հաշվի պակասուրդը, լինելով շեղված իր երկարաժամկետ հավասարակշիռ մակարդակից, փոքր-ինչ կխորանա:</w:t>
      </w:r>
    </w:p>
    <w:p w:rsidR="00034178"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Հարկաբյուջետային կանոններին համահունչ՝ 2020թ</w:t>
      </w:r>
      <w:r w:rsidRPr="00034178">
        <w:rPr>
          <w:rFonts w:cs="Cambria Math"/>
          <w:b w:val="0"/>
          <w:bCs/>
          <w:szCs w:val="22"/>
          <w:lang w:val="hy-AM" w:eastAsia="en-US"/>
        </w:rPr>
        <w:t>.</w:t>
      </w:r>
      <w:r w:rsidRPr="00034178">
        <w:rPr>
          <w:rFonts w:cs="Times Armenian"/>
          <w:b w:val="0"/>
          <w:bCs/>
          <w:szCs w:val="22"/>
          <w:lang w:val="hy-AM" w:eastAsia="en-US"/>
        </w:rPr>
        <w:t xml:space="preserve"> հարկաբյուջետային քաղաքականությունը կլինի խթանող: Պետական բյուջեի ծախսերը կաճեն՝ մի կողմից համավարակի հետևանքով առաջացած տնտեսական շոկերին հակազդելուն ուղղված հակաճգնաժամային միջոցառումների իրականացման, մյուս կողմից՝ Արցախյան պատերազմական գործողություններով պայմանավորված ծախսերը ֆինանսավորելու նպատակով։ Ընդ որում, 215 մլրդ դրամ կամ ՀՆԱ-ում 3.5% հակաճգնաժամային միջոցառումները, այդ թվում՝ կորոնավիրուսի սոցիալ-տնտեսական հետևանքների կանխարգելմանն ուղղված փաթեթի (150 մլրդ դրամ) ամբողջական օգտագործումը, ինչպես նաև հարկային քաղաքականության ոլորտում կատարված բարեփոխումները (շահութահարկի գծով՝ 65 մլրդ դրամ)  թույլ կտան մեղմել տնտեսական անկումը։ </w:t>
      </w:r>
    </w:p>
    <w:p w:rsid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ԿԲ-ն կարճաժամկետ հատվածում կշարունակի վարել խթանող դրամավարկային քաղաքականություն, և, անհրաժեշտության դեպքում, կպահպանի քաղաքականության խթանող դիրքը նաև 2021թ.։</w:t>
      </w:r>
    </w:p>
    <w:p w:rsidR="009F0A25"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 xml:space="preserve">Պետք է նշել, որ համավարակի տարածման և տևողության մեծ անորոշություններով պայմանավորված, համաշխարհային տնտեսության զարգացման ընթացքը մեծապես </w:t>
      </w:r>
      <w:r w:rsidRPr="00034178">
        <w:rPr>
          <w:rFonts w:cs="Times Armenian"/>
          <w:b w:val="0"/>
          <w:bCs/>
          <w:szCs w:val="22"/>
          <w:lang w:val="hy-AM" w:eastAsia="en-US"/>
        </w:rPr>
        <w:lastRenderedPageBreak/>
        <w:t>կախված է COVID-19 համավարակի հաղթահարմանն ուղղված առողջապահական միջոցառումներից։ Այս պայմաններում, անորոշության մեծ աստիճանից ելնելով՝  2021թ., ինչպես աշխարհի և ՀՀ գործընկերների, այնպես էլ ՀՀ տնտեսական աճի կանխատեսումներում գերակշռում են դեպի ներքև ռիսկերը։ Դեպի ներքև ռիսկեր կարող են ի հայտ գալ Արցախյան պատերազմի հետագա ազդեցությունների և հակամարտության հետագա ընթացքի հետ կապված անորոշություններից։  Բացի այդ, ՀՀ տնտեսական զարգացումների հետագա ընթացքի մասով էական դերակատարում ունի ՀՀ կառավարության՝ համավարակի տնտեսական հետևանքների կանխարգելմանն, Արցախյան պատերազմի հետևանքների մեղմանն ու տնտեսության վերականգմանն ուղղված միջոցառումների ընթացքը։</w:t>
      </w:r>
    </w:p>
    <w:p w:rsidR="009F0A25" w:rsidRPr="005D4C87" w:rsidRDefault="009F0A25" w:rsidP="007730AA">
      <w:pPr>
        <w:tabs>
          <w:tab w:val="right" w:pos="0"/>
        </w:tabs>
        <w:spacing w:before="0" w:line="276" w:lineRule="auto"/>
        <w:ind w:firstLine="284"/>
        <w:rPr>
          <w:rFonts w:cs="Times Armenian"/>
          <w:bCs/>
          <w:szCs w:val="22"/>
          <w:lang w:val="hy-AM"/>
        </w:rPr>
      </w:pPr>
      <w:r w:rsidRPr="007E7F38">
        <w:rPr>
          <w:rFonts w:eastAsia="Calibri" w:cs="Sylfaen"/>
          <w:bCs/>
          <w:i/>
          <w:iCs/>
          <w:color w:val="000000"/>
          <w:szCs w:val="22"/>
          <w:lang w:val="hy-AM"/>
        </w:rPr>
        <w:t>Աղյուսակ</w:t>
      </w:r>
      <w:r w:rsidRPr="007E7F38">
        <w:rPr>
          <w:rFonts w:eastAsia="Calibri"/>
          <w:bCs/>
          <w:i/>
          <w:iCs/>
          <w:color w:val="000000"/>
          <w:szCs w:val="22"/>
          <w:lang w:val="hy-AM"/>
        </w:rPr>
        <w:t xml:space="preserve"> 1.1. </w:t>
      </w:r>
      <w:r w:rsidRPr="009F0A25">
        <w:rPr>
          <w:rFonts w:eastAsia="Calibri"/>
          <w:b w:val="0"/>
          <w:i/>
          <w:iCs/>
          <w:color w:val="000000"/>
          <w:szCs w:val="22"/>
          <w:lang w:val="hy-AM"/>
        </w:rPr>
        <w:t>2021թ. պետական բյուջեի մակրոտնտեսական շրջանակ</w:t>
      </w:r>
    </w:p>
    <w:tbl>
      <w:tblPr>
        <w:tblStyle w:val="GridTable1Light-Accent51112"/>
        <w:tblpPr w:leftFromText="180" w:rightFromText="180" w:vertAnchor="text" w:horzAnchor="margin" w:tblpXSpec="right" w:tblpY="107"/>
        <w:tblW w:w="9322"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Layout w:type="fixed"/>
        <w:tblLook w:val="0000" w:firstRow="0" w:lastRow="0" w:firstColumn="0" w:lastColumn="0" w:noHBand="0" w:noVBand="0"/>
      </w:tblPr>
      <w:tblGrid>
        <w:gridCol w:w="3510"/>
        <w:gridCol w:w="1276"/>
        <w:gridCol w:w="1134"/>
        <w:gridCol w:w="992"/>
        <w:gridCol w:w="1134"/>
        <w:gridCol w:w="1276"/>
      </w:tblGrid>
      <w:tr w:rsidR="009F0A25" w:rsidRPr="005D4C87" w:rsidTr="009F0A25">
        <w:trPr>
          <w:trHeight w:val="258"/>
          <w:tblHeader/>
        </w:trPr>
        <w:tc>
          <w:tcPr>
            <w:tcW w:w="3510" w:type="dxa"/>
            <w:vMerge w:val="restart"/>
            <w:noWrap/>
          </w:tcPr>
          <w:p w:rsidR="009F0A25" w:rsidRPr="009F0A25" w:rsidRDefault="009F0A25" w:rsidP="007730AA">
            <w:pPr>
              <w:spacing w:before="0" w:line="276" w:lineRule="auto"/>
              <w:rPr>
                <w:rFonts w:cs="Sylfaen"/>
                <w:b w:val="0"/>
                <w:i/>
                <w:iCs/>
                <w:sz w:val="20"/>
                <w:szCs w:val="20"/>
              </w:rPr>
            </w:pPr>
            <w:r w:rsidRPr="009F0A25">
              <w:rPr>
                <w:rFonts w:cs="Sylfaen"/>
                <w:b w:val="0"/>
                <w:i/>
                <w:iCs/>
                <w:sz w:val="20"/>
                <w:szCs w:val="20"/>
              </w:rPr>
              <w:t>Հիմնական մակրոտնտեսական ցուցանիշներ</w:t>
            </w:r>
          </w:p>
        </w:tc>
        <w:tc>
          <w:tcPr>
            <w:tcW w:w="1276" w:type="dxa"/>
          </w:tcPr>
          <w:p w:rsidR="009F0A25" w:rsidRPr="009F0A25" w:rsidRDefault="009F0A25" w:rsidP="007730AA">
            <w:pPr>
              <w:spacing w:before="0" w:line="276" w:lineRule="auto"/>
              <w:jc w:val="center"/>
              <w:rPr>
                <w:rFonts w:cs="Arial"/>
                <w:b w:val="0"/>
                <w:bCs/>
                <w:sz w:val="20"/>
                <w:szCs w:val="20"/>
              </w:rPr>
            </w:pPr>
            <w:r w:rsidRPr="009F0A25">
              <w:rPr>
                <w:rFonts w:cs="Arial"/>
                <w:b w:val="0"/>
                <w:bCs/>
                <w:sz w:val="20"/>
                <w:szCs w:val="20"/>
              </w:rPr>
              <w:t>2017</w:t>
            </w:r>
          </w:p>
        </w:tc>
        <w:tc>
          <w:tcPr>
            <w:tcW w:w="1134" w:type="dxa"/>
          </w:tcPr>
          <w:p w:rsidR="009F0A25" w:rsidRPr="009F0A25" w:rsidRDefault="009F0A25" w:rsidP="007730AA">
            <w:pPr>
              <w:spacing w:before="0" w:line="276" w:lineRule="auto"/>
              <w:ind w:firstLine="0"/>
              <w:jc w:val="center"/>
              <w:rPr>
                <w:rFonts w:cs="Arial"/>
                <w:b w:val="0"/>
                <w:bCs/>
                <w:sz w:val="20"/>
                <w:szCs w:val="20"/>
              </w:rPr>
            </w:pPr>
            <w:r w:rsidRPr="009F0A25">
              <w:rPr>
                <w:rFonts w:cs="Arial"/>
                <w:b w:val="0"/>
                <w:bCs/>
                <w:sz w:val="20"/>
                <w:szCs w:val="20"/>
              </w:rPr>
              <w:t>2018</w:t>
            </w:r>
          </w:p>
        </w:tc>
        <w:tc>
          <w:tcPr>
            <w:tcW w:w="992" w:type="dxa"/>
          </w:tcPr>
          <w:p w:rsidR="009F0A25" w:rsidRPr="009F0A25" w:rsidRDefault="009F0A25" w:rsidP="007730AA">
            <w:pPr>
              <w:spacing w:before="0" w:line="276" w:lineRule="auto"/>
              <w:ind w:firstLine="0"/>
              <w:jc w:val="center"/>
              <w:rPr>
                <w:rFonts w:cs="Arial"/>
                <w:b w:val="0"/>
                <w:bCs/>
                <w:sz w:val="20"/>
                <w:szCs w:val="20"/>
              </w:rPr>
            </w:pPr>
            <w:r w:rsidRPr="009F0A25">
              <w:rPr>
                <w:rFonts w:cs="Arial"/>
                <w:b w:val="0"/>
                <w:bCs/>
                <w:sz w:val="20"/>
                <w:szCs w:val="20"/>
              </w:rPr>
              <w:t>2019</w:t>
            </w:r>
          </w:p>
        </w:tc>
        <w:tc>
          <w:tcPr>
            <w:tcW w:w="1134" w:type="dxa"/>
            <w:shd w:val="clear" w:color="auto" w:fill="D9E2F3"/>
          </w:tcPr>
          <w:p w:rsidR="009F0A25" w:rsidRPr="009F0A25" w:rsidRDefault="009F0A25" w:rsidP="007730AA">
            <w:pPr>
              <w:spacing w:before="0" w:line="276" w:lineRule="auto"/>
              <w:ind w:firstLine="0"/>
              <w:jc w:val="center"/>
              <w:rPr>
                <w:rFonts w:cs="Arial"/>
                <w:b w:val="0"/>
                <w:bCs/>
                <w:sz w:val="20"/>
                <w:szCs w:val="20"/>
              </w:rPr>
            </w:pPr>
            <w:r w:rsidRPr="009F0A25">
              <w:rPr>
                <w:rFonts w:cs="Arial"/>
                <w:b w:val="0"/>
                <w:bCs/>
                <w:sz w:val="20"/>
                <w:szCs w:val="20"/>
              </w:rPr>
              <w:t>2020</w:t>
            </w:r>
          </w:p>
        </w:tc>
        <w:tc>
          <w:tcPr>
            <w:tcW w:w="1276" w:type="dxa"/>
            <w:shd w:val="clear" w:color="auto" w:fill="D9E2F3"/>
          </w:tcPr>
          <w:p w:rsidR="009F0A25" w:rsidRPr="009F0A25" w:rsidRDefault="009F0A25" w:rsidP="007730AA">
            <w:pPr>
              <w:spacing w:before="0" w:line="276" w:lineRule="auto"/>
              <w:ind w:firstLine="0"/>
              <w:jc w:val="center"/>
              <w:rPr>
                <w:rFonts w:cs="Arial"/>
                <w:b w:val="0"/>
                <w:bCs/>
                <w:sz w:val="20"/>
                <w:szCs w:val="20"/>
              </w:rPr>
            </w:pPr>
            <w:r w:rsidRPr="009F0A25">
              <w:rPr>
                <w:rFonts w:cs="Arial"/>
                <w:b w:val="0"/>
                <w:bCs/>
                <w:sz w:val="20"/>
                <w:szCs w:val="20"/>
              </w:rPr>
              <w:t>2021</w:t>
            </w:r>
          </w:p>
        </w:tc>
      </w:tr>
      <w:tr w:rsidR="009F0A25" w:rsidRPr="005D4C87" w:rsidTr="009F0A25">
        <w:trPr>
          <w:trHeight w:val="272"/>
          <w:tblHeader/>
        </w:trPr>
        <w:tc>
          <w:tcPr>
            <w:tcW w:w="3510" w:type="dxa"/>
            <w:vMerge/>
            <w:noWrap/>
          </w:tcPr>
          <w:p w:rsidR="009F0A25" w:rsidRPr="009F0A25" w:rsidRDefault="009F0A25" w:rsidP="007730AA">
            <w:pPr>
              <w:spacing w:before="0" w:line="276" w:lineRule="auto"/>
              <w:rPr>
                <w:rFonts w:cs="Sylfaen"/>
                <w:b w:val="0"/>
                <w:sz w:val="20"/>
                <w:szCs w:val="20"/>
              </w:rPr>
            </w:pPr>
          </w:p>
        </w:tc>
        <w:tc>
          <w:tcPr>
            <w:tcW w:w="1276" w:type="dxa"/>
          </w:tcPr>
          <w:p w:rsidR="009F0A25" w:rsidRPr="009F0A25" w:rsidRDefault="009F0A25" w:rsidP="007730AA">
            <w:pPr>
              <w:spacing w:before="0" w:line="276" w:lineRule="auto"/>
              <w:ind w:firstLine="0"/>
              <w:jc w:val="center"/>
              <w:rPr>
                <w:rFonts w:cs="Arial"/>
                <w:b w:val="0"/>
                <w:bCs/>
                <w:sz w:val="20"/>
                <w:szCs w:val="20"/>
              </w:rPr>
            </w:pPr>
            <w:r w:rsidRPr="009F0A25">
              <w:rPr>
                <w:rFonts w:cs="Sylfaen"/>
                <w:b w:val="0"/>
                <w:sz w:val="20"/>
                <w:szCs w:val="20"/>
              </w:rPr>
              <w:t>փաստ</w:t>
            </w:r>
          </w:p>
        </w:tc>
        <w:tc>
          <w:tcPr>
            <w:tcW w:w="1134" w:type="dxa"/>
          </w:tcPr>
          <w:p w:rsidR="009F0A25" w:rsidRPr="009F0A25" w:rsidRDefault="009F0A25" w:rsidP="007730AA">
            <w:pPr>
              <w:spacing w:before="0" w:line="276" w:lineRule="auto"/>
              <w:ind w:firstLine="0"/>
              <w:jc w:val="center"/>
              <w:rPr>
                <w:rFonts w:cs="Arial"/>
                <w:b w:val="0"/>
                <w:bCs/>
                <w:sz w:val="20"/>
                <w:szCs w:val="20"/>
              </w:rPr>
            </w:pPr>
            <w:r w:rsidRPr="009F0A25">
              <w:rPr>
                <w:rFonts w:cs="Sylfaen"/>
                <w:b w:val="0"/>
                <w:sz w:val="20"/>
                <w:szCs w:val="20"/>
              </w:rPr>
              <w:t>փաստ</w:t>
            </w:r>
          </w:p>
        </w:tc>
        <w:tc>
          <w:tcPr>
            <w:tcW w:w="992" w:type="dxa"/>
          </w:tcPr>
          <w:p w:rsidR="009F0A25" w:rsidRPr="009F0A25" w:rsidRDefault="009F0A25" w:rsidP="007730AA">
            <w:pPr>
              <w:spacing w:before="0" w:line="276" w:lineRule="auto"/>
              <w:ind w:firstLine="0"/>
              <w:jc w:val="center"/>
              <w:rPr>
                <w:rFonts w:cs="Arial"/>
                <w:b w:val="0"/>
                <w:bCs/>
                <w:sz w:val="20"/>
                <w:szCs w:val="20"/>
              </w:rPr>
            </w:pPr>
            <w:r w:rsidRPr="009F0A25">
              <w:rPr>
                <w:rFonts w:cs="Sylfaen"/>
                <w:b w:val="0"/>
                <w:sz w:val="20"/>
                <w:szCs w:val="20"/>
              </w:rPr>
              <w:t>փաստ</w:t>
            </w:r>
          </w:p>
        </w:tc>
        <w:tc>
          <w:tcPr>
            <w:tcW w:w="1134" w:type="dxa"/>
            <w:shd w:val="clear" w:color="auto" w:fill="D9E2F3"/>
          </w:tcPr>
          <w:p w:rsidR="009F0A25" w:rsidRPr="009F0A25" w:rsidRDefault="009F0A25" w:rsidP="007730AA">
            <w:pPr>
              <w:spacing w:before="0" w:line="276" w:lineRule="auto"/>
              <w:ind w:firstLine="0"/>
              <w:jc w:val="center"/>
              <w:rPr>
                <w:rFonts w:cs="Arial"/>
                <w:b w:val="0"/>
                <w:bCs/>
                <w:sz w:val="20"/>
                <w:szCs w:val="20"/>
              </w:rPr>
            </w:pPr>
            <w:r w:rsidRPr="009F0A25">
              <w:rPr>
                <w:rFonts w:cs="Sylfaen"/>
                <w:b w:val="0"/>
                <w:sz w:val="20"/>
                <w:szCs w:val="20"/>
              </w:rPr>
              <w:t>սպասում</w:t>
            </w:r>
          </w:p>
        </w:tc>
        <w:tc>
          <w:tcPr>
            <w:tcW w:w="1276" w:type="dxa"/>
            <w:shd w:val="clear" w:color="auto" w:fill="D9E2F3"/>
          </w:tcPr>
          <w:p w:rsidR="009F0A25" w:rsidRPr="009F0A25" w:rsidRDefault="009F0A25" w:rsidP="007730AA">
            <w:pPr>
              <w:spacing w:before="0" w:line="276" w:lineRule="auto"/>
              <w:ind w:firstLine="0"/>
              <w:jc w:val="center"/>
              <w:rPr>
                <w:rFonts w:cs="Arial"/>
                <w:b w:val="0"/>
                <w:bCs/>
                <w:sz w:val="20"/>
                <w:szCs w:val="20"/>
              </w:rPr>
            </w:pPr>
            <w:r w:rsidRPr="009F0A25">
              <w:rPr>
                <w:b w:val="0"/>
                <w:sz w:val="20"/>
                <w:szCs w:val="20"/>
              </w:rPr>
              <w:t>ծրագիր</w:t>
            </w:r>
          </w:p>
        </w:tc>
      </w:tr>
      <w:tr w:rsidR="009F0A25" w:rsidRPr="005D4C87" w:rsidTr="009F0A25">
        <w:trPr>
          <w:trHeight w:val="258"/>
        </w:trPr>
        <w:tc>
          <w:tcPr>
            <w:tcW w:w="3510" w:type="dxa"/>
            <w:noWrap/>
          </w:tcPr>
          <w:p w:rsidR="009F0A25" w:rsidRPr="009F0A25" w:rsidRDefault="009F0A25" w:rsidP="007730AA">
            <w:pPr>
              <w:spacing w:before="0" w:line="276" w:lineRule="auto"/>
              <w:rPr>
                <w:rFonts w:cs="Sylfaen"/>
                <w:bCs/>
                <w:sz w:val="20"/>
                <w:szCs w:val="20"/>
              </w:rPr>
            </w:pPr>
            <w:r w:rsidRPr="009F0A25">
              <w:rPr>
                <w:rFonts w:cs="Sylfaen"/>
                <w:bCs/>
                <w:sz w:val="20"/>
                <w:szCs w:val="20"/>
              </w:rPr>
              <w:t>Անվանական ՀՆԱ, մլրդ դրամ</w:t>
            </w:r>
          </w:p>
        </w:tc>
        <w:tc>
          <w:tcPr>
            <w:tcW w:w="1276" w:type="dxa"/>
          </w:tcPr>
          <w:p w:rsidR="009F0A25" w:rsidRPr="009F0A25" w:rsidRDefault="009F0A25" w:rsidP="00034178">
            <w:pPr>
              <w:spacing w:before="0" w:line="276" w:lineRule="auto"/>
              <w:ind w:firstLine="0"/>
              <w:jc w:val="right"/>
              <w:rPr>
                <w:rFonts w:cs="Arial"/>
                <w:bCs/>
                <w:sz w:val="20"/>
                <w:szCs w:val="20"/>
              </w:rPr>
            </w:pPr>
            <w:r w:rsidRPr="009F0A25">
              <w:rPr>
                <w:rFonts w:cs="Arial"/>
                <w:bCs/>
                <w:sz w:val="20"/>
                <w:szCs w:val="20"/>
              </w:rPr>
              <w:t>5,564.5</w:t>
            </w:r>
          </w:p>
        </w:tc>
        <w:tc>
          <w:tcPr>
            <w:tcW w:w="1134" w:type="dxa"/>
          </w:tcPr>
          <w:p w:rsidR="009F0A25" w:rsidRPr="009F0A25" w:rsidRDefault="009F0A25" w:rsidP="00034178">
            <w:pPr>
              <w:spacing w:before="0" w:line="276" w:lineRule="auto"/>
              <w:ind w:firstLine="0"/>
              <w:jc w:val="right"/>
              <w:rPr>
                <w:sz w:val="20"/>
                <w:szCs w:val="20"/>
              </w:rPr>
            </w:pPr>
            <w:r w:rsidRPr="009F0A25">
              <w:rPr>
                <w:sz w:val="20"/>
                <w:szCs w:val="20"/>
              </w:rPr>
              <w:t>6,017.0</w:t>
            </w:r>
          </w:p>
        </w:tc>
        <w:tc>
          <w:tcPr>
            <w:tcW w:w="992" w:type="dxa"/>
          </w:tcPr>
          <w:p w:rsidR="009F0A25" w:rsidRPr="009F0A25" w:rsidRDefault="009F0A25" w:rsidP="00034178">
            <w:pPr>
              <w:spacing w:before="0" w:line="276" w:lineRule="auto"/>
              <w:ind w:firstLine="0"/>
              <w:jc w:val="right"/>
              <w:rPr>
                <w:sz w:val="20"/>
                <w:szCs w:val="20"/>
              </w:rPr>
            </w:pPr>
            <w:r w:rsidRPr="009F0A25">
              <w:rPr>
                <w:sz w:val="20"/>
                <w:szCs w:val="20"/>
              </w:rPr>
              <w:t>6,569.0</w:t>
            </w:r>
          </w:p>
        </w:tc>
        <w:tc>
          <w:tcPr>
            <w:tcW w:w="1134" w:type="dxa"/>
            <w:shd w:val="clear" w:color="auto" w:fill="D9E2F3"/>
          </w:tcPr>
          <w:p w:rsidR="009F0A25" w:rsidRPr="009F0A25" w:rsidRDefault="009F0A25" w:rsidP="00034178">
            <w:pPr>
              <w:spacing w:before="0" w:line="276" w:lineRule="auto"/>
              <w:ind w:firstLine="0"/>
              <w:jc w:val="right"/>
              <w:rPr>
                <w:sz w:val="20"/>
                <w:szCs w:val="20"/>
              </w:rPr>
            </w:pPr>
            <w:r w:rsidRPr="009F0A25">
              <w:rPr>
                <w:sz w:val="20"/>
                <w:szCs w:val="20"/>
              </w:rPr>
              <w:t>6,075.9</w:t>
            </w:r>
          </w:p>
        </w:tc>
        <w:tc>
          <w:tcPr>
            <w:tcW w:w="1276" w:type="dxa"/>
            <w:shd w:val="clear" w:color="auto" w:fill="D9E2F3"/>
          </w:tcPr>
          <w:p w:rsidR="009F0A25" w:rsidRPr="009F0A25" w:rsidRDefault="009F0A25" w:rsidP="00034178">
            <w:pPr>
              <w:spacing w:before="0" w:line="276" w:lineRule="auto"/>
              <w:ind w:firstLine="0"/>
              <w:jc w:val="right"/>
              <w:rPr>
                <w:sz w:val="20"/>
                <w:szCs w:val="20"/>
              </w:rPr>
            </w:pPr>
            <w:r w:rsidRPr="009F0A25">
              <w:rPr>
                <w:sz w:val="20"/>
                <w:szCs w:val="20"/>
              </w:rPr>
              <w:t>6,395.3</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Տնտեսական աճ, %</w:t>
            </w:r>
          </w:p>
        </w:tc>
        <w:tc>
          <w:tcPr>
            <w:tcW w:w="1276" w:type="dxa"/>
          </w:tcPr>
          <w:p w:rsidR="009F0A25" w:rsidRPr="009F0A25" w:rsidRDefault="009F0A25" w:rsidP="00034178">
            <w:pPr>
              <w:spacing w:before="0" w:line="276" w:lineRule="auto"/>
              <w:jc w:val="right"/>
              <w:rPr>
                <w:rFonts w:cs="Arial"/>
                <w:b w:val="0"/>
                <w:bCs/>
                <w:sz w:val="20"/>
                <w:szCs w:val="20"/>
              </w:rPr>
            </w:pPr>
            <w:r w:rsidRPr="009F0A25">
              <w:rPr>
                <w:rFonts w:cs="Arial"/>
                <w:b w:val="0"/>
                <w:bCs/>
                <w:sz w:val="20"/>
                <w:szCs w:val="20"/>
              </w:rPr>
              <w:t>7.5</w:t>
            </w:r>
          </w:p>
        </w:tc>
        <w:tc>
          <w:tcPr>
            <w:tcW w:w="1134" w:type="dxa"/>
          </w:tcPr>
          <w:p w:rsidR="009F0A25" w:rsidRPr="009F0A25" w:rsidRDefault="009F0A25" w:rsidP="00034178">
            <w:pPr>
              <w:spacing w:before="0" w:line="276" w:lineRule="auto"/>
              <w:jc w:val="right"/>
              <w:rPr>
                <w:b w:val="0"/>
                <w:sz w:val="20"/>
                <w:szCs w:val="20"/>
              </w:rPr>
            </w:pPr>
            <w:r w:rsidRPr="009F0A25">
              <w:rPr>
                <w:b w:val="0"/>
                <w:sz w:val="20"/>
                <w:szCs w:val="20"/>
              </w:rPr>
              <w:t>5.2</w:t>
            </w:r>
          </w:p>
        </w:tc>
        <w:tc>
          <w:tcPr>
            <w:tcW w:w="992" w:type="dxa"/>
          </w:tcPr>
          <w:p w:rsidR="009F0A25" w:rsidRPr="009F0A25" w:rsidRDefault="009F0A25" w:rsidP="00034178">
            <w:pPr>
              <w:spacing w:before="0" w:line="276" w:lineRule="auto"/>
              <w:ind w:firstLine="0"/>
              <w:jc w:val="right"/>
              <w:rPr>
                <w:b w:val="0"/>
                <w:sz w:val="20"/>
                <w:szCs w:val="20"/>
              </w:rPr>
            </w:pPr>
            <w:r w:rsidRPr="009F0A25">
              <w:rPr>
                <w:b w:val="0"/>
                <w:sz w:val="20"/>
                <w:szCs w:val="20"/>
              </w:rPr>
              <w:t>7.6</w:t>
            </w:r>
          </w:p>
        </w:tc>
        <w:tc>
          <w:tcPr>
            <w:tcW w:w="1134" w:type="dxa"/>
            <w:shd w:val="clear" w:color="auto" w:fill="D9E2F3"/>
          </w:tcPr>
          <w:p w:rsidR="009F0A25" w:rsidRPr="009F0A25" w:rsidRDefault="009F0A25" w:rsidP="00034178">
            <w:pPr>
              <w:spacing w:before="0" w:line="276" w:lineRule="auto"/>
              <w:ind w:firstLine="0"/>
              <w:jc w:val="right"/>
              <w:rPr>
                <w:b w:val="0"/>
                <w:sz w:val="20"/>
                <w:szCs w:val="20"/>
              </w:rPr>
            </w:pPr>
            <w:r w:rsidRPr="009F0A25">
              <w:rPr>
                <w:b w:val="0"/>
                <w:sz w:val="20"/>
                <w:szCs w:val="20"/>
              </w:rPr>
              <w:t>-7.9</w:t>
            </w:r>
          </w:p>
        </w:tc>
        <w:tc>
          <w:tcPr>
            <w:tcW w:w="1276"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3.2</w:t>
            </w:r>
          </w:p>
        </w:tc>
      </w:tr>
      <w:tr w:rsidR="009F0A25" w:rsidRPr="005D4C87" w:rsidTr="009F0A25">
        <w:trPr>
          <w:trHeight w:val="26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ՀՆԱ դեֆլյատորի աճ, %</w:t>
            </w:r>
          </w:p>
        </w:tc>
        <w:tc>
          <w:tcPr>
            <w:tcW w:w="1276" w:type="dxa"/>
          </w:tcPr>
          <w:p w:rsidR="009F0A25" w:rsidRPr="009F0A25" w:rsidRDefault="009F0A25" w:rsidP="00034178">
            <w:pPr>
              <w:spacing w:before="0" w:line="276" w:lineRule="auto"/>
              <w:jc w:val="right"/>
              <w:rPr>
                <w:rFonts w:cs="Arial"/>
                <w:b w:val="0"/>
                <w:bCs/>
                <w:sz w:val="20"/>
                <w:szCs w:val="20"/>
              </w:rPr>
            </w:pPr>
            <w:r w:rsidRPr="009F0A25">
              <w:rPr>
                <w:rFonts w:cs="Arial"/>
                <w:b w:val="0"/>
                <w:bCs/>
                <w:sz w:val="20"/>
                <w:szCs w:val="20"/>
              </w:rPr>
              <w:t>2.1</w:t>
            </w:r>
          </w:p>
        </w:tc>
        <w:tc>
          <w:tcPr>
            <w:tcW w:w="1134" w:type="dxa"/>
          </w:tcPr>
          <w:p w:rsidR="009F0A25" w:rsidRPr="009F0A25" w:rsidRDefault="009F0A25" w:rsidP="00034178">
            <w:pPr>
              <w:spacing w:before="0" w:line="276" w:lineRule="auto"/>
              <w:jc w:val="right"/>
              <w:rPr>
                <w:b w:val="0"/>
                <w:sz w:val="20"/>
                <w:szCs w:val="20"/>
              </w:rPr>
            </w:pPr>
            <w:r w:rsidRPr="009F0A25">
              <w:rPr>
                <w:b w:val="0"/>
                <w:sz w:val="20"/>
                <w:szCs w:val="20"/>
              </w:rPr>
              <w:t>2.8</w:t>
            </w:r>
          </w:p>
        </w:tc>
        <w:tc>
          <w:tcPr>
            <w:tcW w:w="992" w:type="dxa"/>
          </w:tcPr>
          <w:p w:rsidR="009F0A25" w:rsidRPr="009F0A25" w:rsidRDefault="009F0A25" w:rsidP="00034178">
            <w:pPr>
              <w:spacing w:before="0" w:line="276" w:lineRule="auto"/>
              <w:ind w:firstLine="0"/>
              <w:jc w:val="right"/>
              <w:rPr>
                <w:b w:val="0"/>
                <w:sz w:val="20"/>
                <w:szCs w:val="20"/>
              </w:rPr>
            </w:pPr>
            <w:r w:rsidRPr="009F0A25">
              <w:rPr>
                <w:b w:val="0"/>
                <w:sz w:val="20"/>
                <w:szCs w:val="20"/>
              </w:rPr>
              <w:t>1.5</w:t>
            </w:r>
          </w:p>
        </w:tc>
        <w:tc>
          <w:tcPr>
            <w:tcW w:w="1134"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0.4</w:t>
            </w:r>
          </w:p>
        </w:tc>
        <w:tc>
          <w:tcPr>
            <w:tcW w:w="1276"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2.0</w:t>
            </w:r>
          </w:p>
        </w:tc>
      </w:tr>
      <w:tr w:rsidR="009F0A25" w:rsidRPr="005D4C87" w:rsidTr="009F0A25">
        <w:trPr>
          <w:trHeight w:val="258"/>
        </w:trPr>
        <w:tc>
          <w:tcPr>
            <w:tcW w:w="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Գնաճ (ժամանակաշրջանի վերջ), %</w:t>
            </w:r>
          </w:p>
        </w:tc>
        <w:tc>
          <w:tcPr>
            <w:tcW w:w="0" w:type="dxa"/>
          </w:tcPr>
          <w:p w:rsidR="009F0A25" w:rsidRPr="009F0A25" w:rsidRDefault="009F0A25" w:rsidP="00034178">
            <w:pPr>
              <w:spacing w:before="0" w:line="276" w:lineRule="auto"/>
              <w:jc w:val="right"/>
              <w:rPr>
                <w:rFonts w:cs="Arial"/>
                <w:b w:val="0"/>
                <w:bCs/>
                <w:sz w:val="20"/>
                <w:szCs w:val="20"/>
              </w:rPr>
            </w:pPr>
            <w:r w:rsidRPr="009F0A25">
              <w:rPr>
                <w:rFonts w:cs="Arial"/>
                <w:b w:val="0"/>
                <w:bCs/>
                <w:sz w:val="20"/>
                <w:szCs w:val="20"/>
              </w:rPr>
              <w:t>2.6</w:t>
            </w:r>
          </w:p>
        </w:tc>
        <w:tc>
          <w:tcPr>
            <w:tcW w:w="0" w:type="dxa"/>
          </w:tcPr>
          <w:p w:rsidR="009F0A25" w:rsidRPr="009F0A25" w:rsidRDefault="009F0A25" w:rsidP="00034178">
            <w:pPr>
              <w:spacing w:before="0" w:line="276" w:lineRule="auto"/>
              <w:jc w:val="right"/>
              <w:rPr>
                <w:b w:val="0"/>
                <w:sz w:val="20"/>
                <w:szCs w:val="20"/>
              </w:rPr>
            </w:pPr>
            <w:r w:rsidRPr="009F0A25">
              <w:rPr>
                <w:b w:val="0"/>
                <w:sz w:val="20"/>
                <w:szCs w:val="20"/>
              </w:rPr>
              <w:t>1.8</w:t>
            </w:r>
          </w:p>
        </w:tc>
        <w:tc>
          <w:tcPr>
            <w:tcW w:w="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0A25" w:rsidRPr="009F0A25" w:rsidRDefault="009F0A25" w:rsidP="00034178">
            <w:pPr>
              <w:spacing w:before="0" w:line="276" w:lineRule="auto"/>
              <w:ind w:firstLine="0"/>
              <w:jc w:val="right"/>
              <w:rPr>
                <w:b w:val="0"/>
                <w:sz w:val="20"/>
                <w:szCs w:val="20"/>
              </w:rPr>
            </w:pPr>
            <w:r w:rsidRPr="009F0A25">
              <w:rPr>
                <w:b w:val="0"/>
                <w:sz w:val="20"/>
                <w:szCs w:val="20"/>
              </w:rPr>
              <w:t>0.7</w:t>
            </w:r>
          </w:p>
        </w:tc>
        <w:tc>
          <w:tcPr>
            <w:tcW w:w="0"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1.9</w:t>
            </w:r>
          </w:p>
        </w:tc>
        <w:tc>
          <w:tcPr>
            <w:tcW w:w="0"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1.7</w:t>
            </w:r>
          </w:p>
        </w:tc>
      </w:tr>
      <w:tr w:rsidR="009F0A25" w:rsidRPr="005D4C87" w:rsidTr="009F0A25">
        <w:trPr>
          <w:trHeight w:val="265"/>
        </w:trPr>
        <w:tc>
          <w:tcPr>
            <w:tcW w:w="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Գնաճ (միջին), %</w:t>
            </w:r>
          </w:p>
        </w:tc>
        <w:tc>
          <w:tcPr>
            <w:tcW w:w="0" w:type="dxa"/>
          </w:tcPr>
          <w:p w:rsidR="009F0A25" w:rsidRPr="009F0A25" w:rsidRDefault="009F0A25" w:rsidP="00034178">
            <w:pPr>
              <w:spacing w:before="0" w:line="276" w:lineRule="auto"/>
              <w:jc w:val="right"/>
              <w:rPr>
                <w:rFonts w:cs="Arial"/>
                <w:b w:val="0"/>
                <w:bCs/>
                <w:sz w:val="20"/>
                <w:szCs w:val="20"/>
              </w:rPr>
            </w:pPr>
            <w:r w:rsidRPr="009F0A25">
              <w:rPr>
                <w:rFonts w:cs="Arial"/>
                <w:b w:val="0"/>
                <w:bCs/>
                <w:sz w:val="20"/>
                <w:szCs w:val="20"/>
              </w:rPr>
              <w:t>1.0</w:t>
            </w:r>
          </w:p>
        </w:tc>
        <w:tc>
          <w:tcPr>
            <w:tcW w:w="0" w:type="dxa"/>
          </w:tcPr>
          <w:p w:rsidR="009F0A25" w:rsidRPr="009F0A25" w:rsidRDefault="009F0A25" w:rsidP="00034178">
            <w:pPr>
              <w:spacing w:before="0" w:line="276" w:lineRule="auto"/>
              <w:jc w:val="right"/>
              <w:rPr>
                <w:b w:val="0"/>
                <w:sz w:val="20"/>
                <w:szCs w:val="20"/>
              </w:rPr>
            </w:pPr>
            <w:r w:rsidRPr="009F0A25">
              <w:rPr>
                <w:b w:val="0"/>
                <w:sz w:val="20"/>
                <w:szCs w:val="20"/>
              </w:rPr>
              <w:t>2.5</w:t>
            </w:r>
          </w:p>
        </w:tc>
        <w:tc>
          <w:tcPr>
            <w:tcW w:w="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0A25" w:rsidRPr="009F0A25" w:rsidRDefault="009F0A25" w:rsidP="00034178">
            <w:pPr>
              <w:spacing w:before="0" w:line="276" w:lineRule="auto"/>
              <w:ind w:firstLine="0"/>
              <w:jc w:val="right"/>
              <w:rPr>
                <w:b w:val="0"/>
                <w:sz w:val="20"/>
                <w:szCs w:val="20"/>
              </w:rPr>
            </w:pPr>
            <w:r w:rsidRPr="009F0A25">
              <w:rPr>
                <w:b w:val="0"/>
                <w:sz w:val="20"/>
                <w:szCs w:val="20"/>
              </w:rPr>
              <w:t>1.4</w:t>
            </w:r>
          </w:p>
        </w:tc>
        <w:tc>
          <w:tcPr>
            <w:tcW w:w="0"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1.2</w:t>
            </w:r>
          </w:p>
        </w:tc>
        <w:tc>
          <w:tcPr>
            <w:tcW w:w="0"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1.9</w:t>
            </w:r>
          </w:p>
        </w:tc>
      </w:tr>
      <w:tr w:rsidR="009F0A25" w:rsidRPr="005D4C87" w:rsidTr="009F0A25">
        <w:trPr>
          <w:trHeight w:val="258"/>
        </w:trPr>
        <w:tc>
          <w:tcPr>
            <w:tcW w:w="9322" w:type="dxa"/>
            <w:gridSpan w:val="6"/>
            <w:shd w:val="clear" w:color="auto" w:fill="auto"/>
            <w:noWrap/>
          </w:tcPr>
          <w:p w:rsidR="009F0A25" w:rsidRPr="009F0A25" w:rsidRDefault="009F0A25" w:rsidP="007730AA">
            <w:pPr>
              <w:spacing w:before="0" w:line="276" w:lineRule="auto"/>
              <w:jc w:val="left"/>
              <w:rPr>
                <w:rFonts w:cs="Arial"/>
                <w:bCs/>
                <w:sz w:val="20"/>
                <w:szCs w:val="20"/>
              </w:rPr>
            </w:pPr>
            <w:r w:rsidRPr="009F0A25">
              <w:rPr>
                <w:rFonts w:cs="Sylfaen"/>
                <w:sz w:val="20"/>
                <w:szCs w:val="20"/>
                <w:u w:val="single"/>
              </w:rPr>
              <w:t>ՀՆԱ իրական աճն ըստ ճյուղերի ավելացված արժեքների, %</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Արդյունաբերություն</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11.8</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4.9</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8.3</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-0.6</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3.6</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Գյուղատնտեսություն </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-5.1</w:t>
            </w:r>
          </w:p>
        </w:tc>
        <w:tc>
          <w:tcPr>
            <w:tcW w:w="1134" w:type="dxa"/>
          </w:tcPr>
          <w:p w:rsidR="009F0A25" w:rsidRPr="009F0A25" w:rsidRDefault="009F0A25" w:rsidP="007730AA">
            <w:pPr>
              <w:spacing w:before="0" w:line="276" w:lineRule="auto"/>
              <w:ind w:firstLine="0"/>
              <w:jc w:val="right"/>
              <w:rPr>
                <w:b w:val="0"/>
                <w:sz w:val="20"/>
                <w:szCs w:val="20"/>
              </w:rPr>
            </w:pPr>
            <w:r w:rsidRPr="009F0A25">
              <w:rPr>
                <w:b w:val="0"/>
                <w:sz w:val="20"/>
                <w:szCs w:val="20"/>
              </w:rPr>
              <w:t>-6.9</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-2.6</w:t>
            </w:r>
          </w:p>
        </w:tc>
        <w:tc>
          <w:tcPr>
            <w:tcW w:w="1134"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0.7</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2.3</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Շինարարություն </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2.8</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0.6</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3.7</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-17.6</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3.3</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Ծառայություններ</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10.6</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9.1</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10.7</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-10.5</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3.0</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Զուտ հարկեր</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9.7</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8.0</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7.1</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-11.1</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4.6</w:t>
            </w:r>
          </w:p>
        </w:tc>
      </w:tr>
      <w:tr w:rsidR="009F0A25" w:rsidRPr="005D4C87" w:rsidTr="009F0A25">
        <w:trPr>
          <w:trHeight w:val="258"/>
        </w:trPr>
        <w:tc>
          <w:tcPr>
            <w:tcW w:w="9322" w:type="dxa"/>
            <w:gridSpan w:val="6"/>
            <w:shd w:val="clear" w:color="auto" w:fill="auto"/>
            <w:noWrap/>
          </w:tcPr>
          <w:p w:rsidR="009F0A25" w:rsidRPr="009F0A25" w:rsidRDefault="009F0A25" w:rsidP="007730AA">
            <w:pPr>
              <w:spacing w:before="0" w:line="276" w:lineRule="auto"/>
              <w:jc w:val="left"/>
              <w:rPr>
                <w:rFonts w:cs="Arial"/>
                <w:bCs/>
                <w:sz w:val="20"/>
                <w:szCs w:val="20"/>
                <w:highlight w:val="yellow"/>
              </w:rPr>
            </w:pPr>
            <w:r w:rsidRPr="009F0A25">
              <w:rPr>
                <w:rFonts w:cs="Sylfaen"/>
                <w:sz w:val="20"/>
                <w:szCs w:val="20"/>
                <w:u w:val="single"/>
              </w:rPr>
              <w:t>ՀՆԱ ծախսային բաղադրիչների իրական աճերը, %</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Վերջնական սպառում</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11.6</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3.8</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11.8</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-8.5</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4.3</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Պետական</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-2.1</w:t>
            </w:r>
          </w:p>
        </w:tc>
        <w:tc>
          <w:tcPr>
            <w:tcW w:w="1134" w:type="dxa"/>
          </w:tcPr>
          <w:p w:rsidR="009F0A25" w:rsidRPr="009F0A25" w:rsidRDefault="009F0A25" w:rsidP="007730AA">
            <w:pPr>
              <w:spacing w:before="0" w:line="276" w:lineRule="auto"/>
              <w:ind w:firstLine="0"/>
              <w:jc w:val="right"/>
              <w:rPr>
                <w:b w:val="0"/>
                <w:sz w:val="20"/>
                <w:szCs w:val="20"/>
              </w:rPr>
            </w:pPr>
            <w:r w:rsidRPr="009F0A25">
              <w:rPr>
                <w:b w:val="0"/>
                <w:sz w:val="20"/>
                <w:szCs w:val="20"/>
              </w:rPr>
              <w:t>-3.0</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12.5</w:t>
            </w:r>
          </w:p>
        </w:tc>
        <w:tc>
          <w:tcPr>
            <w:tcW w:w="1134"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5.6</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1.1</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Մասնավոր</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14.0</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4.8</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11.7</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-10.6</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4.9</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Հիմնական միջոցներում ներդրումներ</w:t>
            </w:r>
            <w:r w:rsidRPr="009F0A25">
              <w:rPr>
                <w:rFonts w:cs="Sylfaen"/>
                <w:b w:val="0"/>
                <w:sz w:val="20"/>
                <w:szCs w:val="20"/>
                <w:vertAlign w:val="superscript"/>
              </w:rPr>
              <w:footnoteReference w:id="1"/>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9.7</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4.8</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4.4</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-10.5</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3.0</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Պետական</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9.9</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3.4</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38.9</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38.9</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-25.5</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Մասնավոր</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9.7</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5.1</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-2.2</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-20.9</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13.6</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Արտահանում </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19.3</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5.0</w:t>
            </w:r>
          </w:p>
        </w:tc>
        <w:tc>
          <w:tcPr>
            <w:tcW w:w="992" w:type="dxa"/>
          </w:tcPr>
          <w:p w:rsidR="009F0A25" w:rsidRPr="009F0A25" w:rsidRDefault="009F0A25" w:rsidP="007730AA">
            <w:pPr>
              <w:spacing w:before="0" w:line="276" w:lineRule="auto"/>
              <w:ind w:firstLine="0"/>
              <w:rPr>
                <w:b w:val="0"/>
                <w:sz w:val="20"/>
                <w:szCs w:val="20"/>
              </w:rPr>
            </w:pPr>
            <w:r w:rsidRPr="009F0A25">
              <w:rPr>
                <w:b w:val="0"/>
                <w:sz w:val="20"/>
                <w:szCs w:val="20"/>
              </w:rPr>
              <w:t>16.0</w:t>
            </w:r>
          </w:p>
        </w:tc>
        <w:tc>
          <w:tcPr>
            <w:tcW w:w="1134" w:type="dxa"/>
            <w:shd w:val="clear" w:color="auto" w:fill="D9E2F3"/>
          </w:tcPr>
          <w:p w:rsidR="009F0A25" w:rsidRPr="009F0A25" w:rsidRDefault="009F0A25" w:rsidP="007730AA">
            <w:pPr>
              <w:spacing w:before="0" w:line="276" w:lineRule="auto"/>
              <w:ind w:firstLine="0"/>
              <w:rPr>
                <w:b w:val="0"/>
                <w:sz w:val="20"/>
                <w:szCs w:val="20"/>
              </w:rPr>
            </w:pPr>
            <w:r w:rsidRPr="009F0A25">
              <w:rPr>
                <w:b w:val="0"/>
                <w:sz w:val="20"/>
                <w:szCs w:val="20"/>
              </w:rPr>
              <w:t>-28.7</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7.4</w:t>
            </w:r>
          </w:p>
        </w:tc>
      </w:tr>
      <w:tr w:rsidR="009F0A25" w:rsidRPr="005D4C87" w:rsidTr="009F0A25">
        <w:trPr>
          <w:trHeight w:val="272"/>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Ներմուծում </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24.6</w:t>
            </w:r>
          </w:p>
        </w:tc>
        <w:tc>
          <w:tcPr>
            <w:tcW w:w="1134" w:type="dxa"/>
          </w:tcPr>
          <w:p w:rsidR="009F0A25" w:rsidRPr="009F0A25" w:rsidRDefault="009F0A25" w:rsidP="007730AA">
            <w:pPr>
              <w:spacing w:before="0" w:line="276" w:lineRule="auto"/>
              <w:ind w:firstLine="0"/>
              <w:jc w:val="right"/>
              <w:rPr>
                <w:b w:val="0"/>
                <w:sz w:val="20"/>
                <w:szCs w:val="20"/>
              </w:rPr>
            </w:pPr>
            <w:r w:rsidRPr="009F0A25">
              <w:rPr>
                <w:b w:val="0"/>
                <w:sz w:val="20"/>
                <w:szCs w:val="20"/>
              </w:rPr>
              <w:t>13.3</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12.0</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-27.7</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6.0</w:t>
            </w:r>
          </w:p>
        </w:tc>
      </w:tr>
      <w:tr w:rsidR="009F0A25" w:rsidRPr="005D4C87" w:rsidTr="009F0A25">
        <w:trPr>
          <w:trHeight w:val="258"/>
        </w:trPr>
        <w:tc>
          <w:tcPr>
            <w:tcW w:w="9322" w:type="dxa"/>
            <w:gridSpan w:val="6"/>
            <w:shd w:val="clear" w:color="auto" w:fill="auto"/>
            <w:noWrap/>
          </w:tcPr>
          <w:p w:rsidR="009F0A25" w:rsidRPr="009F0A25" w:rsidRDefault="009F0A25" w:rsidP="007730AA">
            <w:pPr>
              <w:spacing w:before="0" w:line="276" w:lineRule="auto"/>
              <w:jc w:val="left"/>
              <w:rPr>
                <w:rFonts w:cs="Arial"/>
                <w:bCs/>
                <w:sz w:val="20"/>
                <w:szCs w:val="20"/>
              </w:rPr>
            </w:pPr>
            <w:r w:rsidRPr="009F0A25">
              <w:rPr>
                <w:rFonts w:cs="Sylfaen"/>
                <w:sz w:val="20"/>
                <w:szCs w:val="20"/>
                <w:u w:val="single"/>
              </w:rPr>
              <w:t>Արտաքին հատված (մլն ԱՄՆ դոլար)</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Ընթացիկ հաշիվ</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-173.9</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-860.0</w:t>
            </w:r>
          </w:p>
        </w:tc>
        <w:tc>
          <w:tcPr>
            <w:tcW w:w="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-987.5</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b w:val="0"/>
                <w:sz w:val="20"/>
                <w:szCs w:val="20"/>
                <w:lang w:val="en-US"/>
              </w:rPr>
              <w:t>-</w:t>
            </w:r>
            <w:r w:rsidRPr="009F0A25">
              <w:rPr>
                <w:b w:val="0"/>
                <w:sz w:val="20"/>
                <w:szCs w:val="20"/>
              </w:rPr>
              <w:t>731.7</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lang w:val="en-US"/>
              </w:rPr>
            </w:pPr>
            <w:r w:rsidRPr="009F0A25">
              <w:rPr>
                <w:b w:val="0"/>
                <w:sz w:val="20"/>
                <w:szCs w:val="20"/>
                <w:lang w:val="en-US"/>
              </w:rPr>
              <w:t>-772.3</w:t>
            </w:r>
          </w:p>
        </w:tc>
      </w:tr>
      <w:tr w:rsidR="009F0A25" w:rsidRPr="005D4C87" w:rsidTr="009F0A25">
        <w:trPr>
          <w:trHeight w:val="258"/>
        </w:trPr>
        <w:tc>
          <w:tcPr>
            <w:tcW w:w="3510" w:type="dxa"/>
            <w:shd w:val="clear" w:color="auto" w:fill="auto"/>
          </w:tcPr>
          <w:p w:rsidR="009F0A25" w:rsidRPr="009F0A25" w:rsidRDefault="009F0A25" w:rsidP="007730AA">
            <w:pPr>
              <w:spacing w:before="0" w:line="276" w:lineRule="auto"/>
              <w:ind w:firstLine="0"/>
              <w:jc w:val="left"/>
              <w:rPr>
                <w:rFonts w:cs="Sylfaen"/>
                <w:b w:val="0"/>
                <w:sz w:val="20"/>
                <w:szCs w:val="20"/>
              </w:rPr>
            </w:pPr>
            <w:r w:rsidRPr="009F0A25">
              <w:rPr>
                <w:rFonts w:cs="Sylfaen"/>
                <w:b w:val="0"/>
                <w:sz w:val="20"/>
                <w:szCs w:val="20"/>
              </w:rPr>
              <w:t>Ապրանքների և ծառայությունների հաշվեկշիռ</w:t>
            </w:r>
          </w:p>
        </w:tc>
        <w:tc>
          <w:tcPr>
            <w:tcW w:w="1276" w:type="dxa"/>
          </w:tcPr>
          <w:p w:rsidR="009F0A25" w:rsidRPr="009F0A25" w:rsidRDefault="009F0A25" w:rsidP="007730AA">
            <w:pPr>
              <w:spacing w:before="0" w:line="276" w:lineRule="auto"/>
              <w:ind w:firstLine="0"/>
              <w:jc w:val="right"/>
              <w:rPr>
                <w:b w:val="0"/>
                <w:sz w:val="20"/>
                <w:szCs w:val="20"/>
              </w:rPr>
            </w:pPr>
            <w:r w:rsidRPr="009F0A25">
              <w:rPr>
                <w:b w:val="0"/>
                <w:sz w:val="20"/>
                <w:szCs w:val="20"/>
              </w:rPr>
              <w:t>-1,241.5</w:t>
            </w:r>
          </w:p>
        </w:tc>
        <w:tc>
          <w:tcPr>
            <w:tcW w:w="1134" w:type="dxa"/>
          </w:tcPr>
          <w:p w:rsidR="009F0A25" w:rsidRPr="009F0A25" w:rsidRDefault="009F0A25" w:rsidP="007730AA">
            <w:pPr>
              <w:spacing w:before="0" w:line="276" w:lineRule="auto"/>
              <w:ind w:firstLine="0"/>
              <w:jc w:val="right"/>
              <w:rPr>
                <w:b w:val="0"/>
                <w:sz w:val="20"/>
                <w:szCs w:val="20"/>
              </w:rPr>
            </w:pPr>
            <w:r w:rsidRPr="009F0A25">
              <w:rPr>
                <w:b w:val="0"/>
                <w:sz w:val="20"/>
                <w:szCs w:val="20"/>
              </w:rPr>
              <w:t>-1,702.3</w:t>
            </w:r>
          </w:p>
        </w:tc>
        <w:tc>
          <w:tcPr>
            <w:tcW w:w="992"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-1,828.8</w:t>
            </w:r>
          </w:p>
        </w:tc>
        <w:tc>
          <w:tcPr>
            <w:tcW w:w="1134"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-1,539.3</w:t>
            </w:r>
          </w:p>
        </w:tc>
        <w:tc>
          <w:tcPr>
            <w:tcW w:w="1276"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-1,673.5</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lastRenderedPageBreak/>
              <w:t>Արտահանում</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4,409.1</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4,907.2</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5,640.7</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3,867.2</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4,231.1</w:t>
            </w:r>
          </w:p>
        </w:tc>
      </w:tr>
      <w:tr w:rsidR="009F0A25" w:rsidRPr="005D4C87" w:rsidTr="009F0A25">
        <w:trPr>
          <w:trHeight w:val="258"/>
        </w:trPr>
        <w:tc>
          <w:tcPr>
            <w:tcW w:w="351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Փոփոխություն, %</w:t>
            </w:r>
          </w:p>
        </w:tc>
        <w:tc>
          <w:tcPr>
            <w:tcW w:w="1276" w:type="dxa"/>
          </w:tcPr>
          <w:p w:rsidR="009F0A25" w:rsidRPr="009F0A25" w:rsidRDefault="009F0A25" w:rsidP="007730AA">
            <w:pPr>
              <w:spacing w:before="0" w:line="276" w:lineRule="auto"/>
              <w:jc w:val="right"/>
              <w:rPr>
                <w:b w:val="0"/>
                <w:sz w:val="20"/>
                <w:szCs w:val="20"/>
              </w:rPr>
            </w:pPr>
            <w:r w:rsidRPr="009F0A25">
              <w:rPr>
                <w:b w:val="0"/>
                <w:sz w:val="20"/>
                <w:szCs w:val="20"/>
              </w:rPr>
              <w:t>23.7</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11.3</w:t>
            </w:r>
          </w:p>
        </w:tc>
        <w:tc>
          <w:tcPr>
            <w:tcW w:w="992"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14.9</w:t>
            </w:r>
          </w:p>
        </w:tc>
        <w:tc>
          <w:tcPr>
            <w:tcW w:w="1134"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-31.4</w:t>
            </w:r>
          </w:p>
        </w:tc>
        <w:tc>
          <w:tcPr>
            <w:tcW w:w="1276"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9.4</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Ներմուծում</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5,650.6</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6,609.5</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7,469.5</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5,406.5</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5,904.5</w:t>
            </w:r>
          </w:p>
        </w:tc>
      </w:tr>
      <w:tr w:rsidR="009F0A25" w:rsidRPr="005D4C87" w:rsidTr="009F0A25">
        <w:trPr>
          <w:trHeight w:val="258"/>
        </w:trPr>
        <w:tc>
          <w:tcPr>
            <w:tcW w:w="0" w:type="dxa"/>
            <w:shd w:val="clear" w:color="auto" w:fill="auto"/>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Փոփոխություն, %</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26.4</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17.0</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13.0</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-27.6</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9.2</w:t>
            </w:r>
          </w:p>
        </w:tc>
      </w:tr>
      <w:tr w:rsidR="009F0A25" w:rsidRPr="005D4C87" w:rsidTr="009F0A25">
        <w:trPr>
          <w:trHeight w:val="258"/>
        </w:trPr>
        <w:tc>
          <w:tcPr>
            <w:tcW w:w="0" w:type="dxa"/>
            <w:shd w:val="clear" w:color="auto" w:fill="auto"/>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Դրամական փոխանցումներ</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1,179.3</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1,136.2</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1,143.8</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1,119.7</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1,188.1</w:t>
            </w:r>
          </w:p>
        </w:tc>
      </w:tr>
      <w:tr w:rsidR="009F0A25" w:rsidRPr="005D4C87" w:rsidTr="009F0A25">
        <w:trPr>
          <w:trHeight w:val="258"/>
        </w:trPr>
        <w:tc>
          <w:tcPr>
            <w:tcW w:w="9322" w:type="dxa"/>
            <w:gridSpan w:val="6"/>
            <w:shd w:val="clear" w:color="auto" w:fill="auto"/>
            <w:noWrap/>
          </w:tcPr>
          <w:p w:rsidR="009F0A25" w:rsidRPr="009F0A25" w:rsidRDefault="009F0A25" w:rsidP="007730AA">
            <w:pPr>
              <w:spacing w:before="0" w:line="276" w:lineRule="auto"/>
              <w:jc w:val="left"/>
              <w:rPr>
                <w:sz w:val="20"/>
                <w:szCs w:val="20"/>
              </w:rPr>
            </w:pPr>
            <w:r w:rsidRPr="009F0A25">
              <w:rPr>
                <w:rFonts w:cs="Sylfaen"/>
                <w:sz w:val="20"/>
                <w:szCs w:val="20"/>
                <w:u w:val="single"/>
              </w:rPr>
              <w:t>ՀՆԱ-ի նկատմամբ %</w:t>
            </w:r>
          </w:p>
        </w:tc>
      </w:tr>
      <w:tr w:rsidR="009F0A25" w:rsidRPr="005D4C87" w:rsidTr="009F0A25">
        <w:trPr>
          <w:trHeight w:val="258"/>
        </w:trPr>
        <w:tc>
          <w:tcPr>
            <w:tcW w:w="0" w:type="dxa"/>
            <w:shd w:val="clear" w:color="auto" w:fill="auto"/>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Ընթացիկ հաշիվ </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-1.5</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-6.9</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-7.2</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-5.9</w:t>
            </w:r>
          </w:p>
        </w:tc>
        <w:tc>
          <w:tcPr>
            <w:tcW w:w="0" w:type="dxa"/>
            <w:shd w:val="clear" w:color="auto" w:fill="D9E2F3"/>
          </w:tcPr>
          <w:p w:rsidR="009F0A25" w:rsidRPr="009F0A25" w:rsidRDefault="009F0A25" w:rsidP="007730AA">
            <w:pPr>
              <w:spacing w:before="0" w:line="276" w:lineRule="auto"/>
              <w:jc w:val="right"/>
              <w:rPr>
                <w:rFonts w:cs="Arial"/>
                <w:b w:val="0"/>
                <w:bCs/>
                <w:sz w:val="20"/>
                <w:szCs w:val="20"/>
                <w:lang w:val="en-US"/>
              </w:rPr>
            </w:pPr>
            <w:r w:rsidRPr="009F0A25">
              <w:rPr>
                <w:rFonts w:cs="Arial"/>
                <w:b w:val="0"/>
                <w:bCs/>
                <w:sz w:val="20"/>
                <w:szCs w:val="20"/>
              </w:rPr>
              <w:t>-6.</w:t>
            </w:r>
            <w:r w:rsidRPr="009F0A25">
              <w:rPr>
                <w:rFonts w:cs="Arial"/>
                <w:b w:val="0"/>
                <w:bCs/>
                <w:sz w:val="20"/>
                <w:szCs w:val="20"/>
                <w:lang w:val="en-US"/>
              </w:rPr>
              <w:t>1</w:t>
            </w:r>
          </w:p>
        </w:tc>
      </w:tr>
      <w:tr w:rsidR="009F0A25" w:rsidRPr="005D4C87" w:rsidTr="009F0A25">
        <w:trPr>
          <w:trHeight w:val="258"/>
        </w:trPr>
        <w:tc>
          <w:tcPr>
            <w:tcW w:w="0" w:type="dxa"/>
            <w:shd w:val="clear" w:color="auto" w:fill="auto"/>
            <w:noWrap/>
          </w:tcPr>
          <w:p w:rsidR="009F0A25" w:rsidRPr="009F0A25" w:rsidRDefault="009F0A25" w:rsidP="007730AA">
            <w:pPr>
              <w:spacing w:before="0" w:line="276" w:lineRule="auto"/>
              <w:ind w:firstLine="0"/>
              <w:jc w:val="left"/>
              <w:rPr>
                <w:rFonts w:cs="Sylfaen"/>
                <w:b w:val="0"/>
                <w:sz w:val="20"/>
                <w:szCs w:val="20"/>
                <w:u w:val="single"/>
              </w:rPr>
            </w:pPr>
            <w:r w:rsidRPr="009F0A25">
              <w:rPr>
                <w:rFonts w:cs="Sylfaen"/>
                <w:b w:val="0"/>
                <w:sz w:val="20"/>
                <w:szCs w:val="20"/>
              </w:rPr>
              <w:t>Ապրանքների և ծառայությունների հաշվեկշիռ</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-10.8</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-13.7</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-13.4</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-12.4</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-13.3</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Արտահանում</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38.2</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39.4</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41.3</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31.0</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33.7</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Ներմուծում</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49.0</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53.1</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54.7</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43.4</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47.0</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Դրամական փոխանցումներ</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10.2</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9.1</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8.4</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9.0</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9.5</w:t>
            </w:r>
          </w:p>
        </w:tc>
      </w:tr>
    </w:tbl>
    <w:p w:rsidR="009F0A25" w:rsidRPr="005D4C87" w:rsidRDefault="009F0A25" w:rsidP="007730AA">
      <w:pPr>
        <w:tabs>
          <w:tab w:val="right" w:pos="0"/>
        </w:tabs>
        <w:spacing w:before="0" w:line="276" w:lineRule="auto"/>
        <w:rPr>
          <w:rFonts w:cs="Times Armenian"/>
          <w:bCs/>
          <w:szCs w:val="22"/>
          <w:lang w:val="hy-AM"/>
        </w:rPr>
      </w:pPr>
    </w:p>
    <w:p w:rsidR="009F0A25" w:rsidRPr="005D4C87" w:rsidRDefault="009F0A25" w:rsidP="007730AA">
      <w:pPr>
        <w:keepNext/>
        <w:keepLines/>
        <w:spacing w:before="0" w:line="276" w:lineRule="auto"/>
        <w:outlineLvl w:val="2"/>
        <w:rPr>
          <w:b w:val="0"/>
          <w:bCs/>
          <w:color w:val="1F497D"/>
          <w:sz w:val="28"/>
          <w:szCs w:val="28"/>
          <w:lang w:val="hy-AM"/>
        </w:rPr>
      </w:pPr>
    </w:p>
    <w:p w:rsidR="009F0A25" w:rsidRPr="005D4C87" w:rsidRDefault="009F0A25" w:rsidP="007730AA">
      <w:pPr>
        <w:keepNext/>
        <w:keepLines/>
        <w:spacing w:before="0" w:line="276" w:lineRule="auto"/>
        <w:outlineLvl w:val="2"/>
        <w:rPr>
          <w:b w:val="0"/>
          <w:bCs/>
          <w:color w:val="1F497D"/>
          <w:sz w:val="28"/>
          <w:szCs w:val="28"/>
          <w:lang w:val="hy-AM"/>
        </w:rPr>
      </w:pPr>
    </w:p>
    <w:p w:rsidR="009F0A25" w:rsidRPr="005D4C87" w:rsidRDefault="009F0A25" w:rsidP="007730AA">
      <w:pPr>
        <w:spacing w:before="0" w:line="259" w:lineRule="auto"/>
        <w:rPr>
          <w:b w:val="0"/>
          <w:bCs/>
          <w:color w:val="1F497D"/>
          <w:sz w:val="28"/>
          <w:szCs w:val="28"/>
          <w:lang w:val="hy-AM"/>
        </w:rPr>
      </w:pPr>
      <w:r w:rsidRPr="005D4C87">
        <w:rPr>
          <w:bCs/>
          <w:color w:val="1F497D"/>
          <w:sz w:val="28"/>
          <w:szCs w:val="28"/>
          <w:lang w:val="hy-AM"/>
        </w:rPr>
        <w:br w:type="page"/>
      </w:r>
    </w:p>
    <w:p w:rsidR="009F0A25" w:rsidRPr="000B6441" w:rsidRDefault="009F0A25" w:rsidP="000B6441">
      <w:pPr>
        <w:keepNext/>
        <w:keepLines/>
        <w:spacing w:before="0" w:line="276" w:lineRule="auto"/>
        <w:outlineLvl w:val="2"/>
        <w:rPr>
          <w:bCs/>
          <w:sz w:val="28"/>
          <w:szCs w:val="28"/>
          <w:lang w:val="hy-AM"/>
        </w:rPr>
      </w:pPr>
      <w:bookmarkStart w:id="13" w:name="_Toc51947413"/>
      <w:bookmarkStart w:id="14" w:name="_Toc52452086"/>
      <w:bookmarkStart w:id="15" w:name="_Toc57559413"/>
      <w:bookmarkStart w:id="16" w:name="_Toc57655446"/>
      <w:r w:rsidRPr="000B6441">
        <w:rPr>
          <w:bCs/>
          <w:sz w:val="28"/>
          <w:szCs w:val="28"/>
          <w:lang w:val="hy-AM"/>
        </w:rPr>
        <w:lastRenderedPageBreak/>
        <w:t>1.2. ՀԱՄԱՇԽԱՐՀԱՅԻՆ ՏՆՏԵՍՈՒԹՅԱՆ ԵՎ ԳՈՐԾԸՆԿԵՐ ԵՐԿՐՆԵՐԻ ԶԱՐԳԱՑՈՒՄՆԵՐ ԵՎ ԿԱՆԽԱՏԵՍՈՒՄՆԵՐ</w:t>
      </w:r>
      <w:bookmarkEnd w:id="13"/>
      <w:bookmarkEnd w:id="14"/>
      <w:bookmarkEnd w:id="15"/>
      <w:bookmarkEnd w:id="16"/>
    </w:p>
    <w:p w:rsidR="00993526" w:rsidRPr="00033370" w:rsidRDefault="009F0A25" w:rsidP="00005BEA">
      <w:pPr>
        <w:spacing w:before="0" w:line="276" w:lineRule="auto"/>
        <w:rPr>
          <w:rFonts w:cs="Sylfaen"/>
          <w:b w:val="0"/>
          <w:szCs w:val="22"/>
          <w:lang w:val="hy-AM"/>
        </w:rPr>
      </w:pPr>
      <w:r w:rsidRPr="005D4C87">
        <w:rPr>
          <w:rFonts w:eastAsia="Calibri"/>
          <w:szCs w:val="22"/>
          <w:lang w:val="hy-AM"/>
        </w:rPr>
        <w:t>Կորոնավիրուսի համավարակի (COVID-19) հետևանքով համաշխարհային տնտեսությունն ապրում է այնպիսի անկում, որը չի դիտվել 1930-ականների «Մեծ Դեպրեսիայից» ի վեր</w:t>
      </w:r>
      <w:r w:rsidRPr="005D4C87">
        <w:rPr>
          <w:rFonts w:cs="Courier New"/>
          <w:szCs w:val="22"/>
          <w:lang w:val="hy-AM"/>
        </w:rPr>
        <w:t xml:space="preserve">: </w:t>
      </w:r>
      <w:r w:rsidRPr="009F0A25">
        <w:rPr>
          <w:rFonts w:cs="Courier New"/>
          <w:b w:val="0"/>
          <w:szCs w:val="22"/>
          <w:lang w:val="hy-AM"/>
        </w:rPr>
        <w:t xml:space="preserve">Համավարակը խաթարել է </w:t>
      </w:r>
      <w:r w:rsidRPr="009F0A25">
        <w:rPr>
          <w:rFonts w:eastAsia="Calibri"/>
          <w:b w:val="0"/>
          <w:szCs w:val="22"/>
          <w:lang w:val="hy-AM"/>
        </w:rPr>
        <w:t>համաշխարհային տնտեսության բնականոն զարգացումն</w:t>
      </w:r>
      <w:r w:rsidRPr="009F0A25">
        <w:rPr>
          <w:rFonts w:cs="Sylfaen"/>
          <w:b w:val="0"/>
          <w:szCs w:val="22"/>
          <w:lang w:val="hy-AM"/>
        </w:rPr>
        <w:t xml:space="preserve"> ինչպես</w:t>
      </w:r>
      <w:r w:rsidRPr="009F0A25">
        <w:rPr>
          <w:rFonts w:cs="Courier New"/>
          <w:b w:val="0"/>
          <w:szCs w:val="22"/>
          <w:lang w:val="hy-AM"/>
        </w:rPr>
        <w:t xml:space="preserve"> </w:t>
      </w:r>
      <w:r w:rsidRPr="009F0A25">
        <w:rPr>
          <w:rFonts w:cs="Sylfaen"/>
          <w:b w:val="0"/>
          <w:szCs w:val="22"/>
          <w:lang w:val="hy-AM"/>
        </w:rPr>
        <w:t>զարգացած</w:t>
      </w:r>
      <w:r w:rsidRPr="009F0A25">
        <w:rPr>
          <w:rFonts w:cs="Courier New"/>
          <w:b w:val="0"/>
          <w:szCs w:val="22"/>
          <w:lang w:val="hy-AM"/>
        </w:rPr>
        <w:t xml:space="preserve">, </w:t>
      </w:r>
      <w:r w:rsidRPr="009F0A25">
        <w:rPr>
          <w:rFonts w:cs="Sylfaen"/>
          <w:b w:val="0"/>
          <w:szCs w:val="22"/>
          <w:lang w:val="hy-AM"/>
        </w:rPr>
        <w:t>այնպես</w:t>
      </w:r>
      <w:r w:rsidRPr="009F0A25">
        <w:rPr>
          <w:rFonts w:cs="Courier New"/>
          <w:b w:val="0"/>
          <w:szCs w:val="22"/>
          <w:lang w:val="hy-AM"/>
        </w:rPr>
        <w:t xml:space="preserve"> </w:t>
      </w:r>
      <w:r w:rsidRPr="009F0A25">
        <w:rPr>
          <w:rFonts w:cs="Sylfaen"/>
          <w:b w:val="0"/>
          <w:szCs w:val="22"/>
          <w:lang w:val="hy-AM"/>
        </w:rPr>
        <w:t>էլ</w:t>
      </w:r>
      <w:r w:rsidRPr="009F0A25">
        <w:rPr>
          <w:rFonts w:cs="Courier New"/>
          <w:b w:val="0"/>
          <w:szCs w:val="22"/>
          <w:lang w:val="hy-AM"/>
        </w:rPr>
        <w:t xml:space="preserve"> </w:t>
      </w:r>
      <w:r w:rsidRPr="009F0A25">
        <w:rPr>
          <w:rFonts w:cs="Sylfaen"/>
          <w:b w:val="0"/>
          <w:szCs w:val="22"/>
          <w:lang w:val="hy-AM"/>
        </w:rPr>
        <w:t>զարգացող երկրներում</w:t>
      </w:r>
      <w:r w:rsidRPr="009F0A25">
        <w:rPr>
          <w:rFonts w:eastAsia="Calibri"/>
          <w:b w:val="0"/>
          <w:szCs w:val="22"/>
          <w:lang w:val="hy-AM"/>
        </w:rPr>
        <w:t xml:space="preserve">՝ հանգեցնելով ամբողջ աշխարհում առողջապահական և տնտեսական ճգնաժամի։ </w:t>
      </w:r>
      <w:r w:rsidRPr="009F0A25">
        <w:rPr>
          <w:rFonts w:cs="Sylfaen"/>
          <w:b w:val="0"/>
          <w:szCs w:val="22"/>
          <w:lang w:val="hy-AM"/>
        </w:rPr>
        <w:t>ԱՄՀ-ի</w:t>
      </w:r>
      <w:r w:rsidRPr="009F0A25">
        <w:rPr>
          <w:rFonts w:cs="Courier New"/>
          <w:b w:val="0"/>
          <w:szCs w:val="22"/>
          <w:lang w:val="hy-AM"/>
        </w:rPr>
        <w:t xml:space="preserve"> հոկտեմբերի </w:t>
      </w:r>
      <w:r w:rsidRPr="009F0A25">
        <w:rPr>
          <w:rFonts w:cs="Sylfaen"/>
          <w:b w:val="0"/>
          <w:szCs w:val="22"/>
          <w:lang w:val="hy-AM"/>
        </w:rPr>
        <w:t xml:space="preserve">գնահատականներով </w:t>
      </w:r>
      <w:r w:rsidRPr="009F0A25">
        <w:rPr>
          <w:rFonts w:cs="Courier New"/>
          <w:b w:val="0"/>
          <w:szCs w:val="22"/>
          <w:lang w:val="hy-AM"/>
        </w:rPr>
        <w:t xml:space="preserve">2020թ. համաշխարհային տնտեսական անկումը </w:t>
      </w:r>
      <w:r w:rsidRPr="009F0A25">
        <w:rPr>
          <w:rFonts w:cs="Sylfaen"/>
          <w:b w:val="0"/>
          <w:szCs w:val="22"/>
          <w:lang w:val="hy-AM"/>
        </w:rPr>
        <w:t xml:space="preserve">կկազմի 4.4%, որը հունիսի կանխատեսումների համեմատ վերանայվել է դրական ուղղությամբ՝  պայմանավորված շատ երկրների սպասվածից ավելի լավ զարգացումներով: Վերանայումների համաձայն </w:t>
      </w:r>
      <w:r w:rsidRPr="009F0A25">
        <w:rPr>
          <w:rFonts w:cs="Courier New"/>
          <w:b w:val="0"/>
          <w:szCs w:val="22"/>
          <w:lang w:val="hy-AM"/>
        </w:rPr>
        <w:t>ՀՀ հիմնական գործընկեր երկրներում նույնպես</w:t>
      </w:r>
      <w:r w:rsidRPr="009F0A25" w:rsidDel="00B2442F">
        <w:rPr>
          <w:rFonts w:cs="Courier New"/>
          <w:b w:val="0"/>
          <w:szCs w:val="22"/>
          <w:lang w:val="hy-AM"/>
        </w:rPr>
        <w:t xml:space="preserve"> </w:t>
      </w:r>
      <w:r w:rsidRPr="009F0A25">
        <w:rPr>
          <w:rFonts w:cs="Courier New"/>
          <w:b w:val="0"/>
          <w:szCs w:val="22"/>
          <w:lang w:val="hy-AM"/>
        </w:rPr>
        <w:t>անկումը կլինի ավելի մեղմ. 2020թ. ՌԴ-ում կանխատեսվում է 4.1% անկում, Եվրոգոտում՝ -8.3, ԱՄՆ-ում՝ -4.3, իսկ Չինաստանում կանխատեսվում է 1.9% աճ: Այդուհանդերձ, կորոնավիրուսի</w:t>
      </w:r>
      <w:r w:rsidRPr="009F0A25">
        <w:rPr>
          <w:rFonts w:eastAsia="Calibri" w:cs="Sylfaen"/>
          <w:b w:val="0"/>
          <w:szCs w:val="22"/>
          <w:lang w:val="hy-AM"/>
        </w:rPr>
        <w:t xml:space="preserve"> համավարակի երկրորդ ալիքի հետ կապված անորոշությունները պահպանվում եմ:</w:t>
      </w:r>
      <w:r w:rsidRPr="009F0A25" w:rsidDel="00325FEF">
        <w:rPr>
          <w:rFonts w:cs="Sylfaen"/>
          <w:b w:val="0"/>
          <w:szCs w:val="22"/>
          <w:lang w:val="hy-AM"/>
        </w:rPr>
        <w:t xml:space="preserve"> </w:t>
      </w:r>
      <w:r w:rsidRPr="009F0A25">
        <w:rPr>
          <w:rFonts w:cs="Sylfaen"/>
          <w:b w:val="0"/>
          <w:szCs w:val="22"/>
          <w:lang w:val="hy-AM"/>
        </w:rPr>
        <w:t>Համաշխարհային ՀՆԱ-ի մակարդակի 2021թ. ընթացքում վերականգնման գնահատականների հետ մեկտեղ՝ ինչպես համաշխարհային տնտեսության, այնպես էլ ՀՀ հիմնական գործընկեր երկրների տնտեսական աճերի 2021թ. կանխատեսումները հունիսի կանխատեսումների համեմ</w:t>
      </w:r>
      <w:r w:rsidR="00005BEA">
        <w:rPr>
          <w:rFonts w:cs="Sylfaen"/>
          <w:b w:val="0"/>
          <w:szCs w:val="22"/>
          <w:lang w:val="hy-AM"/>
        </w:rPr>
        <w:t>ատ վերանայվել են դեպի ներքև</w:t>
      </w:r>
    </w:p>
    <w:p w:rsidR="00993526" w:rsidRPr="00646BCB" w:rsidRDefault="00993526" w:rsidP="00646BCB">
      <w:pPr>
        <w:keepNext/>
        <w:keepLines/>
        <w:spacing w:before="0" w:line="276" w:lineRule="auto"/>
        <w:rPr>
          <w:rFonts w:cs="Sylfaen"/>
          <w:bCs/>
          <w:i/>
          <w:color w:val="000000"/>
          <w:szCs w:val="22"/>
          <w:lang w:val="hy-AM"/>
        </w:rPr>
      </w:pPr>
      <w:r w:rsidRPr="00646BCB">
        <w:rPr>
          <w:rFonts w:cs="Sylfaen"/>
          <w:bCs/>
          <w:i/>
          <w:color w:val="000000"/>
          <w:szCs w:val="22"/>
          <w:lang w:val="hy-AM"/>
        </w:rPr>
        <w:t xml:space="preserve">Աղյուսակ 1.2. </w:t>
      </w:r>
      <w:r w:rsidRPr="00646BCB">
        <w:rPr>
          <w:rFonts w:cs="Sylfaen"/>
          <w:b w:val="0"/>
          <w:bCs/>
          <w:i/>
          <w:color w:val="000000"/>
          <w:szCs w:val="22"/>
          <w:lang w:val="hy-AM"/>
        </w:rPr>
        <w:t>ԱՄՀ կանխատեսումներ</w:t>
      </w:r>
    </w:p>
    <w:tbl>
      <w:tblPr>
        <w:tblpPr w:leftFromText="180" w:rightFromText="180" w:vertAnchor="text" w:horzAnchor="margin" w:tblpY="40"/>
        <w:tblW w:w="921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592"/>
        <w:gridCol w:w="857"/>
        <w:gridCol w:w="835"/>
        <w:gridCol w:w="833"/>
        <w:gridCol w:w="889"/>
        <w:gridCol w:w="835"/>
        <w:gridCol w:w="836"/>
        <w:gridCol w:w="830"/>
        <w:gridCol w:w="889"/>
        <w:gridCol w:w="823"/>
      </w:tblGrid>
      <w:tr w:rsidR="001378BB" w:rsidRPr="005D4C87" w:rsidTr="001378BB">
        <w:trPr>
          <w:trHeight w:val="284"/>
        </w:trPr>
        <w:tc>
          <w:tcPr>
            <w:tcW w:w="1592" w:type="dxa"/>
            <w:tcBorders>
              <w:top w:val="single" w:sz="4" w:space="0" w:color="4472C4"/>
              <w:left w:val="single" w:sz="4" w:space="0" w:color="4472C4"/>
              <w:bottom w:val="single" w:sz="4" w:space="0" w:color="4472C4"/>
              <w:right w:val="nil"/>
            </w:tcBorders>
            <w:shd w:val="clear" w:color="auto" w:fill="4472C4"/>
          </w:tcPr>
          <w:p w:rsidR="001378BB" w:rsidRPr="005D4C87" w:rsidRDefault="001378BB" w:rsidP="001378BB">
            <w:pPr>
              <w:spacing w:before="0" w:line="276" w:lineRule="auto"/>
              <w:rPr>
                <w:rFonts w:eastAsia="Calibri" w:cs="Sylfaen"/>
                <w:b w:val="0"/>
                <w:bCs/>
                <w:color w:val="FFFFFF"/>
                <w:sz w:val="16"/>
                <w:szCs w:val="16"/>
                <w:lang w:val="hy-AM"/>
              </w:rPr>
            </w:pPr>
          </w:p>
        </w:tc>
        <w:tc>
          <w:tcPr>
            <w:tcW w:w="857" w:type="dxa"/>
            <w:tcBorders>
              <w:top w:val="single" w:sz="4" w:space="0" w:color="4472C4"/>
              <w:left w:val="nil"/>
              <w:bottom w:val="single" w:sz="4" w:space="0" w:color="4472C4"/>
              <w:right w:val="nil"/>
            </w:tcBorders>
            <w:shd w:val="clear" w:color="auto" w:fill="4472C4"/>
          </w:tcPr>
          <w:p w:rsidR="001378BB" w:rsidRPr="00882B34" w:rsidRDefault="001378BB" w:rsidP="001378BB">
            <w:pPr>
              <w:spacing w:before="0" w:line="276" w:lineRule="auto"/>
              <w:ind w:firstLine="0"/>
              <w:jc w:val="center"/>
              <w:rPr>
                <w:rFonts w:eastAsia="Calibri" w:cs="Sylfaen"/>
                <w:b w:val="0"/>
                <w:bCs/>
                <w:color w:val="FFFFFF"/>
                <w:sz w:val="20"/>
                <w:szCs w:val="20"/>
                <w:lang w:val="hy-AM"/>
              </w:rPr>
            </w:pPr>
            <w:r w:rsidRPr="00882B34">
              <w:rPr>
                <w:rFonts w:eastAsia="Calibri"/>
                <w:bCs/>
                <w:color w:val="FFFFFF"/>
                <w:sz w:val="20"/>
                <w:szCs w:val="20"/>
                <w:lang w:val="hy-AM"/>
              </w:rPr>
              <w:t>2019</w:t>
            </w:r>
          </w:p>
        </w:tc>
        <w:tc>
          <w:tcPr>
            <w:tcW w:w="3392" w:type="dxa"/>
            <w:gridSpan w:val="4"/>
            <w:tcBorders>
              <w:top w:val="single" w:sz="4" w:space="0" w:color="4472C4"/>
              <w:left w:val="nil"/>
              <w:bottom w:val="single" w:sz="4" w:space="0" w:color="4472C4"/>
              <w:right w:val="nil"/>
            </w:tcBorders>
            <w:shd w:val="clear" w:color="auto" w:fill="4472C4"/>
          </w:tcPr>
          <w:p w:rsidR="001378BB" w:rsidRPr="00882B34" w:rsidRDefault="001378BB" w:rsidP="001378BB">
            <w:pPr>
              <w:spacing w:before="0" w:line="276" w:lineRule="auto"/>
              <w:ind w:firstLine="0"/>
              <w:jc w:val="center"/>
              <w:rPr>
                <w:rFonts w:eastAsia="Calibri"/>
                <w:b w:val="0"/>
                <w:bCs/>
                <w:sz w:val="20"/>
                <w:szCs w:val="20"/>
                <w:lang w:val="hy-AM"/>
              </w:rPr>
            </w:pPr>
            <w:r w:rsidRPr="00882B34">
              <w:rPr>
                <w:rFonts w:eastAsia="Calibri"/>
                <w:bCs/>
                <w:color w:val="FFFFFF"/>
                <w:sz w:val="20"/>
                <w:szCs w:val="20"/>
                <w:lang w:val="hy-AM"/>
              </w:rPr>
              <w:t>2020 թ.-ի կանխատեսում</w:t>
            </w:r>
          </w:p>
        </w:tc>
        <w:tc>
          <w:tcPr>
            <w:tcW w:w="3378" w:type="dxa"/>
            <w:gridSpan w:val="4"/>
            <w:tcBorders>
              <w:top w:val="single" w:sz="4" w:space="0" w:color="4472C4"/>
              <w:left w:val="nil"/>
              <w:bottom w:val="single" w:sz="4" w:space="0" w:color="4472C4"/>
              <w:right w:val="single" w:sz="4" w:space="0" w:color="4472C4"/>
            </w:tcBorders>
            <w:shd w:val="clear" w:color="auto" w:fill="4472C4"/>
          </w:tcPr>
          <w:p w:rsidR="001378BB" w:rsidRPr="00882B34" w:rsidRDefault="001378BB" w:rsidP="001378BB">
            <w:pPr>
              <w:spacing w:before="0" w:line="276" w:lineRule="auto"/>
              <w:ind w:firstLine="0"/>
              <w:jc w:val="center"/>
              <w:rPr>
                <w:rFonts w:eastAsia="Calibri"/>
                <w:b w:val="0"/>
                <w:bCs/>
                <w:sz w:val="20"/>
                <w:szCs w:val="20"/>
                <w:lang w:val="hy-AM"/>
              </w:rPr>
            </w:pPr>
            <w:r w:rsidRPr="00882B34">
              <w:rPr>
                <w:rFonts w:eastAsia="Calibri"/>
                <w:bCs/>
                <w:color w:val="FFFFFF"/>
                <w:sz w:val="20"/>
                <w:szCs w:val="20"/>
                <w:lang w:val="hy-AM"/>
              </w:rPr>
              <w:t>2021 թ.-ի կանխատեսում</w:t>
            </w:r>
          </w:p>
        </w:tc>
      </w:tr>
      <w:tr w:rsidR="001378BB" w:rsidRPr="005D4C87" w:rsidTr="001378BB">
        <w:trPr>
          <w:trHeight w:val="536"/>
        </w:trPr>
        <w:tc>
          <w:tcPr>
            <w:tcW w:w="1592" w:type="dxa"/>
            <w:shd w:val="clear" w:color="auto" w:fill="D9E2F3"/>
            <w:vAlign w:val="center"/>
          </w:tcPr>
          <w:p w:rsidR="001378BB" w:rsidRPr="005D4C87" w:rsidRDefault="001378BB" w:rsidP="001378BB">
            <w:pPr>
              <w:spacing w:before="0" w:line="276" w:lineRule="auto"/>
              <w:jc w:val="center"/>
              <w:rPr>
                <w:rFonts w:eastAsia="Calibri" w:cs="Sylfaen"/>
                <w:b w:val="0"/>
                <w:bCs/>
                <w:sz w:val="16"/>
                <w:szCs w:val="16"/>
                <w:lang w:val="hy-AM"/>
              </w:rPr>
            </w:pPr>
          </w:p>
        </w:tc>
        <w:tc>
          <w:tcPr>
            <w:tcW w:w="857"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Փաստ</w:t>
            </w:r>
          </w:p>
        </w:tc>
        <w:tc>
          <w:tcPr>
            <w:tcW w:w="835"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Հունվ.</w:t>
            </w:r>
          </w:p>
        </w:tc>
        <w:tc>
          <w:tcPr>
            <w:tcW w:w="833"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Ապրիլ</w:t>
            </w:r>
          </w:p>
        </w:tc>
        <w:tc>
          <w:tcPr>
            <w:tcW w:w="889"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Հունիս</w:t>
            </w:r>
          </w:p>
        </w:tc>
        <w:tc>
          <w:tcPr>
            <w:tcW w:w="835"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rPr>
              <w:t xml:space="preserve">2020 </w:t>
            </w:r>
            <w:r w:rsidRPr="00033C8B">
              <w:rPr>
                <w:rFonts w:eastAsia="Calibri"/>
                <w:b w:val="0"/>
                <w:sz w:val="20"/>
                <w:szCs w:val="20"/>
                <w:lang w:val="hy-AM"/>
              </w:rPr>
              <w:t>Հոկտ.</w:t>
            </w:r>
          </w:p>
        </w:tc>
        <w:tc>
          <w:tcPr>
            <w:tcW w:w="836"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Հունվ.</w:t>
            </w:r>
          </w:p>
        </w:tc>
        <w:tc>
          <w:tcPr>
            <w:tcW w:w="830"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w:t>
            </w:r>
            <w:r w:rsidRPr="00033C8B">
              <w:rPr>
                <w:rFonts w:eastAsia="Calibri"/>
                <w:b w:val="0"/>
                <w:sz w:val="20"/>
                <w:szCs w:val="20"/>
              </w:rPr>
              <w:t>020 Ապրիլ</w:t>
            </w:r>
          </w:p>
        </w:tc>
        <w:tc>
          <w:tcPr>
            <w:tcW w:w="889"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rPr>
            </w:pPr>
            <w:r w:rsidRPr="00033C8B">
              <w:rPr>
                <w:rFonts w:eastAsia="Calibri"/>
                <w:b w:val="0"/>
                <w:sz w:val="20"/>
                <w:szCs w:val="20"/>
              </w:rPr>
              <w:t>2020</w:t>
            </w:r>
            <w:r w:rsidRPr="00033C8B">
              <w:rPr>
                <w:rFonts w:eastAsia="Calibri"/>
                <w:b w:val="0"/>
                <w:sz w:val="20"/>
                <w:szCs w:val="20"/>
                <w:lang w:val="en-US"/>
              </w:rPr>
              <w:t xml:space="preserve"> </w:t>
            </w:r>
            <w:r w:rsidRPr="00033C8B">
              <w:rPr>
                <w:rFonts w:eastAsia="Calibri"/>
                <w:b w:val="0"/>
                <w:sz w:val="20"/>
                <w:szCs w:val="20"/>
              </w:rPr>
              <w:t>Հունիս</w:t>
            </w:r>
          </w:p>
        </w:tc>
        <w:tc>
          <w:tcPr>
            <w:tcW w:w="823"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Հոկտ.</w:t>
            </w:r>
          </w:p>
        </w:tc>
      </w:tr>
      <w:tr w:rsidR="001378BB" w:rsidRPr="005D4C87" w:rsidTr="001378BB">
        <w:trPr>
          <w:trHeight w:val="15"/>
        </w:trPr>
        <w:tc>
          <w:tcPr>
            <w:tcW w:w="1592" w:type="dxa"/>
            <w:shd w:val="clear" w:color="auto" w:fill="auto"/>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Աշխարհ</w:t>
            </w:r>
            <w:r w:rsidRPr="005D4C87">
              <w:rPr>
                <w:rFonts w:eastAsia="Calibri"/>
                <w:bCs/>
                <w:color w:val="000000"/>
                <w:sz w:val="16"/>
                <w:szCs w:val="16"/>
                <w:lang w:val="hy-AM"/>
              </w:rPr>
              <w:t xml:space="preserve">ի տնտեսական աճ, </w:t>
            </w:r>
            <w:r w:rsidRPr="005D4C87">
              <w:rPr>
                <w:rFonts w:eastAsia="Calibri"/>
                <w:bCs/>
                <w:color w:val="000000"/>
                <w:sz w:val="16"/>
                <w:szCs w:val="16"/>
              </w:rPr>
              <w:t>%</w:t>
            </w:r>
          </w:p>
        </w:tc>
        <w:tc>
          <w:tcPr>
            <w:tcW w:w="857"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2.</w:t>
            </w:r>
            <w:r w:rsidRPr="00033C8B">
              <w:rPr>
                <w:rFonts w:eastAsia="Calibri"/>
                <w:b w:val="0"/>
                <w:sz w:val="20"/>
                <w:szCs w:val="20"/>
                <w:lang w:val="hy-AM"/>
              </w:rPr>
              <w:t>8</w:t>
            </w:r>
          </w:p>
        </w:tc>
        <w:tc>
          <w:tcPr>
            <w:tcW w:w="835"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3.3</w:t>
            </w:r>
          </w:p>
        </w:tc>
        <w:tc>
          <w:tcPr>
            <w:tcW w:w="833"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–3.0</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–4.9</w:t>
            </w:r>
          </w:p>
        </w:tc>
        <w:tc>
          <w:tcPr>
            <w:tcW w:w="835" w:type="dxa"/>
            <w:shd w:val="clear" w:color="auto" w:fill="auto"/>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-4.4</w:t>
            </w:r>
          </w:p>
        </w:tc>
        <w:tc>
          <w:tcPr>
            <w:tcW w:w="836"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3.4</w:t>
            </w:r>
          </w:p>
        </w:tc>
        <w:tc>
          <w:tcPr>
            <w:tcW w:w="830"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5.8</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5.4</w:t>
            </w:r>
          </w:p>
        </w:tc>
        <w:tc>
          <w:tcPr>
            <w:tcW w:w="823"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5.2</w:t>
            </w:r>
          </w:p>
        </w:tc>
      </w:tr>
      <w:tr w:rsidR="001378BB" w:rsidRPr="005D4C87" w:rsidTr="001378BB">
        <w:trPr>
          <w:trHeight w:val="283"/>
        </w:trPr>
        <w:tc>
          <w:tcPr>
            <w:tcW w:w="1592" w:type="dxa"/>
            <w:shd w:val="clear" w:color="auto" w:fill="D9E2F3"/>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sz w:val="16"/>
                <w:szCs w:val="16"/>
              </w:rPr>
              <w:t>ՌԴ</w:t>
            </w:r>
          </w:p>
        </w:tc>
        <w:tc>
          <w:tcPr>
            <w:tcW w:w="857"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1.3</w:t>
            </w:r>
          </w:p>
        </w:tc>
        <w:tc>
          <w:tcPr>
            <w:tcW w:w="835" w:type="dxa"/>
            <w:shd w:val="clear" w:color="auto" w:fill="D9E2F3"/>
          </w:tcPr>
          <w:p w:rsidR="001378BB" w:rsidRPr="00033C8B" w:rsidRDefault="001378BB" w:rsidP="001378BB">
            <w:pPr>
              <w:spacing w:before="0" w:line="276" w:lineRule="auto"/>
              <w:ind w:firstLine="0"/>
              <w:jc w:val="center"/>
              <w:rPr>
                <w:rFonts w:eastAsia="Calibri"/>
                <w:b w:val="0"/>
                <w:sz w:val="20"/>
                <w:szCs w:val="20"/>
              </w:rPr>
            </w:pPr>
            <w:r w:rsidRPr="00033C8B">
              <w:rPr>
                <w:rFonts w:eastAsia="Calibri"/>
                <w:b w:val="0"/>
                <w:sz w:val="20"/>
                <w:szCs w:val="20"/>
              </w:rPr>
              <w:t>1.9</w:t>
            </w:r>
          </w:p>
        </w:tc>
        <w:tc>
          <w:tcPr>
            <w:tcW w:w="833"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–5.5</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–6.6</w:t>
            </w:r>
          </w:p>
        </w:tc>
        <w:tc>
          <w:tcPr>
            <w:tcW w:w="835" w:type="dxa"/>
            <w:shd w:val="clear" w:color="auto" w:fill="D9E2F3"/>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-4.1</w:t>
            </w:r>
          </w:p>
        </w:tc>
        <w:tc>
          <w:tcPr>
            <w:tcW w:w="836"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w:t>
            </w:r>
          </w:p>
        </w:tc>
        <w:tc>
          <w:tcPr>
            <w:tcW w:w="830"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3.5</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4.1</w:t>
            </w:r>
          </w:p>
        </w:tc>
        <w:tc>
          <w:tcPr>
            <w:tcW w:w="823"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2.8</w:t>
            </w:r>
          </w:p>
        </w:tc>
      </w:tr>
      <w:tr w:rsidR="001378BB" w:rsidRPr="005D4C87" w:rsidTr="001378BB">
        <w:trPr>
          <w:trHeight w:val="376"/>
        </w:trPr>
        <w:tc>
          <w:tcPr>
            <w:tcW w:w="1592" w:type="dxa"/>
            <w:shd w:val="clear" w:color="auto" w:fill="auto"/>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Եվրոգոտի</w:t>
            </w:r>
          </w:p>
        </w:tc>
        <w:tc>
          <w:tcPr>
            <w:tcW w:w="857"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1.</w:t>
            </w:r>
            <w:r w:rsidRPr="00033C8B">
              <w:rPr>
                <w:rFonts w:eastAsia="Calibri"/>
                <w:b w:val="0"/>
                <w:sz w:val="20"/>
                <w:szCs w:val="20"/>
                <w:lang w:val="hy-AM"/>
              </w:rPr>
              <w:t>3</w:t>
            </w:r>
          </w:p>
        </w:tc>
        <w:tc>
          <w:tcPr>
            <w:tcW w:w="835"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1.3</w:t>
            </w:r>
          </w:p>
        </w:tc>
        <w:tc>
          <w:tcPr>
            <w:tcW w:w="833"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–7.5</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–10.2</w:t>
            </w:r>
          </w:p>
        </w:tc>
        <w:tc>
          <w:tcPr>
            <w:tcW w:w="835" w:type="dxa"/>
            <w:shd w:val="clear" w:color="auto" w:fill="auto"/>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-8.3</w:t>
            </w:r>
          </w:p>
        </w:tc>
        <w:tc>
          <w:tcPr>
            <w:tcW w:w="836"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1.4</w:t>
            </w:r>
          </w:p>
        </w:tc>
        <w:tc>
          <w:tcPr>
            <w:tcW w:w="830"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4.7</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6.0</w:t>
            </w:r>
          </w:p>
        </w:tc>
        <w:tc>
          <w:tcPr>
            <w:tcW w:w="823"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5.2</w:t>
            </w:r>
          </w:p>
        </w:tc>
      </w:tr>
      <w:tr w:rsidR="001378BB" w:rsidRPr="005D4C87" w:rsidTr="001378BB">
        <w:trPr>
          <w:trHeight w:val="285"/>
        </w:trPr>
        <w:tc>
          <w:tcPr>
            <w:tcW w:w="1592" w:type="dxa"/>
            <w:shd w:val="clear" w:color="auto" w:fill="D9E2F3"/>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Չինաստան</w:t>
            </w:r>
          </w:p>
        </w:tc>
        <w:tc>
          <w:tcPr>
            <w:tcW w:w="857"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6.1</w:t>
            </w:r>
          </w:p>
        </w:tc>
        <w:tc>
          <w:tcPr>
            <w:tcW w:w="835"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5.6</w:t>
            </w:r>
          </w:p>
        </w:tc>
        <w:tc>
          <w:tcPr>
            <w:tcW w:w="833"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1.2</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1.0</w:t>
            </w:r>
          </w:p>
        </w:tc>
        <w:tc>
          <w:tcPr>
            <w:tcW w:w="835" w:type="dxa"/>
            <w:shd w:val="clear" w:color="auto" w:fill="D9E2F3"/>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1.9</w:t>
            </w:r>
          </w:p>
        </w:tc>
        <w:tc>
          <w:tcPr>
            <w:tcW w:w="836"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5.8</w:t>
            </w:r>
          </w:p>
        </w:tc>
        <w:tc>
          <w:tcPr>
            <w:tcW w:w="830"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9.2</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8.2</w:t>
            </w:r>
          </w:p>
        </w:tc>
        <w:tc>
          <w:tcPr>
            <w:tcW w:w="823"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8.2</w:t>
            </w:r>
          </w:p>
        </w:tc>
      </w:tr>
      <w:tr w:rsidR="001378BB" w:rsidRPr="005D4C87" w:rsidTr="001378BB">
        <w:trPr>
          <w:trHeight w:val="249"/>
        </w:trPr>
        <w:tc>
          <w:tcPr>
            <w:tcW w:w="1592" w:type="dxa"/>
            <w:shd w:val="clear" w:color="auto" w:fill="auto"/>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ԱՄՆ</w:t>
            </w:r>
          </w:p>
        </w:tc>
        <w:tc>
          <w:tcPr>
            <w:tcW w:w="857"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2.</w:t>
            </w:r>
            <w:r w:rsidRPr="00033C8B">
              <w:rPr>
                <w:rFonts w:eastAsia="Calibri"/>
                <w:b w:val="0"/>
                <w:sz w:val="20"/>
                <w:szCs w:val="20"/>
                <w:lang w:val="hy-AM"/>
              </w:rPr>
              <w:t>2</w:t>
            </w:r>
          </w:p>
        </w:tc>
        <w:tc>
          <w:tcPr>
            <w:tcW w:w="835"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w:t>
            </w:r>
          </w:p>
        </w:tc>
        <w:tc>
          <w:tcPr>
            <w:tcW w:w="833"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–5.9</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–8.0</w:t>
            </w:r>
          </w:p>
        </w:tc>
        <w:tc>
          <w:tcPr>
            <w:tcW w:w="835" w:type="dxa"/>
            <w:shd w:val="clear" w:color="auto" w:fill="auto"/>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-4.3</w:t>
            </w:r>
          </w:p>
        </w:tc>
        <w:tc>
          <w:tcPr>
            <w:tcW w:w="836"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1.7</w:t>
            </w:r>
          </w:p>
        </w:tc>
        <w:tc>
          <w:tcPr>
            <w:tcW w:w="830"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4.7</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4.5</w:t>
            </w:r>
          </w:p>
        </w:tc>
        <w:tc>
          <w:tcPr>
            <w:tcW w:w="823"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3.1</w:t>
            </w:r>
          </w:p>
        </w:tc>
      </w:tr>
      <w:tr w:rsidR="001378BB" w:rsidRPr="005D4C87" w:rsidTr="001378BB">
        <w:trPr>
          <w:trHeight w:val="15"/>
        </w:trPr>
        <w:tc>
          <w:tcPr>
            <w:tcW w:w="1592" w:type="dxa"/>
            <w:shd w:val="clear" w:color="auto" w:fill="D9E2F3"/>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Համաշխարհային առևտ</w:t>
            </w:r>
            <w:r w:rsidRPr="005D4C87">
              <w:rPr>
                <w:rFonts w:eastAsia="Calibri"/>
                <w:bCs/>
                <w:color w:val="000000"/>
                <w:sz w:val="16"/>
                <w:szCs w:val="16"/>
                <w:lang w:val="hy-AM"/>
              </w:rPr>
              <w:t xml:space="preserve">րի աճ, </w:t>
            </w:r>
            <w:r w:rsidRPr="005D4C87">
              <w:rPr>
                <w:rFonts w:eastAsia="Calibri"/>
                <w:bCs/>
                <w:color w:val="000000"/>
                <w:sz w:val="16"/>
                <w:szCs w:val="16"/>
              </w:rPr>
              <w:t>%</w:t>
            </w:r>
          </w:p>
        </w:tc>
        <w:tc>
          <w:tcPr>
            <w:tcW w:w="857" w:type="dxa"/>
            <w:shd w:val="clear" w:color="auto" w:fill="D9E2F3"/>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b w:val="0"/>
                <w:sz w:val="20"/>
                <w:szCs w:val="20"/>
                <w:lang w:val="hy-AM"/>
              </w:rPr>
              <w:t>1.0</w:t>
            </w:r>
          </w:p>
        </w:tc>
        <w:tc>
          <w:tcPr>
            <w:tcW w:w="835" w:type="dxa"/>
            <w:shd w:val="clear" w:color="auto" w:fill="D9E2F3"/>
          </w:tcPr>
          <w:p w:rsidR="001378BB" w:rsidRPr="00033C8B" w:rsidRDefault="001378BB" w:rsidP="001378BB">
            <w:pPr>
              <w:spacing w:before="0" w:line="276" w:lineRule="auto"/>
              <w:ind w:firstLine="0"/>
              <w:jc w:val="center"/>
              <w:rPr>
                <w:rFonts w:eastAsia="Calibri"/>
                <w:b w:val="0"/>
                <w:sz w:val="20"/>
                <w:szCs w:val="20"/>
              </w:rPr>
            </w:pPr>
            <w:r w:rsidRPr="00033C8B">
              <w:rPr>
                <w:rFonts w:eastAsia="Calibri"/>
                <w:b w:val="0"/>
                <w:sz w:val="20"/>
                <w:szCs w:val="20"/>
              </w:rPr>
              <w:t>2.9</w:t>
            </w:r>
          </w:p>
        </w:tc>
        <w:tc>
          <w:tcPr>
            <w:tcW w:w="833"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w:t>
            </w:r>
            <w:r w:rsidRPr="00033C8B">
              <w:rPr>
                <w:rFonts w:eastAsia="Calibri"/>
                <w:b w:val="0"/>
                <w:sz w:val="20"/>
                <w:szCs w:val="20"/>
              </w:rPr>
              <w:t>11.0</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-11.9</w:t>
            </w:r>
          </w:p>
        </w:tc>
        <w:tc>
          <w:tcPr>
            <w:tcW w:w="835" w:type="dxa"/>
            <w:shd w:val="clear" w:color="auto" w:fill="D9E2F3"/>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-10.4</w:t>
            </w:r>
          </w:p>
        </w:tc>
        <w:tc>
          <w:tcPr>
            <w:tcW w:w="836" w:type="dxa"/>
            <w:shd w:val="clear" w:color="auto" w:fill="D9E2F3"/>
          </w:tcPr>
          <w:p w:rsidR="001378BB" w:rsidRPr="00033C8B" w:rsidRDefault="001378BB" w:rsidP="001378BB">
            <w:pPr>
              <w:spacing w:before="0" w:line="276" w:lineRule="auto"/>
              <w:ind w:firstLine="0"/>
              <w:jc w:val="center"/>
              <w:rPr>
                <w:rFonts w:eastAsia="Calibri"/>
                <w:b w:val="0"/>
                <w:sz w:val="20"/>
                <w:szCs w:val="20"/>
              </w:rPr>
            </w:pPr>
            <w:r w:rsidRPr="00033C8B">
              <w:rPr>
                <w:rFonts w:eastAsia="Calibri"/>
                <w:b w:val="0"/>
                <w:sz w:val="20"/>
                <w:szCs w:val="20"/>
              </w:rPr>
              <w:t>3.7</w:t>
            </w:r>
          </w:p>
        </w:tc>
        <w:tc>
          <w:tcPr>
            <w:tcW w:w="830"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8.4</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8.0</w:t>
            </w:r>
          </w:p>
        </w:tc>
        <w:tc>
          <w:tcPr>
            <w:tcW w:w="823"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8.3</w:t>
            </w:r>
          </w:p>
        </w:tc>
      </w:tr>
    </w:tbl>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DE6C7D" w:rsidRDefault="009F0A25" w:rsidP="00DE6C7D">
      <w:pPr>
        <w:spacing w:before="0" w:line="276" w:lineRule="auto"/>
        <w:rPr>
          <w:rFonts w:cs="Sylfaen"/>
          <w:i/>
          <w:sz w:val="16"/>
          <w:szCs w:val="16"/>
          <w:lang w:val="hy-AM"/>
        </w:rPr>
      </w:pPr>
      <w:r w:rsidRPr="005D4C87">
        <w:rPr>
          <w:rFonts w:cs="Sylfaen"/>
          <w:i/>
          <w:sz w:val="16"/>
          <w:szCs w:val="16"/>
        </w:rPr>
        <w:t>Աղբյուրը</w:t>
      </w:r>
      <w:r w:rsidRPr="009F0A25">
        <w:rPr>
          <w:rFonts w:cs="Sylfaen"/>
          <w:i/>
          <w:sz w:val="16"/>
          <w:szCs w:val="16"/>
          <w:lang w:val="en-US"/>
        </w:rPr>
        <w:t xml:space="preserve">` </w:t>
      </w:r>
      <w:r w:rsidRPr="005D4C87">
        <w:rPr>
          <w:rFonts w:cs="Sylfaen"/>
          <w:i/>
          <w:sz w:val="16"/>
          <w:szCs w:val="16"/>
          <w:lang w:val="hy-AM"/>
        </w:rPr>
        <w:t>ԱՄՀ «</w:t>
      </w:r>
      <w:r w:rsidRPr="009F0A25">
        <w:rPr>
          <w:rFonts w:cs="Sylfaen"/>
          <w:i/>
          <w:sz w:val="16"/>
          <w:szCs w:val="16"/>
          <w:lang w:val="en-US"/>
        </w:rPr>
        <w:t>World Economic Outlook</w:t>
      </w:r>
      <w:r w:rsidRPr="005D4C87">
        <w:rPr>
          <w:rFonts w:cs="Sylfaen"/>
          <w:i/>
          <w:sz w:val="16"/>
          <w:szCs w:val="16"/>
          <w:lang w:val="hy-AM"/>
        </w:rPr>
        <w:t>»</w:t>
      </w:r>
    </w:p>
    <w:p w:rsidR="00DE6C7D" w:rsidRPr="00005BEA" w:rsidRDefault="00DE6C7D" w:rsidP="00DE6C7D">
      <w:pPr>
        <w:spacing w:before="0" w:line="276" w:lineRule="auto"/>
        <w:rPr>
          <w:rFonts w:cs="Sylfaen"/>
          <w:i/>
          <w:sz w:val="16"/>
          <w:szCs w:val="16"/>
          <w:lang w:val="hy-AM"/>
        </w:rPr>
      </w:pPr>
    </w:p>
    <w:p w:rsidR="009F0A25" w:rsidRPr="00033C8B" w:rsidRDefault="009F0A25" w:rsidP="007730AA">
      <w:pPr>
        <w:spacing w:before="0" w:line="276" w:lineRule="auto"/>
        <w:rPr>
          <w:rFonts w:eastAsia="Calibri"/>
          <w:b w:val="0"/>
          <w:szCs w:val="22"/>
          <w:lang w:val="hy-AM"/>
        </w:rPr>
      </w:pPr>
      <w:r w:rsidRPr="005D4C87">
        <w:rPr>
          <w:rFonts w:eastAsia="Calibri"/>
          <w:color w:val="000000"/>
          <w:szCs w:val="22"/>
          <w:lang w:val="hy-AM"/>
        </w:rPr>
        <w:lastRenderedPageBreak/>
        <w:t>Հումքային ապրանքների համաշխարհային գները կտրուկ նվազում են</w:t>
      </w:r>
      <w:r w:rsidRPr="005D4C87">
        <w:rPr>
          <w:rFonts w:eastAsia="Calibri"/>
          <w:szCs w:val="22"/>
          <w:lang w:val="hy-AM"/>
        </w:rPr>
        <w:t xml:space="preserve">։ </w:t>
      </w:r>
      <w:r w:rsidRPr="00033C8B">
        <w:rPr>
          <w:rFonts w:eastAsia="Calibri"/>
          <w:b w:val="0"/>
          <w:szCs w:val="22"/>
          <w:lang w:val="hy-AM"/>
        </w:rPr>
        <w:t>Համավարակով պայմանավորված ամբողջ աշխարհում պահանջարկի անկումը, անորոշության բարձրացումը և նավթի շուկայում հիմնական խաղացողների միջև տարաձայնությունները հանգեցրել են նավթի գների նվազման, սակայն պղնձի միջազգային գները խոր անկումից հետո տարվա երկրորդ կեսից սկսել են արագ տեմպերով վերականգնվել: 2020թ. հունվար-հոկտեմբեր ամիսներին նավթի միջազգային գները նվազել են 35.2%-ով, պղնձի գները՝ 1.6%-ով: Վերջին կանխատեսումներով (Բլումբերգ, 2020թ. նոյեմբեր) 2020թ. նավթի բորսային գները կնվազեն 36.7%-ով, իսկ պղնձի գները կաճեն 3.2%</w:t>
      </w:r>
      <w:r w:rsidRPr="00033C8B">
        <w:rPr>
          <w:rFonts w:eastAsia="Calibri"/>
          <w:b w:val="0"/>
          <w:szCs w:val="22"/>
          <w:lang w:val="hy-AM"/>
        </w:rPr>
        <w:noBreakHyphen/>
        <w:t>ով, ընդ որում՝ 2021թ. նավթի գները նույնպես կսկսեն վերականգնվել:</w:t>
      </w:r>
    </w:p>
    <w:p w:rsidR="00033C8B" w:rsidRPr="00033C8B" w:rsidRDefault="009F0A25" w:rsidP="00005BEA">
      <w:pPr>
        <w:spacing w:before="0" w:line="276" w:lineRule="auto"/>
        <w:rPr>
          <w:rFonts w:eastAsia="Calibri"/>
          <w:b w:val="0"/>
          <w:szCs w:val="22"/>
          <w:lang w:val="hy-AM"/>
        </w:rPr>
      </w:pPr>
      <w:r w:rsidRPr="005D4C87">
        <w:rPr>
          <w:rFonts w:eastAsia="Calibri"/>
          <w:szCs w:val="22"/>
          <w:lang w:val="hy-AM"/>
        </w:rPr>
        <w:t>Զարգացող երկրներում ազգային արժույթները թուլ</w:t>
      </w:r>
      <w:r>
        <w:rPr>
          <w:rFonts w:eastAsia="Calibri"/>
          <w:szCs w:val="22"/>
          <w:lang w:val="hy-AM"/>
        </w:rPr>
        <w:t>ացել են</w:t>
      </w:r>
      <w:r w:rsidRPr="005D4C87">
        <w:rPr>
          <w:rFonts w:eastAsia="Calibri"/>
          <w:szCs w:val="22"/>
          <w:lang w:val="hy-AM"/>
        </w:rPr>
        <w:t>, իսկ երկրների ռիսկի հավելավճարները</w:t>
      </w:r>
      <w:r w:rsidRPr="000E6B55">
        <w:rPr>
          <w:rFonts w:eastAsia="Calibri"/>
          <w:szCs w:val="22"/>
          <w:lang w:val="hy-AM"/>
        </w:rPr>
        <w:t>՝</w:t>
      </w:r>
      <w:r w:rsidRPr="005D4C87">
        <w:rPr>
          <w:rFonts w:eastAsia="Calibri"/>
          <w:szCs w:val="22"/>
          <w:lang w:val="hy-AM"/>
        </w:rPr>
        <w:t xml:space="preserve"> բարձ</w:t>
      </w:r>
      <w:r>
        <w:rPr>
          <w:rFonts w:eastAsia="Calibri"/>
          <w:szCs w:val="22"/>
          <w:lang w:val="hy-AM"/>
        </w:rPr>
        <w:t>րացել</w:t>
      </w:r>
      <w:r w:rsidRPr="005D4C87">
        <w:rPr>
          <w:rFonts w:eastAsia="Calibri"/>
          <w:szCs w:val="22"/>
          <w:lang w:val="hy-AM"/>
        </w:rPr>
        <w:t>:</w:t>
      </w:r>
      <w:r w:rsidRPr="005D4C87" w:rsidDel="00F227B8">
        <w:rPr>
          <w:rFonts w:eastAsia="Calibri"/>
          <w:szCs w:val="22"/>
          <w:lang w:val="hy-AM"/>
        </w:rPr>
        <w:t xml:space="preserve"> </w:t>
      </w:r>
      <w:r w:rsidRPr="00033C8B">
        <w:rPr>
          <w:rFonts w:eastAsia="Calibri"/>
          <w:b w:val="0"/>
          <w:szCs w:val="22"/>
          <w:lang w:val="hy-AM"/>
        </w:rPr>
        <w:t>Համավարակն իր բացասական ազդեցությունն է թողել նաև միջազգային ֆինանսական շուկաների վրա, երկրների միջև առևտրային սահմանափակումները, ներդրումային միջավայրի բարձր անորոշությունը թուլացրել են զարգացող երկրների ազգային արժույթները և բարձրացրել երկրների ռիսկի հավելավճարները</w:t>
      </w:r>
      <w:r w:rsidRPr="00033C8B">
        <w:rPr>
          <w:rStyle w:val="FootnoteReference"/>
          <w:rFonts w:eastAsia="Calibri"/>
          <w:b w:val="0"/>
          <w:sz w:val="22"/>
          <w:szCs w:val="22"/>
          <w:lang w:val="hy-AM"/>
        </w:rPr>
        <w:footnoteReference w:id="2"/>
      </w:r>
      <w:r w:rsidRPr="00033C8B">
        <w:rPr>
          <w:rFonts w:eastAsia="Calibri"/>
          <w:b w:val="0"/>
          <w:szCs w:val="22"/>
          <w:lang w:val="hy-AM"/>
        </w:rPr>
        <w:t>։</w:t>
      </w:r>
    </w:p>
    <w:p w:rsidR="009F0A25" w:rsidRPr="005D4C87" w:rsidRDefault="009F0A25" w:rsidP="007730AA">
      <w:pPr>
        <w:keepNext/>
        <w:keepLines/>
        <w:spacing w:before="0" w:line="276" w:lineRule="auto"/>
        <w:rPr>
          <w:rFonts w:eastAsia="Calibri"/>
          <w:b w:val="0"/>
          <w:color w:val="000000"/>
          <w:szCs w:val="22"/>
          <w:lang w:val="hy-AM"/>
        </w:rPr>
      </w:pPr>
      <w:r w:rsidRPr="005D4C87">
        <w:rPr>
          <w:rFonts w:eastAsia="Calibri"/>
          <w:color w:val="000000"/>
          <w:szCs w:val="22"/>
          <w:lang w:val="hy-AM"/>
        </w:rPr>
        <w:t>Միջազգային տնտեսական և ֆինանսական զարգացումները և կանխատեսումները</w:t>
      </w:r>
    </w:p>
    <w:tbl>
      <w:tblPr>
        <w:tblStyle w:val="TableGrid2214"/>
        <w:tblW w:w="10173"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5070"/>
        <w:gridCol w:w="5103"/>
      </w:tblGrid>
      <w:tr w:rsidR="009F0A25" w:rsidRPr="003A0B99" w:rsidTr="009F0A25">
        <w:trPr>
          <w:trHeight w:val="3820"/>
        </w:trPr>
        <w:tc>
          <w:tcPr>
            <w:tcW w:w="5070" w:type="dxa"/>
          </w:tcPr>
          <w:p w:rsidR="009F0A25" w:rsidRPr="00005BEA" w:rsidRDefault="009F0A25" w:rsidP="00005BEA">
            <w:pPr>
              <w:spacing w:before="0" w:line="240" w:lineRule="auto"/>
              <w:ind w:firstLine="0"/>
              <w:jc w:val="left"/>
              <w:rPr>
                <w:b w:val="0"/>
                <w:bCs/>
                <w:i/>
                <w:sz w:val="18"/>
                <w:szCs w:val="18"/>
                <w:lang w:val="hy-AM"/>
              </w:rPr>
            </w:pPr>
            <w:r w:rsidRPr="00005BEA">
              <w:rPr>
                <w:bCs/>
                <w:i/>
                <w:sz w:val="18"/>
                <w:szCs w:val="18"/>
                <w:lang w:val="hy-AM"/>
              </w:rPr>
              <w:t>Գծապատկեր 1.1</w:t>
            </w:r>
            <w:r w:rsidRPr="00005BEA">
              <w:rPr>
                <w:b w:val="0"/>
                <w:bCs/>
                <w:i/>
                <w:sz w:val="18"/>
                <w:szCs w:val="18"/>
                <w:lang w:val="hy-AM"/>
              </w:rPr>
              <w:t xml:space="preserve"> Համաշխարհային ամենախոր </w:t>
            </w:r>
          </w:p>
          <w:p w:rsidR="009F0A25" w:rsidRPr="00005BEA" w:rsidRDefault="009F0A25" w:rsidP="00005BEA">
            <w:pPr>
              <w:spacing w:before="0" w:line="240" w:lineRule="auto"/>
              <w:ind w:firstLine="0"/>
              <w:jc w:val="left"/>
              <w:rPr>
                <w:b w:val="0"/>
                <w:bCs/>
                <w:i/>
                <w:sz w:val="18"/>
                <w:szCs w:val="18"/>
                <w:lang w:val="hy-AM"/>
              </w:rPr>
            </w:pPr>
            <w:r w:rsidRPr="00005BEA">
              <w:rPr>
                <w:b w:val="0"/>
                <w:bCs/>
                <w:i/>
                <w:sz w:val="18"/>
                <w:szCs w:val="18"/>
                <w:lang w:val="hy-AM"/>
              </w:rPr>
              <w:t xml:space="preserve">անկումը «Մեծ Դեպրեսիայից» հետո և թույլ </w:t>
            </w:r>
          </w:p>
          <w:p w:rsidR="009F0A25" w:rsidRPr="005D4C87" w:rsidRDefault="009F0A25" w:rsidP="00005BEA">
            <w:pPr>
              <w:spacing w:before="0" w:line="240" w:lineRule="auto"/>
              <w:ind w:firstLine="0"/>
              <w:jc w:val="left"/>
              <w:rPr>
                <w:bCs/>
                <w:i/>
                <w:lang w:val="hy-AM"/>
              </w:rPr>
            </w:pPr>
            <w:r w:rsidRPr="00005BEA">
              <w:rPr>
                <w:b w:val="0"/>
                <w:i/>
                <w:noProof/>
                <w:sz w:val="18"/>
                <w:szCs w:val="18"/>
                <w:lang w:val="en-US" w:eastAsia="en-US"/>
              </w:rPr>
              <w:drawing>
                <wp:anchor distT="0" distB="0" distL="114300" distR="114300" simplePos="0" relativeHeight="251733504" behindDoc="1" locked="0" layoutInCell="1" allowOverlap="1" wp14:anchorId="141CB4D2" wp14:editId="2C518A72">
                  <wp:simplePos x="0" y="0"/>
                  <wp:positionH relativeFrom="column">
                    <wp:posOffset>-7620</wp:posOffset>
                  </wp:positionH>
                  <wp:positionV relativeFrom="paragraph">
                    <wp:posOffset>191770</wp:posOffset>
                  </wp:positionV>
                  <wp:extent cx="3133725" cy="1800225"/>
                  <wp:effectExtent l="0" t="0" r="9525" b="9525"/>
                  <wp:wrapTight wrapText="bothSides">
                    <wp:wrapPolygon edited="0">
                      <wp:start x="0" y="0"/>
                      <wp:lineTo x="0" y="21486"/>
                      <wp:lineTo x="21534" y="21486"/>
                      <wp:lineTo x="21534" y="0"/>
                      <wp:lineTo x="0" y="0"/>
                    </wp:wrapPolygon>
                  </wp:wrapTight>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005BEA">
              <w:rPr>
                <w:b w:val="0"/>
                <w:bCs/>
                <w:i/>
                <w:sz w:val="18"/>
                <w:szCs w:val="18"/>
                <w:lang w:val="hy-AM"/>
              </w:rPr>
              <w:t>վերականգնումը հաջորդ տարի, տնտեսական աճեր</w:t>
            </w:r>
          </w:p>
          <w:p w:rsidR="009F0A25" w:rsidRPr="00005BEA" w:rsidRDefault="009F0A25" w:rsidP="00005BEA">
            <w:pPr>
              <w:spacing w:before="0" w:line="240" w:lineRule="auto"/>
              <w:ind w:firstLine="0"/>
              <w:rPr>
                <w:b w:val="0"/>
                <w:i/>
                <w:sz w:val="16"/>
                <w:szCs w:val="16"/>
                <w:lang w:val="hy-AM"/>
              </w:rPr>
            </w:pPr>
            <w:r w:rsidRPr="005D4C87">
              <w:rPr>
                <w:i/>
                <w:sz w:val="16"/>
                <w:szCs w:val="16"/>
                <w:lang w:val="hy-AM"/>
              </w:rPr>
              <w:t xml:space="preserve"> </w:t>
            </w:r>
            <w:r w:rsidRPr="00005BEA">
              <w:rPr>
                <w:b w:val="0"/>
                <w:i/>
                <w:sz w:val="16"/>
                <w:szCs w:val="16"/>
                <w:lang w:val="hy-AM"/>
              </w:rPr>
              <w:t>Աղբյուրը՝ ԱՄՀ</w:t>
            </w:r>
          </w:p>
        </w:tc>
        <w:tc>
          <w:tcPr>
            <w:tcW w:w="5103" w:type="dxa"/>
          </w:tcPr>
          <w:p w:rsidR="009F0A25" w:rsidRPr="005D4C87" w:rsidRDefault="009F0A25" w:rsidP="00005BEA">
            <w:pPr>
              <w:spacing w:before="0" w:line="240" w:lineRule="auto"/>
              <w:ind w:firstLine="0"/>
              <w:rPr>
                <w:bCs/>
                <w:i/>
                <w:sz w:val="18"/>
                <w:szCs w:val="18"/>
                <w:lang w:val="hy-AM"/>
              </w:rPr>
            </w:pPr>
            <w:r w:rsidRPr="005D4C87">
              <w:rPr>
                <w:bCs/>
                <w:i/>
                <w:sz w:val="18"/>
                <w:szCs w:val="18"/>
                <w:lang w:val="hy-AM"/>
              </w:rPr>
              <w:t xml:space="preserve">Գծապատկեր 1.2 </w:t>
            </w:r>
            <w:r w:rsidRPr="00005BEA">
              <w:rPr>
                <w:b w:val="0"/>
                <w:bCs/>
                <w:i/>
                <w:sz w:val="18"/>
                <w:szCs w:val="18"/>
                <w:lang w:val="hy-AM"/>
              </w:rPr>
              <w:t>Հումքային ապրանքների գների դինամիկան</w:t>
            </w:r>
          </w:p>
          <w:p w:rsidR="009F0A25" w:rsidRPr="005D4C87" w:rsidRDefault="009F0A25" w:rsidP="00005BEA">
            <w:pPr>
              <w:spacing w:before="0" w:line="240" w:lineRule="auto"/>
              <w:rPr>
                <w:bCs/>
                <w:i/>
                <w:sz w:val="18"/>
                <w:szCs w:val="18"/>
                <w:lang w:val="hy-AM"/>
              </w:rPr>
            </w:pPr>
            <w:r w:rsidRPr="005D4C87">
              <w:rPr>
                <w:b w:val="0"/>
                <w:noProof/>
                <w:lang w:val="en-US" w:eastAsia="en-US"/>
              </w:rPr>
              <w:drawing>
                <wp:anchor distT="0" distB="0" distL="114300" distR="114300" simplePos="0" relativeHeight="251735552" behindDoc="1" locked="0" layoutInCell="1" allowOverlap="1" wp14:anchorId="4F390D0E" wp14:editId="5AB6C387">
                  <wp:simplePos x="0" y="0"/>
                  <wp:positionH relativeFrom="column">
                    <wp:posOffset>-64135</wp:posOffset>
                  </wp:positionH>
                  <wp:positionV relativeFrom="paragraph">
                    <wp:posOffset>182245</wp:posOffset>
                  </wp:positionV>
                  <wp:extent cx="3171825" cy="1800225"/>
                  <wp:effectExtent l="0" t="0" r="9525" b="9525"/>
                  <wp:wrapTight wrapText="bothSides">
                    <wp:wrapPolygon edited="0">
                      <wp:start x="0" y="0"/>
                      <wp:lineTo x="0" y="21486"/>
                      <wp:lineTo x="21535" y="21486"/>
                      <wp:lineTo x="21535"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9F0A25" w:rsidRPr="00005BEA" w:rsidRDefault="009F0A25" w:rsidP="00005BEA">
            <w:pPr>
              <w:spacing w:before="0" w:line="240" w:lineRule="auto"/>
              <w:ind w:firstLine="0"/>
              <w:rPr>
                <w:b w:val="0"/>
                <w:sz w:val="16"/>
                <w:szCs w:val="16"/>
                <w:lang w:val="hy-AM"/>
              </w:rPr>
            </w:pPr>
            <w:r w:rsidRPr="00005BEA">
              <w:rPr>
                <w:b w:val="0"/>
                <w:i/>
                <w:sz w:val="16"/>
                <w:szCs w:val="16"/>
                <w:lang w:val="hy-AM"/>
              </w:rPr>
              <w:t xml:space="preserve">Աղբյուրը՝ կանխատեսումները ըստ Բլումբերգի </w:t>
            </w:r>
          </w:p>
        </w:tc>
      </w:tr>
      <w:tr w:rsidR="009F0A25" w:rsidRPr="003A0B99" w:rsidTr="009F0A25">
        <w:trPr>
          <w:trHeight w:val="206"/>
        </w:trPr>
        <w:tc>
          <w:tcPr>
            <w:tcW w:w="5070" w:type="dxa"/>
          </w:tcPr>
          <w:p w:rsidR="009F0A25" w:rsidRPr="00005BEA" w:rsidRDefault="009F0A25" w:rsidP="00005BEA">
            <w:pPr>
              <w:spacing w:before="0" w:line="240" w:lineRule="auto"/>
              <w:ind w:firstLine="0"/>
              <w:rPr>
                <w:b w:val="0"/>
                <w:bCs/>
                <w:i/>
                <w:sz w:val="18"/>
                <w:szCs w:val="18"/>
                <w:lang w:val="hy-AM"/>
              </w:rPr>
            </w:pPr>
            <w:r w:rsidRPr="005D4C87">
              <w:rPr>
                <w:bCs/>
                <w:i/>
                <w:sz w:val="18"/>
                <w:szCs w:val="18"/>
                <w:lang w:val="hy-AM"/>
              </w:rPr>
              <w:t xml:space="preserve">Գծապատկեր 1.3. </w:t>
            </w:r>
            <w:r w:rsidRPr="00005BEA">
              <w:rPr>
                <w:b w:val="0"/>
                <w:bCs/>
                <w:i/>
                <w:sz w:val="18"/>
                <w:szCs w:val="18"/>
                <w:lang w:val="hy-AM"/>
              </w:rPr>
              <w:t>Թույլ պահանջարկի և սահմանափակումների արտացոլումը</w:t>
            </w:r>
            <w:r w:rsidRPr="00005BEA">
              <w:rPr>
                <w:b w:val="0"/>
                <w:i/>
                <w:sz w:val="18"/>
                <w:szCs w:val="18"/>
                <w:lang w:val="hy-AM"/>
              </w:rPr>
              <w:t xml:space="preserve"> </w:t>
            </w:r>
          </w:p>
          <w:p w:rsidR="009F0A25" w:rsidRPr="00005BEA" w:rsidRDefault="009F0A25" w:rsidP="00005BEA">
            <w:pPr>
              <w:spacing w:before="0" w:line="240" w:lineRule="auto"/>
              <w:ind w:firstLine="0"/>
              <w:rPr>
                <w:b w:val="0"/>
                <w:i/>
                <w:lang w:val="hy-AM"/>
              </w:rPr>
            </w:pPr>
            <w:r w:rsidRPr="00005BEA">
              <w:rPr>
                <w:b w:val="0"/>
                <w:i/>
                <w:noProof/>
                <w:sz w:val="18"/>
                <w:szCs w:val="18"/>
                <w:lang w:val="en-US" w:eastAsia="en-US"/>
              </w:rPr>
              <w:drawing>
                <wp:anchor distT="0" distB="0" distL="114300" distR="114300" simplePos="0" relativeHeight="251736576" behindDoc="1" locked="0" layoutInCell="1" allowOverlap="1" wp14:anchorId="3077EC08" wp14:editId="03A6CE85">
                  <wp:simplePos x="0" y="0"/>
                  <wp:positionH relativeFrom="column">
                    <wp:posOffset>-64135</wp:posOffset>
                  </wp:positionH>
                  <wp:positionV relativeFrom="paragraph">
                    <wp:posOffset>203200</wp:posOffset>
                  </wp:positionV>
                  <wp:extent cx="3096260" cy="1743075"/>
                  <wp:effectExtent l="0" t="0" r="8890" b="9525"/>
                  <wp:wrapTight wrapText="bothSides">
                    <wp:wrapPolygon edited="0">
                      <wp:start x="0" y="0"/>
                      <wp:lineTo x="0" y="21482"/>
                      <wp:lineTo x="21529" y="21482"/>
                      <wp:lineTo x="21529"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005BEA">
              <w:rPr>
                <w:b w:val="0"/>
                <w:i/>
                <w:sz w:val="18"/>
                <w:szCs w:val="18"/>
                <w:lang w:val="hy-AM"/>
              </w:rPr>
              <w:t>համաշխարհային առևտրում</w:t>
            </w:r>
            <w:r w:rsidRPr="00005BEA">
              <w:rPr>
                <w:b w:val="0"/>
                <w:i/>
                <w:lang w:val="hy-AM"/>
              </w:rPr>
              <w:t xml:space="preserve"> </w:t>
            </w:r>
          </w:p>
          <w:p w:rsidR="009F0A25" w:rsidRPr="00005BEA" w:rsidRDefault="009F0A25" w:rsidP="00005BEA">
            <w:pPr>
              <w:spacing w:before="0" w:line="240" w:lineRule="auto"/>
              <w:ind w:firstLine="0"/>
              <w:rPr>
                <w:b w:val="0"/>
                <w:i/>
                <w:sz w:val="16"/>
                <w:szCs w:val="16"/>
                <w:lang w:val="hy-AM"/>
              </w:rPr>
            </w:pPr>
            <w:r w:rsidRPr="00005BEA">
              <w:rPr>
                <w:b w:val="0"/>
                <w:i/>
                <w:sz w:val="16"/>
                <w:szCs w:val="16"/>
                <w:lang w:val="hy-AM"/>
              </w:rPr>
              <w:t>Աղբյուրը՝ ԱՄՀ</w:t>
            </w:r>
          </w:p>
        </w:tc>
        <w:tc>
          <w:tcPr>
            <w:tcW w:w="5103" w:type="dxa"/>
          </w:tcPr>
          <w:p w:rsidR="009F0A25" w:rsidRDefault="009F0A25" w:rsidP="00005BEA">
            <w:pPr>
              <w:spacing w:before="0" w:line="240" w:lineRule="auto"/>
              <w:ind w:firstLine="0"/>
              <w:rPr>
                <w:bCs/>
                <w:i/>
                <w:sz w:val="18"/>
                <w:szCs w:val="18"/>
                <w:lang w:val="hy-AM"/>
              </w:rPr>
            </w:pPr>
            <w:r w:rsidRPr="005D4C87">
              <w:rPr>
                <w:b w:val="0"/>
                <w:noProof/>
                <w:sz w:val="18"/>
                <w:szCs w:val="18"/>
                <w:lang w:val="en-US" w:eastAsia="en-US"/>
              </w:rPr>
              <w:drawing>
                <wp:anchor distT="0" distB="0" distL="114300" distR="114300" simplePos="0" relativeHeight="251734528" behindDoc="1" locked="0" layoutInCell="1" allowOverlap="1" wp14:anchorId="314D6F1A" wp14:editId="02AC076C">
                  <wp:simplePos x="0" y="0"/>
                  <wp:positionH relativeFrom="column">
                    <wp:posOffset>-55245</wp:posOffset>
                  </wp:positionH>
                  <wp:positionV relativeFrom="paragraph">
                    <wp:posOffset>421640</wp:posOffset>
                  </wp:positionV>
                  <wp:extent cx="3123565" cy="1828800"/>
                  <wp:effectExtent l="0" t="0" r="635" b="0"/>
                  <wp:wrapTight wrapText="bothSides">
                    <wp:wrapPolygon edited="0">
                      <wp:start x="0" y="0"/>
                      <wp:lineTo x="0" y="21375"/>
                      <wp:lineTo x="21473" y="21375"/>
                      <wp:lineTo x="21473"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5D4C87">
              <w:rPr>
                <w:i/>
                <w:sz w:val="18"/>
                <w:szCs w:val="18"/>
                <w:lang w:val="hy-AM"/>
              </w:rPr>
              <w:t xml:space="preserve">Գծապատկեր 1.4. </w:t>
            </w:r>
            <w:r w:rsidRPr="00005BEA">
              <w:rPr>
                <w:b w:val="0"/>
                <w:bCs/>
                <w:i/>
                <w:sz w:val="18"/>
                <w:szCs w:val="18"/>
                <w:lang w:val="hy-AM"/>
              </w:rPr>
              <w:t>Զարգացող երկրներում ազգային արժույթները  դոլարի նկատմամբ թուլացել են</w:t>
            </w:r>
          </w:p>
          <w:p w:rsidR="009F0A25" w:rsidRPr="00005BEA" w:rsidRDefault="009F0A25" w:rsidP="00005BEA">
            <w:pPr>
              <w:spacing w:before="0" w:line="240" w:lineRule="auto"/>
              <w:ind w:firstLine="0"/>
              <w:rPr>
                <w:b w:val="0"/>
                <w:i/>
                <w:sz w:val="16"/>
                <w:szCs w:val="16"/>
                <w:lang w:val="hy-AM"/>
              </w:rPr>
            </w:pPr>
            <w:r w:rsidRPr="00005BEA">
              <w:rPr>
                <w:b w:val="0"/>
                <w:i/>
                <w:sz w:val="16"/>
                <w:szCs w:val="16"/>
                <w:lang w:val="hy-AM"/>
              </w:rPr>
              <w:t>Աղբյուրը՝ Բլումբերգ, ՀՀ ԿԲ, ՀՀ ՖՆ հաշվարկներ</w:t>
            </w:r>
          </w:p>
        </w:tc>
      </w:tr>
      <w:tr w:rsidR="009F0A25" w:rsidRPr="00D751BF" w:rsidTr="002958DC">
        <w:trPr>
          <w:trHeight w:val="3576"/>
        </w:trPr>
        <w:tc>
          <w:tcPr>
            <w:tcW w:w="5070" w:type="dxa"/>
          </w:tcPr>
          <w:p w:rsidR="002958DC" w:rsidRPr="00005BEA" w:rsidRDefault="009F0A25" w:rsidP="00005BEA">
            <w:pPr>
              <w:spacing w:before="0" w:line="240" w:lineRule="auto"/>
              <w:ind w:firstLine="0"/>
              <w:rPr>
                <w:b w:val="0"/>
                <w:bCs/>
                <w:i/>
                <w:sz w:val="18"/>
                <w:szCs w:val="18"/>
                <w:lang w:val="hy-AM"/>
              </w:rPr>
            </w:pPr>
            <w:r w:rsidRPr="00005BEA">
              <w:rPr>
                <w:i/>
                <w:sz w:val="18"/>
                <w:szCs w:val="18"/>
                <w:lang w:val="hy-AM"/>
              </w:rPr>
              <w:lastRenderedPageBreak/>
              <w:t>Գծապատկեր 1.5</w:t>
            </w:r>
            <w:r w:rsidRPr="00005BEA">
              <w:rPr>
                <w:b w:val="0"/>
                <w:i/>
                <w:sz w:val="18"/>
                <w:szCs w:val="18"/>
                <w:lang w:val="hy-AM"/>
              </w:rPr>
              <w:t xml:space="preserve">. </w:t>
            </w:r>
            <w:r w:rsidRPr="00005BEA">
              <w:rPr>
                <w:b w:val="0"/>
                <w:bCs/>
                <w:i/>
                <w:sz w:val="18"/>
                <w:szCs w:val="18"/>
                <w:lang w:val="hy-AM"/>
              </w:rPr>
              <w:t>Բաժնետոմսերի միջազգային</w:t>
            </w:r>
          </w:p>
          <w:p w:rsidR="002958DC" w:rsidRPr="00005BEA" w:rsidRDefault="00005BEA" w:rsidP="00005BEA">
            <w:pPr>
              <w:spacing w:before="0" w:line="240" w:lineRule="auto"/>
              <w:ind w:firstLine="0"/>
              <w:rPr>
                <w:b w:val="0"/>
                <w:bCs/>
                <w:i/>
                <w:sz w:val="18"/>
                <w:szCs w:val="18"/>
                <w:lang w:val="hy-AM"/>
              </w:rPr>
            </w:pPr>
            <w:r w:rsidRPr="00005BEA">
              <w:rPr>
                <w:b w:val="0"/>
                <w:i/>
                <w:noProof/>
                <w:sz w:val="18"/>
                <w:szCs w:val="18"/>
                <w:lang w:val="en-US" w:eastAsia="en-US"/>
              </w:rPr>
              <w:drawing>
                <wp:anchor distT="0" distB="0" distL="114300" distR="114300" simplePos="0" relativeHeight="251732480" behindDoc="1" locked="0" layoutInCell="1" allowOverlap="1" wp14:anchorId="1CA57EF2" wp14:editId="1403D30D">
                  <wp:simplePos x="0" y="0"/>
                  <wp:positionH relativeFrom="column">
                    <wp:posOffset>-43180</wp:posOffset>
                  </wp:positionH>
                  <wp:positionV relativeFrom="paragraph">
                    <wp:posOffset>184150</wp:posOffset>
                  </wp:positionV>
                  <wp:extent cx="3157855" cy="1752600"/>
                  <wp:effectExtent l="0" t="0" r="23495" b="19050"/>
                  <wp:wrapTight wrapText="bothSides">
                    <wp:wrapPolygon edited="0">
                      <wp:start x="0" y="0"/>
                      <wp:lineTo x="0" y="21600"/>
                      <wp:lineTo x="21630" y="21600"/>
                      <wp:lineTo x="21630"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2958DC" w:rsidRPr="00005BEA">
              <w:rPr>
                <w:b w:val="0"/>
                <w:bCs/>
                <w:i/>
                <w:sz w:val="18"/>
                <w:szCs w:val="18"/>
                <w:lang w:val="hy-AM"/>
              </w:rPr>
              <w:t xml:space="preserve">շուկան  վերականգնվում է                            </w:t>
            </w:r>
          </w:p>
          <w:p w:rsidR="009F0A25" w:rsidRPr="00D751BF" w:rsidRDefault="009F0A25" w:rsidP="00005BEA">
            <w:pPr>
              <w:spacing w:before="0" w:line="240" w:lineRule="auto"/>
              <w:ind w:firstLine="0"/>
              <w:rPr>
                <w:i/>
                <w:sz w:val="18"/>
                <w:szCs w:val="18"/>
                <w:lang w:val="hy-AM"/>
              </w:rPr>
            </w:pPr>
            <w:r w:rsidRPr="00005BEA">
              <w:rPr>
                <w:b w:val="0"/>
                <w:i/>
                <w:sz w:val="16"/>
                <w:szCs w:val="16"/>
                <w:lang w:val="hy-AM"/>
              </w:rPr>
              <w:t>Աղբյուրը՝ Բլումբերգ, ՀՀ ՖՆ հաշվարկներ</w:t>
            </w:r>
          </w:p>
        </w:tc>
        <w:tc>
          <w:tcPr>
            <w:tcW w:w="5103" w:type="dxa"/>
          </w:tcPr>
          <w:p w:rsidR="009F0A25" w:rsidRDefault="009F0A25" w:rsidP="00005BEA">
            <w:pPr>
              <w:spacing w:before="0" w:line="240" w:lineRule="auto"/>
              <w:ind w:firstLine="0"/>
              <w:rPr>
                <w:i/>
                <w:sz w:val="18"/>
                <w:szCs w:val="18"/>
                <w:lang w:val="hy-AM"/>
              </w:rPr>
            </w:pPr>
            <w:r w:rsidRPr="005D4C87">
              <w:rPr>
                <w:i/>
                <w:sz w:val="18"/>
                <w:szCs w:val="18"/>
                <w:lang w:val="hy-AM"/>
              </w:rPr>
              <w:t xml:space="preserve">Գծապատկեր 1.6. </w:t>
            </w:r>
            <w:r w:rsidRPr="00005BEA">
              <w:rPr>
                <w:b w:val="0"/>
                <w:i/>
                <w:sz w:val="18"/>
                <w:szCs w:val="18"/>
                <w:lang w:val="hy-AM"/>
              </w:rPr>
              <w:t>Զարգացող երկրներում ռիսկի</w:t>
            </w:r>
            <w:r w:rsidRPr="00005BEA">
              <w:rPr>
                <w:b w:val="0"/>
                <w:sz w:val="18"/>
                <w:szCs w:val="18"/>
                <w:lang w:val="hy-AM"/>
              </w:rPr>
              <w:t xml:space="preserve"> </w:t>
            </w:r>
            <w:r w:rsidRPr="00005BEA">
              <w:rPr>
                <w:b w:val="0"/>
                <w:i/>
                <w:sz w:val="18"/>
                <w:szCs w:val="18"/>
                <w:lang w:val="hy-AM"/>
              </w:rPr>
              <w:t>հավելավճարները</w:t>
            </w:r>
            <w:r w:rsidRPr="00005BEA">
              <w:rPr>
                <w:rStyle w:val="FootnoteReference"/>
                <w:b w:val="0"/>
                <w:i/>
                <w:sz w:val="18"/>
                <w:szCs w:val="18"/>
                <w:lang w:val="hy-AM"/>
              </w:rPr>
              <w:footnoteReference w:id="3"/>
            </w:r>
            <w:r w:rsidRPr="00005BEA">
              <w:rPr>
                <w:b w:val="0"/>
                <w:i/>
                <w:sz w:val="18"/>
                <w:szCs w:val="18"/>
                <w:lang w:val="hy-AM"/>
              </w:rPr>
              <w:t xml:space="preserve"> կայունացել են բարձր մակարդակում</w:t>
            </w:r>
          </w:p>
          <w:p w:rsidR="009F0A25" w:rsidRPr="005D4C87" w:rsidRDefault="009F0A25" w:rsidP="00005BEA">
            <w:pPr>
              <w:spacing w:before="0" w:line="240" w:lineRule="auto"/>
              <w:ind w:firstLine="0"/>
              <w:jc w:val="left"/>
              <w:rPr>
                <w:b w:val="0"/>
                <w:sz w:val="18"/>
                <w:szCs w:val="18"/>
                <w:lang w:val="hy-AM"/>
              </w:rPr>
            </w:pPr>
            <w:r w:rsidRPr="000E6B55">
              <w:rPr>
                <w:b w:val="0"/>
                <w:noProof/>
                <w:sz w:val="18"/>
                <w:szCs w:val="18"/>
                <w:lang w:val="en-US" w:eastAsia="en-US"/>
              </w:rPr>
              <w:drawing>
                <wp:inline distT="0" distB="0" distL="0" distR="0" wp14:anchorId="71C448A0" wp14:editId="12231717">
                  <wp:extent cx="2933700" cy="1743075"/>
                  <wp:effectExtent l="0" t="0" r="0" b="9525"/>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F0A25" w:rsidRPr="00005BEA" w:rsidRDefault="009F0A25" w:rsidP="00005BEA">
            <w:pPr>
              <w:spacing w:before="0" w:line="240" w:lineRule="auto"/>
              <w:ind w:firstLine="0"/>
              <w:rPr>
                <w:b w:val="0"/>
                <w:i/>
                <w:sz w:val="16"/>
                <w:szCs w:val="16"/>
                <w:lang w:val="hy-AM"/>
              </w:rPr>
            </w:pPr>
            <w:r w:rsidRPr="00005BEA">
              <w:rPr>
                <w:b w:val="0"/>
                <w:i/>
                <w:sz w:val="16"/>
                <w:szCs w:val="16"/>
                <w:lang w:val="hy-AM"/>
              </w:rPr>
              <w:t>Աղբյուրը՝ Բլումբերգ</w:t>
            </w:r>
          </w:p>
        </w:tc>
      </w:tr>
    </w:tbl>
    <w:p w:rsidR="00033C8B" w:rsidRDefault="009F0A25" w:rsidP="007730AA">
      <w:pPr>
        <w:spacing w:before="0" w:line="276" w:lineRule="auto"/>
        <w:rPr>
          <w:rFonts w:eastAsia="Calibri"/>
          <w:i/>
          <w:iCs/>
          <w:color w:val="000000"/>
          <w:szCs w:val="22"/>
          <w:lang w:val="hy-AM"/>
        </w:rPr>
      </w:pPr>
      <w:r w:rsidRPr="005D4C87">
        <w:rPr>
          <w:rFonts w:eastAsia="Calibri"/>
          <w:szCs w:val="22"/>
          <w:lang w:val="hy-AM"/>
        </w:rPr>
        <w:t>Առողջապահական և տնտեսական ճգնաժամին հակազդելու համար աշխարհում Կառավարությունները և Կենտրոնական բանկերը ավելի ագրեսիվ են խթանում տնտեսություններին, քան իրականացրել են համաշխարհային ֆինանսական ճգնաճամի ժամանակ</w:t>
      </w:r>
      <w:r w:rsidRPr="005D4C87">
        <w:rPr>
          <w:rFonts w:cs="Sylfaen"/>
          <w:szCs w:val="22"/>
          <w:lang w:val="hy-AM"/>
        </w:rPr>
        <w:t>։</w:t>
      </w:r>
      <w:r w:rsidRPr="005D4C87">
        <w:rPr>
          <w:rFonts w:eastAsia="Calibri"/>
          <w:szCs w:val="22"/>
          <w:lang w:val="hy-AM"/>
        </w:rPr>
        <w:t xml:space="preserve"> </w:t>
      </w:r>
      <w:r w:rsidRPr="00033C8B">
        <w:rPr>
          <w:rFonts w:eastAsia="Calibri"/>
          <w:b w:val="0"/>
          <w:szCs w:val="22"/>
          <w:lang w:val="hy-AM"/>
        </w:rPr>
        <w:t>COVID-19 համարավարակի հետևանքները հաղթահարելու համար հարկաբյուջետային քաղաքականությունը առանցքային դերակատարում ունի։ ԱՄՀ գնահատումներով</w:t>
      </w:r>
      <w:r w:rsidRPr="00033C8B">
        <w:rPr>
          <w:rStyle w:val="FootnoteReference"/>
          <w:rFonts w:eastAsia="Calibri"/>
          <w:b w:val="0"/>
          <w:szCs w:val="22"/>
          <w:lang w:val="hy-AM"/>
        </w:rPr>
        <w:footnoteReference w:id="4"/>
      </w:r>
      <w:r w:rsidRPr="00033C8B">
        <w:rPr>
          <w:rFonts w:eastAsia="Calibri"/>
          <w:b w:val="0"/>
          <w:szCs w:val="22"/>
          <w:lang w:val="hy-AM"/>
        </w:rPr>
        <w:t xml:space="preserve"> հարկաբյուջետային փաթեթներն աշխարհի մակարդակով սեպտեմբերի 11-ի դրությամբ գնահատվում են 11.7 տրիլիոն դոլար, կամ համաշխարհային ՀՆԱ շուրջ 12%-ը։ Դրանց շուրջ կեսը ծախսային կամ հարկային (բյուջեի վրա ուղղակի ազդեցություն ունեցող) միջոցառումներն են, մյուս կեսը՝ վարկերի և վարկային երաշխիքների տրամադրումը</w:t>
      </w:r>
      <w:r w:rsidRPr="00033C8B">
        <w:rPr>
          <w:b w:val="0"/>
          <w:szCs w:val="22"/>
          <w:lang w:val="hy-AM"/>
        </w:rPr>
        <w:t xml:space="preserve">։ </w:t>
      </w:r>
      <w:r w:rsidRPr="00033C8B">
        <w:rPr>
          <w:rFonts w:eastAsia="Calibri"/>
          <w:b w:val="0"/>
          <w:szCs w:val="22"/>
          <w:lang w:val="hy-AM"/>
        </w:rPr>
        <w:t>Կենտրոնական բանկերը ևս խթանող դրամավարկային քաղաքականությամբ հակազդում են համավարակի տարածման տնտեսական ազդեցություններին՝ նվազեցնելով տոկոսադրույքները և ներդնելով ֆինանսական շուկայից ակտիվների ձեռք բերման աննախադեպ ծրագրեր։</w:t>
      </w:r>
    </w:p>
    <w:p w:rsidR="009F0A25" w:rsidRPr="00551865" w:rsidRDefault="009F0A25" w:rsidP="007730AA">
      <w:pPr>
        <w:spacing w:before="0" w:line="276" w:lineRule="auto"/>
        <w:rPr>
          <w:rFonts w:eastAsia="Calibri"/>
          <w:sz w:val="20"/>
          <w:szCs w:val="20"/>
          <w:lang w:val="hy-AM"/>
        </w:rPr>
      </w:pPr>
      <w:r w:rsidRPr="005D4C87">
        <w:rPr>
          <w:rFonts w:eastAsia="Calibri"/>
          <w:i/>
          <w:iCs/>
          <w:color w:val="000000"/>
          <w:szCs w:val="22"/>
          <w:lang w:val="hy-AM"/>
        </w:rPr>
        <w:t>Գծապատկեր 1.7.</w:t>
      </w:r>
      <w:r w:rsidRPr="005D4C87">
        <w:rPr>
          <w:rFonts w:eastAsia="Calibri"/>
          <w:i/>
          <w:iCs/>
          <w:color w:val="000000"/>
          <w:sz w:val="20"/>
          <w:szCs w:val="20"/>
          <w:lang w:val="hy-AM"/>
        </w:rPr>
        <w:t xml:space="preserve"> </w:t>
      </w:r>
      <w:r w:rsidRPr="00033C8B">
        <w:rPr>
          <w:rFonts w:eastAsia="Calibri"/>
          <w:b w:val="0"/>
          <w:bCs/>
          <w:i/>
          <w:iCs/>
          <w:color w:val="000000"/>
          <w:sz w:val="20"/>
          <w:szCs w:val="20"/>
          <w:lang w:val="hy-AM"/>
        </w:rPr>
        <w:t>Համաշխարհային տնտեսության և հարկաբյուջետային քաղաքականության արձագանքը (% ՀՆԱ-ում) ճգնաժամերի տարիներին</w:t>
      </w:r>
      <w:r w:rsidRPr="005D4C87">
        <w:rPr>
          <w:rFonts w:eastAsia="Calibri"/>
          <w:sz w:val="20"/>
          <w:szCs w:val="20"/>
          <w:lang w:val="hy-AM"/>
        </w:rPr>
        <w:t xml:space="preserve"> </w:t>
      </w:r>
    </w:p>
    <w:p w:rsidR="000B6441" w:rsidRPr="00551865" w:rsidRDefault="000B6441" w:rsidP="007730AA">
      <w:pPr>
        <w:spacing w:before="0" w:line="276" w:lineRule="auto"/>
        <w:rPr>
          <w:rFonts w:eastAsia="Calibri"/>
          <w:sz w:val="20"/>
          <w:szCs w:val="20"/>
          <w:lang w:val="hy-AM"/>
        </w:rPr>
      </w:pPr>
    </w:p>
    <w:tbl>
      <w:tblPr>
        <w:tblStyle w:val="TableGrid4113"/>
        <w:tblW w:w="10366"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404"/>
        <w:gridCol w:w="3528"/>
        <w:gridCol w:w="3434"/>
      </w:tblGrid>
      <w:tr w:rsidR="009F0A25" w:rsidRPr="003A0B99" w:rsidTr="00034178">
        <w:trPr>
          <w:trHeight w:val="1555"/>
        </w:trPr>
        <w:tc>
          <w:tcPr>
            <w:tcW w:w="3404" w:type="dxa"/>
          </w:tcPr>
          <w:p w:rsidR="009F0A25" w:rsidRPr="00513DF0" w:rsidRDefault="009F0A25" w:rsidP="00034178">
            <w:pPr>
              <w:spacing w:before="0" w:line="276" w:lineRule="auto"/>
              <w:ind w:firstLine="0"/>
              <w:rPr>
                <w:i/>
                <w:sz w:val="16"/>
                <w:szCs w:val="16"/>
                <w:lang w:val="hy-AM"/>
              </w:rPr>
            </w:pPr>
            <w:r w:rsidRPr="005D4C87">
              <w:rPr>
                <w:i/>
                <w:noProof/>
                <w:sz w:val="16"/>
                <w:szCs w:val="16"/>
                <w:lang w:val="en-US" w:eastAsia="en-US"/>
              </w:rPr>
              <w:drawing>
                <wp:anchor distT="0" distB="0" distL="114300" distR="114300" simplePos="0" relativeHeight="251738624" behindDoc="1" locked="0" layoutInCell="1" allowOverlap="1" wp14:anchorId="673995A9" wp14:editId="272F591A">
                  <wp:simplePos x="0" y="0"/>
                  <wp:positionH relativeFrom="column">
                    <wp:posOffset>-3175</wp:posOffset>
                  </wp:positionH>
                  <wp:positionV relativeFrom="paragraph">
                    <wp:posOffset>21590</wp:posOffset>
                  </wp:positionV>
                  <wp:extent cx="1943735" cy="2409825"/>
                  <wp:effectExtent l="0" t="0" r="18415" b="9525"/>
                  <wp:wrapTight wrapText="bothSides">
                    <wp:wrapPolygon edited="0">
                      <wp:start x="0" y="0"/>
                      <wp:lineTo x="0" y="21515"/>
                      <wp:lineTo x="21593" y="21515"/>
                      <wp:lineTo x="21593"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c>
        <w:tc>
          <w:tcPr>
            <w:tcW w:w="3528" w:type="dxa"/>
          </w:tcPr>
          <w:p w:rsidR="009F0A25" w:rsidRPr="005D4C87" w:rsidRDefault="009F0A25" w:rsidP="00034178">
            <w:pPr>
              <w:spacing w:before="0" w:line="276" w:lineRule="auto"/>
              <w:ind w:firstLine="0"/>
              <w:rPr>
                <w:lang w:val="hy-AM"/>
              </w:rPr>
            </w:pPr>
            <w:r w:rsidRPr="005D4C87">
              <w:rPr>
                <w:noProof/>
                <w:lang w:val="en-US" w:eastAsia="en-US"/>
              </w:rPr>
              <w:drawing>
                <wp:anchor distT="0" distB="0" distL="114300" distR="114300" simplePos="0" relativeHeight="251740672" behindDoc="1" locked="0" layoutInCell="1" allowOverlap="1" wp14:anchorId="5E79F2B7" wp14:editId="07614022">
                  <wp:simplePos x="0" y="0"/>
                  <wp:positionH relativeFrom="column">
                    <wp:posOffset>-6350</wp:posOffset>
                  </wp:positionH>
                  <wp:positionV relativeFrom="paragraph">
                    <wp:posOffset>40640</wp:posOffset>
                  </wp:positionV>
                  <wp:extent cx="2038350" cy="2390775"/>
                  <wp:effectExtent l="0" t="0" r="0" b="9525"/>
                  <wp:wrapTight wrapText="bothSides">
                    <wp:wrapPolygon edited="0">
                      <wp:start x="0" y="0"/>
                      <wp:lineTo x="0" y="21514"/>
                      <wp:lineTo x="21398" y="21514"/>
                      <wp:lineTo x="21398" y="0"/>
                      <wp:lineTo x="0" y="0"/>
                    </wp:wrapPolygon>
                  </wp:wrapTight>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c>
          <w:tcPr>
            <w:tcW w:w="3434" w:type="dxa"/>
          </w:tcPr>
          <w:p w:rsidR="009F0A25" w:rsidRPr="005D4C87" w:rsidRDefault="009F0A25" w:rsidP="00034178">
            <w:pPr>
              <w:spacing w:before="0" w:line="276" w:lineRule="auto"/>
              <w:ind w:firstLine="0"/>
              <w:rPr>
                <w:lang w:val="hy-AM"/>
              </w:rPr>
            </w:pPr>
            <w:r w:rsidRPr="005D4C87">
              <w:rPr>
                <w:noProof/>
                <w:lang w:val="en-US" w:eastAsia="en-US"/>
              </w:rPr>
              <w:drawing>
                <wp:anchor distT="0" distB="0" distL="114300" distR="114300" simplePos="0" relativeHeight="251741696" behindDoc="1" locked="0" layoutInCell="1" allowOverlap="1" wp14:anchorId="38E6102D" wp14:editId="6D074E2F">
                  <wp:simplePos x="0" y="0"/>
                  <wp:positionH relativeFrom="column">
                    <wp:posOffset>-59690</wp:posOffset>
                  </wp:positionH>
                  <wp:positionV relativeFrom="paragraph">
                    <wp:posOffset>59690</wp:posOffset>
                  </wp:positionV>
                  <wp:extent cx="1979930" cy="2390775"/>
                  <wp:effectExtent l="0" t="0" r="1270" b="9525"/>
                  <wp:wrapTight wrapText="bothSides">
                    <wp:wrapPolygon edited="0">
                      <wp:start x="0" y="0"/>
                      <wp:lineTo x="0" y="21514"/>
                      <wp:lineTo x="21406" y="21514"/>
                      <wp:lineTo x="21406" y="0"/>
                      <wp:lineTo x="0" y="0"/>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r>
    </w:tbl>
    <w:p w:rsidR="000B6441" w:rsidRPr="00551865" w:rsidRDefault="000B6441" w:rsidP="00C253FE">
      <w:pPr>
        <w:keepNext/>
        <w:keepLines/>
        <w:spacing w:before="0" w:line="276" w:lineRule="auto"/>
        <w:jc w:val="left"/>
        <w:outlineLvl w:val="2"/>
        <w:rPr>
          <w:rFonts w:cs="Sylfaen"/>
          <w:i/>
          <w:sz w:val="16"/>
          <w:szCs w:val="16"/>
          <w:lang w:val="hy-AM"/>
        </w:rPr>
      </w:pPr>
      <w:bookmarkStart w:id="17" w:name="_Toc51947414"/>
      <w:bookmarkStart w:id="18" w:name="_Toc52452087"/>
    </w:p>
    <w:p w:rsidR="009F0A25" w:rsidRPr="00BB575A" w:rsidRDefault="009F0A25" w:rsidP="00C253FE">
      <w:pPr>
        <w:keepNext/>
        <w:keepLines/>
        <w:spacing w:before="0" w:line="276" w:lineRule="auto"/>
        <w:jc w:val="left"/>
        <w:outlineLvl w:val="2"/>
        <w:rPr>
          <w:b w:val="0"/>
          <w:bCs/>
          <w:sz w:val="28"/>
          <w:szCs w:val="28"/>
          <w:lang w:val="hy-AM"/>
        </w:rPr>
      </w:pPr>
      <w:r>
        <w:rPr>
          <w:bCs/>
          <w:sz w:val="28"/>
          <w:szCs w:val="28"/>
          <w:lang w:val="hy-AM"/>
        </w:rPr>
        <w:br w:type="page"/>
      </w:r>
      <w:bookmarkStart w:id="19" w:name="_Toc57559414"/>
      <w:bookmarkStart w:id="20" w:name="_Toc57655447"/>
      <w:r w:rsidRPr="00553709">
        <w:rPr>
          <w:bCs/>
          <w:sz w:val="28"/>
          <w:szCs w:val="28"/>
          <w:lang w:val="hy-AM"/>
        </w:rPr>
        <w:lastRenderedPageBreak/>
        <w:t>1.3. ՀՀ ՄԱԿՐՈՏՆՏԵՍԱԿԱՆ ԶԱՐԳԱՑՈՒՄՆԵՐ ԵՎ ԿԱՆԽԱՏԵՍՈՒՄՆԵՐ</w:t>
      </w:r>
      <w:bookmarkEnd w:id="17"/>
      <w:bookmarkEnd w:id="18"/>
      <w:bookmarkEnd w:id="19"/>
      <w:bookmarkEnd w:id="20"/>
    </w:p>
    <w:p w:rsidR="00005BEA" w:rsidRPr="00005BEA" w:rsidRDefault="00005BEA" w:rsidP="00005BEA">
      <w:pPr>
        <w:spacing w:before="0" w:after="120" w:line="240" w:lineRule="auto"/>
        <w:ind w:firstLine="0"/>
        <w:contextualSpacing w:val="0"/>
        <w:jc w:val="left"/>
        <w:rPr>
          <w:rFonts w:eastAsia="Calibri"/>
          <w:bCs/>
          <w:sz w:val="24"/>
          <w:lang w:val="hy-AM" w:eastAsia="en-US"/>
        </w:rPr>
      </w:pPr>
      <w:bookmarkStart w:id="21" w:name="_Toc45705385"/>
      <w:bookmarkStart w:id="22" w:name="_Toc51360523"/>
      <w:bookmarkStart w:id="23" w:name="_Toc45705389"/>
      <w:r w:rsidRPr="00005BEA">
        <w:rPr>
          <w:rFonts w:eastAsia="Calibri"/>
          <w:bCs/>
          <w:sz w:val="24"/>
          <w:lang w:val="hy-AM" w:eastAsia="en-US"/>
        </w:rPr>
        <w:t>1.3.1. ՀՆԱ և տնտեսական աճ</w:t>
      </w:r>
      <w:bookmarkEnd w:id="21"/>
      <w:bookmarkEnd w:id="22"/>
    </w:p>
    <w:p w:rsidR="00005BEA" w:rsidRPr="00005BEA" w:rsidRDefault="00005BEA" w:rsidP="00005BEA">
      <w:pPr>
        <w:spacing w:before="40" w:after="120" w:line="276" w:lineRule="auto"/>
        <w:ind w:firstLine="360"/>
        <w:rPr>
          <w:rFonts w:cs="Sylfaen"/>
          <w:b w:val="0"/>
          <w:szCs w:val="22"/>
          <w:lang w:val="hy-AM" w:eastAsia="en-US"/>
        </w:rPr>
      </w:pPr>
      <w:r w:rsidRPr="00005BEA">
        <w:rPr>
          <w:rFonts w:cs="Sylfaen"/>
          <w:bCs/>
          <w:szCs w:val="22"/>
          <w:lang w:val="hy-AM" w:eastAsia="en-US"/>
        </w:rPr>
        <w:t>2019թ. ՀՀ տնտեսությունը շարունակեց աճել ավելի արագ տեմպերով և գրանցվեց 7.6% տնտեսական աճ՝ համաշխարհային տնտեսության 2.9% աճի պայմաններում,</w:t>
      </w:r>
      <w:r w:rsidRPr="00005BEA">
        <w:rPr>
          <w:rFonts w:cs="Sylfaen"/>
          <w:b w:val="0"/>
          <w:szCs w:val="22"/>
          <w:lang w:val="hy-AM" w:eastAsia="en-US"/>
        </w:rPr>
        <w:t xml:space="preserve"> </w:t>
      </w:r>
      <w:r w:rsidRPr="00005BEA">
        <w:rPr>
          <w:rFonts w:eastAsia="Calibri" w:cs="Sylfaen"/>
          <w:szCs w:val="22"/>
          <w:lang w:val="hy-AM" w:eastAsia="en-US"/>
        </w:rPr>
        <w:t>ինչի շարժիչ ուժ են հանդիսացել ծառայությունների և արդյունաբերության ճյուղերը</w:t>
      </w:r>
      <w:r w:rsidRPr="00005BEA">
        <w:rPr>
          <w:rFonts w:eastAsia="Calibri" w:cs="Sylfaen"/>
          <w:b w:val="0"/>
          <w:szCs w:val="22"/>
          <w:lang w:val="hy-AM" w:eastAsia="en-US"/>
        </w:rPr>
        <w:t>, ընդ որում՝ աճ է արձանագրվել տնտեսության բոլոր ճյուղերում,</w:t>
      </w:r>
      <w:r w:rsidRPr="00005BEA">
        <w:rPr>
          <w:rFonts w:eastAsia="Calibri" w:cs="Sylfaen"/>
          <w:b w:val="0"/>
          <w:szCs w:val="22"/>
          <w:lang w:val="es-ES" w:eastAsia="en-US"/>
        </w:rPr>
        <w:t xml:space="preserve"> </w:t>
      </w:r>
      <w:r w:rsidRPr="00005BEA">
        <w:rPr>
          <w:rFonts w:eastAsia="Calibri" w:cs="Sylfaen"/>
          <w:b w:val="0"/>
          <w:szCs w:val="22"/>
          <w:lang w:val="hy-AM" w:eastAsia="en-US"/>
        </w:rPr>
        <w:t>բացառությամբ գյուղատնտեսության:</w:t>
      </w:r>
      <w:r w:rsidRPr="00005BEA">
        <w:rPr>
          <w:rFonts w:eastAsia="Calibri" w:cs="Sylfaen"/>
          <w:b w:val="0"/>
          <w:bCs/>
          <w:szCs w:val="22"/>
          <w:lang w:val="hy-AM" w:eastAsia="en-US"/>
        </w:rPr>
        <w:t xml:space="preserve"> Պահանջարկի տեսանկյունից աճին նպաստել է ներքին պահանջարկը, ինչը պայ</w:t>
      </w:r>
      <w:r w:rsidRPr="00005BEA">
        <w:rPr>
          <w:rFonts w:eastAsia="Calibri" w:cs="Sylfaen"/>
          <w:b w:val="0"/>
          <w:szCs w:val="22"/>
          <w:lang w:val="hy-AM" w:eastAsia="en-US"/>
        </w:rPr>
        <w:t xml:space="preserve">մանվորված է եղել հիմնականում վերջնական սպառման բարձր աճով։ </w:t>
      </w:r>
      <w:r w:rsidRPr="00005BEA">
        <w:rPr>
          <w:rFonts w:cs="Sylfaen"/>
          <w:b w:val="0"/>
          <w:szCs w:val="22"/>
          <w:lang w:val="hy-AM" w:eastAsia="en-US"/>
        </w:rPr>
        <w:t xml:space="preserve"> </w:t>
      </w:r>
    </w:p>
    <w:p w:rsidR="00005BEA" w:rsidRPr="00005BEA" w:rsidRDefault="00005BEA" w:rsidP="00005BEA">
      <w:pPr>
        <w:spacing w:before="40" w:line="276" w:lineRule="auto"/>
        <w:ind w:firstLine="634"/>
        <w:contextualSpacing w:val="0"/>
        <w:rPr>
          <w:rFonts w:cs="Sylfaen"/>
          <w:b w:val="0"/>
          <w:szCs w:val="22"/>
          <w:lang w:val="hy-AM" w:eastAsia="en-US"/>
        </w:rPr>
      </w:pPr>
      <w:r w:rsidRPr="00005BEA">
        <w:rPr>
          <w:rFonts w:cs="Sylfaen"/>
          <w:szCs w:val="22"/>
          <w:lang w:val="hy-AM" w:eastAsia="en-US"/>
        </w:rPr>
        <w:t>Կորոնավիրուսի համավարակի և դրա</w:t>
      </w:r>
      <w:r w:rsidRPr="00005BEA">
        <w:rPr>
          <w:rFonts w:cs="Sylfaen"/>
          <w:bCs/>
          <w:szCs w:val="22"/>
          <w:lang w:val="hy-AM" w:eastAsia="en-US"/>
        </w:rPr>
        <w:t xml:space="preserve"> երկրորդ ալիքի բացասական ազդեցություններից անմասն չմնաց նաև ՀՀ տնտեսությունը։</w:t>
      </w:r>
      <w:r w:rsidRPr="00005BEA">
        <w:rPr>
          <w:rFonts w:cs="Sylfaen"/>
          <w:b w:val="0"/>
          <w:szCs w:val="22"/>
          <w:lang w:val="hy-AM" w:eastAsia="en-US"/>
        </w:rPr>
        <w:t xml:space="preserve"> Չնայած 2020թ. տարեսկզբի աճի բարձր տեմպերին՝ ՀՀ-ում և գործընկեր երկրներում բռնկված համավարակի բացասական ազդեցությամբ պայմանավորված, մարտ ամսից սկիզբ առան բացասական զարգացումներ, որոնք համավարակի տարածման կանխարգելման նպատակով կիրառված սահմանափակումների (առավել մանրամասն տես՛ ներդիր 1-ում) հետևանքով ապրիլին կտրուկ վատթարացան, ինչը՝ մայիս ամսին սահմանափակումների մեծ մասի վերացման արդյունքում հետագա ամիսներին սկսեց որոշակի տատանումներով բարելավվել: </w:t>
      </w:r>
    </w:p>
    <w:tbl>
      <w:tblPr>
        <w:tblStyle w:val="TableGrid11131122"/>
        <w:tblW w:w="9918" w:type="dxa"/>
        <w:shd w:val="clear" w:color="auto" w:fill="D9D9D9"/>
        <w:tblLook w:val="04A0" w:firstRow="1" w:lastRow="0" w:firstColumn="1" w:lastColumn="0" w:noHBand="0" w:noVBand="1"/>
      </w:tblPr>
      <w:tblGrid>
        <w:gridCol w:w="3312"/>
        <w:gridCol w:w="6606"/>
      </w:tblGrid>
      <w:tr w:rsidR="00005BEA" w:rsidRPr="003A0B99" w:rsidTr="00005BEA">
        <w:tc>
          <w:tcPr>
            <w:tcW w:w="9918" w:type="dxa"/>
            <w:gridSpan w:val="2"/>
            <w:shd w:val="clear" w:color="auto" w:fill="D9D9D9"/>
          </w:tcPr>
          <w:p w:rsidR="00005BEA" w:rsidRPr="00005BEA" w:rsidRDefault="00005BEA" w:rsidP="00005BEA">
            <w:pPr>
              <w:tabs>
                <w:tab w:val="right" w:pos="0"/>
              </w:tabs>
              <w:spacing w:before="0" w:line="276" w:lineRule="auto"/>
              <w:ind w:firstLine="0"/>
              <w:jc w:val="center"/>
              <w:rPr>
                <w:rFonts w:cs="Sylfaen"/>
                <w:b w:val="0"/>
                <w:sz w:val="24"/>
                <w:lang w:val="hy-AM" w:eastAsia="en-US"/>
              </w:rPr>
            </w:pPr>
            <w:bookmarkStart w:id="24" w:name="_Toc107052575"/>
            <w:bookmarkStart w:id="25" w:name="_Hlk44618099"/>
            <w:r w:rsidRPr="00005BEA">
              <w:rPr>
                <w:rFonts w:cs="Sylfaen"/>
                <w:sz w:val="18"/>
                <w:szCs w:val="18"/>
                <w:lang w:val="hy-AM" w:eastAsia="en-US"/>
              </w:rPr>
              <w:t xml:space="preserve">Ներդիր 1. Կորոնավիրուսային համավարակի </w:t>
            </w:r>
            <w:r w:rsidRPr="00005BEA">
              <w:rPr>
                <w:rFonts w:cs="Sylfaen"/>
                <w:sz w:val="18"/>
                <w:szCs w:val="18"/>
                <w:lang w:val="sk-SK" w:eastAsia="en-US"/>
              </w:rPr>
              <w:t>(COVID-19)</w:t>
            </w:r>
            <w:r w:rsidRPr="00005BEA">
              <w:rPr>
                <w:rFonts w:cs="Sylfaen"/>
                <w:sz w:val="18"/>
                <w:szCs w:val="18"/>
                <w:lang w:val="hy-AM" w:eastAsia="en-US"/>
              </w:rPr>
              <w:t xml:space="preserve"> զարգացման դինամիկան ՀՀ-ում, կորոնավիրուսի կանխարգելման նպատակով տնտեսական գործունեության տեսակների սահմանափակումները</w:t>
            </w:r>
          </w:p>
        </w:tc>
      </w:tr>
      <w:tr w:rsidR="00005BEA" w:rsidRPr="00005BEA" w:rsidTr="00005BEA">
        <w:tc>
          <w:tcPr>
            <w:tcW w:w="3312" w:type="dxa"/>
            <w:shd w:val="clear" w:color="auto" w:fill="D9D9D9"/>
          </w:tcPr>
          <w:p w:rsidR="00005BEA" w:rsidRPr="00005BEA" w:rsidRDefault="00005BEA" w:rsidP="00005BEA">
            <w:pPr>
              <w:tabs>
                <w:tab w:val="left" w:pos="270"/>
              </w:tabs>
              <w:spacing w:before="0" w:line="240" w:lineRule="auto"/>
              <w:ind w:firstLine="360"/>
              <w:contextualSpacing w:val="0"/>
              <w:jc w:val="left"/>
              <w:rPr>
                <w:rFonts w:cs="Sylfaen"/>
                <w:b w:val="0"/>
                <w:sz w:val="18"/>
                <w:szCs w:val="18"/>
                <w:lang w:val="hy-AM" w:eastAsia="en-US"/>
              </w:rPr>
            </w:pPr>
            <w:r w:rsidRPr="00005BEA">
              <w:rPr>
                <w:rFonts w:cs="Sylfaen"/>
                <w:b w:val="0"/>
                <w:sz w:val="18"/>
                <w:szCs w:val="18"/>
                <w:lang w:val="hy-AM" w:eastAsia="en-US"/>
              </w:rPr>
              <w:t>2020թ. մարտի 1-ին ՀՀ-ում գրանցվեց կորոնավիրուսով հիվանդության առաջին դեպքը, որից հետո վարակը շատ արագ տարածվեց։</w:t>
            </w:r>
          </w:p>
          <w:p w:rsidR="00005BEA" w:rsidRPr="00005BEA" w:rsidRDefault="00005BEA" w:rsidP="00005BEA">
            <w:pPr>
              <w:tabs>
                <w:tab w:val="left" w:pos="0"/>
              </w:tabs>
              <w:spacing w:before="0" w:line="240" w:lineRule="auto"/>
              <w:ind w:firstLine="165"/>
              <w:contextualSpacing w:val="0"/>
              <w:jc w:val="left"/>
              <w:rPr>
                <w:rFonts w:cs="Sylfaen"/>
                <w:b w:val="0"/>
                <w:sz w:val="24"/>
                <w:lang w:val="hy-AM" w:eastAsia="en-US"/>
              </w:rPr>
            </w:pPr>
            <w:r w:rsidRPr="00005BEA">
              <w:rPr>
                <w:rFonts w:cs="Sylfaen"/>
                <w:b w:val="0"/>
                <w:sz w:val="18"/>
                <w:szCs w:val="18"/>
                <w:lang w:val="hy-AM" w:eastAsia="en-US"/>
              </w:rPr>
              <w:t xml:space="preserve">Կորոնավիրուսային համավարակի տարածման կանխարգելման նպատակով 2020թ. մարտի 16-ից ՀՀ-ում հայտարարվեց </w:t>
            </w:r>
            <w:r w:rsidRPr="00005BEA">
              <w:rPr>
                <w:rFonts w:cs="Sylfaen"/>
                <w:bCs/>
                <w:sz w:val="18"/>
                <w:szCs w:val="18"/>
                <w:lang w:val="hy-AM" w:eastAsia="en-US"/>
              </w:rPr>
              <w:t>արտակարգ դրություն</w:t>
            </w:r>
            <w:r w:rsidRPr="00005BEA">
              <w:rPr>
                <w:rFonts w:cs="Sylfaen"/>
                <w:b w:val="0"/>
                <w:sz w:val="18"/>
                <w:szCs w:val="18"/>
                <w:lang w:val="hy-AM" w:eastAsia="en-US"/>
              </w:rPr>
              <w:t xml:space="preserve"> և պարետի որոշումներով արգելվեց տնտեսական գործունեության որոշ տեսակների գործունեությունը, մասնավորապես </w:t>
            </w:r>
            <w:r w:rsidRPr="00005BEA">
              <w:rPr>
                <w:rFonts w:cs="Sylfaen"/>
                <w:bCs/>
                <w:sz w:val="18"/>
                <w:szCs w:val="18"/>
                <w:lang w:val="hy-AM" w:eastAsia="en-US"/>
              </w:rPr>
              <w:t>արգելվեցին՝</w:t>
            </w:r>
          </w:p>
        </w:tc>
        <w:tc>
          <w:tcPr>
            <w:tcW w:w="6606" w:type="dxa"/>
            <w:shd w:val="clear" w:color="auto" w:fill="D9D9D9"/>
          </w:tcPr>
          <w:p w:rsidR="00005BEA" w:rsidRPr="00005BEA" w:rsidRDefault="00005BEA" w:rsidP="00005BEA">
            <w:pPr>
              <w:spacing w:before="0" w:line="240" w:lineRule="auto"/>
              <w:ind w:firstLine="0"/>
              <w:contextualSpacing w:val="0"/>
              <w:jc w:val="left"/>
              <w:rPr>
                <w:b w:val="0"/>
                <w:i/>
                <w:iCs/>
                <w:color w:val="000000"/>
                <w:sz w:val="18"/>
                <w:szCs w:val="18"/>
                <w:lang w:val="hy-AM" w:eastAsia="en-US"/>
              </w:rPr>
            </w:pPr>
            <w:r w:rsidRPr="00005BEA">
              <w:rPr>
                <w:bCs/>
                <w:i/>
                <w:iCs/>
                <w:color w:val="000000"/>
                <w:sz w:val="18"/>
                <w:szCs w:val="18"/>
                <w:lang w:val="hy-AM" w:eastAsia="en-US"/>
              </w:rPr>
              <w:t>Գծապատկեր</w:t>
            </w:r>
            <w:r w:rsidRPr="00005BEA">
              <w:rPr>
                <w:rFonts w:ascii="Cambria Math" w:eastAsia="MS Gothic" w:hAnsi="Cambria Math" w:cs="Cambria Math"/>
                <w:bCs/>
                <w:i/>
                <w:iCs/>
                <w:color w:val="000000"/>
                <w:sz w:val="18"/>
                <w:szCs w:val="18"/>
                <w:lang w:val="hy-AM" w:eastAsia="en-US"/>
              </w:rPr>
              <w:t>․</w:t>
            </w:r>
            <w:r w:rsidRPr="00005BEA">
              <w:rPr>
                <w:bCs/>
                <w:i/>
                <w:iCs/>
                <w:color w:val="000000"/>
                <w:sz w:val="18"/>
                <w:szCs w:val="18"/>
                <w:lang w:val="hy-AM" w:eastAsia="en-US"/>
              </w:rPr>
              <w:t xml:space="preserve"> </w:t>
            </w:r>
            <w:r w:rsidRPr="00005BEA">
              <w:rPr>
                <w:b w:val="0"/>
                <w:i/>
                <w:iCs/>
                <w:color w:val="000000"/>
                <w:sz w:val="18"/>
                <w:szCs w:val="18"/>
                <w:lang w:val="hy-AM" w:eastAsia="en-US"/>
              </w:rPr>
              <w:t>ՀՀ-ում</w:t>
            </w:r>
            <w:r w:rsidRPr="00005BEA">
              <w:rPr>
                <w:bCs/>
                <w:i/>
                <w:iCs/>
                <w:color w:val="000000"/>
                <w:sz w:val="18"/>
                <w:szCs w:val="18"/>
                <w:lang w:val="hy-AM" w:eastAsia="en-US"/>
              </w:rPr>
              <w:t xml:space="preserve"> </w:t>
            </w:r>
            <w:r w:rsidRPr="00005BEA">
              <w:rPr>
                <w:b w:val="0"/>
                <w:i/>
                <w:iCs/>
                <w:color w:val="000000"/>
                <w:sz w:val="18"/>
                <w:szCs w:val="18"/>
                <w:lang w:val="hy-AM" w:eastAsia="en-US"/>
              </w:rPr>
              <w:t>կորոնավիրուսի հաստատված դեպքերը</w:t>
            </w:r>
          </w:p>
          <w:p w:rsidR="00005BEA" w:rsidRPr="00005BEA" w:rsidRDefault="00005BEA" w:rsidP="00005BEA">
            <w:pPr>
              <w:tabs>
                <w:tab w:val="right" w:pos="0"/>
              </w:tabs>
              <w:spacing w:before="0" w:line="276" w:lineRule="auto"/>
              <w:ind w:firstLine="0"/>
              <w:jc w:val="left"/>
              <w:rPr>
                <w:rFonts w:cs="Sylfaen"/>
                <w:b w:val="0"/>
                <w:sz w:val="24"/>
                <w:lang w:val="hy-AM" w:eastAsia="en-US"/>
              </w:rPr>
            </w:pPr>
            <w:r w:rsidRPr="00005BEA">
              <w:rPr>
                <w:rFonts w:ascii="Calibri" w:hAnsi="Calibri"/>
                <w:b w:val="0"/>
                <w:noProof/>
                <w:sz w:val="18"/>
                <w:szCs w:val="18"/>
                <w:shd w:val="clear" w:color="auto" w:fill="D9D9D9"/>
                <w:lang w:val="en-US" w:eastAsia="en-US"/>
              </w:rPr>
              <w:drawing>
                <wp:inline distT="0" distB="0" distL="0" distR="0" wp14:anchorId="4C4F57FC" wp14:editId="1AEF4294">
                  <wp:extent cx="4057650" cy="1920240"/>
                  <wp:effectExtent l="0" t="0" r="0" b="381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05BEA" w:rsidRPr="003A0B99" w:rsidTr="00005BEA">
        <w:trPr>
          <w:trHeight w:val="2609"/>
        </w:trPr>
        <w:tc>
          <w:tcPr>
            <w:tcW w:w="9918" w:type="dxa"/>
            <w:gridSpan w:val="2"/>
            <w:shd w:val="clear" w:color="auto" w:fill="D9D9D9"/>
          </w:tcPr>
          <w:p w:rsidR="00005BEA" w:rsidRPr="00034178"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034178">
              <w:rPr>
                <w:bCs/>
                <w:i/>
                <w:iCs/>
                <w:color w:val="000000"/>
                <w:sz w:val="18"/>
                <w:szCs w:val="18"/>
                <w:lang w:eastAsia="en-US"/>
              </w:rPr>
              <w:t xml:space="preserve">  1. </w:t>
            </w:r>
            <w:r w:rsidRPr="00005BEA">
              <w:rPr>
                <w:bCs/>
                <w:i/>
                <w:iCs/>
                <w:color w:val="000000"/>
                <w:sz w:val="18"/>
                <w:szCs w:val="18"/>
                <w:lang w:val="en-US" w:eastAsia="en-US"/>
              </w:rPr>
              <w:t>մարտի</w:t>
            </w:r>
            <w:r w:rsidRPr="00034178">
              <w:rPr>
                <w:bCs/>
                <w:i/>
                <w:iCs/>
                <w:color w:val="000000"/>
                <w:sz w:val="18"/>
                <w:szCs w:val="18"/>
                <w:lang w:eastAsia="en-US"/>
              </w:rPr>
              <w:t xml:space="preserve"> 16-</w:t>
            </w:r>
            <w:r w:rsidRPr="00005BEA">
              <w:rPr>
                <w:bCs/>
                <w:i/>
                <w:iCs/>
                <w:color w:val="000000"/>
                <w:sz w:val="18"/>
                <w:szCs w:val="18"/>
                <w:lang w:val="en-US" w:eastAsia="en-US"/>
              </w:rPr>
              <w:t>ից՝</w:t>
            </w:r>
            <w:r w:rsidRPr="00034178">
              <w:rPr>
                <w:bCs/>
                <w:i/>
                <w:iCs/>
                <w:color w:val="000000"/>
                <w:sz w:val="18"/>
                <w:szCs w:val="18"/>
                <w:lang w:eastAsia="en-US"/>
              </w:rPr>
              <w:t xml:space="preserve"> </w:t>
            </w:r>
            <w:r w:rsidRPr="00034178">
              <w:rPr>
                <w:b w:val="0"/>
                <w:i/>
                <w:iCs/>
                <w:color w:val="000000"/>
                <w:sz w:val="18"/>
                <w:szCs w:val="18"/>
                <w:lang w:eastAsia="en-US"/>
              </w:rPr>
              <w:t xml:space="preserve">20 </w:t>
            </w:r>
            <w:r w:rsidRPr="00005BEA">
              <w:rPr>
                <w:b w:val="0"/>
                <w:i/>
                <w:iCs/>
                <w:color w:val="000000"/>
                <w:sz w:val="18"/>
                <w:szCs w:val="18"/>
                <w:lang w:val="en-US" w:eastAsia="en-US"/>
              </w:rPr>
              <w:t>և</w:t>
            </w:r>
            <w:r w:rsidRPr="00034178">
              <w:rPr>
                <w:b w:val="0"/>
                <w:i/>
                <w:iCs/>
                <w:color w:val="000000"/>
                <w:sz w:val="18"/>
                <w:szCs w:val="18"/>
                <w:lang w:eastAsia="en-US"/>
              </w:rPr>
              <w:t xml:space="preserve"> </w:t>
            </w:r>
            <w:r w:rsidRPr="00005BEA">
              <w:rPr>
                <w:b w:val="0"/>
                <w:i/>
                <w:iCs/>
                <w:color w:val="000000"/>
                <w:sz w:val="18"/>
                <w:szCs w:val="18"/>
                <w:lang w:val="en-US" w:eastAsia="en-US"/>
              </w:rPr>
              <w:t>ավելի</w:t>
            </w:r>
            <w:r w:rsidRPr="00034178">
              <w:rPr>
                <w:b w:val="0"/>
                <w:i/>
                <w:iCs/>
                <w:color w:val="000000"/>
                <w:sz w:val="18"/>
                <w:szCs w:val="18"/>
                <w:lang w:eastAsia="en-US"/>
              </w:rPr>
              <w:t xml:space="preserve"> </w:t>
            </w:r>
            <w:r w:rsidRPr="00005BEA">
              <w:rPr>
                <w:b w:val="0"/>
                <w:i/>
                <w:iCs/>
                <w:color w:val="000000"/>
                <w:sz w:val="18"/>
                <w:szCs w:val="18"/>
                <w:lang w:val="en-US" w:eastAsia="en-US"/>
              </w:rPr>
              <w:t>անձանց</w:t>
            </w:r>
            <w:r w:rsidRPr="00034178">
              <w:rPr>
                <w:b w:val="0"/>
                <w:i/>
                <w:iCs/>
                <w:color w:val="000000"/>
                <w:sz w:val="18"/>
                <w:szCs w:val="18"/>
                <w:lang w:eastAsia="en-US"/>
              </w:rPr>
              <w:t xml:space="preserve"> </w:t>
            </w:r>
            <w:r w:rsidRPr="00005BEA">
              <w:rPr>
                <w:b w:val="0"/>
                <w:i/>
                <w:iCs/>
                <w:color w:val="000000"/>
                <w:sz w:val="18"/>
                <w:szCs w:val="18"/>
                <w:lang w:val="en-US" w:eastAsia="en-US"/>
              </w:rPr>
              <w:t>մասնակցությամբ</w:t>
            </w:r>
            <w:r w:rsidRPr="00034178">
              <w:rPr>
                <w:b w:val="0"/>
                <w:i/>
                <w:iCs/>
                <w:color w:val="000000"/>
                <w:sz w:val="18"/>
                <w:szCs w:val="18"/>
                <w:lang w:eastAsia="en-US"/>
              </w:rPr>
              <w:t xml:space="preserve"> </w:t>
            </w:r>
            <w:r w:rsidRPr="00005BEA">
              <w:rPr>
                <w:b w:val="0"/>
                <w:i/>
                <w:iCs/>
                <w:color w:val="000000"/>
                <w:sz w:val="18"/>
                <w:szCs w:val="18"/>
                <w:lang w:val="en-US" w:eastAsia="en-US"/>
              </w:rPr>
              <w:t>համերգները</w:t>
            </w:r>
            <w:r w:rsidRPr="00034178">
              <w:rPr>
                <w:b w:val="0"/>
                <w:i/>
                <w:iCs/>
                <w:color w:val="000000"/>
                <w:sz w:val="18"/>
                <w:szCs w:val="18"/>
                <w:lang w:eastAsia="en-US"/>
              </w:rPr>
              <w:t xml:space="preserve">, </w:t>
            </w:r>
            <w:r w:rsidRPr="00005BEA">
              <w:rPr>
                <w:b w:val="0"/>
                <w:i/>
                <w:iCs/>
                <w:color w:val="000000"/>
                <w:sz w:val="18"/>
                <w:szCs w:val="18"/>
                <w:lang w:val="en-US" w:eastAsia="en-US"/>
              </w:rPr>
              <w:t>ցուցադրությունները</w:t>
            </w:r>
            <w:r w:rsidRPr="00034178">
              <w:rPr>
                <w:b w:val="0"/>
                <w:i/>
                <w:iCs/>
                <w:color w:val="000000"/>
                <w:sz w:val="18"/>
                <w:szCs w:val="18"/>
                <w:lang w:eastAsia="en-US"/>
              </w:rPr>
              <w:t xml:space="preserve">, </w:t>
            </w:r>
            <w:r w:rsidRPr="00005BEA">
              <w:rPr>
                <w:b w:val="0"/>
                <w:i/>
                <w:iCs/>
                <w:color w:val="000000"/>
                <w:sz w:val="18"/>
                <w:szCs w:val="18"/>
                <w:lang w:val="en-US" w:eastAsia="en-US"/>
              </w:rPr>
              <w:t>թատերական</w:t>
            </w:r>
            <w:r w:rsidRPr="00034178">
              <w:rPr>
                <w:b w:val="0"/>
                <w:i/>
                <w:iCs/>
                <w:color w:val="000000"/>
                <w:sz w:val="18"/>
                <w:szCs w:val="18"/>
                <w:lang w:eastAsia="en-US"/>
              </w:rPr>
              <w:t xml:space="preserve"> </w:t>
            </w:r>
            <w:r w:rsidRPr="00005BEA">
              <w:rPr>
                <w:b w:val="0"/>
                <w:i/>
                <w:iCs/>
                <w:color w:val="000000"/>
                <w:sz w:val="18"/>
                <w:szCs w:val="18"/>
                <w:lang w:val="en-US" w:eastAsia="en-US"/>
              </w:rPr>
              <w:t>ներկայացումները</w:t>
            </w:r>
            <w:r w:rsidRPr="00034178">
              <w:rPr>
                <w:b w:val="0"/>
                <w:i/>
                <w:iCs/>
                <w:color w:val="000000"/>
                <w:sz w:val="18"/>
                <w:szCs w:val="18"/>
                <w:lang w:eastAsia="en-US"/>
              </w:rPr>
              <w:t xml:space="preserve">, </w:t>
            </w:r>
            <w:r w:rsidRPr="00005BEA">
              <w:rPr>
                <w:b w:val="0"/>
                <w:i/>
                <w:iCs/>
                <w:color w:val="000000"/>
                <w:sz w:val="18"/>
                <w:szCs w:val="18"/>
                <w:lang w:val="en-US" w:eastAsia="en-US"/>
              </w:rPr>
              <w:t>սպորտային</w:t>
            </w:r>
            <w:r w:rsidRPr="00034178">
              <w:rPr>
                <w:b w:val="0"/>
                <w:i/>
                <w:iCs/>
                <w:color w:val="000000"/>
                <w:sz w:val="18"/>
                <w:szCs w:val="18"/>
                <w:lang w:eastAsia="en-US"/>
              </w:rPr>
              <w:t xml:space="preserve">, </w:t>
            </w:r>
            <w:r w:rsidRPr="00005BEA">
              <w:rPr>
                <w:b w:val="0"/>
                <w:i/>
                <w:iCs/>
                <w:color w:val="000000"/>
                <w:sz w:val="18"/>
                <w:szCs w:val="18"/>
                <w:lang w:val="en-US" w:eastAsia="en-US"/>
              </w:rPr>
              <w:t>մշակութային</w:t>
            </w:r>
            <w:r w:rsidRPr="00034178">
              <w:rPr>
                <w:b w:val="0"/>
                <w:i/>
                <w:iCs/>
                <w:color w:val="000000"/>
                <w:sz w:val="18"/>
                <w:szCs w:val="18"/>
                <w:lang w:eastAsia="en-US"/>
              </w:rPr>
              <w:t xml:space="preserve">, </w:t>
            </w:r>
            <w:r w:rsidRPr="00005BEA">
              <w:rPr>
                <w:b w:val="0"/>
                <w:i/>
                <w:iCs/>
                <w:color w:val="000000"/>
                <w:sz w:val="18"/>
                <w:szCs w:val="18"/>
                <w:lang w:val="en-US" w:eastAsia="en-US"/>
              </w:rPr>
              <w:t>կրթական</w:t>
            </w:r>
            <w:r w:rsidRPr="00034178">
              <w:rPr>
                <w:b w:val="0"/>
                <w:i/>
                <w:iCs/>
                <w:color w:val="000000"/>
                <w:sz w:val="18"/>
                <w:szCs w:val="18"/>
                <w:lang w:eastAsia="en-US"/>
              </w:rPr>
              <w:t xml:space="preserve">, </w:t>
            </w:r>
            <w:r w:rsidRPr="00005BEA">
              <w:rPr>
                <w:b w:val="0"/>
                <w:i/>
                <w:iCs/>
                <w:color w:val="000000"/>
                <w:sz w:val="18"/>
                <w:szCs w:val="18"/>
                <w:lang w:val="en-US" w:eastAsia="en-US"/>
              </w:rPr>
              <w:t>ժամանցային</w:t>
            </w:r>
            <w:r w:rsidRPr="00034178">
              <w:rPr>
                <w:b w:val="0"/>
                <w:i/>
                <w:iCs/>
                <w:color w:val="000000"/>
                <w:sz w:val="18"/>
                <w:szCs w:val="18"/>
                <w:lang w:eastAsia="en-US"/>
              </w:rPr>
              <w:t xml:space="preserve">, </w:t>
            </w:r>
            <w:r w:rsidRPr="00005BEA">
              <w:rPr>
                <w:b w:val="0"/>
                <w:i/>
                <w:iCs/>
                <w:color w:val="000000"/>
                <w:sz w:val="18"/>
                <w:szCs w:val="18"/>
                <w:lang w:val="en-US" w:eastAsia="en-US"/>
              </w:rPr>
              <w:t>տոնական</w:t>
            </w:r>
            <w:r w:rsidRPr="00034178">
              <w:rPr>
                <w:b w:val="0"/>
                <w:i/>
                <w:iCs/>
                <w:color w:val="000000"/>
                <w:sz w:val="18"/>
                <w:szCs w:val="18"/>
                <w:lang w:eastAsia="en-US"/>
              </w:rPr>
              <w:t xml:space="preserve">, </w:t>
            </w:r>
            <w:r w:rsidRPr="00005BEA">
              <w:rPr>
                <w:b w:val="0"/>
                <w:i/>
                <w:iCs/>
                <w:color w:val="000000"/>
                <w:sz w:val="18"/>
                <w:szCs w:val="18"/>
                <w:lang w:val="en-US" w:eastAsia="en-US"/>
              </w:rPr>
              <w:t>հիշատակի</w:t>
            </w:r>
            <w:r w:rsidRPr="00034178">
              <w:rPr>
                <w:b w:val="0"/>
                <w:i/>
                <w:iCs/>
                <w:color w:val="000000"/>
                <w:sz w:val="18"/>
                <w:szCs w:val="18"/>
                <w:lang w:eastAsia="en-US"/>
              </w:rPr>
              <w:t xml:space="preserve"> </w:t>
            </w:r>
            <w:r w:rsidRPr="00005BEA">
              <w:rPr>
                <w:b w:val="0"/>
                <w:i/>
                <w:iCs/>
                <w:color w:val="000000"/>
                <w:sz w:val="18"/>
                <w:szCs w:val="18"/>
                <w:lang w:val="en-US" w:eastAsia="en-US"/>
              </w:rPr>
              <w:t>և</w:t>
            </w:r>
            <w:r w:rsidRPr="00034178">
              <w:rPr>
                <w:b w:val="0"/>
                <w:i/>
                <w:iCs/>
                <w:color w:val="000000"/>
                <w:sz w:val="18"/>
                <w:szCs w:val="18"/>
                <w:lang w:eastAsia="en-US"/>
              </w:rPr>
              <w:t xml:space="preserve"> </w:t>
            </w:r>
            <w:r w:rsidRPr="00005BEA">
              <w:rPr>
                <w:b w:val="0"/>
                <w:i/>
                <w:iCs/>
                <w:color w:val="000000"/>
                <w:sz w:val="18"/>
                <w:szCs w:val="18"/>
                <w:lang w:val="en-US" w:eastAsia="en-US"/>
              </w:rPr>
              <w:t>այլ</w:t>
            </w:r>
            <w:r w:rsidRPr="00034178">
              <w:rPr>
                <w:b w:val="0"/>
                <w:i/>
                <w:iCs/>
                <w:color w:val="000000"/>
                <w:sz w:val="18"/>
                <w:szCs w:val="18"/>
                <w:lang w:eastAsia="en-US"/>
              </w:rPr>
              <w:t xml:space="preserve"> </w:t>
            </w:r>
            <w:r w:rsidRPr="00005BEA">
              <w:rPr>
                <w:b w:val="0"/>
                <w:i/>
                <w:iCs/>
                <w:color w:val="000000"/>
                <w:sz w:val="18"/>
                <w:szCs w:val="18"/>
                <w:lang w:val="en-US" w:eastAsia="en-US"/>
              </w:rPr>
              <w:t>միջոցառումները</w:t>
            </w:r>
            <w:r w:rsidRPr="00034178">
              <w:rPr>
                <w:b w:val="0"/>
                <w:i/>
                <w:iCs/>
                <w:color w:val="000000"/>
                <w:sz w:val="18"/>
                <w:szCs w:val="18"/>
                <w:lang w:eastAsia="en-US"/>
              </w:rPr>
              <w:t xml:space="preserve">, </w:t>
            </w:r>
            <w:r w:rsidRPr="00005BEA">
              <w:rPr>
                <w:b w:val="0"/>
                <w:i/>
                <w:iCs/>
                <w:color w:val="000000"/>
                <w:sz w:val="18"/>
                <w:szCs w:val="18"/>
                <w:lang w:val="en-US" w:eastAsia="en-US"/>
              </w:rPr>
              <w:t>ուսումնական</w:t>
            </w:r>
            <w:r w:rsidRPr="00034178">
              <w:rPr>
                <w:b w:val="0"/>
                <w:i/>
                <w:iCs/>
                <w:color w:val="000000"/>
                <w:sz w:val="18"/>
                <w:szCs w:val="18"/>
                <w:lang w:eastAsia="en-US"/>
              </w:rPr>
              <w:t xml:space="preserve"> </w:t>
            </w:r>
            <w:r w:rsidRPr="00005BEA">
              <w:rPr>
                <w:b w:val="0"/>
                <w:i/>
                <w:iCs/>
                <w:color w:val="000000"/>
                <w:sz w:val="18"/>
                <w:szCs w:val="18"/>
                <w:lang w:val="en-US" w:eastAsia="en-US"/>
              </w:rPr>
              <w:t>գործընթացը</w:t>
            </w:r>
            <w:r w:rsidRPr="00034178">
              <w:rPr>
                <w:b w:val="0"/>
                <w:i/>
                <w:iCs/>
                <w:color w:val="000000"/>
                <w:sz w:val="18"/>
                <w:szCs w:val="18"/>
                <w:lang w:eastAsia="en-US"/>
              </w:rPr>
              <w:t xml:space="preserve"> (</w:t>
            </w:r>
            <w:r w:rsidRPr="00005BEA">
              <w:rPr>
                <w:b w:val="0"/>
                <w:i/>
                <w:iCs/>
                <w:color w:val="000000"/>
                <w:sz w:val="18"/>
                <w:szCs w:val="18"/>
                <w:lang w:val="en-US" w:eastAsia="en-US"/>
              </w:rPr>
              <w:t>բացառությամբ՝</w:t>
            </w:r>
            <w:r w:rsidRPr="00034178">
              <w:rPr>
                <w:b w:val="0"/>
                <w:i/>
                <w:iCs/>
                <w:color w:val="000000"/>
                <w:sz w:val="18"/>
                <w:szCs w:val="18"/>
                <w:lang w:eastAsia="en-US"/>
              </w:rPr>
              <w:t xml:space="preserve"> </w:t>
            </w:r>
            <w:r w:rsidRPr="00005BEA">
              <w:rPr>
                <w:b w:val="0"/>
                <w:i/>
                <w:iCs/>
                <w:color w:val="000000"/>
                <w:sz w:val="18"/>
                <w:szCs w:val="18"/>
                <w:lang w:val="en-US" w:eastAsia="en-US"/>
              </w:rPr>
              <w:t>հեռավար</w:t>
            </w:r>
            <w:r w:rsidRPr="00034178">
              <w:rPr>
                <w:b w:val="0"/>
                <w:i/>
                <w:iCs/>
                <w:color w:val="000000"/>
                <w:sz w:val="18"/>
                <w:szCs w:val="18"/>
                <w:lang w:eastAsia="en-US"/>
              </w:rPr>
              <w:t xml:space="preserve"> </w:t>
            </w:r>
            <w:r w:rsidRPr="00005BEA">
              <w:rPr>
                <w:b w:val="0"/>
                <w:i/>
                <w:iCs/>
                <w:color w:val="000000"/>
                <w:sz w:val="18"/>
                <w:szCs w:val="18"/>
                <w:lang w:val="en-US" w:eastAsia="en-US"/>
              </w:rPr>
              <w:t>ուսուցման</w:t>
            </w:r>
            <w:r w:rsidRPr="00034178">
              <w:rPr>
                <w:b w:val="0"/>
                <w:i/>
                <w:iCs/>
                <w:color w:val="000000"/>
                <w:sz w:val="18"/>
                <w:szCs w:val="18"/>
                <w:lang w:eastAsia="en-US"/>
              </w:rPr>
              <w:t xml:space="preserve">) </w:t>
            </w:r>
            <w:r w:rsidRPr="00005BEA">
              <w:rPr>
                <w:b w:val="0"/>
                <w:i/>
                <w:iCs/>
                <w:color w:val="000000"/>
                <w:sz w:val="18"/>
                <w:szCs w:val="18"/>
                <w:lang w:val="en-US" w:eastAsia="en-US"/>
              </w:rPr>
              <w:t>և</w:t>
            </w:r>
            <w:r w:rsidRPr="00034178">
              <w:rPr>
                <w:b w:val="0"/>
                <w:i/>
                <w:iCs/>
                <w:color w:val="000000"/>
                <w:sz w:val="18"/>
                <w:szCs w:val="18"/>
                <w:lang w:eastAsia="en-US"/>
              </w:rPr>
              <w:t xml:space="preserve"> </w:t>
            </w:r>
            <w:r w:rsidRPr="00005BEA">
              <w:rPr>
                <w:b w:val="0"/>
                <w:i/>
                <w:iCs/>
                <w:color w:val="000000"/>
                <w:sz w:val="18"/>
                <w:szCs w:val="18"/>
                <w:lang w:val="en-US" w:eastAsia="en-US"/>
              </w:rPr>
              <w:t>այլ</w:t>
            </w:r>
            <w:r w:rsidRPr="00034178">
              <w:rPr>
                <w:b w:val="0"/>
                <w:i/>
                <w:iCs/>
                <w:color w:val="000000"/>
                <w:sz w:val="18"/>
                <w:szCs w:val="18"/>
                <w:lang w:eastAsia="en-US"/>
              </w:rPr>
              <w:t xml:space="preserve"> </w:t>
            </w:r>
            <w:r w:rsidRPr="00005BEA">
              <w:rPr>
                <w:b w:val="0"/>
                <w:i/>
                <w:iCs/>
                <w:color w:val="000000"/>
                <w:sz w:val="18"/>
                <w:szCs w:val="18"/>
                <w:lang w:val="en-US" w:eastAsia="en-US"/>
              </w:rPr>
              <w:t>գործունեություններ</w:t>
            </w:r>
            <w:r w:rsidRPr="00034178">
              <w:rPr>
                <w:b w:val="0"/>
                <w:i/>
                <w:iCs/>
                <w:color w:val="000000"/>
                <w:sz w:val="18"/>
                <w:szCs w:val="18"/>
                <w:lang w:eastAsia="en-US"/>
              </w:rPr>
              <w:t>,</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513DF0">
              <w:rPr>
                <w:bCs/>
                <w:i/>
                <w:iCs/>
                <w:color w:val="000000"/>
                <w:sz w:val="18"/>
                <w:szCs w:val="18"/>
                <w:lang w:eastAsia="en-US"/>
              </w:rPr>
              <w:t>2.</w:t>
            </w:r>
            <w:r w:rsidRPr="00513DF0">
              <w:rPr>
                <w:bCs/>
                <w:i/>
                <w:iCs/>
                <w:color w:val="000000"/>
                <w:sz w:val="18"/>
                <w:szCs w:val="18"/>
                <w:lang w:eastAsia="en-US"/>
              </w:rPr>
              <w:tab/>
            </w:r>
            <w:r w:rsidRPr="00005BEA">
              <w:rPr>
                <w:bCs/>
                <w:i/>
                <w:iCs/>
                <w:color w:val="000000"/>
                <w:sz w:val="18"/>
                <w:szCs w:val="18"/>
                <w:lang w:val="en-US" w:eastAsia="en-US"/>
              </w:rPr>
              <w:t>մարտի</w:t>
            </w:r>
            <w:r w:rsidRPr="00513DF0">
              <w:rPr>
                <w:bCs/>
                <w:i/>
                <w:iCs/>
                <w:color w:val="000000"/>
                <w:sz w:val="18"/>
                <w:szCs w:val="18"/>
                <w:lang w:eastAsia="en-US"/>
              </w:rPr>
              <w:t xml:space="preserve"> 22-</w:t>
            </w:r>
            <w:r w:rsidRPr="00005BEA">
              <w:rPr>
                <w:bCs/>
                <w:i/>
                <w:iCs/>
                <w:color w:val="000000"/>
                <w:sz w:val="18"/>
                <w:szCs w:val="18"/>
                <w:lang w:val="en-US" w:eastAsia="en-US"/>
              </w:rPr>
              <w:t>ից</w:t>
            </w:r>
            <w:r w:rsidRPr="00005BEA">
              <w:rPr>
                <w:b w:val="0"/>
                <w:i/>
                <w:iCs/>
                <w:color w:val="000000"/>
                <w:sz w:val="18"/>
                <w:szCs w:val="18"/>
                <w:lang w:val="en-US" w:eastAsia="en-US"/>
              </w:rPr>
              <w:t>՝</w:t>
            </w:r>
            <w:r w:rsidRPr="00513DF0">
              <w:rPr>
                <w:b w:val="0"/>
                <w:i/>
                <w:iCs/>
                <w:color w:val="000000"/>
                <w:sz w:val="18"/>
                <w:szCs w:val="18"/>
                <w:lang w:eastAsia="en-US"/>
              </w:rPr>
              <w:t xml:space="preserve"> </w:t>
            </w:r>
            <w:r w:rsidRPr="00005BEA">
              <w:rPr>
                <w:b w:val="0"/>
                <w:i/>
                <w:iCs/>
                <w:color w:val="000000"/>
                <w:sz w:val="18"/>
                <w:szCs w:val="18"/>
                <w:lang w:val="en-US" w:eastAsia="en-US"/>
              </w:rPr>
              <w:t>առևտրի</w:t>
            </w:r>
            <w:r w:rsidRPr="00513DF0">
              <w:rPr>
                <w:b w:val="0"/>
                <w:i/>
                <w:iCs/>
                <w:color w:val="000000"/>
                <w:sz w:val="18"/>
                <w:szCs w:val="18"/>
                <w:lang w:eastAsia="en-US"/>
              </w:rPr>
              <w:t xml:space="preserve"> </w:t>
            </w:r>
            <w:r w:rsidRPr="00005BEA">
              <w:rPr>
                <w:b w:val="0"/>
                <w:i/>
                <w:iCs/>
                <w:color w:val="000000"/>
                <w:sz w:val="18"/>
                <w:szCs w:val="18"/>
                <w:lang w:val="en-US" w:eastAsia="en-US"/>
              </w:rPr>
              <w:t>կենտրոնների</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սննդի</w:t>
            </w:r>
            <w:r w:rsidRPr="00513DF0">
              <w:rPr>
                <w:b w:val="0"/>
                <w:i/>
                <w:iCs/>
                <w:color w:val="000000"/>
                <w:sz w:val="18"/>
                <w:szCs w:val="18"/>
                <w:lang w:eastAsia="en-US"/>
              </w:rPr>
              <w:t xml:space="preserve">, </w:t>
            </w:r>
            <w:r w:rsidRPr="00005BEA">
              <w:rPr>
                <w:b w:val="0"/>
                <w:i/>
                <w:iCs/>
                <w:color w:val="000000"/>
                <w:sz w:val="18"/>
                <w:szCs w:val="18"/>
                <w:lang w:val="en-US" w:eastAsia="en-US"/>
              </w:rPr>
              <w:t>խմիչքների</w:t>
            </w:r>
            <w:r w:rsidRPr="00513DF0">
              <w:rPr>
                <w:b w:val="0"/>
                <w:i/>
                <w:iCs/>
                <w:color w:val="000000"/>
                <w:sz w:val="18"/>
                <w:szCs w:val="18"/>
                <w:lang w:eastAsia="en-US"/>
              </w:rPr>
              <w:t xml:space="preserve">, </w:t>
            </w:r>
            <w:r w:rsidRPr="00005BEA">
              <w:rPr>
                <w:b w:val="0"/>
                <w:i/>
                <w:iCs/>
                <w:color w:val="000000"/>
                <w:sz w:val="18"/>
                <w:szCs w:val="18"/>
                <w:lang w:val="en-US" w:eastAsia="en-US"/>
              </w:rPr>
              <w:t>ծխախոտի</w:t>
            </w:r>
            <w:r w:rsidRPr="00513DF0">
              <w:rPr>
                <w:b w:val="0"/>
                <w:i/>
                <w:iCs/>
                <w:color w:val="000000"/>
                <w:sz w:val="18"/>
                <w:szCs w:val="18"/>
                <w:lang w:eastAsia="en-US"/>
              </w:rPr>
              <w:t xml:space="preserve"> </w:t>
            </w:r>
            <w:r w:rsidRPr="00005BEA">
              <w:rPr>
                <w:b w:val="0"/>
                <w:i/>
                <w:iCs/>
                <w:color w:val="000000"/>
                <w:sz w:val="18"/>
                <w:szCs w:val="18"/>
                <w:lang w:val="en-US" w:eastAsia="en-US"/>
              </w:rPr>
              <w:t>մանրածախ</w:t>
            </w:r>
            <w:r w:rsidRPr="00513DF0">
              <w:rPr>
                <w:b w:val="0"/>
                <w:i/>
                <w:iCs/>
                <w:color w:val="000000"/>
                <w:sz w:val="18"/>
                <w:szCs w:val="18"/>
                <w:lang w:eastAsia="en-US"/>
              </w:rPr>
              <w:t xml:space="preserve"> </w:t>
            </w:r>
            <w:r w:rsidRPr="00005BEA">
              <w:rPr>
                <w:b w:val="0"/>
                <w:i/>
                <w:iCs/>
                <w:color w:val="000000"/>
                <w:sz w:val="18"/>
                <w:szCs w:val="18"/>
                <w:lang w:val="en-US" w:eastAsia="en-US"/>
              </w:rPr>
              <w:t>առևտրի</w:t>
            </w:r>
            <w:r w:rsidRPr="00513DF0">
              <w:rPr>
                <w:b w:val="0"/>
                <w:i/>
                <w:iCs/>
                <w:color w:val="000000"/>
                <w:sz w:val="18"/>
                <w:szCs w:val="18"/>
                <w:lang w:eastAsia="en-US"/>
              </w:rPr>
              <w:t xml:space="preserve">), </w:t>
            </w:r>
            <w:r w:rsidRPr="00005BEA">
              <w:rPr>
                <w:b w:val="0"/>
                <w:i/>
                <w:iCs/>
                <w:color w:val="000000"/>
                <w:sz w:val="18"/>
                <w:szCs w:val="18"/>
                <w:lang w:val="en-US" w:eastAsia="en-US"/>
              </w:rPr>
              <w:t>բարերի</w:t>
            </w:r>
            <w:r w:rsidRPr="00513DF0">
              <w:rPr>
                <w:b w:val="0"/>
                <w:i/>
                <w:iCs/>
                <w:color w:val="000000"/>
                <w:sz w:val="18"/>
                <w:szCs w:val="18"/>
                <w:lang w:eastAsia="en-US"/>
              </w:rPr>
              <w:t xml:space="preserve">, </w:t>
            </w:r>
            <w:r w:rsidRPr="00005BEA">
              <w:rPr>
                <w:b w:val="0"/>
                <w:i/>
                <w:iCs/>
                <w:color w:val="000000"/>
                <w:sz w:val="18"/>
                <w:szCs w:val="18"/>
                <w:lang w:val="en-US" w:eastAsia="en-US"/>
              </w:rPr>
              <w:t>գիշերային</w:t>
            </w:r>
            <w:r w:rsidRPr="00513DF0">
              <w:rPr>
                <w:b w:val="0"/>
                <w:i/>
                <w:iCs/>
                <w:color w:val="000000"/>
                <w:sz w:val="18"/>
                <w:szCs w:val="18"/>
                <w:lang w:eastAsia="en-US"/>
              </w:rPr>
              <w:t xml:space="preserve"> </w:t>
            </w:r>
            <w:r w:rsidRPr="00005BEA">
              <w:rPr>
                <w:b w:val="0"/>
                <w:i/>
                <w:iCs/>
                <w:color w:val="000000"/>
                <w:sz w:val="18"/>
                <w:szCs w:val="18"/>
                <w:lang w:val="en-US" w:eastAsia="en-US"/>
              </w:rPr>
              <w:t>ակումբների</w:t>
            </w:r>
            <w:r w:rsidRPr="00513DF0">
              <w:rPr>
                <w:b w:val="0"/>
                <w:i/>
                <w:iCs/>
                <w:color w:val="000000"/>
                <w:sz w:val="18"/>
                <w:szCs w:val="18"/>
                <w:lang w:eastAsia="en-US"/>
              </w:rPr>
              <w:t xml:space="preserve">, </w:t>
            </w:r>
            <w:r w:rsidRPr="00005BEA">
              <w:rPr>
                <w:b w:val="0"/>
                <w:i/>
                <w:iCs/>
                <w:color w:val="000000"/>
                <w:sz w:val="18"/>
                <w:szCs w:val="18"/>
                <w:lang w:val="en-US" w:eastAsia="en-US"/>
              </w:rPr>
              <w:t>պարահրապարակների</w:t>
            </w:r>
            <w:r w:rsidRPr="00513DF0">
              <w:rPr>
                <w:b w:val="0"/>
                <w:i/>
                <w:iCs/>
                <w:color w:val="000000"/>
                <w:sz w:val="18"/>
                <w:szCs w:val="18"/>
                <w:lang w:eastAsia="en-US"/>
              </w:rPr>
              <w:t xml:space="preserve">, </w:t>
            </w:r>
            <w:r w:rsidRPr="00005BEA">
              <w:rPr>
                <w:b w:val="0"/>
                <w:i/>
                <w:iCs/>
                <w:color w:val="000000"/>
                <w:sz w:val="18"/>
                <w:szCs w:val="18"/>
                <w:lang w:val="en-US" w:eastAsia="en-US"/>
              </w:rPr>
              <w:t>կինոֆիլմերի</w:t>
            </w:r>
            <w:r w:rsidRPr="00513DF0">
              <w:rPr>
                <w:b w:val="0"/>
                <w:i/>
                <w:iCs/>
                <w:color w:val="000000"/>
                <w:sz w:val="18"/>
                <w:szCs w:val="18"/>
                <w:lang w:eastAsia="en-US"/>
              </w:rPr>
              <w:t xml:space="preserve"> </w:t>
            </w:r>
            <w:r w:rsidRPr="00005BEA">
              <w:rPr>
                <w:b w:val="0"/>
                <w:i/>
                <w:iCs/>
                <w:color w:val="000000"/>
                <w:sz w:val="18"/>
                <w:szCs w:val="18"/>
                <w:lang w:val="en-US" w:eastAsia="en-US"/>
              </w:rPr>
              <w:t>ցուցադրման</w:t>
            </w:r>
            <w:r w:rsidRPr="00513DF0">
              <w:rPr>
                <w:b w:val="0"/>
                <w:i/>
                <w:iCs/>
                <w:color w:val="000000"/>
                <w:sz w:val="18"/>
                <w:szCs w:val="18"/>
                <w:lang w:eastAsia="en-US"/>
              </w:rPr>
              <w:t xml:space="preserve">, </w:t>
            </w:r>
            <w:r w:rsidRPr="00005BEA">
              <w:rPr>
                <w:b w:val="0"/>
                <w:i/>
                <w:iCs/>
                <w:color w:val="000000"/>
                <w:sz w:val="18"/>
                <w:szCs w:val="18"/>
                <w:lang w:val="en-US" w:eastAsia="en-US"/>
              </w:rPr>
              <w:t>խաղատների</w:t>
            </w:r>
            <w:r w:rsidRPr="00513DF0">
              <w:rPr>
                <w:b w:val="0"/>
                <w:i/>
                <w:iCs/>
                <w:color w:val="000000"/>
                <w:sz w:val="18"/>
                <w:szCs w:val="18"/>
                <w:lang w:eastAsia="en-US"/>
              </w:rPr>
              <w:t xml:space="preserve">, </w:t>
            </w:r>
            <w:r w:rsidRPr="00005BEA">
              <w:rPr>
                <w:b w:val="0"/>
                <w:i/>
                <w:iCs/>
                <w:color w:val="000000"/>
                <w:sz w:val="18"/>
                <w:szCs w:val="18"/>
                <w:lang w:val="en-US" w:eastAsia="en-US"/>
              </w:rPr>
              <w:t>բուքմեյքերական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խաղագումարով</w:t>
            </w:r>
            <w:r w:rsidRPr="00513DF0">
              <w:rPr>
                <w:b w:val="0"/>
                <w:i/>
                <w:iCs/>
                <w:color w:val="000000"/>
                <w:sz w:val="18"/>
                <w:szCs w:val="18"/>
                <w:lang w:eastAsia="en-US"/>
              </w:rPr>
              <w:t xml:space="preserve"> </w:t>
            </w:r>
            <w:r w:rsidRPr="00005BEA">
              <w:rPr>
                <w:b w:val="0"/>
                <w:i/>
                <w:iCs/>
                <w:color w:val="000000"/>
                <w:sz w:val="18"/>
                <w:szCs w:val="18"/>
                <w:lang w:val="en-US" w:eastAsia="en-US"/>
              </w:rPr>
              <w:t>գրազի</w:t>
            </w:r>
            <w:r w:rsidRPr="00513DF0">
              <w:rPr>
                <w:b w:val="0"/>
                <w:i/>
                <w:iCs/>
                <w:color w:val="000000"/>
                <w:sz w:val="18"/>
                <w:szCs w:val="18"/>
                <w:lang w:eastAsia="en-US"/>
              </w:rPr>
              <w:t xml:space="preserve"> </w:t>
            </w:r>
            <w:r w:rsidRPr="00005BEA">
              <w:rPr>
                <w:b w:val="0"/>
                <w:i/>
                <w:iCs/>
                <w:color w:val="000000"/>
                <w:sz w:val="18"/>
                <w:szCs w:val="18"/>
                <w:lang w:val="en-US" w:eastAsia="en-US"/>
              </w:rPr>
              <w:t>կազմակերպման</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սպասարկման</w:t>
            </w:r>
            <w:r w:rsidRPr="00513DF0">
              <w:rPr>
                <w:b w:val="0"/>
                <w:i/>
                <w:iCs/>
                <w:color w:val="000000"/>
                <w:sz w:val="18"/>
                <w:szCs w:val="18"/>
                <w:lang w:eastAsia="en-US"/>
              </w:rPr>
              <w:t xml:space="preserve"> </w:t>
            </w:r>
            <w:r w:rsidRPr="00005BEA">
              <w:rPr>
                <w:b w:val="0"/>
                <w:i/>
                <w:iCs/>
                <w:color w:val="000000"/>
                <w:sz w:val="18"/>
                <w:szCs w:val="18"/>
                <w:lang w:val="en-US" w:eastAsia="en-US"/>
              </w:rPr>
              <w:t>գրասենյակների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513DF0">
              <w:rPr>
                <w:bCs/>
                <w:i/>
                <w:iCs/>
                <w:color w:val="000000"/>
                <w:sz w:val="18"/>
                <w:szCs w:val="18"/>
                <w:lang w:eastAsia="en-US"/>
              </w:rPr>
              <w:t>3.</w:t>
            </w:r>
            <w:r w:rsidRPr="00513DF0">
              <w:rPr>
                <w:bCs/>
                <w:i/>
                <w:iCs/>
                <w:color w:val="000000"/>
                <w:sz w:val="18"/>
                <w:szCs w:val="18"/>
                <w:lang w:eastAsia="en-US"/>
              </w:rPr>
              <w:tab/>
            </w:r>
            <w:r w:rsidRPr="00005BEA">
              <w:rPr>
                <w:bCs/>
                <w:i/>
                <w:iCs/>
                <w:color w:val="000000"/>
                <w:sz w:val="18"/>
                <w:szCs w:val="18"/>
                <w:lang w:val="en-US" w:eastAsia="en-US"/>
              </w:rPr>
              <w:t>մարտի</w:t>
            </w:r>
            <w:r w:rsidRPr="00513DF0">
              <w:rPr>
                <w:bCs/>
                <w:i/>
                <w:iCs/>
                <w:color w:val="000000"/>
                <w:sz w:val="18"/>
                <w:szCs w:val="18"/>
                <w:lang w:eastAsia="en-US"/>
              </w:rPr>
              <w:t xml:space="preserve"> 27-</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գյուղատնտեսության</w:t>
            </w:r>
            <w:r w:rsidRPr="00513DF0">
              <w:rPr>
                <w:b w:val="0"/>
                <w:i/>
                <w:iCs/>
                <w:color w:val="000000"/>
                <w:sz w:val="18"/>
                <w:szCs w:val="18"/>
                <w:lang w:eastAsia="en-US"/>
              </w:rPr>
              <w:t xml:space="preserve"> </w:t>
            </w:r>
            <w:r w:rsidRPr="00005BEA">
              <w:rPr>
                <w:b w:val="0"/>
                <w:i/>
                <w:iCs/>
                <w:color w:val="000000"/>
                <w:sz w:val="18"/>
                <w:szCs w:val="18"/>
                <w:lang w:val="en-US" w:eastAsia="en-US"/>
              </w:rPr>
              <w:t>բնագավառում</w:t>
            </w:r>
            <w:r w:rsidRPr="00513DF0">
              <w:rPr>
                <w:b w:val="0"/>
                <w:i/>
                <w:iCs/>
                <w:color w:val="000000"/>
                <w:sz w:val="18"/>
                <w:szCs w:val="18"/>
                <w:lang w:eastAsia="en-US"/>
              </w:rPr>
              <w:t xml:space="preserve"> </w:t>
            </w:r>
            <w:r w:rsidRPr="00005BEA">
              <w:rPr>
                <w:b w:val="0"/>
                <w:i/>
                <w:iCs/>
                <w:color w:val="000000"/>
                <w:sz w:val="18"/>
                <w:szCs w:val="18"/>
                <w:lang w:val="en-US" w:eastAsia="en-US"/>
              </w:rPr>
              <w:t>օժանդակ</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ծառայությունների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մատուցումը</w:t>
            </w:r>
            <w:r w:rsidRPr="00513DF0">
              <w:rPr>
                <w:b w:val="0"/>
                <w:i/>
                <w:iCs/>
                <w:color w:val="000000"/>
                <w:sz w:val="18"/>
                <w:szCs w:val="18"/>
                <w:lang w:eastAsia="en-US"/>
              </w:rPr>
              <w:t xml:space="preserve">, </w:t>
            </w:r>
            <w:r w:rsidRPr="00005BEA">
              <w:rPr>
                <w:b w:val="0"/>
                <w:i/>
                <w:iCs/>
                <w:color w:val="000000"/>
                <w:sz w:val="18"/>
                <w:szCs w:val="18"/>
                <w:lang w:val="en-US" w:eastAsia="en-US"/>
              </w:rPr>
              <w:t>շինարարությունը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առևտուրը</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սննդամթերքի</w:t>
            </w:r>
            <w:r w:rsidRPr="00513DF0">
              <w:rPr>
                <w:b w:val="0"/>
                <w:i/>
                <w:iCs/>
                <w:color w:val="000000"/>
                <w:sz w:val="18"/>
                <w:szCs w:val="18"/>
                <w:lang w:eastAsia="en-US"/>
              </w:rPr>
              <w:t xml:space="preserve">, </w:t>
            </w:r>
            <w:r w:rsidRPr="00005BEA">
              <w:rPr>
                <w:b w:val="0"/>
                <w:i/>
                <w:iCs/>
                <w:color w:val="000000"/>
                <w:sz w:val="18"/>
                <w:szCs w:val="18"/>
                <w:lang w:val="en-US" w:eastAsia="en-US"/>
              </w:rPr>
              <w:t>խմիչքների</w:t>
            </w:r>
            <w:r w:rsidRPr="00513DF0">
              <w:rPr>
                <w:b w:val="0"/>
                <w:i/>
                <w:iCs/>
                <w:color w:val="000000"/>
                <w:sz w:val="18"/>
                <w:szCs w:val="18"/>
                <w:lang w:eastAsia="en-US"/>
              </w:rPr>
              <w:t xml:space="preserve">, </w:t>
            </w:r>
            <w:r w:rsidRPr="00005BEA">
              <w:rPr>
                <w:b w:val="0"/>
                <w:i/>
                <w:iCs/>
                <w:color w:val="000000"/>
                <w:sz w:val="18"/>
                <w:szCs w:val="18"/>
                <w:lang w:val="en-US" w:eastAsia="en-US"/>
              </w:rPr>
              <w:t>դեղատների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կանոնավոր</w:t>
            </w:r>
            <w:r w:rsidRPr="00513DF0">
              <w:rPr>
                <w:b w:val="0"/>
                <w:i/>
                <w:iCs/>
                <w:color w:val="000000"/>
                <w:sz w:val="18"/>
                <w:szCs w:val="18"/>
                <w:lang w:eastAsia="en-US"/>
              </w:rPr>
              <w:t xml:space="preserve"> </w:t>
            </w:r>
            <w:r w:rsidRPr="00005BEA">
              <w:rPr>
                <w:b w:val="0"/>
                <w:i/>
                <w:iCs/>
                <w:color w:val="000000"/>
                <w:sz w:val="18"/>
                <w:szCs w:val="18"/>
                <w:lang w:val="en-US" w:eastAsia="en-US"/>
              </w:rPr>
              <w:t>ուղևորափոխադրումները</w:t>
            </w:r>
            <w:r w:rsidRPr="00513DF0">
              <w:rPr>
                <w:b w:val="0"/>
                <w:i/>
                <w:iCs/>
                <w:color w:val="000000"/>
                <w:sz w:val="18"/>
                <w:szCs w:val="18"/>
                <w:lang w:eastAsia="en-US"/>
              </w:rPr>
              <w:t xml:space="preserve">, </w:t>
            </w:r>
            <w:r w:rsidRPr="00005BEA">
              <w:rPr>
                <w:b w:val="0"/>
                <w:i/>
                <w:iCs/>
                <w:color w:val="000000"/>
                <w:sz w:val="18"/>
                <w:szCs w:val="18"/>
                <w:lang w:val="en-US" w:eastAsia="en-US"/>
              </w:rPr>
              <w:t>անշարժ</w:t>
            </w:r>
            <w:r w:rsidRPr="00513DF0">
              <w:rPr>
                <w:b w:val="0"/>
                <w:i/>
                <w:iCs/>
                <w:color w:val="000000"/>
                <w:sz w:val="18"/>
                <w:szCs w:val="18"/>
                <w:lang w:eastAsia="en-US"/>
              </w:rPr>
              <w:t xml:space="preserve"> </w:t>
            </w:r>
            <w:r w:rsidRPr="00005BEA">
              <w:rPr>
                <w:b w:val="0"/>
                <w:i/>
                <w:iCs/>
                <w:color w:val="000000"/>
                <w:sz w:val="18"/>
                <w:szCs w:val="18"/>
                <w:lang w:val="en-US" w:eastAsia="en-US"/>
              </w:rPr>
              <w:t>գույքի</w:t>
            </w:r>
            <w:r w:rsidRPr="00513DF0">
              <w:rPr>
                <w:b w:val="0"/>
                <w:i/>
                <w:iCs/>
                <w:color w:val="000000"/>
                <w:sz w:val="18"/>
                <w:szCs w:val="18"/>
                <w:lang w:eastAsia="en-US"/>
              </w:rPr>
              <w:t xml:space="preserve"> </w:t>
            </w:r>
            <w:r w:rsidRPr="00005BEA">
              <w:rPr>
                <w:b w:val="0"/>
                <w:i/>
                <w:iCs/>
                <w:color w:val="000000"/>
                <w:sz w:val="18"/>
                <w:szCs w:val="18"/>
                <w:lang w:val="en-US" w:eastAsia="en-US"/>
              </w:rPr>
              <w:t>հետ</w:t>
            </w:r>
            <w:r w:rsidRPr="00513DF0">
              <w:rPr>
                <w:b w:val="0"/>
                <w:i/>
                <w:iCs/>
                <w:color w:val="000000"/>
                <w:sz w:val="18"/>
                <w:szCs w:val="18"/>
                <w:lang w:eastAsia="en-US"/>
              </w:rPr>
              <w:t xml:space="preserve"> </w:t>
            </w:r>
            <w:r w:rsidRPr="00005BEA">
              <w:rPr>
                <w:b w:val="0"/>
                <w:i/>
                <w:iCs/>
                <w:color w:val="000000"/>
                <w:sz w:val="18"/>
                <w:szCs w:val="18"/>
                <w:lang w:val="en-US" w:eastAsia="en-US"/>
              </w:rPr>
              <w:t>կապված</w:t>
            </w:r>
            <w:r w:rsidRPr="00513DF0">
              <w:rPr>
                <w:b w:val="0"/>
                <w:i/>
                <w:iCs/>
                <w:color w:val="000000"/>
                <w:sz w:val="18"/>
                <w:szCs w:val="18"/>
                <w:lang w:eastAsia="en-US"/>
              </w:rPr>
              <w:t xml:space="preserve">, </w:t>
            </w:r>
            <w:r w:rsidRPr="00005BEA">
              <w:rPr>
                <w:b w:val="0"/>
                <w:i/>
                <w:iCs/>
                <w:color w:val="000000"/>
                <w:sz w:val="18"/>
                <w:szCs w:val="18"/>
                <w:lang w:val="en-US" w:eastAsia="en-US"/>
              </w:rPr>
              <w:t>մշակույթի</w:t>
            </w:r>
            <w:r w:rsidRPr="00513DF0">
              <w:rPr>
                <w:b w:val="0"/>
                <w:i/>
                <w:iCs/>
                <w:color w:val="000000"/>
                <w:sz w:val="18"/>
                <w:szCs w:val="18"/>
                <w:lang w:eastAsia="en-US"/>
              </w:rPr>
              <w:t xml:space="preserve">, </w:t>
            </w:r>
            <w:r w:rsidRPr="00005BEA">
              <w:rPr>
                <w:b w:val="0"/>
                <w:i/>
                <w:iCs/>
                <w:color w:val="000000"/>
                <w:sz w:val="18"/>
                <w:szCs w:val="18"/>
                <w:lang w:val="en-US" w:eastAsia="en-US"/>
              </w:rPr>
              <w:t>զվարճությունների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հանգստի</w:t>
            </w:r>
            <w:r w:rsidRPr="00513DF0">
              <w:rPr>
                <w:b w:val="0"/>
                <w:i/>
                <w:iCs/>
                <w:color w:val="000000"/>
                <w:sz w:val="18"/>
                <w:szCs w:val="18"/>
                <w:lang w:eastAsia="en-US"/>
              </w:rPr>
              <w:t xml:space="preserve">, </w:t>
            </w:r>
            <w:r w:rsidRPr="00005BEA">
              <w:rPr>
                <w:b w:val="0"/>
                <w:i/>
                <w:iCs/>
                <w:color w:val="000000"/>
                <w:sz w:val="18"/>
                <w:szCs w:val="18"/>
                <w:lang w:val="en-US" w:eastAsia="en-US"/>
              </w:rPr>
              <w:t>կացության</w:t>
            </w:r>
            <w:r w:rsidRPr="00513DF0">
              <w:rPr>
                <w:b w:val="0"/>
                <w:i/>
                <w:iCs/>
                <w:color w:val="000000"/>
                <w:sz w:val="18"/>
                <w:szCs w:val="18"/>
                <w:lang w:eastAsia="en-US"/>
              </w:rPr>
              <w:t xml:space="preserve">, </w:t>
            </w:r>
            <w:r w:rsidRPr="00005BEA">
              <w:rPr>
                <w:b w:val="0"/>
                <w:i/>
                <w:iCs/>
                <w:color w:val="000000"/>
                <w:sz w:val="18"/>
                <w:szCs w:val="18"/>
                <w:lang w:val="en-US" w:eastAsia="en-US"/>
              </w:rPr>
              <w:t>հանրային</w:t>
            </w:r>
            <w:r w:rsidRPr="00513DF0">
              <w:rPr>
                <w:b w:val="0"/>
                <w:i/>
                <w:iCs/>
                <w:color w:val="000000"/>
                <w:sz w:val="18"/>
                <w:szCs w:val="18"/>
                <w:lang w:eastAsia="en-US"/>
              </w:rPr>
              <w:t xml:space="preserve"> </w:t>
            </w:r>
            <w:r w:rsidRPr="00005BEA">
              <w:rPr>
                <w:b w:val="0"/>
                <w:i/>
                <w:iCs/>
                <w:color w:val="000000"/>
                <w:sz w:val="18"/>
                <w:szCs w:val="18"/>
                <w:lang w:val="en-US" w:eastAsia="en-US"/>
              </w:rPr>
              <w:t>սննդի</w:t>
            </w:r>
            <w:r w:rsidRPr="00513DF0">
              <w:rPr>
                <w:b w:val="0"/>
                <w:i/>
                <w:iCs/>
                <w:color w:val="000000"/>
                <w:sz w:val="18"/>
                <w:szCs w:val="18"/>
                <w:lang w:eastAsia="en-US"/>
              </w:rPr>
              <w:t xml:space="preserve">, </w:t>
            </w:r>
            <w:r w:rsidRPr="00005BEA">
              <w:rPr>
                <w:b w:val="0"/>
                <w:i/>
                <w:iCs/>
                <w:color w:val="000000"/>
                <w:sz w:val="18"/>
                <w:szCs w:val="18"/>
                <w:lang w:val="en-US" w:eastAsia="en-US"/>
              </w:rPr>
              <w:t>տեղեկատվության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կապի</w:t>
            </w:r>
            <w:r w:rsidRPr="00513DF0">
              <w:rPr>
                <w:b w:val="0"/>
                <w:i/>
                <w:iCs/>
                <w:color w:val="000000"/>
                <w:sz w:val="18"/>
                <w:szCs w:val="18"/>
                <w:lang w:eastAsia="en-US"/>
              </w:rPr>
              <w:t xml:space="preserve">, </w:t>
            </w:r>
            <w:r w:rsidRPr="00005BEA">
              <w:rPr>
                <w:b w:val="0"/>
                <w:i/>
                <w:iCs/>
                <w:color w:val="000000"/>
                <w:sz w:val="18"/>
                <w:szCs w:val="18"/>
                <w:lang w:val="en-US" w:eastAsia="en-US"/>
              </w:rPr>
              <w:t>նորոգման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ծառայությունների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w:t>
            </w:r>
          </w:p>
          <w:p w:rsidR="00005BEA" w:rsidRPr="00513DF0" w:rsidRDefault="00005BEA" w:rsidP="00005BEA">
            <w:pPr>
              <w:tabs>
                <w:tab w:val="left" w:pos="510"/>
              </w:tabs>
              <w:spacing w:before="0" w:line="240" w:lineRule="auto"/>
              <w:ind w:firstLine="240"/>
              <w:contextualSpacing w:val="0"/>
              <w:jc w:val="left"/>
              <w:rPr>
                <w:bCs/>
                <w:i/>
                <w:iCs/>
                <w:color w:val="000000"/>
                <w:sz w:val="18"/>
                <w:szCs w:val="18"/>
                <w:lang w:eastAsia="en-US"/>
              </w:rPr>
            </w:pPr>
            <w:r w:rsidRPr="00513DF0">
              <w:rPr>
                <w:bCs/>
                <w:i/>
                <w:iCs/>
                <w:color w:val="000000"/>
                <w:sz w:val="18"/>
                <w:szCs w:val="18"/>
                <w:lang w:eastAsia="en-US"/>
              </w:rPr>
              <w:lastRenderedPageBreak/>
              <w:t>4.</w:t>
            </w:r>
            <w:r w:rsidRPr="00513DF0">
              <w:rPr>
                <w:bCs/>
                <w:i/>
                <w:iCs/>
                <w:color w:val="000000"/>
                <w:sz w:val="18"/>
                <w:szCs w:val="18"/>
                <w:lang w:eastAsia="en-US"/>
              </w:rPr>
              <w:tab/>
            </w:r>
            <w:r w:rsidRPr="00005BEA">
              <w:rPr>
                <w:bCs/>
                <w:i/>
                <w:iCs/>
                <w:color w:val="000000"/>
                <w:sz w:val="18"/>
                <w:szCs w:val="18"/>
                <w:lang w:val="en-US" w:eastAsia="en-US"/>
              </w:rPr>
              <w:t>մարտի</w:t>
            </w:r>
            <w:r w:rsidRPr="00513DF0">
              <w:rPr>
                <w:bCs/>
                <w:i/>
                <w:iCs/>
                <w:color w:val="000000"/>
                <w:sz w:val="18"/>
                <w:szCs w:val="18"/>
                <w:lang w:eastAsia="en-US"/>
              </w:rPr>
              <w:t xml:space="preserve"> 31-</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մշակող</w:t>
            </w:r>
            <w:r w:rsidRPr="00513DF0">
              <w:rPr>
                <w:b w:val="0"/>
                <w:i/>
                <w:iCs/>
                <w:color w:val="000000"/>
                <w:sz w:val="18"/>
                <w:szCs w:val="18"/>
                <w:lang w:eastAsia="en-US"/>
              </w:rPr>
              <w:t xml:space="preserve"> </w:t>
            </w:r>
            <w:r w:rsidRPr="00005BEA">
              <w:rPr>
                <w:b w:val="0"/>
                <w:i/>
                <w:iCs/>
                <w:color w:val="000000"/>
                <w:sz w:val="18"/>
                <w:szCs w:val="18"/>
                <w:lang w:val="en-US" w:eastAsia="en-US"/>
              </w:rPr>
              <w:t>արդյունաբերության</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սննդամթերքի</w:t>
            </w:r>
            <w:r w:rsidRPr="00513DF0">
              <w:rPr>
                <w:b w:val="0"/>
                <w:i/>
                <w:iCs/>
                <w:color w:val="000000"/>
                <w:sz w:val="18"/>
                <w:szCs w:val="18"/>
                <w:lang w:eastAsia="en-US"/>
              </w:rPr>
              <w:t xml:space="preserve">, </w:t>
            </w:r>
            <w:r w:rsidRPr="00005BEA">
              <w:rPr>
                <w:b w:val="0"/>
                <w:i/>
                <w:iCs/>
                <w:color w:val="000000"/>
                <w:sz w:val="18"/>
                <w:szCs w:val="18"/>
                <w:lang w:val="en-US" w:eastAsia="en-US"/>
              </w:rPr>
              <w:t>խմիչքների</w:t>
            </w:r>
            <w:r w:rsidRPr="00513DF0">
              <w:rPr>
                <w:b w:val="0"/>
                <w:i/>
                <w:iCs/>
                <w:color w:val="000000"/>
                <w:sz w:val="18"/>
                <w:szCs w:val="18"/>
                <w:lang w:eastAsia="en-US"/>
              </w:rPr>
              <w:t xml:space="preserve">, </w:t>
            </w:r>
            <w:r w:rsidRPr="00005BEA">
              <w:rPr>
                <w:b w:val="0"/>
                <w:i/>
                <w:iCs/>
                <w:color w:val="000000"/>
                <w:sz w:val="18"/>
                <w:szCs w:val="18"/>
                <w:lang w:val="en-US" w:eastAsia="en-US"/>
              </w:rPr>
              <w:t>դեղերի</w:t>
            </w:r>
            <w:r w:rsidRPr="00513DF0">
              <w:rPr>
                <w:b w:val="0"/>
                <w:i/>
                <w:iCs/>
                <w:color w:val="000000"/>
                <w:sz w:val="18"/>
                <w:szCs w:val="18"/>
                <w:lang w:eastAsia="en-US"/>
              </w:rPr>
              <w:t xml:space="preserve">, </w:t>
            </w:r>
            <w:r w:rsidRPr="00005BEA">
              <w:rPr>
                <w:b w:val="0"/>
                <w:i/>
                <w:iCs/>
                <w:color w:val="000000"/>
                <w:sz w:val="18"/>
                <w:szCs w:val="18"/>
                <w:lang w:val="en-US" w:eastAsia="en-US"/>
              </w:rPr>
              <w:t>զենքի</w:t>
            </w:r>
            <w:r w:rsidRPr="00513DF0">
              <w:rPr>
                <w:b w:val="0"/>
                <w:i/>
                <w:iCs/>
                <w:color w:val="000000"/>
                <w:sz w:val="18"/>
                <w:szCs w:val="18"/>
                <w:lang w:eastAsia="en-US"/>
              </w:rPr>
              <w:t xml:space="preserve">, </w:t>
            </w:r>
            <w:r w:rsidRPr="00005BEA">
              <w:rPr>
                <w:b w:val="0"/>
                <w:i/>
                <w:iCs/>
                <w:color w:val="000000"/>
                <w:sz w:val="18"/>
                <w:szCs w:val="18"/>
                <w:lang w:val="en-US" w:eastAsia="en-US"/>
              </w:rPr>
              <w:t>զինամթերքի</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տնտեսական</w:t>
            </w:r>
            <w:r w:rsidRPr="00513DF0">
              <w:rPr>
                <w:b w:val="0"/>
                <w:i/>
                <w:iCs/>
                <w:color w:val="000000"/>
                <w:sz w:val="18"/>
                <w:szCs w:val="18"/>
                <w:lang w:eastAsia="en-US"/>
              </w:rPr>
              <w:t xml:space="preserve"> </w:t>
            </w:r>
            <w:r w:rsidRPr="00005BEA">
              <w:rPr>
                <w:b w:val="0"/>
                <w:i/>
                <w:iCs/>
                <w:color w:val="000000"/>
                <w:sz w:val="18"/>
                <w:szCs w:val="18"/>
                <w:lang w:val="en-US" w:eastAsia="en-US"/>
              </w:rPr>
              <w:t>որոշ</w:t>
            </w:r>
            <w:r w:rsidRPr="00513DF0">
              <w:rPr>
                <w:b w:val="0"/>
                <w:i/>
                <w:iCs/>
                <w:color w:val="000000"/>
                <w:sz w:val="18"/>
                <w:szCs w:val="18"/>
                <w:lang w:eastAsia="en-US"/>
              </w:rPr>
              <w:t xml:space="preserve"> </w:t>
            </w:r>
            <w:r w:rsidRPr="00005BEA">
              <w:rPr>
                <w:b w:val="0"/>
                <w:i/>
                <w:iCs/>
                <w:color w:val="000000"/>
                <w:sz w:val="18"/>
                <w:szCs w:val="18"/>
                <w:lang w:val="en-US" w:eastAsia="en-US"/>
              </w:rPr>
              <w:t>ապրանքատեսակների</w:t>
            </w:r>
            <w:r w:rsidRPr="00513DF0">
              <w:rPr>
                <w:b w:val="0"/>
                <w:i/>
                <w:iCs/>
                <w:color w:val="000000"/>
                <w:sz w:val="18"/>
                <w:szCs w:val="18"/>
                <w:lang w:eastAsia="en-US"/>
              </w:rPr>
              <w:t xml:space="preserve"> </w:t>
            </w:r>
            <w:r w:rsidRPr="00005BEA">
              <w:rPr>
                <w:b w:val="0"/>
                <w:i/>
                <w:iCs/>
                <w:color w:val="000000"/>
                <w:sz w:val="18"/>
                <w:szCs w:val="18"/>
                <w:lang w:val="en-US" w:eastAsia="en-US"/>
              </w:rPr>
              <w:t>արտադրության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ցամաքային</w:t>
            </w:r>
            <w:r w:rsidRPr="00513DF0">
              <w:rPr>
                <w:b w:val="0"/>
                <w:i/>
                <w:iCs/>
                <w:color w:val="000000"/>
                <w:sz w:val="18"/>
                <w:szCs w:val="18"/>
                <w:lang w:eastAsia="en-US"/>
              </w:rPr>
              <w:t xml:space="preserve">, </w:t>
            </w:r>
            <w:r w:rsidRPr="00005BEA">
              <w:rPr>
                <w:b w:val="0"/>
                <w:i/>
                <w:iCs/>
                <w:color w:val="000000"/>
                <w:sz w:val="18"/>
                <w:szCs w:val="18"/>
                <w:lang w:val="en-US" w:eastAsia="en-US"/>
              </w:rPr>
              <w:t>քաղաքային</w:t>
            </w:r>
            <w:r w:rsidRPr="00513DF0">
              <w:rPr>
                <w:b w:val="0"/>
                <w:i/>
                <w:iCs/>
                <w:color w:val="000000"/>
                <w:sz w:val="18"/>
                <w:szCs w:val="18"/>
                <w:lang w:eastAsia="en-US"/>
              </w:rPr>
              <w:t xml:space="preserve">, </w:t>
            </w:r>
            <w:r w:rsidRPr="00005BEA">
              <w:rPr>
                <w:b w:val="0"/>
                <w:i/>
                <w:iCs/>
                <w:color w:val="000000"/>
                <w:sz w:val="18"/>
                <w:szCs w:val="18"/>
                <w:lang w:val="en-US" w:eastAsia="en-US"/>
              </w:rPr>
              <w:t>մերձքաղաքային</w:t>
            </w:r>
            <w:r w:rsidRPr="00513DF0">
              <w:rPr>
                <w:b w:val="0"/>
                <w:i/>
                <w:iCs/>
                <w:color w:val="000000"/>
                <w:sz w:val="18"/>
                <w:szCs w:val="18"/>
                <w:lang w:eastAsia="en-US"/>
              </w:rPr>
              <w:t xml:space="preserve"> </w:t>
            </w:r>
            <w:r w:rsidRPr="00005BEA">
              <w:rPr>
                <w:b w:val="0"/>
                <w:i/>
                <w:iCs/>
                <w:color w:val="000000"/>
                <w:sz w:val="18"/>
                <w:szCs w:val="18"/>
                <w:lang w:val="en-US" w:eastAsia="en-US"/>
              </w:rPr>
              <w:t>տրանսպորտի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Cs/>
                <w:i/>
                <w:iCs/>
                <w:color w:val="000000"/>
                <w:sz w:val="18"/>
                <w:szCs w:val="18"/>
                <w:lang w:eastAsia="en-US"/>
              </w:rPr>
              <w:t xml:space="preserve"> </w:t>
            </w:r>
          </w:p>
          <w:p w:rsidR="00005BEA" w:rsidRPr="00513DF0" w:rsidRDefault="00005BEA" w:rsidP="00005BEA">
            <w:pPr>
              <w:tabs>
                <w:tab w:val="left" w:pos="510"/>
              </w:tabs>
              <w:spacing w:before="0" w:line="240" w:lineRule="auto"/>
              <w:ind w:firstLine="240"/>
              <w:contextualSpacing w:val="0"/>
              <w:jc w:val="left"/>
              <w:rPr>
                <w:bCs/>
                <w:i/>
                <w:iCs/>
                <w:color w:val="000000"/>
                <w:sz w:val="18"/>
                <w:szCs w:val="18"/>
                <w:lang w:eastAsia="en-US"/>
              </w:rPr>
            </w:pPr>
            <w:r w:rsidRPr="00005BEA">
              <w:rPr>
                <w:bCs/>
                <w:i/>
                <w:iCs/>
                <w:color w:val="000000"/>
                <w:sz w:val="18"/>
                <w:szCs w:val="18"/>
                <w:lang w:val="en-US" w:eastAsia="en-US"/>
              </w:rPr>
              <w:t>Տնտեսական</w:t>
            </w:r>
            <w:r w:rsidRPr="00513DF0">
              <w:rPr>
                <w:bCs/>
                <w:i/>
                <w:iCs/>
                <w:color w:val="000000"/>
                <w:sz w:val="18"/>
                <w:szCs w:val="18"/>
                <w:lang w:eastAsia="en-US"/>
              </w:rPr>
              <w:t xml:space="preserve"> </w:t>
            </w:r>
            <w:r w:rsidRPr="00005BEA">
              <w:rPr>
                <w:bCs/>
                <w:i/>
                <w:iCs/>
                <w:color w:val="000000"/>
                <w:sz w:val="18"/>
                <w:szCs w:val="18"/>
                <w:lang w:val="en-US" w:eastAsia="en-US"/>
              </w:rPr>
              <w:t>գործունեության</w:t>
            </w:r>
            <w:r w:rsidRPr="00513DF0">
              <w:rPr>
                <w:bCs/>
                <w:i/>
                <w:iCs/>
                <w:color w:val="000000"/>
                <w:sz w:val="18"/>
                <w:szCs w:val="18"/>
                <w:lang w:eastAsia="en-US"/>
              </w:rPr>
              <w:t xml:space="preserve"> </w:t>
            </w:r>
            <w:r w:rsidRPr="00005BEA">
              <w:rPr>
                <w:bCs/>
                <w:i/>
                <w:iCs/>
                <w:color w:val="000000"/>
                <w:sz w:val="18"/>
                <w:szCs w:val="18"/>
                <w:lang w:val="en-US" w:eastAsia="en-US"/>
              </w:rPr>
              <w:t>որոշ</w:t>
            </w:r>
            <w:r w:rsidRPr="00513DF0">
              <w:rPr>
                <w:bCs/>
                <w:i/>
                <w:iCs/>
                <w:color w:val="000000"/>
                <w:sz w:val="18"/>
                <w:szCs w:val="18"/>
                <w:lang w:eastAsia="en-US"/>
              </w:rPr>
              <w:t xml:space="preserve"> </w:t>
            </w:r>
            <w:r w:rsidRPr="00005BEA">
              <w:rPr>
                <w:bCs/>
                <w:i/>
                <w:iCs/>
                <w:color w:val="000000"/>
                <w:sz w:val="18"/>
                <w:szCs w:val="18"/>
                <w:lang w:val="en-US" w:eastAsia="en-US"/>
              </w:rPr>
              <w:t>տեսակների</w:t>
            </w:r>
            <w:r w:rsidRPr="00513DF0">
              <w:rPr>
                <w:bCs/>
                <w:i/>
                <w:iCs/>
                <w:color w:val="000000"/>
                <w:sz w:val="18"/>
                <w:szCs w:val="18"/>
                <w:lang w:eastAsia="en-US"/>
              </w:rPr>
              <w:t xml:space="preserve"> </w:t>
            </w:r>
            <w:r w:rsidRPr="00005BEA">
              <w:rPr>
                <w:bCs/>
                <w:i/>
                <w:iCs/>
                <w:color w:val="000000"/>
                <w:sz w:val="18"/>
                <w:szCs w:val="18"/>
                <w:lang w:val="en-US" w:eastAsia="en-US"/>
              </w:rPr>
              <w:t>նկատմամբ</w:t>
            </w:r>
            <w:r w:rsidRPr="00513DF0">
              <w:rPr>
                <w:bCs/>
                <w:i/>
                <w:iCs/>
                <w:color w:val="000000"/>
                <w:sz w:val="18"/>
                <w:szCs w:val="18"/>
                <w:lang w:eastAsia="en-US"/>
              </w:rPr>
              <w:t xml:space="preserve"> </w:t>
            </w:r>
            <w:r w:rsidRPr="00005BEA">
              <w:rPr>
                <w:bCs/>
                <w:i/>
                <w:iCs/>
                <w:color w:val="000000"/>
                <w:sz w:val="18"/>
                <w:szCs w:val="18"/>
                <w:lang w:val="en-US" w:eastAsia="en-US"/>
              </w:rPr>
              <w:t>գործող</w:t>
            </w:r>
            <w:r w:rsidRPr="00513DF0">
              <w:rPr>
                <w:bCs/>
                <w:i/>
                <w:iCs/>
                <w:color w:val="000000"/>
                <w:sz w:val="18"/>
                <w:szCs w:val="18"/>
                <w:lang w:eastAsia="en-US"/>
              </w:rPr>
              <w:t xml:space="preserve"> </w:t>
            </w:r>
            <w:r w:rsidRPr="00005BEA">
              <w:rPr>
                <w:bCs/>
                <w:i/>
                <w:iCs/>
                <w:color w:val="000000"/>
                <w:sz w:val="18"/>
                <w:szCs w:val="18"/>
                <w:lang w:val="en-US" w:eastAsia="en-US"/>
              </w:rPr>
              <w:t>սահմանափակումները</w:t>
            </w:r>
            <w:r w:rsidRPr="00513DF0">
              <w:rPr>
                <w:bCs/>
                <w:i/>
                <w:iCs/>
                <w:color w:val="000000"/>
                <w:sz w:val="18"/>
                <w:szCs w:val="18"/>
                <w:lang w:eastAsia="en-US"/>
              </w:rPr>
              <w:t xml:space="preserve"> </w:t>
            </w:r>
            <w:r w:rsidRPr="00005BEA">
              <w:rPr>
                <w:bCs/>
                <w:i/>
                <w:iCs/>
                <w:color w:val="000000"/>
                <w:sz w:val="18"/>
                <w:szCs w:val="18"/>
                <w:lang w:val="en-US" w:eastAsia="en-US"/>
              </w:rPr>
              <w:t>աստիճանաբար</w:t>
            </w:r>
            <w:r w:rsidRPr="00513DF0">
              <w:rPr>
                <w:bCs/>
                <w:i/>
                <w:iCs/>
                <w:color w:val="000000"/>
                <w:sz w:val="18"/>
                <w:szCs w:val="18"/>
                <w:lang w:eastAsia="en-US"/>
              </w:rPr>
              <w:t xml:space="preserve"> </w:t>
            </w:r>
            <w:r w:rsidRPr="00005BEA">
              <w:rPr>
                <w:bCs/>
                <w:i/>
                <w:iCs/>
                <w:color w:val="000000"/>
                <w:sz w:val="18"/>
                <w:szCs w:val="18"/>
                <w:lang w:val="en-US" w:eastAsia="en-US"/>
              </w:rPr>
              <w:t>սկսեցին</w:t>
            </w:r>
            <w:r w:rsidRPr="00513DF0">
              <w:rPr>
                <w:bCs/>
                <w:i/>
                <w:iCs/>
                <w:color w:val="000000"/>
                <w:sz w:val="18"/>
                <w:szCs w:val="18"/>
                <w:lang w:eastAsia="en-US"/>
              </w:rPr>
              <w:t xml:space="preserve"> </w:t>
            </w:r>
            <w:r w:rsidRPr="00005BEA">
              <w:rPr>
                <w:bCs/>
                <w:i/>
                <w:iCs/>
                <w:color w:val="000000"/>
                <w:sz w:val="18"/>
                <w:szCs w:val="18"/>
                <w:lang w:val="en-US" w:eastAsia="en-US"/>
              </w:rPr>
              <w:t>հանվել՝</w:t>
            </w:r>
            <w:r w:rsidRPr="00513DF0">
              <w:rPr>
                <w:bCs/>
                <w:i/>
                <w:iCs/>
                <w:color w:val="000000"/>
                <w:sz w:val="18"/>
                <w:szCs w:val="18"/>
                <w:lang w:eastAsia="en-US"/>
              </w:rPr>
              <w:t xml:space="preserve"> </w:t>
            </w:r>
            <w:r w:rsidRPr="00005BEA">
              <w:rPr>
                <w:bCs/>
                <w:i/>
                <w:iCs/>
                <w:color w:val="000000"/>
                <w:sz w:val="18"/>
                <w:szCs w:val="18"/>
                <w:lang w:val="en-US" w:eastAsia="en-US"/>
              </w:rPr>
              <w:t>սկսած</w:t>
            </w:r>
            <w:r w:rsidRPr="00513DF0">
              <w:rPr>
                <w:bCs/>
                <w:i/>
                <w:iCs/>
                <w:color w:val="000000"/>
                <w:sz w:val="18"/>
                <w:szCs w:val="18"/>
                <w:lang w:eastAsia="en-US"/>
              </w:rPr>
              <w:t xml:space="preserve"> </w:t>
            </w:r>
            <w:r w:rsidRPr="00005BEA">
              <w:rPr>
                <w:bCs/>
                <w:i/>
                <w:iCs/>
                <w:color w:val="000000"/>
                <w:sz w:val="18"/>
                <w:szCs w:val="18"/>
                <w:lang w:val="en-US" w:eastAsia="en-US"/>
              </w:rPr>
              <w:t>ապրիլ</w:t>
            </w:r>
            <w:r w:rsidRPr="00513DF0">
              <w:rPr>
                <w:bCs/>
                <w:i/>
                <w:iCs/>
                <w:color w:val="000000"/>
                <w:sz w:val="18"/>
                <w:szCs w:val="18"/>
                <w:lang w:eastAsia="en-US"/>
              </w:rPr>
              <w:t xml:space="preserve"> </w:t>
            </w:r>
            <w:r w:rsidRPr="00005BEA">
              <w:rPr>
                <w:bCs/>
                <w:i/>
                <w:iCs/>
                <w:color w:val="000000"/>
                <w:sz w:val="18"/>
                <w:szCs w:val="18"/>
                <w:lang w:val="en-US" w:eastAsia="en-US"/>
              </w:rPr>
              <w:t>ամսվա</w:t>
            </w:r>
            <w:r w:rsidRPr="00513DF0">
              <w:rPr>
                <w:bCs/>
                <w:i/>
                <w:iCs/>
                <w:color w:val="000000"/>
                <w:sz w:val="18"/>
                <w:szCs w:val="18"/>
                <w:lang w:eastAsia="en-US"/>
              </w:rPr>
              <w:t xml:space="preserve"> </w:t>
            </w:r>
            <w:r w:rsidRPr="00005BEA">
              <w:rPr>
                <w:bCs/>
                <w:i/>
                <w:iCs/>
                <w:color w:val="000000"/>
                <w:sz w:val="18"/>
                <w:szCs w:val="18"/>
                <w:lang w:val="en-US" w:eastAsia="en-US"/>
              </w:rPr>
              <w:t>կեսերից</w:t>
            </w:r>
            <w:r w:rsidRPr="00513DF0">
              <w:rPr>
                <w:bCs/>
                <w:i/>
                <w:iCs/>
                <w:color w:val="000000"/>
                <w:sz w:val="18"/>
                <w:szCs w:val="18"/>
                <w:lang w:eastAsia="en-US"/>
              </w:rPr>
              <w:t xml:space="preserve">, </w:t>
            </w:r>
            <w:r w:rsidRPr="00005BEA">
              <w:rPr>
                <w:bCs/>
                <w:i/>
                <w:iCs/>
                <w:color w:val="000000"/>
                <w:sz w:val="18"/>
                <w:szCs w:val="18"/>
                <w:lang w:val="en-US" w:eastAsia="en-US"/>
              </w:rPr>
              <w:t>մասնավորապես</w:t>
            </w:r>
            <w:r w:rsidRPr="00513DF0">
              <w:rPr>
                <w:bCs/>
                <w:i/>
                <w:iCs/>
                <w:color w:val="000000"/>
                <w:sz w:val="18"/>
                <w:szCs w:val="18"/>
                <w:lang w:eastAsia="en-US"/>
              </w:rPr>
              <w:t xml:space="preserve"> </w:t>
            </w:r>
            <w:r w:rsidRPr="00005BEA">
              <w:rPr>
                <w:bCs/>
                <w:i/>
                <w:iCs/>
                <w:color w:val="000000"/>
                <w:sz w:val="18"/>
                <w:szCs w:val="18"/>
                <w:lang w:val="en-US" w:eastAsia="en-US"/>
              </w:rPr>
              <w:t>թույլատրվեց՝</w:t>
            </w:r>
          </w:p>
          <w:p w:rsidR="00005BEA" w:rsidRPr="00513DF0" w:rsidRDefault="00005BEA" w:rsidP="00005BEA">
            <w:pPr>
              <w:tabs>
                <w:tab w:val="left" w:pos="510"/>
              </w:tabs>
              <w:spacing w:before="0" w:line="240" w:lineRule="auto"/>
              <w:ind w:firstLine="240"/>
              <w:contextualSpacing w:val="0"/>
              <w:jc w:val="left"/>
              <w:rPr>
                <w:bCs/>
                <w:i/>
                <w:iCs/>
                <w:color w:val="000000"/>
                <w:sz w:val="18"/>
                <w:szCs w:val="18"/>
                <w:lang w:eastAsia="en-US"/>
              </w:rPr>
            </w:pPr>
            <w:r w:rsidRPr="00513DF0">
              <w:rPr>
                <w:bCs/>
                <w:i/>
                <w:iCs/>
                <w:color w:val="000000"/>
                <w:sz w:val="18"/>
                <w:szCs w:val="18"/>
                <w:lang w:eastAsia="en-US"/>
              </w:rPr>
              <w:t>1.</w:t>
            </w:r>
            <w:r w:rsidRPr="00513DF0">
              <w:rPr>
                <w:bCs/>
                <w:i/>
                <w:iCs/>
                <w:color w:val="000000"/>
                <w:sz w:val="18"/>
                <w:szCs w:val="18"/>
                <w:lang w:eastAsia="en-US"/>
              </w:rPr>
              <w:tab/>
            </w:r>
            <w:r w:rsidRPr="00005BEA">
              <w:rPr>
                <w:bCs/>
                <w:i/>
                <w:iCs/>
                <w:color w:val="000000"/>
                <w:sz w:val="18"/>
                <w:szCs w:val="18"/>
                <w:lang w:val="en-US" w:eastAsia="en-US"/>
              </w:rPr>
              <w:t>ապրիլի</w:t>
            </w:r>
            <w:r w:rsidRPr="00513DF0">
              <w:rPr>
                <w:bCs/>
                <w:i/>
                <w:iCs/>
                <w:color w:val="000000"/>
                <w:sz w:val="18"/>
                <w:szCs w:val="18"/>
                <w:lang w:eastAsia="en-US"/>
              </w:rPr>
              <w:t xml:space="preserve"> 13-</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ծխախոտի</w:t>
            </w:r>
            <w:r w:rsidRPr="00513DF0">
              <w:rPr>
                <w:b w:val="0"/>
                <w:i/>
                <w:iCs/>
                <w:color w:val="000000"/>
                <w:sz w:val="18"/>
                <w:szCs w:val="18"/>
                <w:lang w:eastAsia="en-US"/>
              </w:rPr>
              <w:t xml:space="preserve">, </w:t>
            </w:r>
            <w:r w:rsidRPr="00005BEA">
              <w:rPr>
                <w:b w:val="0"/>
                <w:i/>
                <w:iCs/>
                <w:color w:val="000000"/>
                <w:sz w:val="18"/>
                <w:szCs w:val="18"/>
                <w:lang w:val="en-US" w:eastAsia="en-US"/>
              </w:rPr>
              <w:t>շինարարական</w:t>
            </w:r>
            <w:r w:rsidRPr="00513DF0">
              <w:rPr>
                <w:b w:val="0"/>
                <w:i/>
                <w:iCs/>
                <w:color w:val="000000"/>
                <w:sz w:val="18"/>
                <w:szCs w:val="18"/>
                <w:lang w:eastAsia="en-US"/>
              </w:rPr>
              <w:t xml:space="preserve"> </w:t>
            </w:r>
            <w:r w:rsidRPr="00005BEA">
              <w:rPr>
                <w:b w:val="0"/>
                <w:i/>
                <w:iCs/>
                <w:color w:val="000000"/>
                <w:sz w:val="18"/>
                <w:szCs w:val="18"/>
                <w:lang w:val="en-US" w:eastAsia="en-US"/>
              </w:rPr>
              <w:t>որոշ</w:t>
            </w:r>
            <w:r w:rsidRPr="00513DF0">
              <w:rPr>
                <w:b w:val="0"/>
                <w:i/>
                <w:iCs/>
                <w:color w:val="000000"/>
                <w:sz w:val="18"/>
                <w:szCs w:val="18"/>
                <w:lang w:eastAsia="en-US"/>
              </w:rPr>
              <w:t xml:space="preserve"> </w:t>
            </w:r>
            <w:r w:rsidRPr="00005BEA">
              <w:rPr>
                <w:b w:val="0"/>
                <w:i/>
                <w:iCs/>
                <w:color w:val="000000"/>
                <w:sz w:val="18"/>
                <w:szCs w:val="18"/>
                <w:lang w:val="en-US" w:eastAsia="en-US"/>
              </w:rPr>
              <w:t>նյութերի</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կոնստրուկցիաների</w:t>
            </w:r>
            <w:r w:rsidRPr="00513DF0">
              <w:rPr>
                <w:b w:val="0"/>
                <w:i/>
                <w:iCs/>
                <w:color w:val="000000"/>
                <w:sz w:val="18"/>
                <w:szCs w:val="18"/>
                <w:lang w:eastAsia="en-US"/>
              </w:rPr>
              <w:t xml:space="preserve"> </w:t>
            </w:r>
            <w:r w:rsidRPr="00005BEA">
              <w:rPr>
                <w:b w:val="0"/>
                <w:i/>
                <w:iCs/>
                <w:color w:val="000000"/>
                <w:sz w:val="18"/>
                <w:szCs w:val="18"/>
                <w:lang w:val="en-US" w:eastAsia="en-US"/>
              </w:rPr>
              <w:t>արտադրությունը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շինարարությունը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ավարտական</w:t>
            </w:r>
            <w:r w:rsidRPr="00513DF0">
              <w:rPr>
                <w:b w:val="0"/>
                <w:i/>
                <w:iCs/>
                <w:color w:val="000000"/>
                <w:sz w:val="18"/>
                <w:szCs w:val="18"/>
                <w:lang w:eastAsia="en-US"/>
              </w:rPr>
              <w:t xml:space="preserve"> </w:t>
            </w:r>
            <w:r w:rsidRPr="00005BEA">
              <w:rPr>
                <w:b w:val="0"/>
                <w:i/>
                <w:iCs/>
                <w:color w:val="000000"/>
                <w:sz w:val="18"/>
                <w:szCs w:val="18"/>
                <w:lang w:val="en-US" w:eastAsia="en-US"/>
              </w:rPr>
              <w:t>փուլի</w:t>
            </w:r>
            <w:r w:rsidRPr="00513DF0">
              <w:rPr>
                <w:b w:val="0"/>
                <w:i/>
                <w:iCs/>
                <w:color w:val="000000"/>
                <w:sz w:val="18"/>
                <w:szCs w:val="18"/>
                <w:lang w:eastAsia="en-US"/>
              </w:rPr>
              <w:t xml:space="preserve"> </w:t>
            </w:r>
            <w:r w:rsidRPr="00005BEA">
              <w:rPr>
                <w:b w:val="0"/>
                <w:i/>
                <w:iCs/>
                <w:color w:val="000000"/>
                <w:sz w:val="18"/>
                <w:szCs w:val="18"/>
                <w:lang w:val="en-US" w:eastAsia="en-US"/>
              </w:rPr>
              <w:t>աշխատանքների</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գործունեություններ</w:t>
            </w:r>
            <w:r w:rsidRPr="00513DF0">
              <w:rPr>
                <w:b w:val="0"/>
                <w:i/>
                <w:iCs/>
                <w:color w:val="000000"/>
                <w:sz w:val="18"/>
                <w:szCs w:val="18"/>
                <w:lang w:eastAsia="en-US"/>
              </w:rPr>
              <w:t>,</w:t>
            </w:r>
            <w:r w:rsidRPr="00513DF0">
              <w:rPr>
                <w:bCs/>
                <w:i/>
                <w:iCs/>
                <w:color w:val="000000"/>
                <w:sz w:val="18"/>
                <w:szCs w:val="18"/>
                <w:lang w:eastAsia="en-US"/>
              </w:rPr>
              <w:t xml:space="preserve"> </w:t>
            </w:r>
          </w:p>
          <w:p w:rsidR="00005BEA" w:rsidRPr="00513DF0" w:rsidRDefault="00005BEA" w:rsidP="00005BEA">
            <w:pPr>
              <w:tabs>
                <w:tab w:val="left" w:pos="510"/>
              </w:tabs>
              <w:spacing w:before="0" w:line="240" w:lineRule="auto"/>
              <w:ind w:firstLine="240"/>
              <w:contextualSpacing w:val="0"/>
              <w:jc w:val="left"/>
              <w:rPr>
                <w:bCs/>
                <w:i/>
                <w:iCs/>
                <w:color w:val="000000"/>
                <w:sz w:val="18"/>
                <w:szCs w:val="18"/>
                <w:lang w:eastAsia="en-US"/>
              </w:rPr>
            </w:pPr>
            <w:r w:rsidRPr="00513DF0">
              <w:rPr>
                <w:bCs/>
                <w:i/>
                <w:iCs/>
                <w:color w:val="000000"/>
                <w:sz w:val="18"/>
                <w:szCs w:val="18"/>
                <w:lang w:eastAsia="en-US"/>
              </w:rPr>
              <w:t>2.</w:t>
            </w:r>
            <w:r w:rsidRPr="00513DF0">
              <w:rPr>
                <w:bCs/>
                <w:i/>
                <w:iCs/>
                <w:color w:val="000000"/>
                <w:sz w:val="18"/>
                <w:szCs w:val="18"/>
                <w:lang w:eastAsia="en-US"/>
              </w:rPr>
              <w:tab/>
            </w:r>
            <w:r w:rsidRPr="00005BEA">
              <w:rPr>
                <w:bCs/>
                <w:i/>
                <w:iCs/>
                <w:color w:val="000000"/>
                <w:sz w:val="18"/>
                <w:szCs w:val="18"/>
                <w:lang w:val="en-US" w:eastAsia="en-US"/>
              </w:rPr>
              <w:t>ապրիլի</w:t>
            </w:r>
            <w:r w:rsidRPr="00513DF0">
              <w:rPr>
                <w:bCs/>
                <w:i/>
                <w:iCs/>
                <w:color w:val="000000"/>
                <w:sz w:val="18"/>
                <w:szCs w:val="18"/>
                <w:lang w:eastAsia="en-US"/>
              </w:rPr>
              <w:t xml:space="preserve"> 23-</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արտադրությունների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մեծածախ</w:t>
            </w:r>
            <w:r w:rsidRPr="00513DF0">
              <w:rPr>
                <w:b w:val="0"/>
                <w:i/>
                <w:iCs/>
                <w:color w:val="000000"/>
                <w:sz w:val="18"/>
                <w:szCs w:val="18"/>
                <w:lang w:eastAsia="en-US"/>
              </w:rPr>
              <w:t xml:space="preserve"> </w:t>
            </w:r>
            <w:r w:rsidRPr="00005BEA">
              <w:rPr>
                <w:b w:val="0"/>
                <w:i/>
                <w:iCs/>
                <w:color w:val="000000"/>
                <w:sz w:val="18"/>
                <w:szCs w:val="18"/>
                <w:lang w:val="en-US" w:eastAsia="en-US"/>
              </w:rPr>
              <w:t>առևտրի</w:t>
            </w:r>
            <w:r w:rsidRPr="00513DF0">
              <w:rPr>
                <w:b w:val="0"/>
                <w:i/>
                <w:iCs/>
                <w:color w:val="000000"/>
                <w:sz w:val="18"/>
                <w:szCs w:val="18"/>
                <w:lang w:eastAsia="en-US"/>
              </w:rPr>
              <w:t xml:space="preserve">, </w:t>
            </w:r>
            <w:r w:rsidRPr="00005BEA">
              <w:rPr>
                <w:b w:val="0"/>
                <w:i/>
                <w:iCs/>
                <w:color w:val="000000"/>
                <w:sz w:val="18"/>
                <w:szCs w:val="18"/>
                <w:lang w:val="en-US" w:eastAsia="en-US"/>
              </w:rPr>
              <w:t>անշարժ</w:t>
            </w:r>
            <w:r w:rsidRPr="00513DF0">
              <w:rPr>
                <w:b w:val="0"/>
                <w:i/>
                <w:iCs/>
                <w:color w:val="000000"/>
                <w:sz w:val="18"/>
                <w:szCs w:val="18"/>
                <w:lang w:eastAsia="en-US"/>
              </w:rPr>
              <w:t xml:space="preserve"> </w:t>
            </w:r>
            <w:r w:rsidRPr="00005BEA">
              <w:rPr>
                <w:b w:val="0"/>
                <w:i/>
                <w:iCs/>
                <w:color w:val="000000"/>
                <w:sz w:val="18"/>
                <w:szCs w:val="18"/>
                <w:lang w:val="en-US" w:eastAsia="en-US"/>
              </w:rPr>
              <w:t>գույքի</w:t>
            </w:r>
            <w:r w:rsidRPr="00513DF0">
              <w:rPr>
                <w:b w:val="0"/>
                <w:i/>
                <w:iCs/>
                <w:color w:val="000000"/>
                <w:sz w:val="18"/>
                <w:szCs w:val="18"/>
                <w:lang w:eastAsia="en-US"/>
              </w:rPr>
              <w:t xml:space="preserve"> </w:t>
            </w:r>
            <w:r w:rsidRPr="00005BEA">
              <w:rPr>
                <w:b w:val="0"/>
                <w:i/>
                <w:iCs/>
                <w:color w:val="000000"/>
                <w:sz w:val="18"/>
                <w:szCs w:val="18"/>
                <w:lang w:val="en-US" w:eastAsia="en-US"/>
              </w:rPr>
              <w:t>հետ</w:t>
            </w:r>
            <w:r w:rsidRPr="00513DF0">
              <w:rPr>
                <w:b w:val="0"/>
                <w:i/>
                <w:iCs/>
                <w:color w:val="000000"/>
                <w:sz w:val="18"/>
                <w:szCs w:val="18"/>
                <w:lang w:eastAsia="en-US"/>
              </w:rPr>
              <w:t xml:space="preserve"> </w:t>
            </w:r>
            <w:r w:rsidRPr="00005BEA">
              <w:rPr>
                <w:b w:val="0"/>
                <w:i/>
                <w:iCs/>
                <w:color w:val="000000"/>
                <w:sz w:val="18"/>
                <w:szCs w:val="18"/>
                <w:lang w:val="en-US" w:eastAsia="en-US"/>
              </w:rPr>
              <w:t>կապված</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նորոգման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ծառայությունների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մատուցումը</w:t>
            </w:r>
            <w:r w:rsidRPr="00513DF0">
              <w:rPr>
                <w:bCs/>
                <w:i/>
                <w:iCs/>
                <w:color w:val="000000"/>
                <w:sz w:val="18"/>
                <w:szCs w:val="18"/>
                <w:lang w:eastAsia="en-US"/>
              </w:rPr>
              <w:t xml:space="preserve">, </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513DF0">
              <w:rPr>
                <w:bCs/>
                <w:i/>
                <w:iCs/>
                <w:color w:val="000000"/>
                <w:sz w:val="18"/>
                <w:szCs w:val="18"/>
                <w:lang w:eastAsia="en-US"/>
              </w:rPr>
              <w:t>3.</w:t>
            </w:r>
            <w:r w:rsidRPr="00513DF0">
              <w:rPr>
                <w:bCs/>
                <w:i/>
                <w:iCs/>
                <w:color w:val="000000"/>
                <w:sz w:val="18"/>
                <w:szCs w:val="18"/>
                <w:lang w:eastAsia="en-US"/>
              </w:rPr>
              <w:tab/>
            </w:r>
            <w:r w:rsidRPr="00005BEA">
              <w:rPr>
                <w:bCs/>
                <w:i/>
                <w:iCs/>
                <w:color w:val="000000"/>
                <w:sz w:val="18"/>
                <w:szCs w:val="18"/>
                <w:lang w:val="en-US" w:eastAsia="en-US"/>
              </w:rPr>
              <w:t>մայիսի</w:t>
            </w:r>
            <w:r w:rsidRPr="00513DF0">
              <w:rPr>
                <w:bCs/>
                <w:i/>
                <w:iCs/>
                <w:color w:val="000000"/>
                <w:sz w:val="18"/>
                <w:szCs w:val="18"/>
                <w:lang w:eastAsia="en-US"/>
              </w:rPr>
              <w:t xml:space="preserve"> 4-</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ամբողջ</w:t>
            </w:r>
            <w:r w:rsidRPr="00513DF0">
              <w:rPr>
                <w:b w:val="0"/>
                <w:i/>
                <w:iCs/>
                <w:color w:val="000000"/>
                <w:sz w:val="18"/>
                <w:szCs w:val="18"/>
                <w:lang w:eastAsia="en-US"/>
              </w:rPr>
              <w:t xml:space="preserve"> </w:t>
            </w:r>
            <w:r w:rsidRPr="00005BEA">
              <w:rPr>
                <w:b w:val="0"/>
                <w:i/>
                <w:iCs/>
                <w:color w:val="000000"/>
                <w:sz w:val="18"/>
                <w:szCs w:val="18"/>
                <w:lang w:val="en-US" w:eastAsia="en-US"/>
              </w:rPr>
              <w:t>մշակող</w:t>
            </w:r>
            <w:r w:rsidRPr="00513DF0">
              <w:rPr>
                <w:b w:val="0"/>
                <w:i/>
                <w:iCs/>
                <w:color w:val="000000"/>
                <w:sz w:val="18"/>
                <w:szCs w:val="18"/>
                <w:lang w:eastAsia="en-US"/>
              </w:rPr>
              <w:t xml:space="preserve"> </w:t>
            </w:r>
            <w:r w:rsidRPr="00005BEA">
              <w:rPr>
                <w:b w:val="0"/>
                <w:i/>
                <w:iCs/>
                <w:color w:val="000000"/>
                <w:sz w:val="18"/>
                <w:szCs w:val="18"/>
                <w:lang w:val="en-US" w:eastAsia="en-US"/>
              </w:rPr>
              <w:t>արդյունաբերությունը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շինարարությունը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առևտուրը</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մոլերի</w:t>
            </w:r>
            <w:r w:rsidRPr="00513DF0">
              <w:rPr>
                <w:b w:val="0"/>
                <w:i/>
                <w:iCs/>
                <w:color w:val="000000"/>
                <w:sz w:val="18"/>
                <w:szCs w:val="18"/>
                <w:lang w:eastAsia="en-US"/>
              </w:rPr>
              <w:t xml:space="preserve">, </w:t>
            </w:r>
            <w:r w:rsidRPr="00005BEA">
              <w:rPr>
                <w:b w:val="0"/>
                <w:i/>
                <w:iCs/>
                <w:color w:val="000000"/>
                <w:sz w:val="18"/>
                <w:szCs w:val="18"/>
                <w:lang w:val="en-US" w:eastAsia="en-US"/>
              </w:rPr>
              <w:t>առևտրի</w:t>
            </w:r>
            <w:r w:rsidRPr="00513DF0">
              <w:rPr>
                <w:b w:val="0"/>
                <w:i/>
                <w:iCs/>
                <w:color w:val="000000"/>
                <w:sz w:val="18"/>
                <w:szCs w:val="18"/>
                <w:lang w:eastAsia="en-US"/>
              </w:rPr>
              <w:t xml:space="preserve"> </w:t>
            </w:r>
            <w:r w:rsidRPr="00005BEA">
              <w:rPr>
                <w:b w:val="0"/>
                <w:i/>
                <w:iCs/>
                <w:color w:val="000000"/>
                <w:sz w:val="18"/>
                <w:szCs w:val="18"/>
                <w:lang w:val="en-US" w:eastAsia="en-US"/>
              </w:rPr>
              <w:t>կենտրոնների</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շուկաների</w:t>
            </w:r>
            <w:r w:rsidRPr="00513DF0">
              <w:rPr>
                <w:b w:val="0"/>
                <w:i/>
                <w:iCs/>
                <w:color w:val="000000"/>
                <w:sz w:val="18"/>
                <w:szCs w:val="18"/>
                <w:lang w:eastAsia="en-US"/>
              </w:rPr>
              <w:t xml:space="preserve">), </w:t>
            </w:r>
            <w:r w:rsidRPr="00005BEA">
              <w:rPr>
                <w:b w:val="0"/>
                <w:i/>
                <w:iCs/>
                <w:color w:val="000000"/>
                <w:sz w:val="18"/>
                <w:szCs w:val="18"/>
                <w:lang w:val="en-US" w:eastAsia="en-US"/>
              </w:rPr>
              <w:t>տեղեկատվության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կապի</w:t>
            </w:r>
            <w:r w:rsidRPr="00513DF0">
              <w:rPr>
                <w:b w:val="0"/>
                <w:i/>
                <w:iCs/>
                <w:color w:val="000000"/>
                <w:sz w:val="18"/>
                <w:szCs w:val="18"/>
                <w:lang w:eastAsia="en-US"/>
              </w:rPr>
              <w:t xml:space="preserve"> </w:t>
            </w:r>
            <w:r w:rsidRPr="00005BEA">
              <w:rPr>
                <w:b w:val="0"/>
                <w:i/>
                <w:iCs/>
                <w:color w:val="000000"/>
                <w:sz w:val="18"/>
                <w:szCs w:val="18"/>
                <w:lang w:val="en-US" w:eastAsia="en-US"/>
              </w:rPr>
              <w:t>ոլորտի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ռեստորանների</w:t>
            </w:r>
            <w:r w:rsidRPr="00513DF0">
              <w:rPr>
                <w:b w:val="0"/>
                <w:i/>
                <w:iCs/>
                <w:color w:val="000000"/>
                <w:sz w:val="18"/>
                <w:szCs w:val="18"/>
                <w:lang w:eastAsia="en-US"/>
              </w:rPr>
              <w:t xml:space="preserve">, </w:t>
            </w:r>
            <w:r w:rsidRPr="00005BEA">
              <w:rPr>
                <w:b w:val="0"/>
                <w:i/>
                <w:iCs/>
                <w:color w:val="000000"/>
                <w:sz w:val="18"/>
                <w:szCs w:val="18"/>
                <w:lang w:val="en-US" w:eastAsia="en-US"/>
              </w:rPr>
              <w:t>բարերի</w:t>
            </w:r>
            <w:r w:rsidRPr="00513DF0">
              <w:rPr>
                <w:b w:val="0"/>
                <w:i/>
                <w:iCs/>
                <w:color w:val="000000"/>
                <w:sz w:val="18"/>
                <w:szCs w:val="18"/>
                <w:lang w:eastAsia="en-US"/>
              </w:rPr>
              <w:t xml:space="preserve">, </w:t>
            </w:r>
            <w:r w:rsidRPr="00005BEA">
              <w:rPr>
                <w:b w:val="0"/>
                <w:i/>
                <w:iCs/>
                <w:color w:val="000000"/>
                <w:sz w:val="18"/>
                <w:szCs w:val="18"/>
                <w:lang w:val="en-US" w:eastAsia="en-US"/>
              </w:rPr>
              <w:t>սրճարանների</w:t>
            </w:r>
            <w:r w:rsidRPr="00513DF0">
              <w:rPr>
                <w:b w:val="0"/>
                <w:i/>
                <w:iCs/>
                <w:color w:val="000000"/>
                <w:sz w:val="18"/>
                <w:szCs w:val="18"/>
                <w:lang w:eastAsia="en-US"/>
              </w:rPr>
              <w:t xml:space="preserve">, </w:t>
            </w:r>
            <w:r w:rsidRPr="00005BEA">
              <w:rPr>
                <w:b w:val="0"/>
                <w:i/>
                <w:iCs/>
                <w:color w:val="000000"/>
                <w:sz w:val="18"/>
                <w:szCs w:val="18"/>
                <w:lang w:val="en-US" w:eastAsia="en-US"/>
              </w:rPr>
              <w:t>պանդոկների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բացառապես</w:t>
            </w:r>
            <w:r w:rsidRPr="00513DF0">
              <w:rPr>
                <w:b w:val="0"/>
                <w:i/>
                <w:iCs/>
                <w:color w:val="000000"/>
                <w:sz w:val="18"/>
                <w:szCs w:val="18"/>
                <w:lang w:eastAsia="en-US"/>
              </w:rPr>
              <w:t xml:space="preserve"> </w:t>
            </w:r>
            <w:r w:rsidRPr="00005BEA">
              <w:rPr>
                <w:b w:val="0"/>
                <w:i/>
                <w:iCs/>
                <w:color w:val="000000"/>
                <w:sz w:val="18"/>
                <w:szCs w:val="18"/>
                <w:lang w:val="en-US" w:eastAsia="en-US"/>
              </w:rPr>
              <w:t>բացօթյա</w:t>
            </w:r>
            <w:r w:rsidRPr="00513DF0">
              <w:rPr>
                <w:b w:val="0"/>
                <w:i/>
                <w:iCs/>
                <w:color w:val="000000"/>
                <w:sz w:val="18"/>
                <w:szCs w:val="18"/>
                <w:lang w:eastAsia="en-US"/>
              </w:rPr>
              <w:t xml:space="preserve"> </w:t>
            </w:r>
            <w:r w:rsidRPr="00005BEA">
              <w:rPr>
                <w:b w:val="0"/>
                <w:i/>
                <w:iCs/>
                <w:color w:val="000000"/>
                <w:sz w:val="18"/>
                <w:szCs w:val="18"/>
                <w:lang w:val="en-US" w:eastAsia="en-US"/>
              </w:rPr>
              <w:t>տարածքում</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գործունեություններ</w:t>
            </w:r>
            <w:r w:rsidRPr="00513DF0">
              <w:rPr>
                <w:b w:val="0"/>
                <w:i/>
                <w:iCs/>
                <w:color w:val="000000"/>
                <w:sz w:val="18"/>
                <w:szCs w:val="18"/>
                <w:lang w:eastAsia="en-US"/>
              </w:rPr>
              <w:t xml:space="preserve">, </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513DF0">
              <w:rPr>
                <w:bCs/>
                <w:i/>
                <w:iCs/>
                <w:color w:val="000000"/>
                <w:sz w:val="18"/>
                <w:szCs w:val="18"/>
                <w:lang w:eastAsia="en-US"/>
              </w:rPr>
              <w:t xml:space="preserve">4. </w:t>
            </w:r>
            <w:r w:rsidRPr="00005BEA">
              <w:rPr>
                <w:bCs/>
                <w:i/>
                <w:iCs/>
                <w:color w:val="000000"/>
                <w:sz w:val="18"/>
                <w:szCs w:val="18"/>
                <w:lang w:val="en-US" w:eastAsia="en-US"/>
              </w:rPr>
              <w:t>մայիսի</w:t>
            </w:r>
            <w:r w:rsidRPr="00513DF0">
              <w:rPr>
                <w:bCs/>
                <w:i/>
                <w:iCs/>
                <w:color w:val="000000"/>
                <w:sz w:val="18"/>
                <w:szCs w:val="18"/>
                <w:lang w:eastAsia="en-US"/>
              </w:rPr>
              <w:t xml:space="preserve"> 18-</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տնտեսական</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բոլոր</w:t>
            </w:r>
            <w:r w:rsidRPr="00513DF0">
              <w:rPr>
                <w:b w:val="0"/>
                <w:i/>
                <w:iCs/>
                <w:color w:val="000000"/>
                <w:sz w:val="18"/>
                <w:szCs w:val="18"/>
                <w:lang w:eastAsia="en-US"/>
              </w:rPr>
              <w:t xml:space="preserve"> </w:t>
            </w:r>
            <w:r w:rsidRPr="00005BEA">
              <w:rPr>
                <w:b w:val="0"/>
                <w:i/>
                <w:iCs/>
                <w:color w:val="000000"/>
                <w:sz w:val="18"/>
                <w:szCs w:val="18"/>
                <w:lang w:val="en-US" w:eastAsia="en-US"/>
              </w:rPr>
              <w:t>տեսակների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սակայն</w:t>
            </w:r>
            <w:r w:rsidRPr="00513DF0">
              <w:rPr>
                <w:b w:val="0"/>
                <w:i/>
                <w:iCs/>
                <w:color w:val="000000"/>
                <w:sz w:val="18"/>
                <w:szCs w:val="18"/>
                <w:lang w:eastAsia="en-US"/>
              </w:rPr>
              <w:t xml:space="preserve"> </w:t>
            </w:r>
            <w:r w:rsidRPr="00005BEA">
              <w:rPr>
                <w:b w:val="0"/>
                <w:i/>
                <w:iCs/>
                <w:color w:val="000000"/>
                <w:sz w:val="18"/>
                <w:szCs w:val="18"/>
                <w:lang w:val="en-US" w:eastAsia="en-US"/>
              </w:rPr>
              <w:t>շարունակեցին</w:t>
            </w:r>
            <w:r w:rsidRPr="00513DF0">
              <w:rPr>
                <w:b w:val="0"/>
                <w:i/>
                <w:iCs/>
                <w:color w:val="000000"/>
                <w:sz w:val="18"/>
                <w:szCs w:val="18"/>
                <w:lang w:eastAsia="en-US"/>
              </w:rPr>
              <w:t xml:space="preserve"> </w:t>
            </w:r>
            <w:r w:rsidRPr="00005BEA">
              <w:rPr>
                <w:b w:val="0"/>
                <w:i/>
                <w:iCs/>
                <w:color w:val="000000"/>
                <w:sz w:val="18"/>
                <w:szCs w:val="18"/>
                <w:lang w:val="en-US" w:eastAsia="en-US"/>
              </w:rPr>
              <w:t>գործել</w:t>
            </w:r>
            <w:r w:rsidRPr="00513DF0">
              <w:rPr>
                <w:b w:val="0"/>
                <w:i/>
                <w:iCs/>
                <w:color w:val="000000"/>
                <w:sz w:val="18"/>
                <w:szCs w:val="18"/>
                <w:lang w:eastAsia="en-US"/>
              </w:rPr>
              <w:t xml:space="preserve"> </w:t>
            </w:r>
            <w:r w:rsidRPr="00005BEA">
              <w:rPr>
                <w:b w:val="0"/>
                <w:i/>
                <w:iCs/>
                <w:color w:val="000000"/>
                <w:sz w:val="18"/>
                <w:szCs w:val="18"/>
                <w:lang w:val="en-US" w:eastAsia="en-US"/>
              </w:rPr>
              <w:t>հեռավար</w:t>
            </w:r>
            <w:r w:rsidRPr="00513DF0">
              <w:rPr>
                <w:b w:val="0"/>
                <w:i/>
                <w:iCs/>
                <w:color w:val="000000"/>
                <w:sz w:val="18"/>
                <w:szCs w:val="18"/>
                <w:lang w:eastAsia="en-US"/>
              </w:rPr>
              <w:t xml:space="preserve"> </w:t>
            </w:r>
            <w:r w:rsidRPr="00005BEA">
              <w:rPr>
                <w:b w:val="0"/>
                <w:i/>
                <w:iCs/>
                <w:color w:val="000000"/>
                <w:sz w:val="18"/>
                <w:szCs w:val="18"/>
                <w:lang w:val="en-US" w:eastAsia="en-US"/>
              </w:rPr>
              <w:t>ուսուցումը</w:t>
            </w:r>
            <w:r w:rsidRPr="00005BEA">
              <w:rPr>
                <w:b w:val="0"/>
                <w:i/>
                <w:iCs/>
                <w:color w:val="000000"/>
                <w:sz w:val="18"/>
                <w:szCs w:val="18"/>
                <w:lang w:val="hy-AM" w:eastAsia="en-US"/>
              </w:rPr>
              <w:t>,</w:t>
            </w:r>
            <w:r w:rsidRPr="00513DF0">
              <w:rPr>
                <w:b w:val="0"/>
                <w:i/>
                <w:iCs/>
                <w:color w:val="000000"/>
                <w:sz w:val="18"/>
                <w:szCs w:val="18"/>
                <w:lang w:eastAsia="en-US"/>
              </w:rPr>
              <w:t xml:space="preserve"> </w:t>
            </w:r>
            <w:r w:rsidRPr="00005BEA">
              <w:rPr>
                <w:b w:val="0"/>
                <w:i/>
                <w:iCs/>
                <w:color w:val="000000"/>
                <w:sz w:val="18"/>
                <w:szCs w:val="18"/>
                <w:lang w:val="en-US" w:eastAsia="en-US"/>
              </w:rPr>
              <w:t>հեռավար</w:t>
            </w:r>
            <w:r w:rsidRPr="00513DF0">
              <w:rPr>
                <w:b w:val="0"/>
                <w:i/>
                <w:iCs/>
                <w:color w:val="000000"/>
                <w:sz w:val="18"/>
                <w:szCs w:val="18"/>
                <w:lang w:eastAsia="en-US"/>
              </w:rPr>
              <w:t xml:space="preserve"> </w:t>
            </w:r>
            <w:r w:rsidRPr="00005BEA">
              <w:rPr>
                <w:b w:val="0"/>
                <w:i/>
                <w:iCs/>
                <w:color w:val="000000"/>
                <w:sz w:val="18"/>
                <w:szCs w:val="18"/>
                <w:lang w:val="en-US" w:eastAsia="en-US"/>
              </w:rPr>
              <w:t>կազմակերպման</w:t>
            </w:r>
            <w:r w:rsidRPr="00513DF0">
              <w:rPr>
                <w:b w:val="0"/>
                <w:i/>
                <w:iCs/>
                <w:color w:val="000000"/>
                <w:sz w:val="18"/>
                <w:szCs w:val="18"/>
                <w:lang w:eastAsia="en-US"/>
              </w:rPr>
              <w:t xml:space="preserve"> </w:t>
            </w:r>
            <w:r w:rsidRPr="00005BEA">
              <w:rPr>
                <w:b w:val="0"/>
                <w:i/>
                <w:iCs/>
                <w:color w:val="000000"/>
                <w:sz w:val="18"/>
                <w:szCs w:val="18"/>
                <w:lang w:val="en-US" w:eastAsia="en-US"/>
              </w:rPr>
              <w:t>հնարավորություն</w:t>
            </w:r>
            <w:r w:rsidRPr="00513DF0">
              <w:rPr>
                <w:b w:val="0"/>
                <w:i/>
                <w:iCs/>
                <w:color w:val="000000"/>
                <w:sz w:val="18"/>
                <w:szCs w:val="18"/>
                <w:lang w:eastAsia="en-US"/>
              </w:rPr>
              <w:t xml:space="preserve"> </w:t>
            </w:r>
            <w:r w:rsidRPr="00005BEA">
              <w:rPr>
                <w:b w:val="0"/>
                <w:i/>
                <w:iCs/>
                <w:color w:val="000000"/>
                <w:sz w:val="18"/>
                <w:szCs w:val="18"/>
                <w:lang w:val="en-US" w:eastAsia="en-US"/>
              </w:rPr>
              <w:t>ունեցող</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տեսակները</w:t>
            </w:r>
            <w:r w:rsidRPr="00005BEA">
              <w:rPr>
                <w:b w:val="0"/>
                <w:i/>
                <w:iCs/>
                <w:color w:val="000000"/>
                <w:sz w:val="18"/>
                <w:szCs w:val="18"/>
                <w:lang w:val="hy-AM" w:eastAsia="en-US"/>
              </w:rPr>
              <w:t xml:space="preserve">, հանրային միջոցառումների և որոշ բժշկական նշանակության ապրանքների և դեղորայքի հետ կապված որոշակի սահմանափակումներ, </w:t>
            </w:r>
            <w:r w:rsidRPr="00005BEA">
              <w:rPr>
                <w:b w:val="0"/>
                <w:i/>
                <w:iCs/>
                <w:color w:val="000000"/>
                <w:sz w:val="18"/>
                <w:szCs w:val="18"/>
                <w:lang w:val="en-US" w:eastAsia="en-US"/>
              </w:rPr>
              <w:t>ինչպես</w:t>
            </w:r>
            <w:r w:rsidRPr="00513DF0">
              <w:rPr>
                <w:b w:val="0"/>
                <w:i/>
                <w:iCs/>
                <w:color w:val="000000"/>
                <w:sz w:val="18"/>
                <w:szCs w:val="18"/>
                <w:lang w:eastAsia="en-US"/>
              </w:rPr>
              <w:t xml:space="preserve"> </w:t>
            </w:r>
            <w:r w:rsidRPr="00005BEA">
              <w:rPr>
                <w:b w:val="0"/>
                <w:i/>
                <w:iCs/>
                <w:color w:val="000000"/>
                <w:sz w:val="18"/>
                <w:szCs w:val="18"/>
                <w:lang w:val="en-US" w:eastAsia="en-US"/>
              </w:rPr>
              <w:t>նաև</w:t>
            </w:r>
            <w:r w:rsidRPr="00513DF0">
              <w:rPr>
                <w:b w:val="0"/>
                <w:i/>
                <w:iCs/>
                <w:color w:val="000000"/>
                <w:sz w:val="18"/>
                <w:szCs w:val="18"/>
                <w:lang w:eastAsia="en-US"/>
              </w:rPr>
              <w:t xml:space="preserve"> </w:t>
            </w:r>
            <w:r w:rsidRPr="00005BEA">
              <w:rPr>
                <w:b w:val="0"/>
                <w:i/>
                <w:iCs/>
                <w:color w:val="000000"/>
                <w:sz w:val="18"/>
                <w:szCs w:val="18"/>
                <w:lang w:val="en-US" w:eastAsia="en-US"/>
              </w:rPr>
              <w:t>որոշակի</w:t>
            </w:r>
            <w:r w:rsidRPr="00513DF0">
              <w:rPr>
                <w:b w:val="0"/>
                <w:i/>
                <w:iCs/>
                <w:color w:val="000000"/>
                <w:sz w:val="18"/>
                <w:szCs w:val="18"/>
                <w:lang w:eastAsia="en-US"/>
              </w:rPr>
              <w:t xml:space="preserve"> </w:t>
            </w:r>
            <w:r w:rsidRPr="00005BEA">
              <w:rPr>
                <w:b w:val="0"/>
                <w:i/>
                <w:iCs/>
                <w:color w:val="000000"/>
                <w:sz w:val="18"/>
                <w:szCs w:val="18"/>
                <w:lang w:val="en-US" w:eastAsia="en-US"/>
              </w:rPr>
              <w:t>ժամանակահատվածով</w:t>
            </w:r>
            <w:r w:rsidRPr="00513DF0">
              <w:rPr>
                <w:b w:val="0"/>
                <w:i/>
                <w:iCs/>
                <w:color w:val="000000"/>
                <w:sz w:val="18"/>
                <w:szCs w:val="18"/>
                <w:lang w:eastAsia="en-US"/>
              </w:rPr>
              <w:t xml:space="preserve"> </w:t>
            </w:r>
            <w:r w:rsidRPr="00005BEA">
              <w:rPr>
                <w:b w:val="0"/>
                <w:i/>
                <w:iCs/>
                <w:color w:val="000000"/>
                <w:sz w:val="18"/>
                <w:szCs w:val="18"/>
                <w:lang w:val="en-US" w:eastAsia="en-US"/>
              </w:rPr>
              <w:t>ըստ</w:t>
            </w:r>
            <w:r w:rsidRPr="00513DF0">
              <w:rPr>
                <w:b w:val="0"/>
                <w:i/>
                <w:iCs/>
                <w:color w:val="000000"/>
                <w:sz w:val="18"/>
                <w:szCs w:val="18"/>
                <w:lang w:eastAsia="en-US"/>
              </w:rPr>
              <w:t xml:space="preserve"> </w:t>
            </w:r>
            <w:r w:rsidRPr="00005BEA">
              <w:rPr>
                <w:b w:val="0"/>
                <w:i/>
                <w:iCs/>
                <w:color w:val="000000"/>
                <w:sz w:val="18"/>
                <w:szCs w:val="18"/>
                <w:lang w:val="en-US" w:eastAsia="en-US"/>
              </w:rPr>
              <w:t>անհրաժեշտության</w:t>
            </w:r>
            <w:r w:rsidRPr="00513DF0">
              <w:rPr>
                <w:b w:val="0"/>
                <w:i/>
                <w:iCs/>
                <w:color w:val="000000"/>
                <w:sz w:val="18"/>
                <w:szCs w:val="18"/>
                <w:lang w:eastAsia="en-US"/>
              </w:rPr>
              <w:t xml:space="preserve"> </w:t>
            </w:r>
            <w:r w:rsidRPr="00005BEA">
              <w:rPr>
                <w:b w:val="0"/>
                <w:i/>
                <w:iCs/>
                <w:color w:val="000000"/>
                <w:sz w:val="18"/>
                <w:szCs w:val="18"/>
                <w:lang w:val="en-US" w:eastAsia="en-US"/>
              </w:rPr>
              <w:t>շարունակվեց</w:t>
            </w:r>
            <w:r w:rsidRPr="00513DF0">
              <w:rPr>
                <w:b w:val="0"/>
                <w:i/>
                <w:iCs/>
                <w:color w:val="000000"/>
                <w:sz w:val="18"/>
                <w:szCs w:val="18"/>
                <w:lang w:eastAsia="en-US"/>
              </w:rPr>
              <w:t xml:space="preserve"> </w:t>
            </w:r>
            <w:r w:rsidRPr="00005BEA">
              <w:rPr>
                <w:b w:val="0"/>
                <w:i/>
                <w:iCs/>
                <w:color w:val="000000"/>
                <w:sz w:val="18"/>
                <w:szCs w:val="18"/>
                <w:lang w:val="en-US" w:eastAsia="en-US"/>
              </w:rPr>
              <w:t>կասեցվել</w:t>
            </w:r>
            <w:r w:rsidRPr="00513DF0">
              <w:rPr>
                <w:b w:val="0"/>
                <w:i/>
                <w:iCs/>
                <w:color w:val="000000"/>
                <w:sz w:val="18"/>
                <w:szCs w:val="18"/>
                <w:lang w:eastAsia="en-US"/>
              </w:rPr>
              <w:t xml:space="preserve"> </w:t>
            </w:r>
            <w:r w:rsidRPr="00005BEA">
              <w:rPr>
                <w:b w:val="0"/>
                <w:i/>
                <w:iCs/>
                <w:color w:val="000000"/>
                <w:sz w:val="18"/>
                <w:szCs w:val="18"/>
                <w:lang w:val="en-US" w:eastAsia="en-US"/>
              </w:rPr>
              <w:t>առանձին</w:t>
            </w:r>
            <w:r w:rsidRPr="00513DF0">
              <w:rPr>
                <w:b w:val="0"/>
                <w:i/>
                <w:iCs/>
                <w:color w:val="000000"/>
                <w:sz w:val="18"/>
                <w:szCs w:val="18"/>
                <w:lang w:eastAsia="en-US"/>
              </w:rPr>
              <w:t xml:space="preserve"> </w:t>
            </w:r>
            <w:r w:rsidRPr="00005BEA">
              <w:rPr>
                <w:b w:val="0"/>
                <w:i/>
                <w:iCs/>
                <w:color w:val="000000"/>
                <w:sz w:val="18"/>
                <w:szCs w:val="18"/>
                <w:lang w:val="en-US" w:eastAsia="en-US"/>
              </w:rPr>
              <w:t>տնտեսավարողների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005BEA">
              <w:rPr>
                <w:bCs/>
                <w:i/>
                <w:iCs/>
                <w:color w:val="000000"/>
                <w:sz w:val="18"/>
                <w:szCs w:val="18"/>
                <w:lang w:val="hy-AM" w:eastAsia="en-US"/>
              </w:rPr>
              <w:t>5</w:t>
            </w:r>
            <w:r w:rsidRPr="00005BEA">
              <w:rPr>
                <w:rFonts w:ascii="Cambria Math" w:hAnsi="Cambria Math" w:cs="Cambria Math"/>
                <w:bCs/>
                <w:i/>
                <w:iCs/>
                <w:color w:val="000000"/>
                <w:sz w:val="18"/>
                <w:szCs w:val="18"/>
                <w:lang w:val="hy-AM" w:eastAsia="en-US"/>
              </w:rPr>
              <w:t>․</w:t>
            </w:r>
            <w:r w:rsidRPr="00005BEA">
              <w:rPr>
                <w:b w:val="0"/>
                <w:i/>
                <w:iCs/>
                <w:color w:val="000000"/>
                <w:sz w:val="18"/>
                <w:szCs w:val="18"/>
                <w:lang w:val="hy-AM" w:eastAsia="en-US"/>
              </w:rPr>
              <w:t xml:space="preserve"> </w:t>
            </w:r>
            <w:r w:rsidRPr="00005BEA">
              <w:rPr>
                <w:bCs/>
                <w:i/>
                <w:iCs/>
                <w:color w:val="000000"/>
                <w:sz w:val="18"/>
                <w:szCs w:val="18"/>
                <w:lang w:val="hy-AM" w:eastAsia="en-US"/>
              </w:rPr>
              <w:t>օգոստո</w:t>
            </w:r>
            <w:r w:rsidRPr="00005BEA">
              <w:rPr>
                <w:bCs/>
                <w:i/>
                <w:iCs/>
                <w:color w:val="000000"/>
                <w:sz w:val="18"/>
                <w:szCs w:val="18"/>
                <w:lang w:val="en-US" w:eastAsia="en-US"/>
              </w:rPr>
              <w:t>սի</w:t>
            </w:r>
            <w:r w:rsidRPr="00513DF0">
              <w:rPr>
                <w:bCs/>
                <w:i/>
                <w:iCs/>
                <w:color w:val="000000"/>
                <w:sz w:val="18"/>
                <w:szCs w:val="18"/>
                <w:lang w:eastAsia="en-US"/>
              </w:rPr>
              <w:t xml:space="preserve"> 1</w:t>
            </w:r>
            <w:r w:rsidRPr="00005BEA">
              <w:rPr>
                <w:bCs/>
                <w:i/>
                <w:iCs/>
                <w:color w:val="000000"/>
                <w:sz w:val="18"/>
                <w:szCs w:val="18"/>
                <w:lang w:val="hy-AM" w:eastAsia="en-US"/>
              </w:rPr>
              <w:t>2</w:t>
            </w:r>
            <w:r w:rsidRPr="00513DF0">
              <w:rPr>
                <w:bCs/>
                <w:i/>
                <w:iCs/>
                <w:color w:val="000000"/>
                <w:sz w:val="18"/>
                <w:szCs w:val="18"/>
                <w:lang w:eastAsia="en-US"/>
              </w:rPr>
              <w:t>-</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hy-AM" w:eastAsia="en-US"/>
              </w:rPr>
              <w:t xml:space="preserve">ընտանեկան արարողությունների և ժամանցային բնույթի միջոցառումների անցկացումը </w:t>
            </w:r>
            <w:r w:rsidRPr="00513DF0">
              <w:rPr>
                <w:b w:val="0"/>
                <w:i/>
                <w:iCs/>
                <w:color w:val="000000"/>
                <w:sz w:val="18"/>
                <w:szCs w:val="18"/>
                <w:lang w:eastAsia="en-US"/>
              </w:rPr>
              <w:t>(</w:t>
            </w:r>
            <w:r w:rsidRPr="00005BEA">
              <w:rPr>
                <w:b w:val="0"/>
                <w:i/>
                <w:iCs/>
                <w:color w:val="000000"/>
                <w:sz w:val="18"/>
                <w:szCs w:val="18"/>
                <w:lang w:val="hy-AM" w:eastAsia="en-US"/>
              </w:rPr>
              <w:t>ոչ ավել քան 40 հոգու մասնակցությամբ</w:t>
            </w:r>
            <w:r w:rsidRPr="00513DF0">
              <w:rPr>
                <w:b w:val="0"/>
                <w:i/>
                <w:iCs/>
                <w:color w:val="000000"/>
                <w:sz w:val="18"/>
                <w:szCs w:val="18"/>
                <w:lang w:eastAsia="en-US"/>
              </w:rPr>
              <w:t>)</w:t>
            </w:r>
            <w:r w:rsidRPr="00005BEA">
              <w:rPr>
                <w:b w:val="0"/>
                <w:i/>
                <w:iCs/>
                <w:color w:val="000000"/>
                <w:sz w:val="18"/>
                <w:szCs w:val="18"/>
                <w:lang w:val="hy-AM" w:eastAsia="en-US"/>
              </w:rPr>
              <w:t>, օդային ճանապարհով ՀՀ քաղաքացի չհանդիսացող անձանց մուտքը ՀՀ, որոշ բժշկական նշանակության ապրանքների և դեղորայքի ՀՀ-ից արտահանումը</w:t>
            </w:r>
            <w:r w:rsidRPr="00513DF0">
              <w:rPr>
                <w:b w:val="0"/>
                <w:i/>
                <w:iCs/>
                <w:color w:val="000000"/>
                <w:sz w:val="18"/>
                <w:szCs w:val="18"/>
                <w:lang w:eastAsia="en-US"/>
              </w:rPr>
              <w:t>,</w:t>
            </w:r>
          </w:p>
          <w:p w:rsidR="00005BEA" w:rsidRPr="00005BEA" w:rsidRDefault="00005BEA" w:rsidP="00005BEA">
            <w:pPr>
              <w:tabs>
                <w:tab w:val="left" w:pos="510"/>
              </w:tabs>
              <w:spacing w:before="0" w:line="240" w:lineRule="auto"/>
              <w:ind w:firstLine="240"/>
              <w:contextualSpacing w:val="0"/>
              <w:jc w:val="left"/>
              <w:rPr>
                <w:b w:val="0"/>
                <w:i/>
                <w:iCs/>
                <w:color w:val="000000"/>
                <w:sz w:val="18"/>
                <w:szCs w:val="18"/>
                <w:lang w:val="hy-AM" w:eastAsia="en-US"/>
              </w:rPr>
            </w:pPr>
            <w:r w:rsidRPr="00005BEA">
              <w:rPr>
                <w:bCs/>
                <w:i/>
                <w:iCs/>
                <w:color w:val="000000"/>
                <w:sz w:val="18"/>
                <w:szCs w:val="18"/>
                <w:lang w:val="hy-AM" w:eastAsia="en-US"/>
              </w:rPr>
              <w:t>6</w:t>
            </w:r>
            <w:r w:rsidRPr="00005BEA">
              <w:rPr>
                <w:rFonts w:ascii="Cambria Math" w:hAnsi="Cambria Math" w:cs="Cambria Math"/>
                <w:bCs/>
                <w:i/>
                <w:iCs/>
                <w:color w:val="000000"/>
                <w:sz w:val="18"/>
                <w:szCs w:val="18"/>
                <w:lang w:val="hy-AM" w:eastAsia="en-US"/>
              </w:rPr>
              <w:t>․</w:t>
            </w:r>
            <w:r w:rsidRPr="00005BEA">
              <w:rPr>
                <w:b w:val="0"/>
                <w:i/>
                <w:iCs/>
                <w:color w:val="000000"/>
                <w:sz w:val="18"/>
                <w:szCs w:val="18"/>
                <w:lang w:val="hy-AM" w:eastAsia="en-US"/>
              </w:rPr>
              <w:t xml:space="preserve"> </w:t>
            </w:r>
            <w:r w:rsidRPr="00005BEA">
              <w:rPr>
                <w:bCs/>
                <w:i/>
                <w:iCs/>
                <w:color w:val="000000"/>
                <w:sz w:val="18"/>
                <w:szCs w:val="18"/>
                <w:lang w:val="hy-AM" w:eastAsia="en-US"/>
              </w:rPr>
              <w:t>օգոստո</w:t>
            </w:r>
            <w:r w:rsidRPr="00005BEA">
              <w:rPr>
                <w:bCs/>
                <w:i/>
                <w:iCs/>
                <w:color w:val="000000"/>
                <w:sz w:val="18"/>
                <w:szCs w:val="18"/>
                <w:lang w:val="en-US" w:eastAsia="en-US"/>
              </w:rPr>
              <w:t>սի</w:t>
            </w:r>
            <w:r w:rsidRPr="00513DF0">
              <w:rPr>
                <w:bCs/>
                <w:i/>
                <w:iCs/>
                <w:color w:val="000000"/>
                <w:sz w:val="18"/>
                <w:szCs w:val="18"/>
                <w:lang w:eastAsia="en-US"/>
              </w:rPr>
              <w:t xml:space="preserve"> 1</w:t>
            </w:r>
            <w:r w:rsidRPr="00005BEA">
              <w:rPr>
                <w:bCs/>
                <w:i/>
                <w:iCs/>
                <w:color w:val="000000"/>
                <w:sz w:val="18"/>
                <w:szCs w:val="18"/>
                <w:lang w:val="hy-AM" w:eastAsia="en-US"/>
              </w:rPr>
              <w:t>8</w:t>
            </w:r>
            <w:r w:rsidRPr="00513DF0">
              <w:rPr>
                <w:bCs/>
                <w:i/>
                <w:iCs/>
                <w:color w:val="000000"/>
                <w:sz w:val="18"/>
                <w:szCs w:val="18"/>
                <w:lang w:eastAsia="en-US"/>
              </w:rPr>
              <w:t>-</w:t>
            </w:r>
            <w:r w:rsidRPr="00005BEA">
              <w:rPr>
                <w:bCs/>
                <w:i/>
                <w:iCs/>
                <w:color w:val="000000"/>
                <w:sz w:val="18"/>
                <w:szCs w:val="18"/>
                <w:lang w:val="en-US" w:eastAsia="en-US"/>
              </w:rPr>
              <w:t>ից՝</w:t>
            </w:r>
            <w:r w:rsidRPr="00005BEA">
              <w:rPr>
                <w:bCs/>
                <w:i/>
                <w:iCs/>
                <w:color w:val="000000"/>
                <w:sz w:val="18"/>
                <w:szCs w:val="18"/>
                <w:lang w:val="hy-AM" w:eastAsia="en-US"/>
              </w:rPr>
              <w:t xml:space="preserve"> </w:t>
            </w:r>
            <w:r w:rsidRPr="00005BEA">
              <w:rPr>
                <w:b w:val="0"/>
                <w:i/>
                <w:iCs/>
                <w:color w:val="000000"/>
                <w:sz w:val="18"/>
                <w:szCs w:val="18"/>
                <w:lang w:val="hy-AM" w:eastAsia="en-US"/>
              </w:rPr>
              <w:t xml:space="preserve">գրադարանների, թանգարանների, մշակույթի ոլորտի </w:t>
            </w:r>
            <w:r w:rsidRPr="00513DF0">
              <w:rPr>
                <w:b w:val="0"/>
                <w:i/>
                <w:iCs/>
                <w:color w:val="000000"/>
                <w:sz w:val="18"/>
                <w:szCs w:val="18"/>
                <w:lang w:eastAsia="en-US"/>
              </w:rPr>
              <w:t>(</w:t>
            </w:r>
            <w:r w:rsidRPr="00005BEA">
              <w:rPr>
                <w:b w:val="0"/>
                <w:i/>
                <w:iCs/>
                <w:color w:val="000000"/>
                <w:sz w:val="18"/>
                <w:szCs w:val="18"/>
                <w:lang w:val="hy-AM" w:eastAsia="en-US"/>
              </w:rPr>
              <w:t>այդ թվում՝ թատերահամերգային միջոցառումները և կինոցուցադրությունները, որոնք պետք է անցկացվեն բացառապես բացօթյա տարածքներում</w:t>
            </w:r>
            <w:r w:rsidRPr="00513DF0">
              <w:rPr>
                <w:b w:val="0"/>
                <w:i/>
                <w:iCs/>
                <w:color w:val="000000"/>
                <w:sz w:val="18"/>
                <w:szCs w:val="18"/>
                <w:lang w:eastAsia="en-US"/>
              </w:rPr>
              <w:t xml:space="preserve">) </w:t>
            </w:r>
            <w:r w:rsidRPr="00005BEA">
              <w:rPr>
                <w:b w:val="0"/>
                <w:i/>
                <w:iCs/>
                <w:color w:val="000000"/>
                <w:sz w:val="18"/>
                <w:szCs w:val="18"/>
                <w:lang w:val="hy-AM" w:eastAsia="en-US"/>
              </w:rPr>
              <w:t>գործունեությունը</w:t>
            </w:r>
            <w:r w:rsidRPr="00513DF0">
              <w:rPr>
                <w:b w:val="0"/>
                <w:i/>
                <w:iCs/>
                <w:color w:val="000000"/>
                <w:sz w:val="18"/>
                <w:szCs w:val="18"/>
                <w:lang w:eastAsia="en-US"/>
              </w:rPr>
              <w:t>,</w:t>
            </w:r>
            <w:r w:rsidRPr="00005BEA">
              <w:rPr>
                <w:b w:val="0"/>
                <w:i/>
                <w:iCs/>
                <w:color w:val="000000"/>
                <w:sz w:val="18"/>
                <w:szCs w:val="18"/>
                <w:lang w:val="hy-AM" w:eastAsia="en-US"/>
              </w:rPr>
              <w:t xml:space="preserve"> ոչ ֆորմալ և շարունակական կրթությունը մի շարք ուղղություններով, սակայն դեռևս շարունակվեց պահպանվել սահմանափակումները արտադպրոցական սպորտային, արվեստի և մշակութային խմբակների մասով,</w:t>
            </w:r>
          </w:p>
          <w:p w:rsidR="00005BEA" w:rsidRPr="00005BEA" w:rsidRDefault="00005BEA" w:rsidP="00005BEA">
            <w:pPr>
              <w:tabs>
                <w:tab w:val="left" w:pos="510"/>
              </w:tabs>
              <w:spacing w:before="0" w:line="240" w:lineRule="auto"/>
              <w:ind w:firstLine="240"/>
              <w:contextualSpacing w:val="0"/>
              <w:jc w:val="left"/>
              <w:rPr>
                <w:b w:val="0"/>
                <w:i/>
                <w:iCs/>
                <w:color w:val="000000"/>
                <w:sz w:val="18"/>
                <w:szCs w:val="18"/>
                <w:lang w:val="hy-AM" w:eastAsia="en-US"/>
              </w:rPr>
            </w:pPr>
            <w:r w:rsidRPr="00005BEA">
              <w:rPr>
                <w:bCs/>
                <w:i/>
                <w:iCs/>
                <w:color w:val="000000"/>
                <w:sz w:val="18"/>
                <w:szCs w:val="18"/>
                <w:lang w:val="hy-AM" w:eastAsia="en-US"/>
              </w:rPr>
              <w:t xml:space="preserve">6. սեպտեմբերի 1-ից՝ </w:t>
            </w:r>
            <w:r w:rsidRPr="00005BEA">
              <w:rPr>
                <w:b w:val="0"/>
                <w:i/>
                <w:iCs/>
                <w:color w:val="000000"/>
                <w:sz w:val="18"/>
                <w:szCs w:val="18"/>
                <w:lang w:val="hy-AM" w:eastAsia="en-US"/>
              </w:rPr>
              <w:t>բուհական կրթությունը միայն բակալավրիատի 1-ի կուրսի ուսանողների համար, իսկ մնացածի մասով՝ սահմանվեց հիբրիդային (հեռավար տեսական և առկա գործնական պարապմունքներ) եղանակով ուսումնական գործընթաց,</w:t>
            </w:r>
          </w:p>
          <w:p w:rsidR="00005BEA" w:rsidRPr="00005BEA" w:rsidRDefault="00005BEA" w:rsidP="00005BEA">
            <w:pPr>
              <w:tabs>
                <w:tab w:val="left" w:pos="510"/>
              </w:tabs>
              <w:spacing w:before="0" w:line="240" w:lineRule="auto"/>
              <w:ind w:firstLine="240"/>
              <w:contextualSpacing w:val="0"/>
              <w:jc w:val="left"/>
              <w:rPr>
                <w:b w:val="0"/>
                <w:i/>
                <w:iCs/>
                <w:color w:val="000000"/>
                <w:sz w:val="18"/>
                <w:szCs w:val="18"/>
                <w:lang w:val="hy-AM" w:eastAsia="en-US"/>
              </w:rPr>
            </w:pPr>
            <w:r w:rsidRPr="00005BEA">
              <w:rPr>
                <w:b w:val="0"/>
                <w:i/>
                <w:iCs/>
                <w:color w:val="000000"/>
                <w:sz w:val="18"/>
                <w:szCs w:val="18"/>
                <w:lang w:val="hy-AM" w:eastAsia="en-US"/>
              </w:rPr>
              <w:t>7</w:t>
            </w:r>
            <w:r w:rsidRPr="00005BEA">
              <w:rPr>
                <w:rFonts w:ascii="Cambria Math" w:hAnsi="Cambria Math" w:cs="Cambria Math"/>
                <w:b w:val="0"/>
                <w:i/>
                <w:iCs/>
                <w:color w:val="000000"/>
                <w:sz w:val="18"/>
                <w:szCs w:val="18"/>
                <w:lang w:val="hy-AM" w:eastAsia="en-US"/>
              </w:rPr>
              <w:t>․</w:t>
            </w:r>
            <w:r w:rsidRPr="00005BEA">
              <w:rPr>
                <w:b w:val="0"/>
                <w:i/>
                <w:iCs/>
                <w:color w:val="000000"/>
                <w:sz w:val="18"/>
                <w:szCs w:val="18"/>
                <w:lang w:val="hy-AM" w:eastAsia="en-US"/>
              </w:rPr>
              <w:t xml:space="preserve">  </w:t>
            </w:r>
            <w:r w:rsidRPr="00005BEA">
              <w:rPr>
                <w:bCs/>
                <w:i/>
                <w:iCs/>
                <w:color w:val="000000"/>
                <w:sz w:val="18"/>
                <w:szCs w:val="18"/>
                <w:lang w:val="hy-AM" w:eastAsia="en-US"/>
              </w:rPr>
              <w:t>սեպտեմբերի 15-ից՝</w:t>
            </w:r>
            <w:r w:rsidRPr="00005BEA">
              <w:rPr>
                <w:b w:val="0"/>
                <w:i/>
                <w:iCs/>
                <w:color w:val="000000"/>
                <w:sz w:val="18"/>
                <w:szCs w:val="18"/>
                <w:lang w:val="hy-AM" w:eastAsia="en-US"/>
              </w:rPr>
              <w:t xml:space="preserve"> հանրակրթությունը, սակայն պայմանավորված համավարակի ահագնացող տեմպերով, նոյեմբերի 13-ից որոշակիորեն (ոչ ամբողջությամբ) անցում կատարվեց հեռավար ուսուցման։   </w:t>
            </w:r>
          </w:p>
          <w:p w:rsidR="00005BEA" w:rsidRPr="00005BEA" w:rsidRDefault="00005BEA" w:rsidP="00005BEA">
            <w:pPr>
              <w:tabs>
                <w:tab w:val="left" w:pos="510"/>
              </w:tabs>
              <w:spacing w:before="0" w:line="240" w:lineRule="auto"/>
              <w:ind w:firstLine="240"/>
              <w:contextualSpacing w:val="0"/>
              <w:jc w:val="left"/>
              <w:rPr>
                <w:b w:val="0"/>
                <w:i/>
                <w:iCs/>
                <w:color w:val="000000"/>
                <w:sz w:val="18"/>
                <w:szCs w:val="18"/>
                <w:lang w:val="hy-AM" w:eastAsia="en-US"/>
              </w:rPr>
            </w:pPr>
            <w:r w:rsidRPr="00005BEA">
              <w:rPr>
                <w:b w:val="0"/>
                <w:i/>
                <w:iCs/>
                <w:color w:val="000000"/>
                <w:sz w:val="18"/>
                <w:szCs w:val="18"/>
                <w:lang w:val="hy-AM" w:eastAsia="en-US"/>
              </w:rPr>
              <w:t xml:space="preserve">2020թ. սեպտեմբերի 11-ից մինչև 2021թ. հունվարի 11-ը կորոնավիրուսային հիվանդությամբ պայմանավորված հայտարարվեց </w:t>
            </w:r>
            <w:r w:rsidRPr="00005BEA">
              <w:rPr>
                <w:bCs/>
                <w:i/>
                <w:iCs/>
                <w:color w:val="000000"/>
                <w:sz w:val="18"/>
                <w:szCs w:val="18"/>
                <w:lang w:val="hy-AM" w:eastAsia="en-US"/>
              </w:rPr>
              <w:t>կարանտին</w:t>
            </w:r>
            <w:r w:rsidRPr="00005BEA">
              <w:rPr>
                <w:b w:val="0"/>
                <w:i/>
                <w:iCs/>
                <w:color w:val="000000"/>
                <w:sz w:val="18"/>
                <w:szCs w:val="18"/>
                <w:lang w:val="hy-AM" w:eastAsia="en-US"/>
              </w:rPr>
              <w:t xml:space="preserve"> (մինչ այդ գործող արտակարգ դրության փոխարեն) և սահմանվեց ՀՀ մուտքի և ելքի հատուկ ռեժիմ, մասնավորապես՝ ցամաքային սահմանի անցակետերով արգելվեց ՀՀ քաղաքացիություն չունեցող անձանց մուտքը ՀՀ (բացառությամբ սահմանված դեպքերի), իսկ հանրային միջոցառումները թույլատրվեցին միայն որոշակի սահմանափակումներով, մասնավորապես՝ տոնական, հիշատակի, սոցիալական, մշակութային, կրթական, սպորտային և այլ ժամանցային միջոցառումների (որոնք չեն հանդիսանում տնտեսական գործունեության տեսակ) մասնակիցների առավելագույն քանակ սահմանվեց 60 հոգին։</w:t>
            </w:r>
          </w:p>
          <w:p w:rsidR="00005BEA" w:rsidRPr="00005BEA" w:rsidRDefault="00005BEA" w:rsidP="00005BEA">
            <w:pPr>
              <w:tabs>
                <w:tab w:val="left" w:pos="510"/>
              </w:tabs>
              <w:spacing w:before="0" w:line="240" w:lineRule="auto"/>
              <w:ind w:firstLine="240"/>
              <w:contextualSpacing w:val="0"/>
              <w:jc w:val="left"/>
              <w:rPr>
                <w:bCs/>
                <w:i/>
                <w:iCs/>
                <w:color w:val="000000"/>
                <w:sz w:val="18"/>
                <w:szCs w:val="18"/>
                <w:lang w:val="hy-AM" w:eastAsia="en-US"/>
              </w:rPr>
            </w:pPr>
          </w:p>
        </w:tc>
      </w:tr>
    </w:tbl>
    <w:bookmarkEnd w:id="24"/>
    <w:bookmarkEnd w:id="25"/>
    <w:p w:rsidR="00005BEA" w:rsidRPr="00005BEA" w:rsidRDefault="00005BEA" w:rsidP="00005BEA">
      <w:pPr>
        <w:spacing w:before="40" w:after="120" w:line="276" w:lineRule="auto"/>
        <w:ind w:firstLine="630"/>
        <w:contextualSpacing w:val="0"/>
        <w:rPr>
          <w:rFonts w:cs="Sylfaen"/>
          <w:b w:val="0"/>
          <w:szCs w:val="22"/>
          <w:lang w:val="hy-AM" w:eastAsia="en-US"/>
        </w:rPr>
      </w:pPr>
      <w:r w:rsidRPr="00005BEA">
        <w:rPr>
          <w:rFonts w:cs="Sylfaen"/>
          <w:b w:val="0"/>
          <w:szCs w:val="22"/>
          <w:lang w:val="hy-AM" w:eastAsia="en-US"/>
        </w:rPr>
        <w:lastRenderedPageBreak/>
        <w:t xml:space="preserve"> Արդյունքում 2020թ. հունվար-սեպտեմբերին ՀՆԱ-ն կրճատվեց 7.1%-ով: Տնտեսության բոլոր ճյուղերում արձանագրվեց անկում, ընդ որում՝ տնտեսության անկումն առավելապես պայմանավորված էր ծառայությունների և շինարարության ճյուղերի նվազումներով՝ համապատասխանաբար՝ 4.3 և 1.1 տոկոսային կետերով։ </w:t>
      </w:r>
    </w:p>
    <w:tbl>
      <w:tblPr>
        <w:tblStyle w:val="TableGrid142121"/>
        <w:tblW w:w="0" w:type="auto"/>
        <w:tblLook w:val="04A0" w:firstRow="1" w:lastRow="0" w:firstColumn="1" w:lastColumn="0" w:noHBand="0" w:noVBand="1"/>
      </w:tblPr>
      <w:tblGrid>
        <w:gridCol w:w="4842"/>
        <w:gridCol w:w="4904"/>
      </w:tblGrid>
      <w:tr w:rsidR="00005BEA" w:rsidRPr="003A0B99" w:rsidTr="00005BEA">
        <w:trPr>
          <w:trHeight w:val="3827"/>
        </w:trPr>
        <w:tc>
          <w:tcPr>
            <w:tcW w:w="4963" w:type="dxa"/>
          </w:tcPr>
          <w:p w:rsidR="00005BEA" w:rsidRPr="00005BEA" w:rsidRDefault="00005BEA" w:rsidP="00005BEA">
            <w:pPr>
              <w:spacing w:before="40" w:after="120" w:line="276" w:lineRule="auto"/>
              <w:ind w:firstLine="0"/>
              <w:contextualSpacing w:val="0"/>
              <w:rPr>
                <w:rFonts w:cs="Sylfaen"/>
                <w:bCs/>
                <w:sz w:val="16"/>
                <w:lang w:val="hy-AM" w:eastAsia="en-US"/>
              </w:rPr>
            </w:pPr>
            <w:r w:rsidRPr="00005BEA">
              <w:rPr>
                <w:rFonts w:cs="Sylfaen"/>
                <w:bCs/>
                <w:i/>
                <w:iCs/>
                <w:sz w:val="16"/>
                <w:lang w:val="hy-AM" w:eastAsia="en-US"/>
              </w:rPr>
              <w:lastRenderedPageBreak/>
              <w:t xml:space="preserve">Գծապատկեր 1.8. </w:t>
            </w:r>
            <w:r w:rsidRPr="00DE6C7D">
              <w:rPr>
                <w:rFonts w:cs="Sylfaen"/>
                <w:b w:val="0"/>
                <w:bCs/>
                <w:i/>
                <w:iCs/>
                <w:sz w:val="16"/>
                <w:lang w:val="hy-AM" w:eastAsia="en-US"/>
              </w:rPr>
              <w:t>ՀՆԱ աճ (%) և ճ</w:t>
            </w:r>
            <w:r w:rsidRPr="00DE6C7D">
              <w:rPr>
                <w:rFonts w:cs="Sylfaen"/>
                <w:b w:val="0"/>
                <w:bCs/>
                <w:sz w:val="16"/>
                <w:lang w:val="hy-AM" w:eastAsia="en-US"/>
              </w:rPr>
              <w:t>յուղերի նպաստումները ՀՆԱ աճին, ( տ. կ.)</w:t>
            </w:r>
          </w:p>
          <w:p w:rsidR="00005BEA" w:rsidRPr="00005BEA" w:rsidRDefault="00005BEA" w:rsidP="00005BEA">
            <w:pPr>
              <w:spacing w:before="40" w:after="120" w:line="276" w:lineRule="auto"/>
              <w:ind w:firstLine="0"/>
              <w:contextualSpacing w:val="0"/>
              <w:rPr>
                <w:rFonts w:cs="Sylfaen"/>
                <w:bCs/>
                <w:lang w:val="hy-AM" w:eastAsia="en-US"/>
              </w:rPr>
            </w:pPr>
            <w:r w:rsidRPr="00005BEA">
              <w:rPr>
                <w:rFonts w:cs="Sylfaen"/>
                <w:noProof/>
                <w:lang w:val="en-US" w:eastAsia="en-US"/>
              </w:rPr>
              <w:drawing>
                <wp:inline distT="0" distB="0" distL="0" distR="0" wp14:anchorId="67D9EE0C" wp14:editId="2E8E2ABC">
                  <wp:extent cx="2910840" cy="2207895"/>
                  <wp:effectExtent l="0" t="0" r="0" b="0"/>
                  <wp:docPr id="91" name="Chart 91">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63" w:type="dxa"/>
          </w:tcPr>
          <w:p w:rsidR="00005BEA" w:rsidRPr="00005BEA" w:rsidRDefault="00005BEA" w:rsidP="00005BEA">
            <w:pPr>
              <w:spacing w:before="40" w:after="120" w:line="276" w:lineRule="auto"/>
              <w:ind w:firstLine="0"/>
              <w:contextualSpacing w:val="0"/>
              <w:jc w:val="left"/>
              <w:rPr>
                <w:rFonts w:cs="Sylfaen"/>
                <w:bCs/>
                <w:lang w:val="hy-AM" w:eastAsia="en-US"/>
              </w:rPr>
            </w:pPr>
            <w:r w:rsidRPr="00005BEA">
              <w:rPr>
                <w:rFonts w:cs="Sylfaen"/>
                <w:bCs/>
                <w:i/>
                <w:iCs/>
                <w:sz w:val="16"/>
                <w:lang w:val="hy-AM" w:eastAsia="en-US"/>
              </w:rPr>
              <w:t xml:space="preserve">Գծապատկեր 1.9. </w:t>
            </w:r>
            <w:r w:rsidRPr="00DE6C7D">
              <w:rPr>
                <w:rFonts w:cs="Sylfaen"/>
                <w:b w:val="0"/>
                <w:bCs/>
                <w:i/>
                <w:iCs/>
                <w:sz w:val="16"/>
                <w:lang w:val="hy-AM" w:eastAsia="en-US"/>
              </w:rPr>
              <w:t>ՀՆԱ աճ (%) և պ</w:t>
            </w:r>
            <w:r w:rsidRPr="00DE6C7D">
              <w:rPr>
                <w:rFonts w:cs="Sylfaen"/>
                <w:b w:val="0"/>
                <w:bCs/>
                <w:sz w:val="16"/>
                <w:lang w:val="hy-AM" w:eastAsia="en-US"/>
              </w:rPr>
              <w:t>ահանջարկի բաղադրիչների նպաստումները ՀՆԱ աճին, ( տ. կ.)</w:t>
            </w:r>
            <w:r w:rsidRPr="00005BEA">
              <w:rPr>
                <w:rFonts w:cs="Sylfaen"/>
                <w:bCs/>
                <w:sz w:val="16"/>
                <w:lang w:val="hy-AM" w:eastAsia="en-US"/>
              </w:rPr>
              <w:t xml:space="preserve">  </w:t>
            </w:r>
            <w:r w:rsidRPr="00005BEA">
              <w:rPr>
                <w:rFonts w:cs="Sylfaen"/>
                <w:noProof/>
                <w:lang w:val="en-US" w:eastAsia="en-US"/>
              </w:rPr>
              <w:drawing>
                <wp:inline distT="0" distB="0" distL="0" distR="0" wp14:anchorId="1F0A491D" wp14:editId="68A396B4">
                  <wp:extent cx="2964180" cy="2266950"/>
                  <wp:effectExtent l="0" t="0" r="0" b="0"/>
                  <wp:docPr id="3" name="Chart 3">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005BEA" w:rsidRPr="00005BEA" w:rsidRDefault="00005BEA" w:rsidP="00005BEA">
      <w:pPr>
        <w:spacing w:before="40" w:line="276" w:lineRule="auto"/>
        <w:ind w:firstLine="634"/>
        <w:contextualSpacing w:val="0"/>
        <w:rPr>
          <w:rFonts w:cs="Sylfaen"/>
          <w:b w:val="0"/>
          <w:szCs w:val="22"/>
          <w:lang w:val="hy-AM" w:eastAsia="en-US"/>
        </w:rPr>
      </w:pPr>
    </w:p>
    <w:p w:rsidR="00005BEA" w:rsidRPr="00005BEA" w:rsidRDefault="00005BEA" w:rsidP="00005BEA">
      <w:pPr>
        <w:spacing w:before="40" w:line="276" w:lineRule="auto"/>
        <w:ind w:firstLine="634"/>
        <w:contextualSpacing w:val="0"/>
        <w:rPr>
          <w:rFonts w:cs="Sylfaen"/>
          <w:b w:val="0"/>
          <w:szCs w:val="22"/>
          <w:lang w:val="hy-AM" w:eastAsia="en-US"/>
        </w:rPr>
      </w:pPr>
      <w:r w:rsidRPr="00005BEA">
        <w:rPr>
          <w:rFonts w:cs="Sylfaen"/>
          <w:b w:val="0"/>
          <w:szCs w:val="22"/>
          <w:lang w:val="hy-AM" w:eastAsia="en-US"/>
        </w:rPr>
        <w:t>Հոկտեմբերի կեսերից համավարակի երկրորդ ալիքի տարածման տեմպերի կտրուկ արագացման, ինչպես նաև Արցախյան պատերազմի բացասական ազդեցությունների ա</w:t>
      </w:r>
      <w:r w:rsidRPr="00005BEA">
        <w:rPr>
          <w:rFonts w:cs="Sylfaen"/>
          <w:b w:val="0"/>
          <w:bCs/>
          <w:szCs w:val="22"/>
          <w:lang w:val="hy-AM" w:eastAsia="en-US"/>
        </w:rPr>
        <w:t>րդյունքում տնտեսական ակտիվության անկումը հոկտեմբեր ամսին կրկին խորացավ։</w:t>
      </w:r>
      <w:r w:rsidRPr="00005BEA">
        <w:rPr>
          <w:rFonts w:cs="Sylfaen"/>
          <w:bCs/>
          <w:szCs w:val="22"/>
          <w:lang w:val="hy-AM" w:eastAsia="en-US"/>
        </w:rPr>
        <w:t xml:space="preserve"> </w:t>
      </w:r>
      <w:r w:rsidRPr="00005BEA">
        <w:rPr>
          <w:rFonts w:cs="Sylfaen"/>
          <w:b w:val="0"/>
          <w:szCs w:val="22"/>
          <w:lang w:val="hy-AM" w:eastAsia="en-US"/>
        </w:rPr>
        <w:t>Արդյունքում</w:t>
      </w:r>
      <w:r w:rsidRPr="00005BEA">
        <w:rPr>
          <w:rFonts w:cs="Sylfaen"/>
          <w:bCs/>
          <w:szCs w:val="22"/>
          <w:lang w:val="hy-AM" w:eastAsia="en-US"/>
        </w:rPr>
        <w:t xml:space="preserve"> </w:t>
      </w:r>
      <w:r w:rsidRPr="00005BEA">
        <w:rPr>
          <w:rFonts w:cs="Sylfaen"/>
          <w:b w:val="0"/>
          <w:szCs w:val="22"/>
          <w:lang w:val="hy-AM" w:eastAsia="en-US"/>
        </w:rPr>
        <w:t>2020թ. հունվար-հոկտեմբերին արձանագրվեց տնտեսական ակտիվության (ՏԱՑ) 6.7% նվազում, ինչը զիջում է նախորդ տարվա ցուցանիշը 13.8 տոկոսային կետով: Տնտեսական ակտիվության նվազումը պայմանավորված է եղել ծառայությունների (6.0 տոկոսային կետ), առևտրի (1.6 տոկոսային կետ) և շինարարության (0.9 տոկոսային կետ) համախառն թողարկումների իրական անկումներով, իսկ արդյունաբերությունը 0.1 տոկոսային կետով հակազդել է</w:t>
      </w:r>
      <w:r w:rsidRPr="00005BEA">
        <w:rPr>
          <w:rFonts w:cs="Sylfaen"/>
          <w:b w:val="0"/>
          <w:szCs w:val="22"/>
          <w:vertAlign w:val="superscript"/>
          <w:lang w:eastAsia="en-US"/>
        </w:rPr>
        <w:footnoteReference w:id="5"/>
      </w:r>
      <w:r w:rsidRPr="00005BEA">
        <w:rPr>
          <w:rFonts w:cs="Sylfaen"/>
          <w:b w:val="0"/>
          <w:szCs w:val="22"/>
          <w:lang w:val="hy-AM" w:eastAsia="en-US"/>
        </w:rPr>
        <w:t xml:space="preserve"> տնտեսական ակտիվության անկմանը:</w:t>
      </w:r>
    </w:p>
    <w:p w:rsidR="00005BEA" w:rsidRPr="00005BEA" w:rsidRDefault="00005BEA" w:rsidP="00005BEA">
      <w:pPr>
        <w:spacing w:before="0" w:after="120" w:line="276" w:lineRule="auto"/>
        <w:ind w:firstLine="539"/>
        <w:contextualSpacing w:val="0"/>
        <w:rPr>
          <w:rFonts w:cs="Times Armenian"/>
          <w:b w:val="0"/>
          <w:bCs/>
          <w:noProof/>
          <w:szCs w:val="22"/>
          <w:lang w:val="hy-AM" w:eastAsia="en-US"/>
        </w:rPr>
      </w:pPr>
      <w:r w:rsidRPr="00005BEA">
        <w:rPr>
          <w:rFonts w:cs="Sylfaen"/>
          <w:b w:val="0"/>
          <w:noProof/>
          <w:szCs w:val="22"/>
          <w:lang w:val="hy-AM" w:eastAsia="en-US"/>
        </w:rPr>
        <w:t xml:space="preserve">Զգալի թվով պոտենցիալ հիվանդ մարդկանց առկայության, մեկուսացման, կարանտինի, արտակարգ դրության հետևանքով աշխատելու անհնարինության, կիրառվող սահմանափակումների, պատերազմական գործողությունների, ինչպես նաև առկա անորոշությունների բացասական ազդեցություներն առավելապես կրեց ծառայությունների ճյուղը: </w:t>
      </w:r>
    </w:p>
    <w:p w:rsidR="00005BEA" w:rsidRPr="00005BEA" w:rsidRDefault="00005BEA" w:rsidP="00005BEA">
      <w:pPr>
        <w:spacing w:before="0" w:after="120" w:line="276" w:lineRule="auto"/>
        <w:ind w:firstLine="539"/>
        <w:contextualSpacing w:val="0"/>
        <w:rPr>
          <w:rFonts w:cs="Times Armenian"/>
          <w:b w:val="0"/>
          <w:bCs/>
          <w:noProof/>
          <w:szCs w:val="22"/>
          <w:lang w:val="hy-AM" w:eastAsia="en-US"/>
        </w:rPr>
      </w:pPr>
      <w:r w:rsidRPr="00005BEA" w:rsidDel="00676F4B">
        <w:rPr>
          <w:rFonts w:eastAsia="GHEA Grapalat" w:cs="GHEA Grapalat"/>
          <w:szCs w:val="22"/>
          <w:lang w:val="hy-AM"/>
        </w:rPr>
        <w:t xml:space="preserve"> </w:t>
      </w:r>
    </w:p>
    <w:tbl>
      <w:tblPr>
        <w:tblStyle w:val="TableGrid142121"/>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4928"/>
        <w:gridCol w:w="4812"/>
      </w:tblGrid>
      <w:tr w:rsidR="00005BEA" w:rsidRPr="00005BEA" w:rsidTr="00005BEA">
        <w:trPr>
          <w:trHeight w:val="3846"/>
        </w:trPr>
        <w:tc>
          <w:tcPr>
            <w:tcW w:w="5122" w:type="dxa"/>
          </w:tcPr>
          <w:p w:rsidR="00005BEA" w:rsidRPr="00005BEA" w:rsidRDefault="00005BEA" w:rsidP="00005BEA">
            <w:pPr>
              <w:tabs>
                <w:tab w:val="right" w:pos="0"/>
              </w:tabs>
              <w:spacing w:after="60" w:line="240" w:lineRule="auto"/>
              <w:ind w:firstLine="0"/>
              <w:jc w:val="left"/>
              <w:rPr>
                <w:sz w:val="16"/>
                <w:szCs w:val="16"/>
                <w:lang w:val="hy-AM" w:eastAsia="en-US"/>
              </w:rPr>
            </w:pPr>
            <w:r w:rsidRPr="00005BEA">
              <w:rPr>
                <w:rFonts w:cs="Sylfaen"/>
                <w:bCs/>
                <w:i/>
                <w:sz w:val="16"/>
                <w:szCs w:val="16"/>
                <w:lang w:val="hy-AM" w:eastAsia="en-US"/>
              </w:rPr>
              <w:lastRenderedPageBreak/>
              <w:t>Գծապատկեր 1.10.</w:t>
            </w:r>
            <w:r w:rsidRPr="00005BEA">
              <w:rPr>
                <w:rFonts w:cs="Sylfaen"/>
                <w:i/>
                <w:sz w:val="16"/>
                <w:szCs w:val="16"/>
                <w:lang w:val="hy-AM" w:eastAsia="en-US"/>
              </w:rPr>
              <w:t xml:space="preserve"> </w:t>
            </w:r>
            <w:r w:rsidRPr="00DE6C7D">
              <w:rPr>
                <w:rFonts w:cs="Sylfaen"/>
                <w:b w:val="0"/>
                <w:i/>
                <w:sz w:val="16"/>
                <w:szCs w:val="16"/>
                <w:lang w:val="hy-AM" w:eastAsia="en-US"/>
              </w:rPr>
              <w:t xml:space="preserve">ՏԱՑ և տնտեսության ճյուղերի իրական աճերը նախորդ տարվա նույն ժամանակահատվածի նկատմամբ, (%) </w:t>
            </w:r>
            <w:r w:rsidRPr="00005BEA">
              <w:rPr>
                <w:noProof/>
                <w:lang w:val="en-US" w:eastAsia="en-US"/>
              </w:rPr>
              <w:drawing>
                <wp:inline distT="0" distB="0" distL="0" distR="0" wp14:anchorId="66D967EE" wp14:editId="3D750EEC">
                  <wp:extent cx="3064510" cy="1756934"/>
                  <wp:effectExtent l="0" t="0" r="2540" b="1524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5BEA" w:rsidRPr="00DE6C7D" w:rsidRDefault="00005BEA" w:rsidP="00005BEA">
            <w:pPr>
              <w:tabs>
                <w:tab w:val="right" w:pos="0"/>
              </w:tabs>
              <w:spacing w:after="60"/>
              <w:ind w:firstLine="0"/>
              <w:rPr>
                <w:rFonts w:cs="Sylfaen"/>
                <w:b w:val="0"/>
                <w:i/>
                <w:sz w:val="16"/>
                <w:szCs w:val="16"/>
                <w:lang w:val="hy-AM" w:eastAsia="en-US"/>
              </w:rPr>
            </w:pPr>
            <w:r w:rsidRPr="00DE6C7D">
              <w:rPr>
                <w:b w:val="0"/>
                <w:i/>
                <w:sz w:val="16"/>
                <w:szCs w:val="16"/>
                <w:lang w:val="hy-AM" w:eastAsia="en-US"/>
              </w:rPr>
              <w:t>Աղբյուրը՝ ՀՀ ՎԿ</w:t>
            </w:r>
          </w:p>
        </w:tc>
        <w:tc>
          <w:tcPr>
            <w:tcW w:w="5123" w:type="dxa"/>
          </w:tcPr>
          <w:p w:rsidR="00005BEA" w:rsidRPr="00005BEA" w:rsidRDefault="00005BEA" w:rsidP="00005BEA">
            <w:pPr>
              <w:tabs>
                <w:tab w:val="right" w:pos="0"/>
              </w:tabs>
              <w:spacing w:after="60" w:line="240" w:lineRule="auto"/>
              <w:ind w:firstLine="0"/>
              <w:rPr>
                <w:rFonts w:cs="Sylfaen"/>
                <w:i/>
                <w:sz w:val="16"/>
                <w:szCs w:val="16"/>
                <w:lang w:val="hy-AM" w:eastAsia="en-US"/>
              </w:rPr>
            </w:pPr>
            <w:r w:rsidRPr="00005BEA">
              <w:rPr>
                <w:noProof/>
                <w:sz w:val="16"/>
                <w:szCs w:val="16"/>
                <w:lang w:val="en-US" w:eastAsia="en-US"/>
              </w:rPr>
              <w:drawing>
                <wp:anchor distT="0" distB="0" distL="114300" distR="114300" simplePos="0" relativeHeight="251779584" behindDoc="1" locked="0" layoutInCell="1" allowOverlap="1" wp14:anchorId="4ECA3812" wp14:editId="3ED5D731">
                  <wp:simplePos x="0" y="0"/>
                  <wp:positionH relativeFrom="column">
                    <wp:posOffset>-63501</wp:posOffset>
                  </wp:positionH>
                  <wp:positionV relativeFrom="paragraph">
                    <wp:posOffset>301100</wp:posOffset>
                  </wp:positionV>
                  <wp:extent cx="3020999" cy="1820849"/>
                  <wp:effectExtent l="0" t="0" r="8255" b="8255"/>
                  <wp:wrapTight wrapText="bothSides">
                    <wp:wrapPolygon edited="0">
                      <wp:start x="0" y="0"/>
                      <wp:lineTo x="0" y="21472"/>
                      <wp:lineTo x="21523" y="21472"/>
                      <wp:lineTo x="21523"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005BEA">
              <w:rPr>
                <w:rFonts w:cs="Sylfaen"/>
                <w:i/>
                <w:sz w:val="16"/>
                <w:szCs w:val="16"/>
                <w:lang w:val="hy-AM" w:eastAsia="en-US"/>
              </w:rPr>
              <w:t xml:space="preserve">Գծապատկեր 1.11. </w:t>
            </w:r>
            <w:r w:rsidRPr="00DE6C7D">
              <w:rPr>
                <w:rFonts w:cs="Sylfaen"/>
                <w:b w:val="0"/>
                <w:i/>
                <w:sz w:val="16"/>
                <w:szCs w:val="16"/>
                <w:lang w:val="hy-AM" w:eastAsia="en-US"/>
              </w:rPr>
              <w:t>ՏԱՑ և տնտեսության ճյուղերի իրական աճերը նախորդ տարվա նույն ամսվա նկատմամբ, (%)</w:t>
            </w:r>
          </w:p>
          <w:p w:rsidR="00005BEA" w:rsidRPr="00DE6C7D" w:rsidRDefault="00005BEA" w:rsidP="00005BEA">
            <w:pPr>
              <w:spacing w:before="40" w:after="60" w:line="312" w:lineRule="auto"/>
              <w:ind w:firstLine="0"/>
              <w:contextualSpacing w:val="0"/>
              <w:rPr>
                <w:b w:val="0"/>
                <w:i/>
                <w:sz w:val="16"/>
                <w:szCs w:val="16"/>
                <w:lang w:val="hy-AM" w:eastAsia="en-US"/>
              </w:rPr>
            </w:pPr>
            <w:r w:rsidRPr="00DE6C7D">
              <w:rPr>
                <w:b w:val="0"/>
                <w:i/>
                <w:sz w:val="16"/>
                <w:szCs w:val="16"/>
                <w:lang w:val="hy-AM" w:eastAsia="en-US"/>
              </w:rPr>
              <w:t>Աղբյուրը՝ ՀՀ ՎԿ</w:t>
            </w:r>
            <w:r w:rsidRPr="00DE6C7D" w:rsidDel="00DA0563">
              <w:rPr>
                <w:b w:val="0"/>
                <w:i/>
                <w:sz w:val="16"/>
                <w:szCs w:val="16"/>
                <w:lang w:val="hy-AM" w:eastAsia="en-US"/>
              </w:rPr>
              <w:t xml:space="preserve"> </w:t>
            </w:r>
          </w:p>
        </w:tc>
      </w:tr>
      <w:tr w:rsidR="00005BEA" w:rsidRPr="003A0B99" w:rsidTr="00005BEA">
        <w:trPr>
          <w:trHeight w:val="411"/>
        </w:trPr>
        <w:tc>
          <w:tcPr>
            <w:tcW w:w="5122" w:type="dxa"/>
          </w:tcPr>
          <w:p w:rsidR="00005BEA" w:rsidRPr="00005BEA" w:rsidRDefault="00005BEA" w:rsidP="00005BEA">
            <w:pPr>
              <w:tabs>
                <w:tab w:val="right" w:pos="0"/>
              </w:tabs>
              <w:spacing w:after="60" w:line="240" w:lineRule="auto"/>
              <w:ind w:firstLine="0"/>
              <w:jc w:val="left"/>
              <w:rPr>
                <w:rFonts w:cs="Sylfaen"/>
                <w:bCs/>
                <w:i/>
                <w:sz w:val="6"/>
                <w:szCs w:val="6"/>
                <w:lang w:val="hy-AM" w:eastAsia="en-US"/>
              </w:rPr>
            </w:pPr>
          </w:p>
          <w:p w:rsidR="00005BEA" w:rsidRPr="00005BEA" w:rsidRDefault="00005BEA" w:rsidP="00005BEA">
            <w:pPr>
              <w:tabs>
                <w:tab w:val="right" w:pos="0"/>
              </w:tabs>
              <w:spacing w:after="60" w:line="240" w:lineRule="auto"/>
              <w:ind w:firstLine="0"/>
              <w:jc w:val="left"/>
              <w:rPr>
                <w:rFonts w:cs="Sylfaen"/>
                <w:i/>
                <w:sz w:val="16"/>
                <w:szCs w:val="16"/>
                <w:lang w:val="hy-AM" w:eastAsia="en-US"/>
              </w:rPr>
            </w:pPr>
            <w:r w:rsidRPr="00005BEA">
              <w:rPr>
                <w:rFonts w:cs="Sylfaen"/>
                <w:bCs/>
                <w:i/>
                <w:sz w:val="16"/>
                <w:szCs w:val="16"/>
                <w:lang w:val="hy-AM" w:eastAsia="en-US"/>
              </w:rPr>
              <w:t>Գծապատկեր 1.</w:t>
            </w:r>
            <w:r w:rsidRPr="00034178">
              <w:rPr>
                <w:rFonts w:cs="Sylfaen"/>
                <w:bCs/>
                <w:i/>
                <w:sz w:val="16"/>
                <w:szCs w:val="16"/>
                <w:lang w:eastAsia="en-US"/>
              </w:rPr>
              <w:t>12.</w:t>
            </w:r>
            <w:r w:rsidRPr="005514DD">
              <w:rPr>
                <w:rFonts w:cs="Sylfaen"/>
                <w:i/>
                <w:sz w:val="16"/>
                <w:szCs w:val="16"/>
                <w:lang w:val="hy-AM" w:eastAsia="en-US"/>
              </w:rPr>
              <w:t xml:space="preserve"> </w:t>
            </w:r>
            <w:r w:rsidRPr="00DE6C7D">
              <w:rPr>
                <w:rFonts w:cs="Sylfaen"/>
                <w:b w:val="0"/>
                <w:i/>
                <w:sz w:val="16"/>
                <w:szCs w:val="16"/>
                <w:lang w:val="hy-AM" w:eastAsia="en-US"/>
              </w:rPr>
              <w:t>Տնտեսության ճյուղերի</w:t>
            </w:r>
            <w:r w:rsidRPr="00DE6C7D">
              <w:rPr>
                <w:rFonts w:cs="Sylfaen"/>
                <w:b w:val="0"/>
                <w:i/>
                <w:sz w:val="16"/>
                <w:szCs w:val="16"/>
                <w:lang w:eastAsia="en-US"/>
              </w:rPr>
              <w:t xml:space="preserve"> </w:t>
            </w:r>
            <w:r w:rsidRPr="00DE6C7D">
              <w:rPr>
                <w:rFonts w:cs="Sylfaen"/>
                <w:b w:val="0"/>
                <w:i/>
                <w:sz w:val="16"/>
                <w:szCs w:val="16"/>
                <w:lang w:val="hy-AM" w:eastAsia="en-US"/>
              </w:rPr>
              <w:t xml:space="preserve">նպաստումները ՏԱՑ-ին (տ.կ.) </w:t>
            </w:r>
            <w:r w:rsidRPr="00005BEA">
              <w:rPr>
                <w:i/>
                <w:noProof/>
                <w:sz w:val="16"/>
                <w:szCs w:val="16"/>
                <w:lang w:val="en-US" w:eastAsia="en-US"/>
              </w:rPr>
              <w:drawing>
                <wp:inline distT="0" distB="0" distL="0" distR="0" wp14:anchorId="2CAD45AC" wp14:editId="0E56AD48">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5BEA" w:rsidRPr="00DE6C7D" w:rsidRDefault="00005BEA" w:rsidP="00005BEA">
            <w:pPr>
              <w:tabs>
                <w:tab w:val="right" w:pos="0"/>
              </w:tabs>
              <w:spacing w:after="60"/>
              <w:ind w:firstLine="0"/>
              <w:rPr>
                <w:rFonts w:cs="Sylfaen"/>
                <w:b w:val="0"/>
                <w:lang w:val="hy-AM" w:eastAsia="en-US"/>
              </w:rPr>
            </w:pPr>
            <w:r w:rsidRPr="00DE6C7D">
              <w:rPr>
                <w:b w:val="0"/>
                <w:i/>
                <w:sz w:val="16"/>
                <w:szCs w:val="16"/>
                <w:lang w:val="hy-AM" w:eastAsia="en-US"/>
              </w:rPr>
              <w:t>Աղբյուրը՝ ՀՀ ՎԿ, ՀՀ ՖՆ հաշվարկներ</w:t>
            </w:r>
            <w:r w:rsidRPr="00DE6C7D">
              <w:rPr>
                <w:b w:val="0"/>
                <w:noProof/>
                <w:lang w:val="hy-AM" w:eastAsia="en-US"/>
              </w:rPr>
              <w:t xml:space="preserve"> </w:t>
            </w:r>
          </w:p>
        </w:tc>
        <w:tc>
          <w:tcPr>
            <w:tcW w:w="5123" w:type="dxa"/>
          </w:tcPr>
          <w:p w:rsidR="00005BEA" w:rsidRPr="00005BEA" w:rsidRDefault="00005BEA" w:rsidP="00005BEA">
            <w:pPr>
              <w:tabs>
                <w:tab w:val="right" w:pos="0"/>
              </w:tabs>
              <w:spacing w:after="60" w:line="312" w:lineRule="auto"/>
              <w:ind w:firstLine="0"/>
              <w:rPr>
                <w:rFonts w:cs="Sylfaen"/>
                <w:i/>
                <w:sz w:val="4"/>
                <w:szCs w:val="4"/>
                <w:lang w:val="hy-AM" w:eastAsia="en-US"/>
              </w:rPr>
            </w:pPr>
          </w:p>
          <w:p w:rsidR="00005BEA" w:rsidRPr="00005BEA" w:rsidRDefault="00005BEA" w:rsidP="00005BEA">
            <w:pPr>
              <w:tabs>
                <w:tab w:val="right" w:pos="0"/>
              </w:tabs>
              <w:spacing w:after="60" w:line="240" w:lineRule="auto"/>
              <w:ind w:firstLine="0"/>
              <w:rPr>
                <w:noProof/>
                <w:lang w:val="hy-AM" w:eastAsia="en-US"/>
              </w:rPr>
            </w:pPr>
            <w:r w:rsidRPr="00005BEA">
              <w:rPr>
                <w:rFonts w:cs="Sylfaen"/>
                <w:i/>
                <w:sz w:val="16"/>
                <w:szCs w:val="16"/>
                <w:lang w:val="hy-AM" w:eastAsia="en-US"/>
              </w:rPr>
              <w:t xml:space="preserve">Գծապատկեր 1.13. </w:t>
            </w:r>
            <w:r w:rsidRPr="00DE6C7D">
              <w:rPr>
                <w:rFonts w:cs="Sylfaen"/>
                <w:b w:val="0"/>
                <w:i/>
                <w:sz w:val="16"/>
                <w:szCs w:val="16"/>
                <w:lang w:val="hy-AM" w:eastAsia="en-US"/>
              </w:rPr>
              <w:t>Տնտեսության ճյուղերի նպաստումները ՏԱՑ-ին նախորդ տարվա նույն ամսվա նկատմամբ,</w:t>
            </w:r>
            <w:r w:rsidRPr="00DE6C7D">
              <w:rPr>
                <w:rFonts w:cs="Sylfaen"/>
                <w:b w:val="0"/>
                <w:i/>
                <w:sz w:val="18"/>
                <w:szCs w:val="18"/>
                <w:lang w:val="hy-AM" w:eastAsia="en-US"/>
              </w:rPr>
              <w:t xml:space="preserve"> </w:t>
            </w:r>
            <w:r w:rsidRPr="00DE6C7D">
              <w:rPr>
                <w:rFonts w:cs="Sylfaen"/>
                <w:b w:val="0"/>
                <w:i/>
                <w:sz w:val="16"/>
                <w:szCs w:val="18"/>
                <w:lang w:val="hy-AM" w:eastAsia="en-US"/>
              </w:rPr>
              <w:t>(տ.կ.)</w:t>
            </w:r>
            <w:r w:rsidRPr="00005BEA">
              <w:rPr>
                <w:noProof/>
                <w:lang w:val="en-US" w:eastAsia="en-US"/>
              </w:rPr>
              <w:drawing>
                <wp:inline distT="0" distB="0" distL="0" distR="0" wp14:anchorId="2E4255CF" wp14:editId="41E2B7F2">
                  <wp:extent cx="3019425" cy="1959429"/>
                  <wp:effectExtent l="0" t="0" r="9525"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5BEA" w:rsidRPr="00DE6C7D" w:rsidRDefault="00005BEA" w:rsidP="00005BEA">
            <w:pPr>
              <w:spacing w:before="40" w:after="60" w:line="312" w:lineRule="auto"/>
              <w:ind w:firstLine="0"/>
              <w:contextualSpacing w:val="0"/>
              <w:rPr>
                <w:b w:val="0"/>
                <w:i/>
                <w:sz w:val="16"/>
                <w:szCs w:val="16"/>
                <w:lang w:val="hy-AM" w:eastAsia="en-US"/>
              </w:rPr>
            </w:pPr>
            <w:r w:rsidRPr="00DE6C7D">
              <w:rPr>
                <w:b w:val="0"/>
                <w:i/>
                <w:sz w:val="16"/>
                <w:szCs w:val="16"/>
                <w:lang w:val="hy-AM" w:eastAsia="en-US"/>
              </w:rPr>
              <w:t>Աղբյուրը՝ ՀՀ ՎԿ, ՀՀ ՖՆ հաշվարկներ</w:t>
            </w:r>
          </w:p>
        </w:tc>
      </w:tr>
    </w:tbl>
    <w:p w:rsidR="00005BEA" w:rsidRPr="00005BEA" w:rsidRDefault="00005BEA" w:rsidP="00005BEA">
      <w:pPr>
        <w:tabs>
          <w:tab w:val="right" w:pos="0"/>
        </w:tabs>
        <w:spacing w:line="276" w:lineRule="auto"/>
        <w:rPr>
          <w:rFonts w:eastAsia="Calibri" w:cs="Sylfaen"/>
          <w:szCs w:val="22"/>
          <w:lang w:val="hy-AM" w:eastAsia="en-US"/>
        </w:rPr>
      </w:pPr>
      <w:r w:rsidRPr="00005BEA">
        <w:rPr>
          <w:rFonts w:eastAsia="Calibri" w:cs="Sylfaen"/>
          <w:bCs/>
          <w:szCs w:val="22"/>
          <w:lang w:val="hy-AM" w:eastAsia="en-US"/>
        </w:rPr>
        <w:t xml:space="preserve">Համավարակի բացասական ազդեցությամբ պայմանավորված նվազեց նաև </w:t>
      </w:r>
      <w:r w:rsidRPr="00005BEA">
        <w:rPr>
          <w:rFonts w:cs="Sylfaen"/>
          <w:bCs/>
          <w:noProof/>
          <w:szCs w:val="22"/>
          <w:lang w:val="hy-AM" w:eastAsia="en-US"/>
        </w:rPr>
        <w:t>ներքին պահանջարկը:</w:t>
      </w:r>
      <w:r w:rsidRPr="00005BEA">
        <w:rPr>
          <w:rFonts w:cs="Sylfaen"/>
          <w:b w:val="0"/>
          <w:noProof/>
          <w:szCs w:val="22"/>
          <w:lang w:val="hy-AM" w:eastAsia="en-US"/>
        </w:rPr>
        <w:t xml:space="preserve"> Արդեն 2020թ. առաջին ինն ամիսներին կրելով համավարակի բացասական հետևանքները՝ առկա անորոշությունների պայմաններում վերջնական սպառումը</w:t>
      </w:r>
      <w:r w:rsidRPr="00005BEA">
        <w:rPr>
          <w:rFonts w:eastAsia="Calibri" w:cs="Sylfaen"/>
          <w:b w:val="0"/>
          <w:szCs w:val="22"/>
          <w:lang w:val="hy-AM" w:eastAsia="en-US"/>
        </w:rPr>
        <w:t>, կապիտալ ներդրումները, արտահանումն ու ներմուծումը նվազեցին: Այս միտումները շարունակվեցին նաև հոկտեմբեր ամսին. դա է վկայում տնտեսությունում առկա թույլ գնաճային միջավայրը, առևտրի շրջանառության զգալի նվազումը և աշխատավարձերի աճի դանդաղումը։</w:t>
      </w:r>
      <w:r w:rsidRPr="00005BEA">
        <w:rPr>
          <w:rFonts w:eastAsia="Calibri" w:cs="Sylfaen"/>
          <w:szCs w:val="22"/>
          <w:lang w:val="hy-AM" w:eastAsia="en-US"/>
        </w:rPr>
        <w:t xml:space="preserve"> </w:t>
      </w:r>
    </w:p>
    <w:p w:rsidR="00005BEA" w:rsidRPr="00005BEA" w:rsidRDefault="00005BEA" w:rsidP="00005BEA">
      <w:pPr>
        <w:spacing w:before="40" w:after="120" w:line="276" w:lineRule="auto"/>
        <w:ind w:firstLine="360"/>
        <w:contextualSpacing w:val="0"/>
        <w:rPr>
          <w:rFonts w:eastAsia="GHEA Grapalat" w:cs="GHEA Grapalat"/>
          <w:b w:val="0"/>
          <w:szCs w:val="22"/>
          <w:lang w:val="hy-AM" w:eastAsia="en-US"/>
        </w:rPr>
      </w:pPr>
      <w:r w:rsidRPr="00005BEA">
        <w:rPr>
          <w:rFonts w:cs="Sylfaen"/>
          <w:bCs/>
          <w:szCs w:val="22"/>
          <w:u w:val="single"/>
          <w:lang w:val="hy-AM" w:eastAsia="en-US"/>
        </w:rPr>
        <w:t>Կանխատեսում։</w:t>
      </w:r>
      <w:r w:rsidRPr="00005BEA">
        <w:rPr>
          <w:rFonts w:cs="Sylfaen"/>
          <w:bCs/>
          <w:szCs w:val="22"/>
          <w:lang w:val="hy-AM" w:eastAsia="en-US"/>
        </w:rPr>
        <w:t xml:space="preserve"> </w:t>
      </w:r>
      <w:r w:rsidRPr="00005BEA">
        <w:rPr>
          <w:rFonts w:cs="Sylfaen"/>
          <w:szCs w:val="22"/>
          <w:lang w:val="hy-AM" w:eastAsia="en-US"/>
        </w:rPr>
        <w:t xml:space="preserve">Կորոնավիրուսի համաշխարհային ճգնաժամի և դրա երկրորդ ալիքի հետևանքով շարունակվող բացասական ազդեցությունների, ինչպես նաև սեպտեմբեր-նոյեմբեր ամիսներին տեղի ունեցած Արցախյան պատերազմի բացասական տնտեսական ազդեցությունների պայմաններում </w:t>
      </w:r>
      <w:r w:rsidRPr="00005BEA">
        <w:rPr>
          <w:rFonts w:eastAsia="Calibri" w:cs="Sylfaen"/>
          <w:szCs w:val="22"/>
          <w:lang w:val="hy-AM" w:eastAsia="en-US"/>
        </w:rPr>
        <w:t xml:space="preserve">2020թ. կանխատեսվում է ՀՀ տնտեսության 7.9% տնտեսական անկում, իսկ 2021թ.՝ 3.2% աճ: </w:t>
      </w:r>
      <w:r w:rsidRPr="00005BEA">
        <w:rPr>
          <w:rFonts w:eastAsia="Calibri" w:cs="Sylfaen"/>
          <w:b w:val="0"/>
          <w:szCs w:val="22"/>
          <w:lang w:val="hy-AM" w:eastAsia="en-US"/>
        </w:rPr>
        <w:t>2020թ. ա</w:t>
      </w:r>
      <w:r w:rsidRPr="00005BEA">
        <w:rPr>
          <w:rFonts w:eastAsia="Calibri" w:cs="GHEA Grapalat"/>
          <w:b w:val="0"/>
          <w:szCs w:val="22"/>
          <w:lang w:val="hy-AM" w:eastAsia="en-US"/>
        </w:rPr>
        <w:t>նկումը</w:t>
      </w:r>
      <w:r w:rsidRPr="00005BEA">
        <w:rPr>
          <w:rFonts w:eastAsia="Calibri" w:cs="Sylfaen"/>
          <w:b w:val="0"/>
          <w:szCs w:val="22"/>
          <w:lang w:val="hy-AM" w:eastAsia="en-US"/>
        </w:rPr>
        <w:t xml:space="preserve"> </w:t>
      </w:r>
      <w:r w:rsidRPr="00005BEA">
        <w:rPr>
          <w:rFonts w:eastAsia="Calibri" w:cs="GHEA Grapalat"/>
          <w:b w:val="0"/>
          <w:szCs w:val="22"/>
          <w:lang w:val="hy-AM" w:eastAsia="en-US"/>
        </w:rPr>
        <w:t>պայմանավորված</w:t>
      </w:r>
      <w:r w:rsidRPr="00005BEA">
        <w:rPr>
          <w:rFonts w:eastAsia="Calibri" w:cs="Sylfaen"/>
          <w:b w:val="0"/>
          <w:szCs w:val="22"/>
          <w:lang w:val="hy-AM" w:eastAsia="en-US"/>
        </w:rPr>
        <w:t xml:space="preserve"> </w:t>
      </w:r>
      <w:r w:rsidRPr="00005BEA">
        <w:rPr>
          <w:rFonts w:eastAsia="Calibri" w:cs="GHEA Grapalat"/>
          <w:b w:val="0"/>
          <w:szCs w:val="22"/>
          <w:lang w:val="hy-AM" w:eastAsia="en-US"/>
        </w:rPr>
        <w:t>կլինի</w:t>
      </w:r>
      <w:r w:rsidRPr="00005BEA">
        <w:rPr>
          <w:rFonts w:eastAsia="Calibri" w:cs="Sylfaen"/>
          <w:b w:val="0"/>
          <w:szCs w:val="22"/>
          <w:lang w:val="hy-AM" w:eastAsia="en-US"/>
        </w:rPr>
        <w:t xml:space="preserve"> </w:t>
      </w:r>
      <w:r w:rsidRPr="00005BEA">
        <w:rPr>
          <w:rFonts w:eastAsia="Calibri" w:cs="GHEA Grapalat"/>
          <w:b w:val="0"/>
          <w:szCs w:val="22"/>
          <w:lang w:val="hy-AM" w:eastAsia="en-US"/>
        </w:rPr>
        <w:t>առաջարկի</w:t>
      </w:r>
      <w:r w:rsidRPr="00005BEA">
        <w:rPr>
          <w:rFonts w:eastAsia="Calibri" w:cs="Sylfaen"/>
          <w:b w:val="0"/>
          <w:szCs w:val="22"/>
          <w:lang w:val="hy-AM" w:eastAsia="en-US"/>
        </w:rPr>
        <w:t xml:space="preserve"> </w:t>
      </w:r>
      <w:r w:rsidRPr="00005BEA">
        <w:rPr>
          <w:rFonts w:eastAsia="Calibri" w:cs="GHEA Grapalat"/>
          <w:b w:val="0"/>
          <w:szCs w:val="22"/>
          <w:lang w:val="hy-AM" w:eastAsia="en-US"/>
        </w:rPr>
        <w:t>և</w:t>
      </w:r>
      <w:r w:rsidRPr="00005BEA">
        <w:rPr>
          <w:rFonts w:eastAsia="Calibri" w:cs="Sylfaen"/>
          <w:b w:val="0"/>
          <w:szCs w:val="22"/>
          <w:lang w:val="hy-AM" w:eastAsia="en-US"/>
        </w:rPr>
        <w:t xml:space="preserve"> </w:t>
      </w:r>
      <w:r w:rsidRPr="00005BEA">
        <w:rPr>
          <w:rFonts w:eastAsia="Calibri" w:cs="GHEA Grapalat"/>
          <w:b w:val="0"/>
          <w:szCs w:val="22"/>
          <w:lang w:val="hy-AM" w:eastAsia="en-US"/>
        </w:rPr>
        <w:t>պահանջարկի</w:t>
      </w:r>
      <w:r w:rsidRPr="00005BEA">
        <w:rPr>
          <w:rFonts w:eastAsia="Calibri" w:cs="Sylfaen"/>
          <w:b w:val="0"/>
          <w:szCs w:val="22"/>
          <w:lang w:val="hy-AM" w:eastAsia="en-US"/>
        </w:rPr>
        <w:t xml:space="preserve"> (</w:t>
      </w:r>
      <w:r w:rsidRPr="00005BEA">
        <w:rPr>
          <w:rFonts w:eastAsia="Calibri" w:cs="GHEA Grapalat"/>
          <w:b w:val="0"/>
          <w:szCs w:val="22"/>
          <w:lang w:val="hy-AM" w:eastAsia="en-US"/>
        </w:rPr>
        <w:t>ինչպես</w:t>
      </w:r>
      <w:r w:rsidRPr="00005BEA">
        <w:rPr>
          <w:rFonts w:eastAsia="Calibri" w:cs="Sylfaen"/>
          <w:b w:val="0"/>
          <w:szCs w:val="22"/>
          <w:lang w:val="hy-AM" w:eastAsia="en-US"/>
        </w:rPr>
        <w:t xml:space="preserve"> </w:t>
      </w:r>
      <w:r w:rsidRPr="00005BEA">
        <w:rPr>
          <w:rFonts w:eastAsia="Calibri" w:cs="GHEA Grapalat"/>
          <w:b w:val="0"/>
          <w:szCs w:val="22"/>
          <w:lang w:val="hy-AM" w:eastAsia="en-US"/>
        </w:rPr>
        <w:t>ներքին,</w:t>
      </w:r>
      <w:r w:rsidRPr="00005BEA">
        <w:rPr>
          <w:rFonts w:eastAsia="Calibri" w:cs="Sylfaen"/>
          <w:b w:val="0"/>
          <w:szCs w:val="22"/>
          <w:lang w:val="hy-AM" w:eastAsia="en-US"/>
        </w:rPr>
        <w:t xml:space="preserve"> </w:t>
      </w:r>
      <w:r w:rsidRPr="00005BEA">
        <w:rPr>
          <w:rFonts w:eastAsia="Calibri" w:cs="GHEA Grapalat"/>
          <w:b w:val="0"/>
          <w:szCs w:val="22"/>
          <w:lang w:val="hy-AM" w:eastAsia="en-US"/>
        </w:rPr>
        <w:t>այնպես</w:t>
      </w:r>
      <w:r w:rsidRPr="00005BEA">
        <w:rPr>
          <w:rFonts w:eastAsia="Calibri" w:cs="Sylfaen"/>
          <w:b w:val="0"/>
          <w:szCs w:val="22"/>
          <w:lang w:val="hy-AM" w:eastAsia="en-US"/>
        </w:rPr>
        <w:t xml:space="preserve"> </w:t>
      </w:r>
      <w:r w:rsidRPr="00005BEA">
        <w:rPr>
          <w:rFonts w:eastAsia="Calibri" w:cs="GHEA Grapalat"/>
          <w:b w:val="0"/>
          <w:szCs w:val="22"/>
          <w:lang w:val="hy-AM" w:eastAsia="en-US"/>
        </w:rPr>
        <w:t>էլ</w:t>
      </w:r>
      <w:r w:rsidRPr="00005BEA">
        <w:rPr>
          <w:rFonts w:eastAsia="Calibri" w:cs="Sylfaen"/>
          <w:b w:val="0"/>
          <w:szCs w:val="22"/>
          <w:lang w:val="hy-AM" w:eastAsia="en-US"/>
        </w:rPr>
        <w:t xml:space="preserve"> </w:t>
      </w:r>
      <w:r w:rsidRPr="00005BEA">
        <w:rPr>
          <w:rFonts w:eastAsia="Calibri" w:cs="GHEA Grapalat"/>
          <w:b w:val="0"/>
          <w:szCs w:val="22"/>
          <w:lang w:val="hy-AM" w:eastAsia="en-US"/>
        </w:rPr>
        <w:t>արտաքին</w:t>
      </w:r>
      <w:r w:rsidRPr="00005BEA">
        <w:rPr>
          <w:rFonts w:eastAsia="Calibri" w:cs="Sylfaen"/>
          <w:b w:val="0"/>
          <w:szCs w:val="22"/>
          <w:lang w:val="hy-AM" w:eastAsia="en-US"/>
        </w:rPr>
        <w:t xml:space="preserve">) </w:t>
      </w:r>
      <w:r w:rsidRPr="00005BEA">
        <w:rPr>
          <w:rFonts w:eastAsia="Calibri" w:cs="GHEA Grapalat"/>
          <w:b w:val="0"/>
          <w:szCs w:val="22"/>
          <w:lang w:val="hy-AM" w:eastAsia="en-US"/>
        </w:rPr>
        <w:t>բացասական</w:t>
      </w:r>
      <w:r w:rsidRPr="00005BEA">
        <w:rPr>
          <w:rFonts w:eastAsia="Calibri" w:cs="Sylfaen"/>
          <w:b w:val="0"/>
          <w:szCs w:val="22"/>
          <w:lang w:val="hy-AM" w:eastAsia="en-US"/>
        </w:rPr>
        <w:t xml:space="preserve"> </w:t>
      </w:r>
      <w:r w:rsidRPr="00005BEA">
        <w:rPr>
          <w:rFonts w:eastAsia="Calibri" w:cs="GHEA Grapalat"/>
          <w:b w:val="0"/>
          <w:szCs w:val="22"/>
          <w:lang w:val="hy-AM" w:eastAsia="en-US"/>
        </w:rPr>
        <w:t>շոկերով</w:t>
      </w:r>
      <w:r w:rsidRPr="00005BEA">
        <w:rPr>
          <w:rFonts w:eastAsia="GHEA Grapalat" w:cs="GHEA Grapalat"/>
          <w:b w:val="0"/>
          <w:szCs w:val="22"/>
          <w:lang w:val="hy-AM" w:eastAsia="en-US"/>
        </w:rPr>
        <w:t>։ ՀՀ կառավարության և ԿԲ կողմից վարվող խթանող հարկաբյուջետային և դրամավարկային քաղաքականության արդյունքում 2020թ.</w:t>
      </w:r>
      <w:r w:rsidRPr="00005BEA" w:rsidDel="00301E27">
        <w:rPr>
          <w:rFonts w:eastAsia="GHEA Grapalat" w:cs="GHEA Grapalat"/>
          <w:b w:val="0"/>
          <w:szCs w:val="22"/>
          <w:lang w:val="hy-AM" w:eastAsia="en-US"/>
        </w:rPr>
        <w:t xml:space="preserve"> </w:t>
      </w:r>
      <w:r w:rsidRPr="00005BEA">
        <w:rPr>
          <w:rFonts w:eastAsia="GHEA Grapalat" w:cs="GHEA Grapalat"/>
          <w:b w:val="0"/>
          <w:szCs w:val="22"/>
          <w:lang w:val="hy-AM" w:eastAsia="en-US"/>
        </w:rPr>
        <w:t xml:space="preserve">ՀՆԱ անկումը որոշակիորեն կմեղմվի։ Բացասական ազդեցությունների աստիճանական չեզոքացման հետ մեկտեղ տնտեսական աճը կվերականգնվի և </w:t>
      </w:r>
      <w:r w:rsidRPr="00005BEA">
        <w:rPr>
          <w:rFonts w:eastAsia="Calibri" w:cs="Sylfaen"/>
          <w:b w:val="0"/>
          <w:szCs w:val="22"/>
          <w:lang w:val="hy-AM" w:eastAsia="en-US"/>
        </w:rPr>
        <w:t xml:space="preserve">2021թ. </w:t>
      </w:r>
      <w:r w:rsidRPr="00005BEA">
        <w:rPr>
          <w:rFonts w:eastAsia="MS Mincho" w:cs="Sylfaen"/>
          <w:b w:val="0"/>
          <w:szCs w:val="22"/>
          <w:lang w:val="hy-AM" w:eastAsia="en-US"/>
        </w:rPr>
        <w:t>տնտեսական աճը կլինի իր ներուժային մակարդակին մոտ</w:t>
      </w:r>
      <w:r w:rsidRPr="00005BEA">
        <w:rPr>
          <w:rFonts w:eastAsia="Calibri" w:cs="Sylfaen"/>
          <w:b w:val="0"/>
          <w:szCs w:val="22"/>
          <w:lang w:val="hy-AM" w:eastAsia="en-US"/>
        </w:rPr>
        <w:t xml:space="preserve">: </w:t>
      </w:r>
      <w:r w:rsidRPr="00005BEA">
        <w:rPr>
          <w:rFonts w:eastAsia="GHEA Grapalat" w:cs="GHEA Grapalat"/>
          <w:b w:val="0"/>
          <w:szCs w:val="22"/>
          <w:lang w:val="hy-AM" w:eastAsia="en-US"/>
        </w:rPr>
        <w:t xml:space="preserve">Տնտեսական աճը պայմանավորված կլինի հիմնականում ծառայությունների և արդյունաբերության ճյուղերի աճերով: Տնտեսության մյուս ճյուղերը նույնպես դրական ազդեցություն կունենան տնտեսական </w:t>
      </w:r>
      <w:r w:rsidRPr="00005BEA">
        <w:rPr>
          <w:rFonts w:eastAsia="GHEA Grapalat" w:cs="GHEA Grapalat"/>
          <w:b w:val="0"/>
          <w:szCs w:val="22"/>
          <w:lang w:val="hy-AM" w:eastAsia="en-US"/>
        </w:rPr>
        <w:lastRenderedPageBreak/>
        <w:t xml:space="preserve">աճի վրա: Ամբողջական պահանջարկը նույնպես կաճի՝ պայմանավորված հիմնականում ներքին սպառողական և ներդրումային պահանջարկի աճերով: </w:t>
      </w:r>
    </w:p>
    <w:p w:rsidR="00005BEA" w:rsidRPr="00005BEA" w:rsidRDefault="00005BEA" w:rsidP="00005BEA">
      <w:pPr>
        <w:spacing w:before="40" w:after="120" w:line="276" w:lineRule="auto"/>
        <w:ind w:firstLine="360"/>
        <w:contextualSpacing w:val="0"/>
        <w:rPr>
          <w:rFonts w:cs="Sylfaen"/>
          <w:b w:val="0"/>
          <w:szCs w:val="22"/>
          <w:lang w:val="hy-AM" w:eastAsia="en-US"/>
        </w:rPr>
      </w:pPr>
      <w:r w:rsidRPr="00005BEA">
        <w:rPr>
          <w:rFonts w:cs="Sylfaen"/>
          <w:b w:val="0"/>
          <w:szCs w:val="22"/>
          <w:lang w:val="it-IT" w:eastAsia="en-US"/>
        </w:rPr>
        <w:t>2020</w:t>
      </w:r>
      <w:r w:rsidRPr="00005BEA">
        <w:rPr>
          <w:rFonts w:cs="Sylfaen"/>
          <w:b w:val="0"/>
          <w:szCs w:val="22"/>
          <w:lang w:val="hy-AM" w:eastAsia="en-US"/>
        </w:rPr>
        <w:t>թ.</w:t>
      </w:r>
      <w:r w:rsidRPr="00005BEA">
        <w:rPr>
          <w:rFonts w:cs="Sylfaen"/>
          <w:b w:val="0"/>
          <w:szCs w:val="22"/>
          <w:lang w:val="it-IT" w:eastAsia="en-US"/>
        </w:rPr>
        <w:t xml:space="preserve"> </w:t>
      </w:r>
      <w:r w:rsidRPr="00005BEA">
        <w:rPr>
          <w:rFonts w:cs="Times Armenian"/>
          <w:b w:val="0"/>
          <w:szCs w:val="22"/>
          <w:lang w:val="it-IT" w:eastAsia="en-US"/>
        </w:rPr>
        <w:t>դեֆլյատորը կաճի</w:t>
      </w:r>
      <w:r w:rsidRPr="00005BEA">
        <w:rPr>
          <w:rFonts w:cs="Times Armenian"/>
          <w:b w:val="0"/>
          <w:szCs w:val="22"/>
          <w:lang w:val="hy-AM" w:eastAsia="en-US"/>
        </w:rPr>
        <w:t>՝</w:t>
      </w:r>
      <w:r w:rsidRPr="00005BEA">
        <w:rPr>
          <w:rFonts w:cs="Times Armenian"/>
          <w:b w:val="0"/>
          <w:szCs w:val="22"/>
          <w:lang w:val="it-IT" w:eastAsia="en-US"/>
        </w:rPr>
        <w:t xml:space="preserve"> </w:t>
      </w:r>
      <w:r w:rsidRPr="00005BEA">
        <w:rPr>
          <w:rFonts w:cs="Times Armenian"/>
          <w:b w:val="0"/>
          <w:szCs w:val="22"/>
          <w:lang w:val="hy-AM" w:eastAsia="en-US"/>
        </w:rPr>
        <w:t>պայմանավորված</w:t>
      </w:r>
      <w:r w:rsidRPr="00005BEA">
        <w:rPr>
          <w:rFonts w:cs="Sylfaen"/>
          <w:b w:val="0"/>
          <w:szCs w:val="22"/>
          <w:lang w:val="hy-AM" w:eastAsia="en-US"/>
        </w:rPr>
        <w:t xml:space="preserve"> ՍԳԻ-ի և</w:t>
      </w:r>
      <w:r w:rsidRPr="00005BEA">
        <w:rPr>
          <w:rFonts w:cs="Sylfaen"/>
          <w:b w:val="0"/>
          <w:szCs w:val="22"/>
          <w:lang w:val="it-IT" w:eastAsia="en-US"/>
        </w:rPr>
        <w:t xml:space="preserve"> </w:t>
      </w:r>
      <w:r w:rsidRPr="00005BEA">
        <w:rPr>
          <w:rFonts w:cs="Sylfaen"/>
          <w:b w:val="0"/>
          <w:szCs w:val="22"/>
          <w:lang w:val="hy-AM" w:eastAsia="en-US"/>
        </w:rPr>
        <w:t>ապրանքների միջազգային գների զարգացումներով, իսկ 2021թ.՝ ՍԳԻ-ին համահունչ կարագանա:</w:t>
      </w:r>
    </w:p>
    <w:p w:rsidR="00005BEA" w:rsidRPr="00005BEA" w:rsidRDefault="00005BEA" w:rsidP="00005BEA">
      <w:pPr>
        <w:tabs>
          <w:tab w:val="right" w:pos="0"/>
        </w:tabs>
        <w:spacing w:before="40" w:after="120" w:line="276" w:lineRule="auto"/>
        <w:rPr>
          <w:rFonts w:cs="Sylfaen"/>
          <w:szCs w:val="22"/>
          <w:lang w:val="hy-AM" w:eastAsia="en-US"/>
        </w:rPr>
      </w:pPr>
      <w:r w:rsidRPr="00005BEA">
        <w:rPr>
          <w:rFonts w:cs="Sylfaen"/>
          <w:szCs w:val="22"/>
          <w:lang w:val="hy-AM" w:eastAsia="en-US"/>
        </w:rPr>
        <w:t>Վերոնշյալ զարգացումների պայմաններում անվանական ՀՆԱ-ն 2020թ. կկազմի 6,075.9 մլրդ դրամ՝ 1,019.2 մլրդ դրամով պակաս լինելով 2020թ. պետական բյուջեով ծրագրված ցուցանիշից, և 429.2 մլրդ դրամով` 2021-2023թթ. ՄԺԾԾ ցուցանիշից: Իսկ 2021թ. անվանական ՀՆԱ-ն կաճի՝ կազմելով 6,395.3 մլրդ դրամ։</w:t>
      </w:r>
    </w:p>
    <w:tbl>
      <w:tblPr>
        <w:tblStyle w:val="TableGrid73121"/>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870"/>
        <w:gridCol w:w="4870"/>
      </w:tblGrid>
      <w:tr w:rsidR="00005BEA" w:rsidRPr="003A0B99" w:rsidTr="00005BEA">
        <w:trPr>
          <w:trHeight w:val="3489"/>
        </w:trPr>
        <w:tc>
          <w:tcPr>
            <w:tcW w:w="4825" w:type="dxa"/>
          </w:tcPr>
          <w:p w:rsidR="00005BEA" w:rsidRPr="00005BEA" w:rsidRDefault="00005BEA" w:rsidP="00005BEA">
            <w:pPr>
              <w:spacing w:before="0" w:line="240" w:lineRule="auto"/>
              <w:ind w:firstLine="0"/>
              <w:contextualSpacing w:val="0"/>
              <w:rPr>
                <w:sz w:val="2"/>
                <w:szCs w:val="2"/>
                <w:lang w:val="hy-AM" w:eastAsia="en-US"/>
              </w:rPr>
            </w:pPr>
          </w:p>
          <w:p w:rsidR="00005BEA" w:rsidRPr="00DE6C7D" w:rsidRDefault="00005BEA" w:rsidP="00005BEA">
            <w:pPr>
              <w:spacing w:before="0" w:line="240" w:lineRule="auto"/>
              <w:ind w:firstLine="0"/>
              <w:contextualSpacing w:val="0"/>
              <w:rPr>
                <w:b w:val="0"/>
                <w:i/>
                <w:sz w:val="18"/>
                <w:szCs w:val="18"/>
                <w:lang w:val="hy-AM" w:eastAsia="en-US"/>
              </w:rPr>
            </w:pPr>
            <w:r w:rsidRPr="00005BEA">
              <w:rPr>
                <w:i/>
                <w:sz w:val="18"/>
                <w:szCs w:val="18"/>
                <w:lang w:val="hy-AM" w:eastAsia="en-US"/>
              </w:rPr>
              <w:t>Գծապատկեր 1.14.</w:t>
            </w:r>
            <w:r w:rsidRPr="00005BEA">
              <w:rPr>
                <w:sz w:val="16"/>
                <w:szCs w:val="16"/>
                <w:lang w:val="hy-AM" w:eastAsia="en-US"/>
              </w:rPr>
              <w:t xml:space="preserve"> </w:t>
            </w:r>
            <w:r w:rsidRPr="00DE6C7D">
              <w:rPr>
                <w:b w:val="0"/>
                <w:i/>
                <w:sz w:val="18"/>
                <w:szCs w:val="18"/>
                <w:lang w:val="hy-AM" w:eastAsia="en-US"/>
              </w:rPr>
              <w:t>Անվանական ՀՆԱ և տնտեսական աճ</w:t>
            </w:r>
          </w:p>
          <w:p w:rsidR="00005BEA" w:rsidRPr="00005BEA" w:rsidRDefault="00005BEA" w:rsidP="00005BEA">
            <w:pPr>
              <w:spacing w:before="0" w:line="240" w:lineRule="auto"/>
              <w:ind w:firstLine="0"/>
              <w:contextualSpacing w:val="0"/>
              <w:rPr>
                <w:sz w:val="16"/>
                <w:szCs w:val="16"/>
                <w:lang w:val="hy-AM" w:eastAsia="en-US"/>
              </w:rPr>
            </w:pPr>
            <w:r w:rsidRPr="00005BEA">
              <w:rPr>
                <w:i/>
                <w:noProof/>
                <w:sz w:val="18"/>
                <w:szCs w:val="18"/>
                <w:lang w:val="en-US" w:eastAsia="en-US"/>
              </w:rPr>
              <w:drawing>
                <wp:anchor distT="0" distB="0" distL="114300" distR="114300" simplePos="0" relativeHeight="251777536" behindDoc="0" locked="0" layoutInCell="1" allowOverlap="1" wp14:anchorId="31B79F46" wp14:editId="6C660A88">
                  <wp:simplePos x="0" y="0"/>
                  <wp:positionH relativeFrom="column">
                    <wp:posOffset>-32385</wp:posOffset>
                  </wp:positionH>
                  <wp:positionV relativeFrom="paragraph">
                    <wp:posOffset>156845</wp:posOffset>
                  </wp:positionV>
                  <wp:extent cx="3123565" cy="1697990"/>
                  <wp:effectExtent l="0" t="0" r="635" b="1651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05BEA" w:rsidRPr="0095510F" w:rsidRDefault="00005BEA" w:rsidP="00005BEA">
            <w:pPr>
              <w:spacing w:before="0" w:line="259" w:lineRule="auto"/>
              <w:ind w:firstLine="0"/>
              <w:contextualSpacing w:val="0"/>
              <w:rPr>
                <w:b w:val="0"/>
                <w:i/>
                <w:sz w:val="16"/>
                <w:szCs w:val="16"/>
                <w:lang w:val="hy-AM" w:eastAsia="en-US"/>
              </w:rPr>
            </w:pPr>
            <w:r w:rsidRPr="0095510F">
              <w:rPr>
                <w:b w:val="0"/>
                <w:i/>
                <w:sz w:val="16"/>
                <w:szCs w:val="16"/>
                <w:lang w:val="hy-AM" w:eastAsia="en-US"/>
              </w:rPr>
              <w:t>Աղբյուրը՝ ՀՀ ՎԿ, ՀՀ ՖՆ հաշվարկներ և կանխատեսումներ</w:t>
            </w:r>
          </w:p>
        </w:tc>
        <w:tc>
          <w:tcPr>
            <w:tcW w:w="4825" w:type="dxa"/>
          </w:tcPr>
          <w:p w:rsidR="00005BEA" w:rsidRPr="00005BEA" w:rsidRDefault="00005BEA" w:rsidP="00005BEA">
            <w:pPr>
              <w:spacing w:before="0" w:line="240" w:lineRule="auto"/>
              <w:ind w:firstLine="0"/>
              <w:contextualSpacing w:val="0"/>
              <w:jc w:val="left"/>
              <w:rPr>
                <w:sz w:val="2"/>
                <w:szCs w:val="2"/>
                <w:lang w:val="hy-AM" w:eastAsia="en-US"/>
              </w:rPr>
            </w:pPr>
          </w:p>
          <w:p w:rsidR="00005BEA" w:rsidRPr="00005BEA" w:rsidRDefault="00005BEA" w:rsidP="00005BEA">
            <w:pPr>
              <w:spacing w:before="0" w:line="240" w:lineRule="auto"/>
              <w:ind w:firstLine="0"/>
              <w:contextualSpacing w:val="0"/>
              <w:jc w:val="left"/>
              <w:rPr>
                <w:i/>
                <w:sz w:val="18"/>
                <w:szCs w:val="18"/>
                <w:lang w:val="hy-AM" w:eastAsia="en-US"/>
              </w:rPr>
            </w:pPr>
            <w:r w:rsidRPr="00005BEA">
              <w:rPr>
                <w:i/>
                <w:sz w:val="18"/>
                <w:szCs w:val="18"/>
                <w:lang w:val="hy-AM" w:eastAsia="en-US"/>
              </w:rPr>
              <w:t>Գծապատկեր 1.15.</w:t>
            </w:r>
            <w:r w:rsidRPr="00005BEA">
              <w:rPr>
                <w:color w:val="FF0000"/>
                <w:sz w:val="16"/>
                <w:szCs w:val="16"/>
                <w:lang w:val="hy-AM" w:eastAsia="en-US"/>
              </w:rPr>
              <w:t xml:space="preserve"> </w:t>
            </w:r>
            <w:r w:rsidRPr="00DE6C7D">
              <w:rPr>
                <w:b w:val="0"/>
                <w:i/>
                <w:sz w:val="18"/>
                <w:szCs w:val="18"/>
                <w:lang w:val="hy-AM" w:eastAsia="en-US"/>
              </w:rPr>
              <w:t>Իրական ՀՆԱ անկումը/աճը տնտեսական ճգնաժամերի տարիներին, (%)</w:t>
            </w:r>
          </w:p>
          <w:p w:rsidR="00005BEA" w:rsidRPr="00005BEA" w:rsidRDefault="00005BEA" w:rsidP="00005BEA">
            <w:pPr>
              <w:spacing w:before="0" w:line="240" w:lineRule="auto"/>
              <w:ind w:firstLine="0"/>
              <w:contextualSpacing w:val="0"/>
              <w:jc w:val="left"/>
              <w:rPr>
                <w:sz w:val="16"/>
                <w:szCs w:val="16"/>
                <w:lang w:val="hy-AM" w:eastAsia="en-US"/>
              </w:rPr>
            </w:pPr>
          </w:p>
          <w:p w:rsidR="00005BEA" w:rsidRPr="00005BEA" w:rsidRDefault="00005BEA" w:rsidP="00005BEA">
            <w:pPr>
              <w:spacing w:before="0" w:line="240" w:lineRule="auto"/>
              <w:ind w:firstLine="0"/>
              <w:contextualSpacing w:val="0"/>
              <w:jc w:val="left"/>
              <w:rPr>
                <w:sz w:val="16"/>
                <w:szCs w:val="16"/>
                <w:lang w:val="hy-AM" w:eastAsia="en-US"/>
              </w:rPr>
            </w:pPr>
            <w:r w:rsidRPr="00005BEA">
              <w:rPr>
                <w:noProof/>
                <w:lang w:val="en-US" w:eastAsia="en-US"/>
              </w:rPr>
              <w:drawing>
                <wp:inline distT="0" distB="0" distL="0" distR="0" wp14:anchorId="21AEF5E6" wp14:editId="501C4102">
                  <wp:extent cx="2944091" cy="1800225"/>
                  <wp:effectExtent l="0" t="0" r="8890" b="9525"/>
                  <wp:docPr id="7" name="Chart 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5BEA" w:rsidRPr="0095510F" w:rsidRDefault="00005BEA" w:rsidP="00005BEA">
            <w:pPr>
              <w:spacing w:before="0" w:line="259" w:lineRule="auto"/>
              <w:ind w:firstLine="0"/>
              <w:contextualSpacing w:val="0"/>
              <w:rPr>
                <w:b w:val="0"/>
                <w:i/>
                <w:sz w:val="16"/>
                <w:szCs w:val="16"/>
                <w:lang w:val="hy-AM" w:eastAsia="en-US"/>
              </w:rPr>
            </w:pPr>
            <w:r w:rsidRPr="0095510F">
              <w:rPr>
                <w:b w:val="0"/>
                <w:i/>
                <w:sz w:val="16"/>
                <w:szCs w:val="16"/>
                <w:lang w:val="hy-AM" w:eastAsia="en-US"/>
              </w:rPr>
              <w:t>Աղբյուրը՝ ՀՀ ՎԿ, ՀՀ ՖՆ կանխատեսում</w:t>
            </w:r>
          </w:p>
        </w:tc>
      </w:tr>
      <w:tr w:rsidR="00005BEA" w:rsidRPr="003A0B99" w:rsidTr="00005BEA">
        <w:trPr>
          <w:trHeight w:val="3182"/>
        </w:trPr>
        <w:tc>
          <w:tcPr>
            <w:tcW w:w="4825" w:type="dxa"/>
          </w:tcPr>
          <w:p w:rsidR="00005BEA" w:rsidRPr="00005BEA" w:rsidRDefault="00005BEA" w:rsidP="00005BEA">
            <w:pPr>
              <w:spacing w:before="0" w:line="240" w:lineRule="auto"/>
              <w:ind w:firstLine="0"/>
              <w:contextualSpacing w:val="0"/>
              <w:jc w:val="left"/>
              <w:rPr>
                <w:sz w:val="2"/>
                <w:szCs w:val="2"/>
                <w:lang w:val="hy-AM" w:eastAsia="en-US"/>
              </w:rPr>
            </w:pPr>
          </w:p>
          <w:p w:rsidR="00005BEA" w:rsidRPr="00005BEA" w:rsidRDefault="00005BEA" w:rsidP="00005BEA">
            <w:pPr>
              <w:spacing w:before="0" w:line="240" w:lineRule="auto"/>
              <w:ind w:firstLine="0"/>
              <w:contextualSpacing w:val="0"/>
              <w:jc w:val="left"/>
              <w:rPr>
                <w:i/>
                <w:sz w:val="18"/>
                <w:szCs w:val="18"/>
                <w:lang w:val="hy-AM" w:eastAsia="en-US"/>
              </w:rPr>
            </w:pPr>
            <w:r w:rsidRPr="00005BEA">
              <w:rPr>
                <w:i/>
                <w:sz w:val="18"/>
                <w:szCs w:val="18"/>
                <w:lang w:val="hy-AM" w:eastAsia="en-US"/>
              </w:rPr>
              <w:t xml:space="preserve">Գծապատկեր 1.16. </w:t>
            </w:r>
            <w:r w:rsidRPr="00DE6C7D">
              <w:rPr>
                <w:b w:val="0"/>
                <w:i/>
                <w:sz w:val="18"/>
                <w:szCs w:val="18"/>
                <w:lang w:val="hy-AM" w:eastAsia="en-US"/>
              </w:rPr>
              <w:t>Տնտեսության առանձին ճյուղերի նպաստումը տնտեսական աճին</w:t>
            </w:r>
            <w:r w:rsidRPr="00005BEA">
              <w:rPr>
                <w:i/>
                <w:sz w:val="18"/>
                <w:szCs w:val="18"/>
                <w:lang w:val="hy-AM" w:eastAsia="en-US"/>
              </w:rPr>
              <w:t xml:space="preserve">  </w:t>
            </w:r>
          </w:p>
          <w:p w:rsidR="00005BEA" w:rsidRPr="00005BEA" w:rsidRDefault="00005BEA" w:rsidP="00005BEA">
            <w:pPr>
              <w:spacing w:before="0" w:line="240" w:lineRule="auto"/>
              <w:ind w:firstLine="0"/>
              <w:contextualSpacing w:val="0"/>
              <w:jc w:val="left"/>
              <w:rPr>
                <w:sz w:val="4"/>
                <w:szCs w:val="4"/>
                <w:lang w:val="hy-AM" w:eastAsia="en-US"/>
              </w:rPr>
            </w:pPr>
          </w:p>
          <w:p w:rsidR="00005BEA" w:rsidRPr="00005BEA" w:rsidRDefault="00005BEA" w:rsidP="00005BEA">
            <w:pPr>
              <w:spacing w:before="0" w:line="240" w:lineRule="auto"/>
              <w:ind w:firstLine="0"/>
              <w:contextualSpacing w:val="0"/>
              <w:jc w:val="left"/>
              <w:rPr>
                <w:sz w:val="20"/>
                <w:szCs w:val="20"/>
                <w:lang w:val="hy-AM" w:eastAsia="en-US"/>
              </w:rPr>
            </w:pPr>
            <w:r w:rsidRPr="00005BEA">
              <w:rPr>
                <w:noProof/>
                <w:sz w:val="16"/>
                <w:szCs w:val="16"/>
                <w:shd w:val="clear" w:color="auto" w:fill="B4C6E7"/>
                <w:lang w:val="en-US" w:eastAsia="en-US"/>
              </w:rPr>
              <w:drawing>
                <wp:inline distT="0" distB="0" distL="0" distR="0" wp14:anchorId="66F6DC5D" wp14:editId="2770D88B">
                  <wp:extent cx="3093720" cy="1704975"/>
                  <wp:effectExtent l="0" t="0" r="1143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5BEA" w:rsidRPr="00DE6C7D" w:rsidRDefault="00005BEA" w:rsidP="00005BEA">
            <w:pPr>
              <w:spacing w:before="0" w:after="160" w:line="259" w:lineRule="auto"/>
              <w:ind w:firstLine="0"/>
              <w:contextualSpacing w:val="0"/>
              <w:rPr>
                <w:b w:val="0"/>
                <w:i/>
                <w:sz w:val="16"/>
                <w:szCs w:val="16"/>
                <w:lang w:val="hy-AM" w:eastAsia="en-US"/>
              </w:rPr>
            </w:pPr>
            <w:r w:rsidRPr="00DE6C7D">
              <w:rPr>
                <w:b w:val="0"/>
                <w:i/>
                <w:sz w:val="16"/>
                <w:szCs w:val="16"/>
                <w:lang w:val="hy-AM" w:eastAsia="en-US"/>
              </w:rPr>
              <w:t>Աղբյուրը՝ ՀՀ ՎԿ, ՀՀ ՖՆ հաշվարկներ և կանխատեսումներ</w:t>
            </w:r>
          </w:p>
        </w:tc>
        <w:tc>
          <w:tcPr>
            <w:tcW w:w="4825" w:type="dxa"/>
          </w:tcPr>
          <w:p w:rsidR="00005BEA" w:rsidRPr="00005BEA" w:rsidRDefault="00005BEA" w:rsidP="00005BEA">
            <w:pPr>
              <w:spacing w:before="0" w:line="240" w:lineRule="auto"/>
              <w:ind w:firstLine="0"/>
              <w:contextualSpacing w:val="0"/>
              <w:jc w:val="left"/>
              <w:rPr>
                <w:sz w:val="2"/>
                <w:szCs w:val="2"/>
                <w:lang w:val="hy-AM" w:eastAsia="en-US"/>
              </w:rPr>
            </w:pPr>
          </w:p>
          <w:p w:rsidR="00005BEA" w:rsidRPr="00005BEA" w:rsidRDefault="00005BEA" w:rsidP="00005BEA">
            <w:pPr>
              <w:spacing w:before="0" w:line="240" w:lineRule="auto"/>
              <w:ind w:firstLine="0"/>
              <w:contextualSpacing w:val="0"/>
              <w:jc w:val="left"/>
              <w:rPr>
                <w:i/>
                <w:sz w:val="18"/>
                <w:szCs w:val="18"/>
                <w:lang w:val="hy-AM" w:eastAsia="en-US"/>
              </w:rPr>
            </w:pPr>
            <w:r w:rsidRPr="00005BEA">
              <w:rPr>
                <w:i/>
                <w:sz w:val="18"/>
                <w:szCs w:val="18"/>
                <w:lang w:val="hy-AM" w:eastAsia="en-US"/>
              </w:rPr>
              <w:t xml:space="preserve">Գծապատկեր 1.17. </w:t>
            </w:r>
            <w:r w:rsidRPr="00DE6C7D">
              <w:rPr>
                <w:b w:val="0"/>
                <w:i/>
                <w:sz w:val="18"/>
                <w:szCs w:val="18"/>
                <w:lang w:val="hy-AM" w:eastAsia="en-US"/>
              </w:rPr>
              <w:t>Տնտեսական աճին պահանջարկի բաղադրիչների նպաստումները</w:t>
            </w:r>
          </w:p>
          <w:p w:rsidR="00005BEA" w:rsidRPr="00005BEA" w:rsidRDefault="00005BEA" w:rsidP="00005BEA">
            <w:pPr>
              <w:spacing w:before="0" w:line="240" w:lineRule="auto"/>
              <w:ind w:firstLine="0"/>
              <w:contextualSpacing w:val="0"/>
              <w:jc w:val="left"/>
              <w:rPr>
                <w:sz w:val="6"/>
                <w:szCs w:val="6"/>
                <w:lang w:val="hy-AM" w:eastAsia="en-US"/>
              </w:rPr>
            </w:pPr>
          </w:p>
          <w:p w:rsidR="00005BEA" w:rsidRPr="00005BEA" w:rsidRDefault="00005BEA" w:rsidP="00005BEA">
            <w:pPr>
              <w:spacing w:before="0" w:line="240" w:lineRule="auto"/>
              <w:ind w:firstLine="0"/>
              <w:contextualSpacing w:val="0"/>
              <w:jc w:val="left"/>
              <w:rPr>
                <w:sz w:val="4"/>
                <w:szCs w:val="4"/>
                <w:lang w:val="hy-AM" w:eastAsia="en-US"/>
              </w:rPr>
            </w:pPr>
          </w:p>
          <w:p w:rsidR="00005BEA" w:rsidRPr="00005BEA" w:rsidRDefault="00005BEA" w:rsidP="00005BEA">
            <w:pPr>
              <w:spacing w:before="0" w:line="240" w:lineRule="auto"/>
              <w:ind w:firstLine="0"/>
              <w:contextualSpacing w:val="0"/>
              <w:rPr>
                <w:sz w:val="16"/>
                <w:szCs w:val="16"/>
                <w:lang w:val="hy-AM" w:eastAsia="en-US"/>
              </w:rPr>
            </w:pPr>
            <w:r w:rsidRPr="00005BEA">
              <w:rPr>
                <w:rFonts w:cs="Sylfaen"/>
                <w:noProof/>
                <w:sz w:val="16"/>
                <w:szCs w:val="16"/>
                <w:lang w:val="en-US" w:eastAsia="en-US"/>
              </w:rPr>
              <w:drawing>
                <wp:inline distT="0" distB="0" distL="0" distR="0" wp14:anchorId="2F301088" wp14:editId="61F7088C">
                  <wp:extent cx="3123565" cy="1672108"/>
                  <wp:effectExtent l="0" t="0" r="635" b="44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5BEA" w:rsidRPr="00DE6C7D" w:rsidRDefault="00005BEA" w:rsidP="00005BEA">
            <w:pPr>
              <w:spacing w:before="0" w:after="160" w:line="259" w:lineRule="auto"/>
              <w:ind w:firstLine="0"/>
              <w:contextualSpacing w:val="0"/>
              <w:rPr>
                <w:b w:val="0"/>
                <w:sz w:val="16"/>
                <w:szCs w:val="16"/>
                <w:lang w:val="hy-AM" w:eastAsia="en-US"/>
              </w:rPr>
            </w:pPr>
            <w:r w:rsidRPr="00DE6C7D">
              <w:rPr>
                <w:b w:val="0"/>
                <w:i/>
                <w:sz w:val="16"/>
                <w:szCs w:val="16"/>
                <w:lang w:val="hy-AM" w:eastAsia="en-US"/>
              </w:rPr>
              <w:t>Աղբյուրը՝ ՀՀ ՎԿ, ՀՀ ՖՆ հաշվարկներ և կանխատեսումներ</w:t>
            </w:r>
          </w:p>
        </w:tc>
      </w:tr>
    </w:tbl>
    <w:p w:rsidR="00005BEA" w:rsidRPr="00005BEA" w:rsidRDefault="00005BEA" w:rsidP="00005BEA">
      <w:pPr>
        <w:spacing w:before="0" w:after="120" w:line="276" w:lineRule="auto"/>
        <w:contextualSpacing w:val="0"/>
        <w:rPr>
          <w:rFonts w:cs="Sylfaen"/>
          <w:b w:val="0"/>
          <w:noProof/>
          <w:szCs w:val="22"/>
          <w:lang w:val="hy-AM" w:eastAsia="en-US"/>
        </w:rPr>
      </w:pPr>
      <w:r w:rsidRPr="00005BEA">
        <w:rPr>
          <w:rFonts w:cs="Sylfaen"/>
          <w:bCs/>
          <w:noProof/>
          <w:szCs w:val="22"/>
          <w:u w:val="single"/>
          <w:lang w:val="hy-AM" w:eastAsia="en-US"/>
        </w:rPr>
        <w:t>Համախառն առաջարկի կանխատեսում</w:t>
      </w:r>
      <w:r w:rsidRPr="00005BEA">
        <w:rPr>
          <w:rFonts w:cs="Sylfaen"/>
          <w:bCs/>
          <w:noProof/>
          <w:szCs w:val="22"/>
          <w:lang w:val="hy-AM" w:eastAsia="en-US"/>
        </w:rPr>
        <w:t xml:space="preserve">. </w:t>
      </w:r>
      <w:r w:rsidRPr="00005BEA">
        <w:rPr>
          <w:rFonts w:cs="Sylfaen"/>
          <w:b w:val="0"/>
          <w:noProof/>
          <w:szCs w:val="22"/>
          <w:lang w:val="hy-AM" w:eastAsia="en-US"/>
        </w:rPr>
        <w:t xml:space="preserve">2020թ. համավարակի և հոկտեմբերին սկիզբ առած դրա երկրորդ ալիքի բացասական ազդեցության հետևանքով առաջարկի կրճատմամբ, ներքին և արտաքին պահանջարկի անկմամբ, ինչպես նաև Արցախյան պատերազմի բացասական հետևանքներով պայմանավորված սպասվում է տնտեսական անկում: Մասնավորապես, </w:t>
      </w:r>
      <w:r w:rsidRPr="00005BEA">
        <w:rPr>
          <w:rFonts w:eastAsia="Calibri" w:cs="Sylfaen"/>
          <w:b w:val="0"/>
          <w:bCs/>
          <w:szCs w:val="22"/>
          <w:lang w:val="hy-AM" w:eastAsia="en-US"/>
        </w:rPr>
        <w:t>ծառայությունների (ներառյալ առևտուրը), շինարարության և արդյունաբերության ճյուղերը կնվազեն համապատասխանաբար 10.5%-ով, 17.6%-ով և 0.6%-ով: Գյուղատնտեսությունը կաճի 0.7%-ով:</w:t>
      </w:r>
      <w:r w:rsidRPr="00005BEA">
        <w:rPr>
          <w:rFonts w:cs="Sylfaen"/>
          <w:b w:val="0"/>
          <w:szCs w:val="22"/>
          <w:lang w:val="hy-AM" w:eastAsia="en-US"/>
        </w:rPr>
        <w:t xml:space="preserve"> </w:t>
      </w:r>
    </w:p>
    <w:p w:rsidR="00005BEA" w:rsidRPr="00005BEA" w:rsidRDefault="00005BEA" w:rsidP="00005BEA">
      <w:pPr>
        <w:spacing w:before="0" w:after="120" w:line="276" w:lineRule="auto"/>
        <w:contextualSpacing w:val="0"/>
        <w:rPr>
          <w:rFonts w:eastAsia="Calibri" w:cs="Sylfaen"/>
          <w:b w:val="0"/>
          <w:bCs/>
          <w:szCs w:val="22"/>
          <w:lang w:val="hy-AM" w:eastAsia="en-US"/>
        </w:rPr>
      </w:pPr>
      <w:r w:rsidRPr="00005BEA">
        <w:rPr>
          <w:rFonts w:eastAsia="Calibri" w:cs="Sylfaen"/>
          <w:b w:val="0"/>
          <w:bCs/>
          <w:szCs w:val="22"/>
          <w:lang w:val="hy-AM" w:eastAsia="en-US"/>
        </w:rPr>
        <w:t xml:space="preserve">2021թ. համավարակի և Արցախյան պատերազմի բացասական ազդեցությունների աստիճանական չեզոքացման հետ մեկտեղ, </w:t>
      </w:r>
      <w:r w:rsidRPr="00005BEA">
        <w:rPr>
          <w:rFonts w:cs="Sylfaen"/>
          <w:b w:val="0"/>
          <w:noProof/>
          <w:szCs w:val="22"/>
          <w:lang w:val="hy-AM" w:eastAsia="en-US"/>
        </w:rPr>
        <w:t xml:space="preserve">պայմանավորված արտադրության բնականոն աշխատանքների վերագործարկմամբ, արտաքին և ներքին պահանջարկի վերականգնմամբ, տնտեսությունում իրականացվող ներդրումներով, ինչպես նաև ՀՀ կառավարության կողմից </w:t>
      </w:r>
      <w:r w:rsidRPr="00005BEA">
        <w:rPr>
          <w:rFonts w:cs="Sylfaen"/>
          <w:b w:val="0"/>
          <w:noProof/>
          <w:szCs w:val="22"/>
          <w:lang w:val="hy-AM" w:eastAsia="en-US"/>
        </w:rPr>
        <w:lastRenderedPageBreak/>
        <w:t xml:space="preserve">համավարակի ազդեցությունների, ինչպես նաև </w:t>
      </w:r>
      <w:r w:rsidRPr="00005BEA">
        <w:rPr>
          <w:b w:val="0"/>
          <w:szCs w:val="22"/>
          <w:lang w:val="hy-AM" w:eastAsia="en-US"/>
        </w:rPr>
        <w:t>Արցախյան պատերազմի հետևանքների</w:t>
      </w:r>
      <w:r w:rsidRPr="00005BEA">
        <w:rPr>
          <w:rFonts w:cs="Sylfaen"/>
          <w:b w:val="0"/>
          <w:noProof/>
          <w:szCs w:val="22"/>
          <w:lang w:val="hy-AM" w:eastAsia="en-US"/>
        </w:rPr>
        <w:t xml:space="preserve"> </w:t>
      </w:r>
      <w:r w:rsidRPr="00005BEA">
        <w:rPr>
          <w:b w:val="0"/>
          <w:szCs w:val="22"/>
          <w:lang w:val="hy-AM" w:eastAsia="en-US"/>
        </w:rPr>
        <w:t xml:space="preserve">մեղմանը </w:t>
      </w:r>
      <w:r w:rsidRPr="00005BEA">
        <w:rPr>
          <w:rFonts w:cs="Sylfaen"/>
          <w:b w:val="0"/>
          <w:noProof/>
          <w:szCs w:val="22"/>
          <w:lang w:val="hy-AM" w:eastAsia="en-US"/>
        </w:rPr>
        <w:t>և արտահանման ու ներդրումների խթանմանն ուղղված քաղաքականություններով`</w:t>
      </w:r>
      <w:r w:rsidRPr="00005BEA">
        <w:rPr>
          <w:rFonts w:cs="Sylfaen"/>
          <w:b w:val="0"/>
          <w:bCs/>
          <w:noProof/>
          <w:szCs w:val="22"/>
          <w:lang w:val="hy-AM" w:eastAsia="en-US"/>
        </w:rPr>
        <w:t xml:space="preserve"> </w:t>
      </w:r>
      <w:r w:rsidRPr="00005BEA">
        <w:rPr>
          <w:rFonts w:eastAsia="Calibri" w:cs="Sylfaen"/>
          <w:b w:val="0"/>
          <w:bCs/>
          <w:szCs w:val="22"/>
          <w:lang w:val="hy-AM" w:eastAsia="en-US"/>
        </w:rPr>
        <w:t>ծառայությունները կաճեն 3.0%-ով, ա</w:t>
      </w:r>
      <w:r w:rsidRPr="00005BEA">
        <w:rPr>
          <w:rFonts w:cs="Sylfaen"/>
          <w:b w:val="0"/>
          <w:noProof/>
          <w:szCs w:val="22"/>
          <w:lang w:val="hy-AM" w:eastAsia="en-US"/>
        </w:rPr>
        <w:t>րդյունաբերությունը՝ 3.6%-ով</w:t>
      </w:r>
      <w:r w:rsidRPr="00005BEA">
        <w:rPr>
          <w:rFonts w:cs="Sylfaen"/>
          <w:b w:val="0"/>
          <w:szCs w:val="22"/>
          <w:lang w:val="hy-AM" w:eastAsia="en-US"/>
        </w:rPr>
        <w:t>, շ</w:t>
      </w:r>
      <w:r w:rsidRPr="00005BEA">
        <w:rPr>
          <w:rFonts w:eastAsia="Calibri" w:cs="Sylfaen"/>
          <w:b w:val="0"/>
          <w:bCs/>
          <w:szCs w:val="22"/>
          <w:lang w:val="hy-AM" w:eastAsia="en-US"/>
        </w:rPr>
        <w:t>ինարարության ճյուղը՝ 3.3%-ով, իսկ գյուղատնտեսությունը՝ 2.3%</w:t>
      </w:r>
      <w:r w:rsidRPr="00005BEA">
        <w:rPr>
          <w:rFonts w:eastAsia="Calibri" w:cs="Sylfaen"/>
          <w:b w:val="0"/>
          <w:bCs/>
          <w:szCs w:val="22"/>
          <w:lang w:val="hy-AM" w:eastAsia="en-US"/>
        </w:rPr>
        <w:noBreakHyphen/>
        <w:t xml:space="preserve">ով:  </w:t>
      </w:r>
    </w:p>
    <w:tbl>
      <w:tblPr>
        <w:tblStyle w:val="TableGrid142121"/>
        <w:tblW w:w="0" w:type="auto"/>
        <w:tblLook w:val="04A0" w:firstRow="1" w:lastRow="0" w:firstColumn="1" w:lastColumn="0" w:noHBand="0" w:noVBand="1"/>
      </w:tblPr>
      <w:tblGrid>
        <w:gridCol w:w="4887"/>
        <w:gridCol w:w="4859"/>
      </w:tblGrid>
      <w:tr w:rsidR="00005BEA" w:rsidRPr="003A0B99" w:rsidTr="00005BEA">
        <w:tc>
          <w:tcPr>
            <w:tcW w:w="4963" w:type="dxa"/>
          </w:tcPr>
          <w:p w:rsidR="00005BEA" w:rsidRPr="00005BEA" w:rsidRDefault="00005BEA" w:rsidP="00005BEA">
            <w:pPr>
              <w:spacing w:before="0" w:line="240" w:lineRule="auto"/>
              <w:ind w:firstLine="0"/>
              <w:contextualSpacing w:val="0"/>
              <w:jc w:val="left"/>
              <w:rPr>
                <w:bCs/>
                <w:sz w:val="16"/>
                <w:szCs w:val="16"/>
                <w:lang w:val="hy-AM" w:eastAsia="en-US"/>
              </w:rPr>
            </w:pPr>
            <w:r w:rsidRPr="00005BEA">
              <w:rPr>
                <w:rFonts w:ascii="Calibri" w:hAnsi="Calibri"/>
                <w:i/>
                <w:noProof/>
                <w:sz w:val="18"/>
                <w:szCs w:val="18"/>
                <w:lang w:val="en-US" w:eastAsia="en-US"/>
              </w:rPr>
              <w:drawing>
                <wp:anchor distT="0" distB="0" distL="114300" distR="114300" simplePos="0" relativeHeight="251776512" behindDoc="0" locked="0" layoutInCell="1" allowOverlap="1" wp14:anchorId="5D0FC636" wp14:editId="41340046">
                  <wp:simplePos x="0" y="0"/>
                  <wp:positionH relativeFrom="column">
                    <wp:posOffset>-87630</wp:posOffset>
                  </wp:positionH>
                  <wp:positionV relativeFrom="paragraph">
                    <wp:posOffset>483870</wp:posOffset>
                  </wp:positionV>
                  <wp:extent cx="3112135" cy="1868805"/>
                  <wp:effectExtent l="0" t="0" r="12065" b="10795"/>
                  <wp:wrapSquare wrapText="bothSides"/>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239DE">
              <w:rPr>
                <w:rFonts w:ascii="Times New Roman" w:hAnsi="Times New Roman"/>
                <w:noProof/>
                <w:sz w:val="24"/>
                <w:lang w:val="en-US" w:eastAsia="en-US"/>
              </w:rPr>
              <mc:AlternateContent>
                <mc:Choice Requires="wps">
                  <w:drawing>
                    <wp:anchor distT="0" distB="0" distL="114300" distR="114300" simplePos="0" relativeHeight="251778560" behindDoc="0" locked="0" layoutInCell="1" allowOverlap="1" wp14:anchorId="02FB6489" wp14:editId="014C8CDA">
                      <wp:simplePos x="0" y="0"/>
                      <wp:positionH relativeFrom="column">
                        <wp:posOffset>2038350</wp:posOffset>
                      </wp:positionH>
                      <wp:positionV relativeFrom="paragraph">
                        <wp:posOffset>378460</wp:posOffset>
                      </wp:positionV>
                      <wp:extent cx="796925" cy="1333500"/>
                      <wp:effectExtent l="0" t="0" r="22225" b="1905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1333500"/>
                              </a:xfrm>
                              <a:prstGeom prst="rect">
                                <a:avLst/>
                              </a:prstGeom>
                              <a:solidFill>
                                <a:srgbClr val="D8E2F4">
                                  <a:alpha val="21176"/>
                                </a:srgbClr>
                              </a:solidFill>
                              <a:ln w="12700" cap="flat" cmpd="sng" algn="ctr">
                                <a:solidFill>
                                  <a:srgbClr val="5B9BD5">
                                    <a:shade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7D6CBE4" id="Rectangle 1" o:spid="_x0000_s1026" style="position:absolute;margin-left:160.5pt;margin-top:29.8pt;width:62.75pt;height:1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" fillcolor="#d8e2f4" strokecolor="#41719c" strokeweight="1pt">
                      <v:fill opacity="13878f"/>
                      <v:path arrowok="t"/>
                    </v:rect>
                  </w:pict>
                </mc:Fallback>
              </mc:AlternateContent>
            </w:r>
            <w:r w:rsidRPr="00005BEA">
              <w:rPr>
                <w:i/>
                <w:sz w:val="18"/>
                <w:szCs w:val="18"/>
                <w:lang w:val="hy-AM" w:eastAsia="en-US"/>
              </w:rPr>
              <w:t xml:space="preserve">Գծապատկեր 1.18. </w:t>
            </w:r>
            <w:r w:rsidRPr="00961432">
              <w:rPr>
                <w:b w:val="0"/>
                <w:bCs/>
                <w:i/>
                <w:sz w:val="18"/>
                <w:szCs w:val="18"/>
                <w:lang w:val="hy-AM" w:eastAsia="en-US"/>
              </w:rPr>
              <w:t>Ճյուղերի տեսակարար կշիռները ՀՆԱ-ի կազմու</w:t>
            </w:r>
            <w:r w:rsidRPr="00961432">
              <w:rPr>
                <w:b w:val="0"/>
                <w:bCs/>
                <w:i/>
                <w:sz w:val="16"/>
                <w:szCs w:val="16"/>
                <w:lang w:val="hy-AM" w:eastAsia="en-US"/>
              </w:rPr>
              <w:t>մ</w:t>
            </w:r>
          </w:p>
          <w:p w:rsidR="00005BEA" w:rsidRPr="00961432" w:rsidRDefault="00005BEA" w:rsidP="00005BEA">
            <w:pPr>
              <w:spacing w:before="0" w:after="120" w:line="276" w:lineRule="auto"/>
              <w:ind w:firstLine="0"/>
              <w:contextualSpacing w:val="0"/>
              <w:rPr>
                <w:rFonts w:eastAsia="Calibri" w:cs="Sylfaen"/>
                <w:b w:val="0"/>
                <w:bCs/>
                <w:lang w:val="hy-AM" w:eastAsia="en-US"/>
              </w:rPr>
            </w:pPr>
            <w:r w:rsidRPr="00961432">
              <w:rPr>
                <w:b w:val="0"/>
                <w:i/>
                <w:sz w:val="16"/>
                <w:szCs w:val="16"/>
                <w:lang w:val="hy-AM" w:eastAsia="en-US"/>
              </w:rPr>
              <w:t>Աղբյուրը՝ ՀՀ ՎԿ, ՀՀ ՖՆ հաշվարկներ և կանխատեսումներ</w:t>
            </w:r>
          </w:p>
        </w:tc>
        <w:tc>
          <w:tcPr>
            <w:tcW w:w="4963" w:type="dxa"/>
          </w:tcPr>
          <w:p w:rsidR="00005BEA" w:rsidRPr="00005BEA" w:rsidRDefault="00005BEA" w:rsidP="00005BEA">
            <w:pPr>
              <w:spacing w:before="0" w:line="240" w:lineRule="auto"/>
              <w:ind w:firstLine="0"/>
              <w:contextualSpacing w:val="0"/>
              <w:jc w:val="left"/>
              <w:rPr>
                <w:bCs/>
                <w:sz w:val="18"/>
                <w:szCs w:val="16"/>
                <w:lang w:val="hy-AM" w:eastAsia="en-US"/>
              </w:rPr>
            </w:pPr>
            <w:r w:rsidRPr="00005BEA">
              <w:rPr>
                <w:rFonts w:ascii="Calibri" w:hAnsi="Calibri"/>
                <w:i/>
                <w:noProof/>
                <w:lang w:val="en-US" w:eastAsia="en-US"/>
              </w:rPr>
              <w:drawing>
                <wp:anchor distT="0" distB="0" distL="114300" distR="114300" simplePos="0" relativeHeight="251780608" behindDoc="0" locked="0" layoutInCell="1" allowOverlap="1" wp14:anchorId="70C439B2" wp14:editId="32E662D6">
                  <wp:simplePos x="0" y="0"/>
                  <wp:positionH relativeFrom="column">
                    <wp:posOffset>-114935</wp:posOffset>
                  </wp:positionH>
                  <wp:positionV relativeFrom="paragraph">
                    <wp:posOffset>455295</wp:posOffset>
                  </wp:positionV>
                  <wp:extent cx="3102610" cy="1858645"/>
                  <wp:effectExtent l="0" t="0" r="2540" b="8255"/>
                  <wp:wrapSquare wrapText="bothSides"/>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005BEA">
              <w:rPr>
                <w:i/>
                <w:sz w:val="18"/>
                <w:szCs w:val="16"/>
                <w:lang w:val="hy-AM" w:eastAsia="en-US"/>
              </w:rPr>
              <w:t xml:space="preserve">Գծապատկեր 1.19. </w:t>
            </w:r>
            <w:r w:rsidRPr="00961432">
              <w:rPr>
                <w:b w:val="0"/>
                <w:bCs/>
                <w:i/>
                <w:sz w:val="18"/>
                <w:szCs w:val="16"/>
                <w:lang w:val="hy-AM" w:eastAsia="en-US"/>
              </w:rPr>
              <w:t>Ծախսային բաղադրիչների</w:t>
            </w:r>
            <w:r w:rsidRPr="00961432">
              <w:rPr>
                <w:b w:val="0"/>
                <w:bCs/>
                <w:sz w:val="18"/>
                <w:szCs w:val="16"/>
                <w:lang w:val="hy-AM" w:eastAsia="en-US"/>
              </w:rPr>
              <w:t xml:space="preserve"> </w:t>
            </w:r>
            <w:r w:rsidRPr="00961432">
              <w:rPr>
                <w:b w:val="0"/>
                <w:bCs/>
                <w:i/>
                <w:sz w:val="18"/>
                <w:szCs w:val="16"/>
                <w:lang w:val="hy-AM" w:eastAsia="en-US"/>
              </w:rPr>
              <w:t>տեսակարար կշիռները ՀՆԱ-ի կազմում</w:t>
            </w:r>
          </w:p>
          <w:p w:rsidR="00005BEA" w:rsidRPr="00961432" w:rsidRDefault="00005BEA" w:rsidP="00005BEA">
            <w:pPr>
              <w:spacing w:before="0" w:after="120" w:line="276" w:lineRule="auto"/>
              <w:ind w:firstLine="0"/>
              <w:contextualSpacing w:val="0"/>
              <w:rPr>
                <w:rFonts w:eastAsia="Calibri" w:cs="Sylfaen"/>
                <w:b w:val="0"/>
                <w:bCs/>
                <w:lang w:val="hy-AM" w:eastAsia="en-US"/>
              </w:rPr>
            </w:pPr>
            <w:r w:rsidRPr="00961432">
              <w:rPr>
                <w:b w:val="0"/>
                <w:i/>
                <w:sz w:val="16"/>
                <w:szCs w:val="16"/>
                <w:lang w:val="hy-AM" w:eastAsia="en-US"/>
              </w:rPr>
              <w:t>Աղբյուրը՝ ՀՀ ՎԿ, ՀՀ ՖՆ հաշվարկներ և կանխատեսումներ</w:t>
            </w:r>
          </w:p>
        </w:tc>
      </w:tr>
    </w:tbl>
    <w:p w:rsidR="00005BEA" w:rsidRPr="00005BEA" w:rsidRDefault="00005BEA" w:rsidP="00005BEA">
      <w:pPr>
        <w:spacing w:before="0" w:after="120" w:line="276" w:lineRule="auto"/>
        <w:contextualSpacing w:val="0"/>
        <w:rPr>
          <w:rFonts w:eastAsia="Calibri" w:cs="Sylfaen"/>
          <w:b w:val="0"/>
          <w:bCs/>
          <w:szCs w:val="22"/>
          <w:lang w:val="hy-AM" w:eastAsia="en-US"/>
        </w:rPr>
      </w:pPr>
    </w:p>
    <w:p w:rsidR="00005BEA" w:rsidRPr="00005BEA" w:rsidRDefault="00005BEA" w:rsidP="00005BEA">
      <w:pPr>
        <w:spacing w:before="0" w:after="120" w:line="276" w:lineRule="auto"/>
        <w:contextualSpacing w:val="0"/>
        <w:rPr>
          <w:rFonts w:eastAsia="Calibri" w:cs="Sylfaen"/>
          <w:b w:val="0"/>
          <w:bCs/>
          <w:szCs w:val="22"/>
          <w:lang w:val="hy-AM" w:eastAsia="en-US"/>
        </w:rPr>
      </w:pPr>
      <w:r w:rsidRPr="00005BEA">
        <w:rPr>
          <w:rFonts w:eastAsia="Calibri"/>
          <w:bCs/>
          <w:szCs w:val="22"/>
          <w:u w:val="single"/>
          <w:lang w:val="hy-AM" w:eastAsia="en-US"/>
        </w:rPr>
        <w:t>Համախառն պահանջարկ</w:t>
      </w:r>
      <w:r w:rsidRPr="00005BEA">
        <w:rPr>
          <w:rFonts w:eastAsia="Calibri" w:cs="Times Armenian"/>
          <w:szCs w:val="22"/>
          <w:u w:val="single"/>
          <w:lang w:val="hy-AM" w:eastAsia="en-US"/>
        </w:rPr>
        <w:t xml:space="preserve">ի </w:t>
      </w:r>
      <w:r w:rsidRPr="00005BEA">
        <w:rPr>
          <w:rFonts w:eastAsia="Calibri" w:cs="Sylfaen"/>
          <w:szCs w:val="22"/>
          <w:u w:val="single"/>
          <w:lang w:val="hy-AM" w:eastAsia="en-US"/>
        </w:rPr>
        <w:t>կանխատեսում.</w:t>
      </w:r>
      <w:r w:rsidRPr="00005BEA">
        <w:rPr>
          <w:rFonts w:eastAsia="Calibri" w:cs="Sylfaen"/>
          <w:szCs w:val="22"/>
          <w:lang w:val="hy-AM" w:eastAsia="en-US"/>
        </w:rPr>
        <w:t xml:space="preserve"> </w:t>
      </w:r>
      <w:r w:rsidRPr="00005BEA">
        <w:rPr>
          <w:rFonts w:eastAsia="Calibri" w:cs="Sylfaen"/>
          <w:b w:val="0"/>
          <w:bCs/>
          <w:szCs w:val="22"/>
          <w:lang w:val="hy-AM" w:eastAsia="en-US"/>
        </w:rPr>
        <w:t>Կրելով համավարակի և Արցախյան պատերազմի  պայմաններում եկամուտների և տրանսֆերտների նվազման  ազդեցությունը՝</w:t>
      </w:r>
      <w:r w:rsidRPr="00005BEA">
        <w:rPr>
          <w:rFonts w:eastAsia="Calibri" w:cs="Times Armenian"/>
          <w:b w:val="0"/>
          <w:bCs/>
          <w:szCs w:val="22"/>
          <w:lang w:val="hy-AM" w:eastAsia="en-US"/>
        </w:rPr>
        <w:t xml:space="preserve"> 2020թ. վերջնական սպառումը կնվազի </w:t>
      </w:r>
      <w:r w:rsidRPr="00005BEA">
        <w:rPr>
          <w:rFonts w:eastAsia="Calibri" w:cs="Sylfaen"/>
          <w:b w:val="0"/>
          <w:bCs/>
          <w:szCs w:val="22"/>
          <w:lang w:val="hy-AM" w:eastAsia="en-US"/>
        </w:rPr>
        <w:t>8.5%-ով</w:t>
      </w:r>
      <w:r w:rsidRPr="00005BEA">
        <w:rPr>
          <w:rFonts w:eastAsia="Calibri" w:cs="Times Armenian"/>
          <w:b w:val="0"/>
          <w:bCs/>
          <w:szCs w:val="22"/>
          <w:lang w:val="hy-AM" w:eastAsia="en-US"/>
        </w:rPr>
        <w:t>, իսկ ներդրումները՝ 10.5</w:t>
      </w:r>
      <w:r w:rsidRPr="00005BEA">
        <w:rPr>
          <w:rFonts w:eastAsia="Calibri" w:cs="Sylfaen"/>
          <w:b w:val="0"/>
          <w:bCs/>
          <w:szCs w:val="22"/>
          <w:lang w:val="hy-AM" w:eastAsia="en-US"/>
        </w:rPr>
        <w:t>%-ով</w:t>
      </w:r>
      <w:r w:rsidRPr="00005BEA">
        <w:rPr>
          <w:rFonts w:eastAsia="Calibri" w:cs="Sylfaen"/>
          <w:b w:val="0"/>
          <w:szCs w:val="22"/>
          <w:lang w:val="hy-AM" w:eastAsia="en-US"/>
        </w:rPr>
        <w:t xml:space="preserve">։ Սպառման և ներդրումների նվազումը կմեղմվի ՀՀ կառավարության և ԿԲ կողմից վարվող </w:t>
      </w:r>
      <w:r w:rsidRPr="00005BEA">
        <w:rPr>
          <w:rFonts w:eastAsia="Calibri" w:cs="Sylfaen"/>
          <w:b w:val="0"/>
          <w:bCs/>
          <w:szCs w:val="22"/>
          <w:lang w:val="hy-AM" w:eastAsia="en-US"/>
        </w:rPr>
        <w:t xml:space="preserve">համավարակի կանխարգելմանն ուղղված խթանող հարկաբյուջետային և դրամավարկային քաղաքականությունների, ինչպես նաև </w:t>
      </w:r>
      <w:r w:rsidRPr="00005BEA">
        <w:rPr>
          <w:b w:val="0"/>
          <w:szCs w:val="22"/>
          <w:lang w:val="hy-AM" w:eastAsia="en-US"/>
        </w:rPr>
        <w:t xml:space="preserve">Արցախյան պատերազմի հետևանքների մեղմանն ու </w:t>
      </w:r>
      <w:r w:rsidRPr="00005BEA">
        <w:rPr>
          <w:rFonts w:eastAsia="Calibri" w:cs="Sylfaen"/>
          <w:b w:val="0"/>
          <w:szCs w:val="22"/>
          <w:lang w:val="hy-AM" w:eastAsia="en-US"/>
        </w:rPr>
        <w:t>ներդրումային միջավայրը խթանող ՀՀ կառավարության քաղաքա</w:t>
      </w:r>
      <w:r w:rsidRPr="00005BEA">
        <w:rPr>
          <w:rFonts w:eastAsia="Calibri" w:cs="Sylfaen"/>
          <w:b w:val="0"/>
          <w:szCs w:val="22"/>
          <w:lang w:val="hy-AM" w:eastAsia="en-US"/>
        </w:rPr>
        <w:softHyphen/>
        <w:t>կանության</w:t>
      </w:r>
      <w:r w:rsidRPr="00005BEA">
        <w:rPr>
          <w:rFonts w:eastAsia="Calibri" w:cs="Sylfaen"/>
          <w:b w:val="0"/>
          <w:bCs/>
          <w:szCs w:val="22"/>
          <w:lang w:val="hy-AM" w:eastAsia="en-US"/>
        </w:rPr>
        <w:t xml:space="preserve"> արդյունքում։ 2021թ. պահանջարկը աստիճանաբար կվերականգնվի՝ սպառումը կաճի 4.3%-ով, իսկ ներդրումները՝ 3.0%-ով: </w:t>
      </w:r>
    </w:p>
    <w:p w:rsidR="00005BEA" w:rsidRPr="005514DD" w:rsidRDefault="00005BEA" w:rsidP="005514DD">
      <w:pPr>
        <w:spacing w:before="0" w:after="120" w:line="276" w:lineRule="auto"/>
        <w:contextualSpacing w:val="0"/>
        <w:rPr>
          <w:rFonts w:eastAsia="Calibri" w:cs="Sylfaen"/>
          <w:b w:val="0"/>
          <w:bCs/>
          <w:szCs w:val="22"/>
          <w:lang w:val="hy-AM" w:eastAsia="en-US"/>
        </w:rPr>
      </w:pPr>
      <w:r w:rsidRPr="00005BEA">
        <w:rPr>
          <w:rFonts w:eastAsia="Calibri" w:cs="Sylfaen"/>
          <w:b w:val="0"/>
          <w:bCs/>
          <w:szCs w:val="22"/>
          <w:lang w:val="hy-AM" w:eastAsia="en-US"/>
        </w:rPr>
        <w:t>Արտահանումը և ներմուծումը 2020թ. կնվազեն 28.7%-ով և 27.7%-ով՝ պայմանավորված հիմնականում համավարակի ներքին և արտաքին բացասական ազդեցություններով, ինչպես նաև պատերազմական գործողությունների հետևանքով, իսկ ՀՀ տնտեսական ակտիվության, համաշխարհային տնտեսության վերականգնման և տնօրինվող եկամտի աճի պայմաններում 2021թ. կաճեն համապատասխանաբար` 7.4%-ով և 6.0%-ով:</w:t>
      </w:r>
      <w:bookmarkStart w:id="26" w:name="_Toc45705386"/>
    </w:p>
    <w:p w:rsidR="00005BEA" w:rsidRPr="00005BEA" w:rsidRDefault="00005BEA" w:rsidP="00005BEA">
      <w:pPr>
        <w:spacing w:before="0" w:after="120" w:line="240" w:lineRule="auto"/>
        <w:ind w:firstLine="0"/>
        <w:contextualSpacing w:val="0"/>
        <w:jc w:val="left"/>
        <w:rPr>
          <w:rFonts w:eastAsia="Calibri"/>
          <w:bCs/>
          <w:sz w:val="24"/>
          <w:lang w:val="hy-AM" w:eastAsia="en-US"/>
        </w:rPr>
      </w:pPr>
      <w:bookmarkStart w:id="27" w:name="_Toc51360524"/>
      <w:r w:rsidRPr="00005BEA">
        <w:rPr>
          <w:rFonts w:eastAsia="Calibri"/>
          <w:bCs/>
          <w:sz w:val="24"/>
          <w:lang w:val="hy-AM" w:eastAsia="en-US"/>
        </w:rPr>
        <w:t>1.3.2. Աշխատանքի շուկա</w:t>
      </w:r>
      <w:bookmarkEnd w:id="26"/>
      <w:bookmarkEnd w:id="27"/>
    </w:p>
    <w:p w:rsidR="00005BEA" w:rsidRPr="00005BEA" w:rsidRDefault="00005BEA" w:rsidP="00005BEA">
      <w:pPr>
        <w:tabs>
          <w:tab w:val="num" w:pos="720"/>
          <w:tab w:val="left" w:pos="9450"/>
        </w:tabs>
        <w:spacing w:before="40" w:line="276" w:lineRule="auto"/>
        <w:ind w:firstLine="357"/>
        <w:contextualSpacing w:val="0"/>
        <w:rPr>
          <w:rFonts w:cs="Times Armenian"/>
          <w:b w:val="0"/>
          <w:szCs w:val="22"/>
          <w:lang w:val="hy-AM" w:eastAsia="en-US"/>
        </w:rPr>
      </w:pPr>
      <w:r w:rsidRPr="00005BEA">
        <w:rPr>
          <w:rFonts w:cs="Times Armenian"/>
          <w:bCs/>
          <w:szCs w:val="22"/>
          <w:lang w:val="hy-AM" w:eastAsia="en-US"/>
        </w:rPr>
        <w:t>Տնտեսական աճին զուգահեռ, 2019թ. գործազրկության մակարդակը նվազել է՝ 20.5%-ից հասնելով 18.9%-ի, իսկ աշխատուժի մասնակցության մակարդակն աճել՝ 56.9%-ից հասնելով 57.7%-ի:</w:t>
      </w:r>
      <w:r w:rsidRPr="00005BEA">
        <w:rPr>
          <w:rFonts w:cs="Times Armenian"/>
          <w:b w:val="0"/>
          <w:szCs w:val="22"/>
          <w:lang w:val="hy-AM" w:eastAsia="en-US"/>
        </w:rPr>
        <w:t xml:space="preserve"> Նույն ժամանակաշրջանում զբաղվածների թիվն աճել է 4.3%-ով, իսկ գործազուրկներինը՝ կրճատվել 5.8%-ով, ինչը վկայում է տնտեսական աճի որակի բարելավման մասին: Ավելին, նույն ժամանակահատվածում իրական արտադրողականությունն աճել է 3.2%-ով: Միաժամանակ, ՀՀ ՎԿ կողմից աշխատանքի շուկայի վիճակագրության վերանայված մեթոդաբանության համաձայն գործազրկության մակարդակը 2019թ. կազմել է 17.9%, իսկ </w:t>
      </w:r>
      <w:r w:rsidRPr="00005BEA">
        <w:rPr>
          <w:rFonts w:cs="Times Armenian"/>
          <w:b w:val="0"/>
          <w:szCs w:val="22"/>
          <w:lang w:val="hy-AM" w:eastAsia="en-US"/>
        </w:rPr>
        <w:lastRenderedPageBreak/>
        <w:t>աշխատուժի մասնակցության մակարդակը՝ 58.9%: Նույն ժամանակաշրջանում զբաղվածների թիվը կազմել է 1,009.8 հազ. մարդ, իսկ գործազուրկների թիվը՝ 220.8 հազ, մարդ:</w:t>
      </w:r>
      <w:r w:rsidRPr="00005BEA">
        <w:rPr>
          <w:rFonts w:cs="Times Armenian"/>
          <w:b w:val="0"/>
          <w:szCs w:val="22"/>
          <w:vertAlign w:val="superscript"/>
          <w:lang w:val="hy-AM" w:eastAsia="en-US"/>
        </w:rPr>
        <w:footnoteReference w:id="6"/>
      </w:r>
    </w:p>
    <w:p w:rsidR="00005BEA" w:rsidRPr="00005BEA" w:rsidRDefault="00005BEA" w:rsidP="00005BEA">
      <w:pPr>
        <w:tabs>
          <w:tab w:val="num" w:pos="720"/>
          <w:tab w:val="left" w:pos="9450"/>
        </w:tabs>
        <w:spacing w:before="40" w:line="276" w:lineRule="auto"/>
        <w:ind w:firstLine="357"/>
        <w:contextualSpacing w:val="0"/>
        <w:rPr>
          <w:rFonts w:cs="Times Armenian"/>
          <w:b w:val="0"/>
          <w:szCs w:val="22"/>
          <w:lang w:val="hy-AM" w:eastAsia="en-US"/>
        </w:rPr>
      </w:pPr>
      <w:r w:rsidRPr="00005BEA">
        <w:rPr>
          <w:rFonts w:cs="Times Armenian"/>
          <w:b w:val="0"/>
          <w:szCs w:val="22"/>
          <w:lang w:val="hy-AM" w:eastAsia="en-US"/>
        </w:rPr>
        <w:t>Միջին ամսական անվանական աշխատավարձը 2019թ. աճել է 5.8%-ով, միաժամանակ իրական աշխատավարձը` 1.4% միջին գնաճի պայմաններում ավելացել է 4.3%-ով:</w:t>
      </w:r>
    </w:p>
    <w:p w:rsidR="00005BEA" w:rsidRPr="00005BEA" w:rsidRDefault="00005BEA" w:rsidP="00005BEA">
      <w:pPr>
        <w:spacing w:before="40" w:after="120" w:line="276" w:lineRule="auto"/>
        <w:ind w:firstLine="448"/>
        <w:rPr>
          <w:b w:val="0"/>
          <w:szCs w:val="22"/>
          <w:lang w:val="hy-AM" w:eastAsia="en-US"/>
        </w:rPr>
      </w:pPr>
      <w:r w:rsidRPr="00005BEA">
        <w:rPr>
          <w:rFonts w:cs="Times Armenian"/>
          <w:bCs/>
          <w:szCs w:val="22"/>
          <w:lang w:val="hy-AM" w:eastAsia="en-US"/>
        </w:rPr>
        <w:t>2020թ. երկրորդ եռամսյակում գործազրկության մակարդակը նախորդ տարվա նույն ժամանակաշրջանի նկատմամբ աճել է 1.1 տոկոսային կետով՝ կազմելով 17.5%, պայմանավորված ընթացիկ տարվա առաջին կիսամյակում գրանցված 5.7% տնտեսական անկումով:</w:t>
      </w:r>
      <w:r w:rsidRPr="00005BEA">
        <w:rPr>
          <w:rFonts w:cs="Times Armenian"/>
          <w:b w:val="0"/>
          <w:bCs/>
          <w:szCs w:val="22"/>
          <w:lang w:val="hy-AM" w:eastAsia="en-US"/>
        </w:rPr>
        <w:t xml:space="preserve"> Երկրորդ եռամսյակի գործազրկության մակարդակի վրա ակնհայտ է նաև համավարակի բացասական ազդեցությունը:</w:t>
      </w:r>
      <w:r w:rsidRPr="00005BEA">
        <w:rPr>
          <w:b w:val="0"/>
          <w:szCs w:val="22"/>
          <w:lang w:val="hy-AM" w:eastAsia="en-US"/>
        </w:rPr>
        <w:t xml:space="preserve"> </w:t>
      </w:r>
    </w:p>
    <w:p w:rsidR="00005BEA" w:rsidRPr="005514DD" w:rsidRDefault="00005BEA" w:rsidP="005514DD">
      <w:pPr>
        <w:spacing w:before="40" w:after="120" w:line="276" w:lineRule="auto"/>
        <w:ind w:firstLine="448"/>
        <w:rPr>
          <w:rFonts w:cs="Times Armenian"/>
          <w:b w:val="0"/>
          <w:szCs w:val="22"/>
          <w:lang w:val="hy-AM" w:eastAsia="en-US"/>
        </w:rPr>
      </w:pPr>
      <w:r w:rsidRPr="00005BEA">
        <w:rPr>
          <w:b w:val="0"/>
          <w:szCs w:val="22"/>
          <w:lang w:val="hy-AM" w:eastAsia="en-US"/>
        </w:rPr>
        <w:t xml:space="preserve">Աշխատանքի շուկայի հետագա զարգացումների վրա էական դերակատարում ունի Արցախյան պատերազմական գործողություններին ՀՀ քաղաքացիների մասնակցությունը: </w:t>
      </w:r>
      <w:r w:rsidRPr="00005BEA">
        <w:rPr>
          <w:rFonts w:eastAsia="Calibri" w:cs="Sylfaen"/>
          <w:b w:val="0"/>
          <w:szCs w:val="22"/>
          <w:lang w:val="hy-AM" w:eastAsia="en-US"/>
        </w:rPr>
        <w:t>2020թ. տնտեսական ա</w:t>
      </w:r>
      <w:r w:rsidRPr="00005BEA">
        <w:rPr>
          <w:rFonts w:eastAsia="Calibri" w:cs="GHEA Grapalat"/>
          <w:b w:val="0"/>
          <w:szCs w:val="22"/>
          <w:lang w:val="hy-AM" w:eastAsia="en-US"/>
        </w:rPr>
        <w:t>նկումը</w:t>
      </w:r>
      <w:r w:rsidRPr="00005BEA">
        <w:rPr>
          <w:rFonts w:eastAsia="Calibri" w:cs="Sylfaen"/>
          <w:b w:val="0"/>
          <w:szCs w:val="22"/>
          <w:lang w:val="hy-AM" w:eastAsia="en-US"/>
        </w:rPr>
        <w:t xml:space="preserve"> գնահատվում է, որ </w:t>
      </w:r>
      <w:r w:rsidRPr="00005BEA">
        <w:rPr>
          <w:rFonts w:eastAsia="Calibri" w:cs="GHEA Grapalat"/>
          <w:b w:val="0"/>
          <w:szCs w:val="22"/>
          <w:lang w:val="hy-AM" w:eastAsia="en-US"/>
        </w:rPr>
        <w:t>պայմանավորված</w:t>
      </w:r>
      <w:r w:rsidRPr="00005BEA">
        <w:rPr>
          <w:rFonts w:eastAsia="Calibri" w:cs="Sylfaen"/>
          <w:b w:val="0"/>
          <w:szCs w:val="22"/>
          <w:lang w:val="hy-AM" w:eastAsia="en-US"/>
        </w:rPr>
        <w:t xml:space="preserve"> </w:t>
      </w:r>
      <w:r w:rsidRPr="00005BEA">
        <w:rPr>
          <w:rFonts w:eastAsia="Calibri" w:cs="GHEA Grapalat"/>
          <w:b w:val="0"/>
          <w:szCs w:val="22"/>
          <w:lang w:val="hy-AM" w:eastAsia="en-US"/>
        </w:rPr>
        <w:t>կլինի</w:t>
      </w:r>
      <w:r w:rsidRPr="00005BEA">
        <w:rPr>
          <w:rFonts w:eastAsia="Calibri" w:cs="Sylfaen"/>
          <w:b w:val="0"/>
          <w:szCs w:val="22"/>
          <w:lang w:val="hy-AM" w:eastAsia="en-US"/>
        </w:rPr>
        <w:t xml:space="preserve"> նաև աշխատանքի </w:t>
      </w:r>
      <w:r w:rsidRPr="00005BEA">
        <w:rPr>
          <w:rFonts w:eastAsia="Calibri" w:cs="GHEA Grapalat"/>
          <w:b w:val="0"/>
          <w:szCs w:val="22"/>
          <w:lang w:val="hy-AM" w:eastAsia="en-US"/>
        </w:rPr>
        <w:t>առաջարկի</w:t>
      </w:r>
      <w:r w:rsidRPr="00005BEA">
        <w:rPr>
          <w:rFonts w:eastAsia="Calibri" w:cs="Sylfaen"/>
          <w:b w:val="0"/>
          <w:szCs w:val="22"/>
          <w:lang w:val="hy-AM" w:eastAsia="en-US"/>
        </w:rPr>
        <w:t xml:space="preserve"> </w:t>
      </w:r>
      <w:r w:rsidRPr="00005BEA">
        <w:rPr>
          <w:rFonts w:eastAsia="Calibri" w:cs="GHEA Grapalat"/>
          <w:b w:val="0"/>
          <w:szCs w:val="22"/>
          <w:lang w:val="hy-AM" w:eastAsia="en-US"/>
        </w:rPr>
        <w:t>բացասական</w:t>
      </w:r>
      <w:r w:rsidRPr="00005BEA">
        <w:rPr>
          <w:rFonts w:eastAsia="Calibri" w:cs="Sylfaen"/>
          <w:b w:val="0"/>
          <w:szCs w:val="22"/>
          <w:lang w:val="hy-AM" w:eastAsia="en-US"/>
        </w:rPr>
        <w:t xml:space="preserve"> </w:t>
      </w:r>
      <w:r w:rsidRPr="00005BEA">
        <w:rPr>
          <w:rFonts w:eastAsia="Calibri" w:cs="GHEA Grapalat"/>
          <w:b w:val="0"/>
          <w:szCs w:val="22"/>
          <w:lang w:val="hy-AM" w:eastAsia="en-US"/>
        </w:rPr>
        <w:t>շոկով</w:t>
      </w:r>
      <w:r w:rsidRPr="00005BEA">
        <w:rPr>
          <w:rFonts w:eastAsia="GHEA Grapalat" w:cs="GHEA Grapalat"/>
          <w:b w:val="0"/>
          <w:szCs w:val="22"/>
          <w:lang w:val="hy-AM" w:eastAsia="en-US"/>
        </w:rPr>
        <w:t xml:space="preserve">։ </w:t>
      </w:r>
    </w:p>
    <w:tbl>
      <w:tblPr>
        <w:tblStyle w:val="TableGrid14212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34"/>
        <w:gridCol w:w="4812"/>
      </w:tblGrid>
      <w:tr w:rsidR="00005BEA" w:rsidRPr="00005BEA" w:rsidTr="00005BEA">
        <w:trPr>
          <w:trHeight w:val="3144"/>
        </w:trPr>
        <w:tc>
          <w:tcPr>
            <w:tcW w:w="5063" w:type="dxa"/>
          </w:tcPr>
          <w:p w:rsidR="00005BEA" w:rsidRPr="00005BEA" w:rsidRDefault="00005BEA" w:rsidP="00005BEA">
            <w:pPr>
              <w:spacing w:before="40" w:after="60" w:line="240" w:lineRule="auto"/>
              <w:ind w:left="158" w:firstLine="0"/>
              <w:rPr>
                <w:rFonts w:cs="Times Armenian"/>
                <w:bCs/>
                <w:i/>
                <w:sz w:val="18"/>
                <w:szCs w:val="18"/>
                <w:lang w:val="hy-AM" w:eastAsia="en-US"/>
              </w:rPr>
            </w:pPr>
            <w:r w:rsidRPr="00005BEA">
              <w:rPr>
                <w:rFonts w:cs="Times Armenian"/>
                <w:bCs/>
                <w:i/>
                <w:sz w:val="18"/>
                <w:szCs w:val="18"/>
                <w:lang w:val="hy-AM" w:eastAsia="en-US"/>
              </w:rPr>
              <w:t>Գծապատկեր 1.</w:t>
            </w:r>
            <w:r w:rsidRPr="00005BEA">
              <w:rPr>
                <w:rFonts w:cs="Times Armenian"/>
                <w:bCs/>
                <w:i/>
                <w:sz w:val="18"/>
                <w:szCs w:val="18"/>
                <w:lang w:val="en-US" w:eastAsia="en-US"/>
              </w:rPr>
              <w:t>20.</w:t>
            </w:r>
            <w:r w:rsidRPr="00005BEA">
              <w:rPr>
                <w:rFonts w:cs="Times Armenian"/>
                <w:bCs/>
                <w:i/>
                <w:sz w:val="18"/>
                <w:szCs w:val="18"/>
                <w:lang w:val="hy-AM" w:eastAsia="en-US"/>
              </w:rPr>
              <w:t xml:space="preserve"> </w:t>
            </w:r>
            <w:r w:rsidRPr="00136A8C">
              <w:rPr>
                <w:rFonts w:cs="Times Armenian"/>
                <w:b w:val="0"/>
                <w:bCs/>
                <w:i/>
                <w:sz w:val="18"/>
                <w:szCs w:val="18"/>
                <w:lang w:val="hy-AM" w:eastAsia="en-US"/>
              </w:rPr>
              <w:t xml:space="preserve">Գործազրկություն և զբաղվածություն </w:t>
            </w:r>
          </w:p>
          <w:p w:rsidR="00005BEA" w:rsidRPr="005514DD" w:rsidRDefault="00005BEA" w:rsidP="005514DD">
            <w:pPr>
              <w:spacing w:before="40" w:after="60"/>
              <w:ind w:left="155" w:firstLine="0"/>
              <w:rPr>
                <w:rFonts w:cs="Times Armenian"/>
                <w:bCs/>
                <w:sz w:val="12"/>
                <w:szCs w:val="12"/>
                <w:lang w:val="en-US" w:eastAsia="en-US"/>
              </w:rPr>
            </w:pPr>
            <w:r w:rsidRPr="00005BEA">
              <w:rPr>
                <w:rFonts w:cs="Times Armenian"/>
                <w:bCs/>
                <w:noProof/>
                <w:sz w:val="12"/>
                <w:szCs w:val="12"/>
                <w:lang w:val="en-US" w:eastAsia="en-US"/>
              </w:rPr>
              <w:drawing>
                <wp:inline distT="0" distB="0" distL="0" distR="0" wp14:anchorId="4B6A783E" wp14:editId="4E93CDD2">
                  <wp:extent cx="2962275" cy="2105025"/>
                  <wp:effectExtent l="0" t="0" r="9525" b="9525"/>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5BEA" w:rsidRPr="00136A8C" w:rsidRDefault="00005BEA" w:rsidP="00005BEA">
            <w:pPr>
              <w:spacing w:before="40" w:after="60"/>
              <w:ind w:left="155" w:firstLine="0"/>
              <w:rPr>
                <w:rFonts w:cs="Times Armenian"/>
                <w:b w:val="0"/>
                <w:bCs/>
                <w:i/>
                <w:sz w:val="16"/>
                <w:szCs w:val="16"/>
                <w:lang w:val="hy-AM" w:eastAsia="en-US"/>
              </w:rPr>
            </w:pPr>
            <w:r w:rsidRPr="00136A8C">
              <w:rPr>
                <w:rFonts w:cs="Times Armenian"/>
                <w:b w:val="0"/>
                <w:i/>
                <w:sz w:val="16"/>
                <w:szCs w:val="16"/>
                <w:lang w:val="en-US" w:eastAsia="en-US"/>
              </w:rPr>
              <w:t>Աղբյուրը՝ ՀՀ ՎԿ</w:t>
            </w:r>
          </w:p>
        </w:tc>
        <w:tc>
          <w:tcPr>
            <w:tcW w:w="4961" w:type="dxa"/>
          </w:tcPr>
          <w:p w:rsidR="00005BEA" w:rsidRPr="00005BEA" w:rsidRDefault="00005BEA" w:rsidP="00005BEA">
            <w:pPr>
              <w:spacing w:before="40" w:after="60" w:line="240" w:lineRule="auto"/>
              <w:ind w:left="169" w:firstLine="0"/>
              <w:rPr>
                <w:rFonts w:cs="Times Armenian"/>
                <w:noProof/>
                <w:sz w:val="18"/>
                <w:szCs w:val="18"/>
                <w:lang w:val="hy-AM"/>
              </w:rPr>
            </w:pPr>
            <w:r w:rsidRPr="00005BEA">
              <w:rPr>
                <w:rFonts w:cs="Times Armenian"/>
                <w:bCs/>
                <w:i/>
                <w:iCs/>
                <w:sz w:val="18"/>
                <w:szCs w:val="18"/>
                <w:lang w:val="hy-AM" w:eastAsia="en-US"/>
              </w:rPr>
              <w:t xml:space="preserve">Գծապատկեր 1.21. </w:t>
            </w:r>
            <w:r w:rsidRPr="00136A8C">
              <w:rPr>
                <w:rFonts w:cs="Times Armenian"/>
                <w:b w:val="0"/>
                <w:bCs/>
                <w:i/>
                <w:iCs/>
                <w:sz w:val="18"/>
                <w:szCs w:val="18"/>
                <w:lang w:val="hy-AM" w:eastAsia="en-US"/>
              </w:rPr>
              <w:t>Միջին ամսական անվանական աշխատավարձի կուտակային աճ</w:t>
            </w:r>
            <w:r w:rsidRPr="00136A8C">
              <w:rPr>
                <w:rFonts w:cs="Times Armenian"/>
                <w:b w:val="0"/>
                <w:noProof/>
                <w:sz w:val="18"/>
                <w:szCs w:val="18"/>
                <w:lang w:val="hy-AM"/>
              </w:rPr>
              <w:t>, 2020թ., %</w:t>
            </w:r>
            <w:r w:rsidRPr="00005BEA">
              <w:rPr>
                <w:rFonts w:cs="Times Armenian"/>
                <w:noProof/>
                <w:sz w:val="18"/>
                <w:szCs w:val="18"/>
                <w:lang w:val="hy-AM"/>
              </w:rPr>
              <w:t xml:space="preserve"> </w:t>
            </w:r>
          </w:p>
          <w:p w:rsidR="00005BEA" w:rsidRPr="00005BEA" w:rsidRDefault="00005BEA" w:rsidP="00005BEA">
            <w:pPr>
              <w:spacing w:before="40" w:after="60" w:line="240" w:lineRule="auto"/>
              <w:ind w:left="169" w:firstLine="0"/>
              <w:rPr>
                <w:rFonts w:cs="Times Armenian"/>
                <w:noProof/>
                <w:sz w:val="18"/>
                <w:szCs w:val="18"/>
                <w:lang w:val="hy-AM"/>
              </w:rPr>
            </w:pPr>
            <w:r w:rsidRPr="00005BEA">
              <w:rPr>
                <w:rFonts w:cs="Times Armenian"/>
                <w:noProof/>
                <w:sz w:val="12"/>
                <w:szCs w:val="12"/>
                <w:lang w:val="en-US" w:eastAsia="en-US"/>
              </w:rPr>
              <w:drawing>
                <wp:anchor distT="0" distB="0" distL="114300" distR="114300" simplePos="0" relativeHeight="251781632" behindDoc="1" locked="0" layoutInCell="1" allowOverlap="1" wp14:anchorId="174BCF54" wp14:editId="525D7B6B">
                  <wp:simplePos x="0" y="0"/>
                  <wp:positionH relativeFrom="column">
                    <wp:posOffset>-5080</wp:posOffset>
                  </wp:positionH>
                  <wp:positionV relativeFrom="paragraph">
                    <wp:posOffset>164465</wp:posOffset>
                  </wp:positionV>
                  <wp:extent cx="2987040" cy="1908810"/>
                  <wp:effectExtent l="0" t="0" r="3810" b="15240"/>
                  <wp:wrapTight wrapText="bothSides">
                    <wp:wrapPolygon edited="0">
                      <wp:start x="0" y="0"/>
                      <wp:lineTo x="0" y="21557"/>
                      <wp:lineTo x="21490" y="21557"/>
                      <wp:lineTo x="21490" y="0"/>
                      <wp:lineTo x="0" y="0"/>
                    </wp:wrapPolygon>
                  </wp:wrapTight>
                  <wp:docPr id="1"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005BEA" w:rsidRPr="00136A8C" w:rsidRDefault="00005BEA" w:rsidP="00005BEA">
            <w:pPr>
              <w:spacing w:before="40" w:after="60"/>
              <w:ind w:firstLine="0"/>
              <w:rPr>
                <w:rFonts w:cs="Times Armenian"/>
                <w:b w:val="0"/>
                <w:bCs/>
                <w:i/>
                <w:sz w:val="16"/>
                <w:szCs w:val="16"/>
                <w:lang w:val="hy-AM" w:eastAsia="en-US"/>
              </w:rPr>
            </w:pPr>
            <w:r w:rsidRPr="00136A8C">
              <w:rPr>
                <w:rFonts w:cs="Times Armenian"/>
                <w:b w:val="0"/>
                <w:i/>
                <w:sz w:val="16"/>
                <w:szCs w:val="16"/>
                <w:lang w:val="hy-AM" w:eastAsia="en-US"/>
              </w:rPr>
              <w:t>Աղբյուրը՝ ՀՀ ՎԿ</w:t>
            </w:r>
          </w:p>
        </w:tc>
      </w:tr>
    </w:tbl>
    <w:p w:rsidR="00005BEA" w:rsidRPr="00005BEA" w:rsidRDefault="00005BEA" w:rsidP="00005BEA">
      <w:pPr>
        <w:spacing w:before="40" w:after="60"/>
        <w:contextualSpacing w:val="0"/>
        <w:rPr>
          <w:rFonts w:cs="Times Armenian"/>
          <w:b w:val="0"/>
          <w:bCs/>
          <w:sz w:val="6"/>
          <w:szCs w:val="6"/>
          <w:lang w:val="hy-AM" w:eastAsia="en-US"/>
        </w:rPr>
      </w:pPr>
    </w:p>
    <w:p w:rsidR="005514DD" w:rsidRDefault="00005BEA" w:rsidP="005514DD">
      <w:pPr>
        <w:spacing w:before="40" w:after="120" w:line="276" w:lineRule="auto"/>
        <w:ind w:firstLine="448"/>
        <w:rPr>
          <w:rFonts w:cs="Times Armenian"/>
          <w:b w:val="0"/>
          <w:szCs w:val="22"/>
          <w:lang w:val="hy-AM" w:eastAsia="en-US"/>
        </w:rPr>
      </w:pPr>
      <w:r w:rsidRPr="00005BEA">
        <w:rPr>
          <w:rFonts w:cs="Times Armenian"/>
          <w:szCs w:val="22"/>
          <w:lang w:val="hy-AM" w:eastAsia="en-US"/>
        </w:rPr>
        <w:t>2020թ. տարեսկզբին արձանագրված աշխատավարձի աճի բարձր տեմպերը կրելով համավարակի բացասական ազդեցությունները գնալով դանդաղեցին:</w:t>
      </w:r>
      <w:r w:rsidRPr="00005BEA">
        <w:rPr>
          <w:rFonts w:cs="Times Armenian"/>
          <w:b w:val="0"/>
          <w:szCs w:val="22"/>
          <w:lang w:val="hy-AM" w:eastAsia="en-US"/>
        </w:rPr>
        <w:t xml:space="preserve"> 2020թ. հունվար-հոկտեմբերին միջին ամսական անվանական աշխատավարձն աճել է 4.3%-ով՝ կազմելով 186,428 դրամ: Ընդ որում՝ սպառողական գների ինդեքսի 0.9% աճի պարագայում իրական աշխատավարձն աճել է 3.4%-ով: Պետական հատվածում միջին ամսական անվանական աշխատավարձն աճել է 6.3%-ով՝ կազմելով  165,514 դրամ, իսկ մասնավոր հատվածում՝ 3.1%-ով՝ կազմելով 196,386 դրամ:</w:t>
      </w:r>
    </w:p>
    <w:p w:rsidR="005514DD" w:rsidRPr="00005BEA" w:rsidRDefault="005514DD" w:rsidP="005514DD">
      <w:pPr>
        <w:spacing w:before="40" w:after="120" w:line="276" w:lineRule="auto"/>
        <w:ind w:firstLine="448"/>
        <w:rPr>
          <w:rFonts w:cs="Times Armenian"/>
          <w:b w:val="0"/>
          <w:szCs w:val="22"/>
          <w:lang w:val="hy-AM" w:eastAsia="en-US"/>
        </w:rPr>
      </w:pPr>
    </w:p>
    <w:p w:rsidR="00005BEA" w:rsidRPr="00005BEA" w:rsidRDefault="00005BEA" w:rsidP="00005BEA">
      <w:pPr>
        <w:spacing w:before="0" w:after="120" w:line="240" w:lineRule="auto"/>
        <w:ind w:firstLine="0"/>
        <w:contextualSpacing w:val="0"/>
        <w:jc w:val="left"/>
        <w:rPr>
          <w:rFonts w:eastAsia="Calibri"/>
          <w:bCs/>
          <w:sz w:val="24"/>
          <w:lang w:val="hy-AM" w:eastAsia="en-US"/>
        </w:rPr>
      </w:pPr>
      <w:r w:rsidRPr="00005BEA">
        <w:rPr>
          <w:rFonts w:eastAsia="Calibri"/>
          <w:bCs/>
          <w:sz w:val="24"/>
          <w:lang w:val="hy-AM" w:eastAsia="en-US"/>
        </w:rPr>
        <w:t xml:space="preserve">1.3.3. ՀՀ վճարային հաշվեկշիռ, արտահանում և ներմուծում </w:t>
      </w:r>
    </w:p>
    <w:p w:rsidR="00005BEA" w:rsidRPr="00005BEA" w:rsidRDefault="00005BEA" w:rsidP="00005BEA">
      <w:pPr>
        <w:tabs>
          <w:tab w:val="num" w:pos="720"/>
        </w:tabs>
        <w:spacing w:before="0" w:after="120" w:line="276" w:lineRule="auto"/>
        <w:ind w:firstLine="720"/>
        <w:contextualSpacing w:val="0"/>
        <w:rPr>
          <w:rFonts w:eastAsia="Calibri" w:cs="Sylfaen"/>
          <w:b w:val="0"/>
          <w:szCs w:val="22"/>
          <w:lang w:val="hy-AM" w:eastAsia="en-US"/>
        </w:rPr>
      </w:pPr>
      <w:r w:rsidRPr="00005BEA">
        <w:rPr>
          <w:rFonts w:eastAsia="Calibri" w:cs="Sylfaen"/>
          <w:szCs w:val="22"/>
          <w:lang w:val="hy-AM" w:eastAsia="en-US"/>
        </w:rPr>
        <w:t xml:space="preserve">2019թ. վճարային հաշվեկշռի ընթացիկ հաշվի պակասուրդը նախորդ տարվա համեմատ վատթարացել է 0.3 տոկոսային կետով և կազմել ՀՆԱ-ի 7.2%-ը:  </w:t>
      </w:r>
      <w:r w:rsidRPr="00005BEA">
        <w:rPr>
          <w:rFonts w:eastAsia="Calibri" w:cs="Times Armenian"/>
          <w:b w:val="0"/>
          <w:szCs w:val="22"/>
          <w:lang w:val="hy-AM" w:eastAsia="en-US"/>
        </w:rPr>
        <w:t xml:space="preserve">Ընթացիկ հաշիվը </w:t>
      </w:r>
      <w:r w:rsidRPr="00005BEA">
        <w:rPr>
          <w:rFonts w:eastAsia="Calibri" w:cs="Times Armenian"/>
          <w:b w:val="0"/>
          <w:szCs w:val="22"/>
          <w:lang w:val="hy-AM" w:eastAsia="en-US"/>
        </w:rPr>
        <w:lastRenderedPageBreak/>
        <w:t>բնութագրվել է ապրանքների և ծառայությունների բացասական հաշվեկշռի խորացմամբ և դրամական փոխանցումների ծավալների  նախորդ տարվա համեմատ թույլ աճով։</w:t>
      </w:r>
      <w:r w:rsidRPr="00005BEA">
        <w:rPr>
          <w:rFonts w:eastAsia="Calibri" w:cs="Sylfaen"/>
          <w:b w:val="0"/>
          <w:szCs w:val="22"/>
          <w:lang w:val="hy-AM" w:eastAsia="en-US"/>
        </w:rPr>
        <w:t xml:space="preserve"> </w:t>
      </w:r>
    </w:p>
    <w:p w:rsidR="00005BEA" w:rsidRPr="00005BEA" w:rsidRDefault="00005BEA" w:rsidP="00005BEA">
      <w:pPr>
        <w:spacing w:before="0" w:after="120" w:line="276" w:lineRule="auto"/>
        <w:ind w:firstLine="0"/>
        <w:contextualSpacing w:val="0"/>
        <w:rPr>
          <w:rFonts w:eastAsia="Calibri" w:cs="Sylfaen"/>
          <w:b w:val="0"/>
          <w:szCs w:val="22"/>
          <w:lang w:val="hy-AM" w:eastAsia="en-US"/>
        </w:rPr>
      </w:pPr>
      <w:r w:rsidRPr="00005BEA">
        <w:rPr>
          <w:rFonts w:eastAsia="Calibri" w:cs="Sylfaen"/>
          <w:b w:val="0"/>
          <w:szCs w:val="22"/>
          <w:lang w:val="hy-AM" w:eastAsia="en-US"/>
        </w:rPr>
        <w:t xml:space="preserve">        </w:t>
      </w:r>
      <w:r w:rsidRPr="00005BEA">
        <w:rPr>
          <w:rFonts w:eastAsia="Calibri" w:cs="Sylfaen"/>
          <w:bCs/>
          <w:szCs w:val="22"/>
          <w:u w:val="single"/>
          <w:lang w:val="hy-AM" w:eastAsia="en-US"/>
        </w:rPr>
        <w:t>Կանխատեսում։</w:t>
      </w:r>
      <w:r w:rsidRPr="00005BEA">
        <w:rPr>
          <w:rFonts w:eastAsia="Calibri" w:cs="Sylfaen"/>
          <w:b w:val="0"/>
          <w:szCs w:val="22"/>
          <w:lang w:val="hy-AM" w:eastAsia="en-US"/>
        </w:rPr>
        <w:t xml:space="preserve"> </w:t>
      </w:r>
      <w:r w:rsidRPr="00005BEA">
        <w:rPr>
          <w:rFonts w:cs="Sylfaen"/>
          <w:b w:val="0"/>
          <w:noProof/>
          <w:szCs w:val="22"/>
          <w:lang w:val="hy-AM" w:eastAsia="en-US"/>
        </w:rPr>
        <w:t xml:space="preserve">Արցախյան պատերազմի, </w:t>
      </w:r>
      <w:r w:rsidRPr="00005BEA">
        <w:rPr>
          <w:rFonts w:eastAsia="Calibri" w:cs="Sylfaen"/>
          <w:b w:val="0"/>
          <w:szCs w:val="22"/>
          <w:lang w:val="hy-AM" w:eastAsia="en-US"/>
        </w:rPr>
        <w:t xml:space="preserve">համավարակի երկրորդ ալիքի բռնկման արդյունքում ներքին և արտաքին թույլ պահանջարկի, ինչպես նաև զբոսաշրջության կրճատման </w:t>
      </w:r>
      <w:r w:rsidRPr="00005BEA">
        <w:rPr>
          <w:rFonts w:cs="Sylfaen"/>
          <w:b w:val="0"/>
          <w:noProof/>
          <w:szCs w:val="22"/>
          <w:lang w:val="hy-AM" w:eastAsia="en-US"/>
        </w:rPr>
        <w:t>հետևանքներով</w:t>
      </w:r>
      <w:r w:rsidRPr="00005BEA">
        <w:rPr>
          <w:rFonts w:eastAsia="Calibri" w:cs="Sylfaen"/>
          <w:b w:val="0"/>
          <w:szCs w:val="22"/>
          <w:lang w:val="hy-AM" w:eastAsia="en-US"/>
        </w:rPr>
        <w:t xml:space="preserve"> 2020թ. ընթացիկ հաշվի պակասուրդը կփոքրանա՝ մոտենալով ՀՆԱ-ի 5.9% մակարդակի: Ընթացիկ հաշվի պակասուրդի նվազումը պայմանավորված կլինի ներմուծման նվազման հետևանքով առևտրային հաշվեկշռի բարելավմամբ։ ՀՀ տնտեսական ակտիվության վերականգնման պայմաններում 2021թ. ակնկալվում է ընթացիկ հաշվի պակասուրդի վատթարացում՝ պայմանավորված</w:t>
      </w:r>
      <w:r w:rsidRPr="00005BEA">
        <w:rPr>
          <w:rFonts w:eastAsia="Calibri" w:cs="Times Armenian"/>
          <w:b w:val="0"/>
          <w:szCs w:val="22"/>
          <w:lang w:val="hy-AM" w:eastAsia="en-US"/>
        </w:rPr>
        <w:t xml:space="preserve"> ապրանքների և ծառայությունների բացասական հաշվեկշռի խորացմամբ</w:t>
      </w:r>
      <w:r w:rsidRPr="00005BEA">
        <w:rPr>
          <w:rFonts w:eastAsia="Calibri" w:cs="Sylfaen"/>
          <w:b w:val="0"/>
          <w:szCs w:val="22"/>
          <w:lang w:val="hy-AM" w:eastAsia="en-US"/>
        </w:rPr>
        <w:t xml:space="preserve">: </w:t>
      </w:r>
    </w:p>
    <w:p w:rsidR="00005BEA" w:rsidRPr="00005BEA" w:rsidRDefault="00005BEA" w:rsidP="00005BEA">
      <w:pPr>
        <w:keepNext/>
        <w:keepLines/>
        <w:tabs>
          <w:tab w:val="left" w:pos="0"/>
        </w:tabs>
        <w:spacing w:before="0" w:line="276" w:lineRule="auto"/>
        <w:ind w:firstLine="0"/>
        <w:contextualSpacing w:val="0"/>
        <w:jc w:val="left"/>
        <w:rPr>
          <w:rFonts w:eastAsia="Calibri"/>
          <w:b w:val="0"/>
          <w:i/>
          <w:sz w:val="18"/>
          <w:szCs w:val="18"/>
          <w:lang w:val="hy-AM" w:eastAsia="en-US"/>
        </w:rPr>
      </w:pPr>
      <w:r w:rsidRPr="00005BEA">
        <w:rPr>
          <w:rFonts w:eastAsia="Calibri"/>
          <w:b w:val="0"/>
          <w:i/>
          <w:noProof/>
          <w:sz w:val="18"/>
          <w:szCs w:val="18"/>
          <w:lang w:val="en-US" w:eastAsia="en-US"/>
        </w:rPr>
        <w:drawing>
          <wp:anchor distT="0" distB="0" distL="114300" distR="114300" simplePos="0" relativeHeight="251769344" behindDoc="1" locked="0" layoutInCell="1" allowOverlap="1" wp14:anchorId="675490A9" wp14:editId="323E869A">
            <wp:simplePos x="0" y="0"/>
            <wp:positionH relativeFrom="column">
              <wp:posOffset>3154680</wp:posOffset>
            </wp:positionH>
            <wp:positionV relativeFrom="paragraph">
              <wp:posOffset>284480</wp:posOffset>
            </wp:positionV>
            <wp:extent cx="3218815" cy="2266950"/>
            <wp:effectExtent l="0" t="0" r="635" b="0"/>
            <wp:wrapTight wrapText="bothSides">
              <wp:wrapPolygon edited="0">
                <wp:start x="0" y="0"/>
                <wp:lineTo x="0" y="21418"/>
                <wp:lineTo x="21476" y="21418"/>
                <wp:lineTo x="21476"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005BEA">
        <w:rPr>
          <w:rFonts w:eastAsia="Calibri" w:cs="Sylfaen"/>
          <w:i/>
          <w:szCs w:val="22"/>
          <w:lang w:val="hy-AM" w:eastAsia="en-US"/>
        </w:rPr>
        <w:t>Գծապատկեր</w:t>
      </w:r>
      <w:r w:rsidRPr="00005BEA">
        <w:rPr>
          <w:rFonts w:eastAsia="Calibri" w:cs="Times Armenian"/>
          <w:i/>
          <w:szCs w:val="22"/>
          <w:lang w:val="hy-AM" w:eastAsia="en-US"/>
        </w:rPr>
        <w:t xml:space="preserve"> 1.22.</w:t>
      </w:r>
      <w:r w:rsidRPr="00005BEA">
        <w:rPr>
          <w:rFonts w:eastAsia="Calibri" w:cs="Times Armenian"/>
          <w:b w:val="0"/>
          <w:i/>
          <w:sz w:val="21"/>
          <w:szCs w:val="20"/>
          <w:lang w:val="hy-AM" w:eastAsia="en-US"/>
        </w:rPr>
        <w:t xml:space="preserve"> </w:t>
      </w:r>
      <w:r w:rsidRPr="00005BEA">
        <w:rPr>
          <w:rFonts w:eastAsia="Calibri" w:cs="Sylfaen"/>
          <w:b w:val="0"/>
          <w:i/>
          <w:sz w:val="20"/>
          <w:szCs w:val="20"/>
          <w:lang w:val="hy-AM" w:eastAsia="en-US"/>
        </w:rPr>
        <w:t>Ընթացիկ հաշվի պակասուրդը և բաղադրատարրերը (ՀՆԱ-ում %)</w:t>
      </w:r>
    </w:p>
    <w:p w:rsidR="00005BEA" w:rsidRPr="005514DD" w:rsidRDefault="00005BEA" w:rsidP="00005BEA">
      <w:pPr>
        <w:spacing w:before="0" w:line="276" w:lineRule="auto"/>
        <w:ind w:firstLine="0"/>
        <w:contextualSpacing w:val="0"/>
        <w:rPr>
          <w:rFonts w:eastAsia="Calibri" w:cs="Sylfaen"/>
          <w:b w:val="0"/>
          <w:sz w:val="16"/>
          <w:szCs w:val="16"/>
          <w:lang w:val="hy-AM" w:eastAsia="en-US"/>
        </w:rPr>
      </w:pPr>
      <w:r w:rsidRPr="00005BEA">
        <w:rPr>
          <w:rFonts w:eastAsia="Calibri"/>
          <w:b w:val="0"/>
          <w:i/>
          <w:noProof/>
          <w:sz w:val="16"/>
          <w:szCs w:val="16"/>
          <w:lang w:val="en-US" w:eastAsia="en-US"/>
        </w:rPr>
        <w:drawing>
          <wp:anchor distT="0" distB="0" distL="114300" distR="114300" simplePos="0" relativeHeight="251768320" behindDoc="1" locked="0" layoutInCell="1" allowOverlap="1" wp14:anchorId="23BE884E" wp14:editId="5F7FE151">
            <wp:simplePos x="0" y="0"/>
            <wp:positionH relativeFrom="column">
              <wp:posOffset>-2540</wp:posOffset>
            </wp:positionH>
            <wp:positionV relativeFrom="paragraph">
              <wp:posOffset>66040</wp:posOffset>
            </wp:positionV>
            <wp:extent cx="3077210" cy="2266950"/>
            <wp:effectExtent l="0" t="0" r="8890" b="0"/>
            <wp:wrapTight wrapText="bothSides">
              <wp:wrapPolygon edited="0">
                <wp:start x="0" y="0"/>
                <wp:lineTo x="0" y="21418"/>
                <wp:lineTo x="21529" y="21418"/>
                <wp:lineTo x="21529"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005BEA">
        <w:rPr>
          <w:rFonts w:eastAsia="Calibri"/>
          <w:b w:val="0"/>
          <w:i/>
          <w:sz w:val="18"/>
          <w:szCs w:val="18"/>
          <w:lang w:val="hy-AM" w:eastAsia="en-US"/>
        </w:rPr>
        <w:t>Աղբյուրը՝ ՀՀ ՎԿ, ՀՀ ՖՆ հաշվարկներ և  կանխատեսումներ</w:t>
      </w:r>
    </w:p>
    <w:p w:rsidR="00005BEA" w:rsidRPr="00005BEA" w:rsidRDefault="00005BEA" w:rsidP="00005BEA">
      <w:pPr>
        <w:spacing w:before="0" w:after="120" w:line="276" w:lineRule="auto"/>
        <w:ind w:firstLine="720"/>
        <w:contextualSpacing w:val="0"/>
        <w:rPr>
          <w:rFonts w:eastAsia="Calibri" w:cs="Sylfaen"/>
          <w:b w:val="0"/>
          <w:szCs w:val="22"/>
          <w:lang w:val="hy-AM" w:eastAsia="en-US"/>
        </w:rPr>
      </w:pPr>
      <w:r w:rsidRPr="00005BEA">
        <w:rPr>
          <w:rFonts w:eastAsia="Calibri" w:cs="Sylfaen"/>
          <w:szCs w:val="22"/>
          <w:u w:val="single"/>
          <w:lang w:val="hy-AM" w:eastAsia="en-US"/>
        </w:rPr>
        <w:t>Արտահանում:</w:t>
      </w:r>
      <w:r w:rsidRPr="00005BEA">
        <w:rPr>
          <w:rFonts w:eastAsia="Calibri" w:cs="Sylfaen"/>
          <w:szCs w:val="22"/>
          <w:lang w:val="hy-AM" w:eastAsia="en-US"/>
        </w:rPr>
        <w:t xml:space="preserve"> 2019թ. արձանագրվել է ապրանքների և ծառայությունների դոլարային արտահանման երկնիշ՝ 14.9% աճ: </w:t>
      </w:r>
      <w:r w:rsidRPr="00005BEA">
        <w:rPr>
          <w:rFonts w:eastAsia="Calibri" w:cs="Sylfaen"/>
          <w:b w:val="0"/>
          <w:szCs w:val="22"/>
          <w:lang w:val="hy-AM" w:eastAsia="en-US"/>
        </w:rPr>
        <w:t xml:space="preserve">2019թ. ապրանքների արտահանումն աճել է 19.4%-ով և հիմնականում պայմանավորված է եղել մշակող և հանքագործական արդյունաբերության աճերով։ </w:t>
      </w:r>
      <w:r w:rsidRPr="00005BEA">
        <w:rPr>
          <w:rFonts w:eastAsia="Calibri" w:cs="Sylfaen"/>
          <w:b w:val="0"/>
          <w:szCs w:val="22"/>
          <w:lang w:val="hy-AM"/>
        </w:rPr>
        <w:t>Ընդ որում մշակող արդյունաբերության դերը արտահանման կառուցվածքում բարձրացել է, որը տնտեսության կառուցվածքում բարելավման և այդ ոլորտի կշռի մեծացման հետևանք է:</w:t>
      </w:r>
      <w:r w:rsidRPr="00005BEA">
        <w:rPr>
          <w:rFonts w:eastAsia="Calibri" w:cs="Sylfaen"/>
          <w:b w:val="0"/>
          <w:szCs w:val="22"/>
          <w:lang w:val="hy-AM" w:eastAsia="en-US"/>
        </w:rPr>
        <w:t xml:space="preserve"> Ծառայությունների արտահանման աճը պայմանավորվել է զբոսաշրջության նախորդ տարվա համեմատ ավելի բարձր՝ շուրջ 15% աճով: </w:t>
      </w:r>
    </w:p>
    <w:p w:rsidR="00005BEA" w:rsidRPr="00005BEA" w:rsidRDefault="00005BEA" w:rsidP="00005BEA">
      <w:pPr>
        <w:spacing w:before="0" w:after="120" w:line="276" w:lineRule="auto"/>
        <w:ind w:firstLine="720"/>
        <w:contextualSpacing w:val="0"/>
        <w:rPr>
          <w:rFonts w:eastAsia="Calibri" w:cs="Sylfaen"/>
          <w:b w:val="0"/>
          <w:szCs w:val="22"/>
          <w:lang w:val="hy-AM" w:eastAsia="en-US"/>
        </w:rPr>
      </w:pPr>
      <w:r w:rsidRPr="00005BEA">
        <w:rPr>
          <w:rFonts w:eastAsia="Calibri" w:cs="Sylfaen"/>
          <w:szCs w:val="22"/>
          <w:lang w:val="hy-AM" w:eastAsia="en-US"/>
        </w:rPr>
        <w:t xml:space="preserve">2020թ. համավարակի հետևանքով առավել մեծ վնասներ է կրել ծառայությունների արտահանման ոլորտը. </w:t>
      </w:r>
      <w:r w:rsidRPr="00005BEA">
        <w:rPr>
          <w:rFonts w:eastAsia="Calibri" w:cs="Sylfaen"/>
          <w:b w:val="0"/>
          <w:szCs w:val="22"/>
          <w:lang w:val="hy-AM" w:eastAsia="en-US"/>
        </w:rPr>
        <w:t>2020թ. առաջին կիսամյակում ծառայությունների արտահանումը կրճատվել է 38.9%-ով, որին հիմնականում նպաստել է զբոսաշրջության արտահանման 61.1% անկումը։ Ծառայությունների արտահանման նվազման տեմպերը երրորդ եռամսյակի ընթացքում խորացել են</w:t>
      </w:r>
      <w:r w:rsidRPr="00005BEA">
        <w:rPr>
          <w:rFonts w:eastAsia="Calibri" w:cs="Sylfaen"/>
          <w:b w:val="0"/>
          <w:szCs w:val="22"/>
          <w:vertAlign w:val="superscript"/>
          <w:lang w:val="hy-AM" w:eastAsia="en-US"/>
        </w:rPr>
        <w:footnoteReference w:id="7"/>
      </w:r>
      <w:r w:rsidRPr="00005BEA">
        <w:rPr>
          <w:rFonts w:eastAsia="Calibri" w:cs="Sylfaen"/>
          <w:b w:val="0"/>
          <w:szCs w:val="22"/>
          <w:lang w:val="hy-AM" w:eastAsia="en-US"/>
        </w:rPr>
        <w:t>:</w:t>
      </w:r>
    </w:p>
    <w:p w:rsidR="00005BEA" w:rsidRPr="00005BEA" w:rsidRDefault="00005BEA" w:rsidP="00005BEA">
      <w:pPr>
        <w:spacing w:before="0" w:after="120" w:line="276" w:lineRule="auto"/>
        <w:ind w:firstLine="720"/>
        <w:contextualSpacing w:val="0"/>
        <w:rPr>
          <w:rFonts w:eastAsia="Calibri" w:cs="Sylfaen"/>
          <w:b w:val="0"/>
          <w:szCs w:val="22"/>
          <w:lang w:val="hy-AM" w:eastAsia="en-US"/>
        </w:rPr>
      </w:pPr>
      <w:r w:rsidRPr="00005BEA">
        <w:rPr>
          <w:rFonts w:eastAsia="Calibri" w:cs="Sylfaen"/>
          <w:b w:val="0"/>
          <w:szCs w:val="22"/>
          <w:lang w:val="hy-AM" w:eastAsia="en-US"/>
        </w:rPr>
        <w:t xml:space="preserve"> </w:t>
      </w:r>
      <w:r w:rsidRPr="00005BEA">
        <w:rPr>
          <w:rFonts w:eastAsia="Calibri" w:cs="Sylfaen"/>
          <w:szCs w:val="22"/>
          <w:lang w:val="hy-AM" w:eastAsia="en-US"/>
        </w:rPr>
        <w:t xml:space="preserve">Չնայած 2020թ. տարեսկզբի աճի բարձր տեմպերին՝ 2020թ. հունվար-հոկտեմբեր ամիսներին ՀՀ ապրանքների արտահանումը կրճատվել է 4.4%-ով, ինչը պայմանավորվել է </w:t>
      </w:r>
      <w:r w:rsidRPr="00005BEA">
        <w:rPr>
          <w:rFonts w:eastAsia="Calibri" w:cs="Sylfaen"/>
          <w:szCs w:val="22"/>
          <w:lang w:val="hy-AM" w:eastAsia="en-US"/>
        </w:rPr>
        <w:lastRenderedPageBreak/>
        <w:t>տնտեսական սահմանափակումների, զբաղվածության կրճատման պայմաններում արտահանելի հատվածի արտադրության կրճատման, ինչպես նաև արտաքին պահանջարկի նվազմամբ: Հոկտեմբեր ամիսն իր վրա կրել է նաև Արցախյան պատերազմի և կորոնավիրուսի համավարակի երկրորդ ալիքի բռնկման տնտեսական ազդեցությունները՝ վերջին հինգ ամիսների ընթացքում գրանցելով ամենախորը տ/տ անկումը:</w:t>
      </w:r>
    </w:p>
    <w:p w:rsidR="00005BEA" w:rsidRPr="00005BEA" w:rsidRDefault="00005BEA" w:rsidP="00005BEA">
      <w:pPr>
        <w:keepNext/>
        <w:keepLines/>
        <w:spacing w:before="0" w:line="276" w:lineRule="auto"/>
        <w:ind w:firstLine="0"/>
        <w:contextualSpacing w:val="0"/>
        <w:rPr>
          <w:rFonts w:eastAsia="Calibri" w:cs="Sylfaen"/>
          <w:b w:val="0"/>
          <w:bCs/>
          <w:i/>
          <w:sz w:val="20"/>
          <w:szCs w:val="20"/>
          <w:lang w:val="hy-AM" w:eastAsia="en-US"/>
        </w:rPr>
      </w:pPr>
      <w:r w:rsidRPr="00005BEA">
        <w:rPr>
          <w:rFonts w:eastAsia="Calibri"/>
          <w:i/>
          <w:noProof/>
          <w:szCs w:val="22"/>
          <w:lang w:val="en-US" w:eastAsia="en-US"/>
        </w:rPr>
        <w:drawing>
          <wp:anchor distT="0" distB="0" distL="114300" distR="114300" simplePos="0" relativeHeight="251772416" behindDoc="1" locked="0" layoutInCell="1" allowOverlap="1" wp14:anchorId="47F3B71E" wp14:editId="6BC4D9CE">
            <wp:simplePos x="0" y="0"/>
            <wp:positionH relativeFrom="margin">
              <wp:align>left</wp:align>
            </wp:positionH>
            <wp:positionV relativeFrom="paragraph">
              <wp:posOffset>318770</wp:posOffset>
            </wp:positionV>
            <wp:extent cx="3295650" cy="2028825"/>
            <wp:effectExtent l="0" t="0" r="0" b="9525"/>
            <wp:wrapTight wrapText="bothSides">
              <wp:wrapPolygon edited="0">
                <wp:start x="0" y="0"/>
                <wp:lineTo x="0" y="21499"/>
                <wp:lineTo x="21475" y="21499"/>
                <wp:lineTo x="21475"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005BEA">
        <w:rPr>
          <w:rFonts w:eastAsia="Calibri"/>
          <w:i/>
          <w:noProof/>
          <w:szCs w:val="22"/>
          <w:lang w:val="en-US" w:eastAsia="en-US"/>
        </w:rPr>
        <w:drawing>
          <wp:anchor distT="0" distB="0" distL="114300" distR="114300" simplePos="0" relativeHeight="251773440" behindDoc="1" locked="0" layoutInCell="1" allowOverlap="1" wp14:anchorId="79E4A0DA" wp14:editId="52FBD67C">
            <wp:simplePos x="0" y="0"/>
            <wp:positionH relativeFrom="margin">
              <wp:posOffset>3409315</wp:posOffset>
            </wp:positionH>
            <wp:positionV relativeFrom="paragraph">
              <wp:posOffset>319405</wp:posOffset>
            </wp:positionV>
            <wp:extent cx="3076575" cy="2019300"/>
            <wp:effectExtent l="0" t="0" r="9525" b="0"/>
            <wp:wrapTight wrapText="bothSides">
              <wp:wrapPolygon edited="0">
                <wp:start x="0" y="0"/>
                <wp:lineTo x="0" y="21396"/>
                <wp:lineTo x="21533" y="21396"/>
                <wp:lineTo x="2153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005BEA">
        <w:rPr>
          <w:rFonts w:eastAsia="Calibri" w:cs="Sylfaen"/>
          <w:i/>
          <w:szCs w:val="22"/>
          <w:lang w:val="hy-AM" w:eastAsia="en-US"/>
        </w:rPr>
        <w:t>Գծապատկեր 1.23</w:t>
      </w:r>
      <w:r w:rsidRPr="00005BEA">
        <w:rPr>
          <w:rFonts w:ascii="MS Gothic" w:eastAsia="MS Gothic" w:hAnsi="MS Gothic" w:cs="MS Gothic" w:hint="eastAsia"/>
          <w:i/>
          <w:szCs w:val="22"/>
          <w:lang w:val="hy-AM" w:eastAsia="en-US"/>
        </w:rPr>
        <w:t>․</w:t>
      </w:r>
      <w:r w:rsidRPr="00005BEA">
        <w:rPr>
          <w:rFonts w:eastAsia="Calibri" w:cs="Sylfaen"/>
          <w:b w:val="0"/>
          <w:bCs/>
          <w:i/>
          <w:sz w:val="20"/>
          <w:szCs w:val="20"/>
          <w:lang w:val="hy-AM" w:eastAsia="en-US"/>
        </w:rPr>
        <w:t xml:space="preserve"> 2020թ. ապրանքների արտահանման միտումները, %</w:t>
      </w:r>
    </w:p>
    <w:p w:rsidR="00005BEA" w:rsidRPr="00005BEA" w:rsidRDefault="00005BEA" w:rsidP="00005BEA">
      <w:pPr>
        <w:spacing w:before="0" w:line="276" w:lineRule="auto"/>
        <w:ind w:firstLine="540"/>
        <w:contextualSpacing w:val="0"/>
        <w:rPr>
          <w:rFonts w:eastAsia="Calibri"/>
          <w:b w:val="0"/>
          <w:i/>
          <w:sz w:val="18"/>
          <w:szCs w:val="18"/>
          <w:lang w:val="hy-AM" w:eastAsia="en-US"/>
        </w:rPr>
      </w:pPr>
      <w:r w:rsidRPr="00005BEA">
        <w:rPr>
          <w:rFonts w:eastAsia="Calibri"/>
          <w:b w:val="0"/>
          <w:i/>
          <w:sz w:val="18"/>
          <w:szCs w:val="18"/>
          <w:lang w:val="hy-AM" w:eastAsia="en-US"/>
        </w:rPr>
        <w:t>Աղբյուրը՝ ՀՀ ՎԿ և ՀՀ ՖՆ հաշվարկներ:</w:t>
      </w:r>
    </w:p>
    <w:p w:rsidR="00005BEA" w:rsidRPr="00005BEA" w:rsidRDefault="00005BEA" w:rsidP="00005BEA">
      <w:pPr>
        <w:spacing w:before="0" w:line="276" w:lineRule="auto"/>
        <w:ind w:firstLine="0"/>
        <w:contextualSpacing w:val="0"/>
        <w:rPr>
          <w:rFonts w:eastAsia="Calibri" w:cs="Sylfaen"/>
          <w:szCs w:val="22"/>
          <w:u w:val="single"/>
          <w:lang w:val="hy-AM" w:eastAsia="en-US"/>
        </w:rPr>
      </w:pPr>
    </w:p>
    <w:p w:rsidR="00005BEA" w:rsidRPr="00005BEA" w:rsidRDefault="00005BEA" w:rsidP="00005BEA">
      <w:pPr>
        <w:tabs>
          <w:tab w:val="left" w:pos="0"/>
        </w:tabs>
        <w:spacing w:before="0" w:after="120" w:line="276" w:lineRule="auto"/>
        <w:ind w:firstLine="539"/>
        <w:contextualSpacing w:val="0"/>
        <w:rPr>
          <w:rFonts w:eastAsia="Calibri" w:cs="Sylfaen"/>
          <w:b w:val="0"/>
          <w:szCs w:val="22"/>
          <w:lang w:val="hy-AM" w:eastAsia="en-US"/>
        </w:rPr>
      </w:pPr>
      <w:r w:rsidRPr="00005BEA">
        <w:rPr>
          <w:rFonts w:eastAsia="Calibri" w:cs="Sylfaen"/>
          <w:bCs/>
          <w:szCs w:val="22"/>
          <w:u w:val="single"/>
          <w:lang w:val="hy-AM" w:eastAsia="en-US"/>
        </w:rPr>
        <w:t>Կանխատեսում։</w:t>
      </w:r>
      <w:r w:rsidRPr="00005BEA">
        <w:rPr>
          <w:rFonts w:eastAsia="Calibri" w:cs="Sylfaen"/>
          <w:b w:val="0"/>
          <w:szCs w:val="22"/>
          <w:lang w:val="hy-AM" w:eastAsia="en-US"/>
        </w:rPr>
        <w:t xml:space="preserve"> </w:t>
      </w:r>
      <w:r w:rsidRPr="00005BEA">
        <w:rPr>
          <w:rFonts w:eastAsia="Calibri" w:cs="Sylfaen"/>
          <w:bCs/>
          <w:szCs w:val="22"/>
          <w:lang w:val="hy-AM" w:eastAsia="en-US"/>
        </w:rPr>
        <w:t>Համավարակի ներքին և արտաքին բացասական ազդեցություններով</w:t>
      </w:r>
      <w:r w:rsidRPr="00005BEA">
        <w:rPr>
          <w:rFonts w:eastAsia="Calibri" w:cs="Sylfaen"/>
          <w:b w:val="0"/>
          <w:bCs/>
          <w:szCs w:val="22"/>
          <w:lang w:val="hy-AM" w:eastAsia="en-US"/>
        </w:rPr>
        <w:t xml:space="preserve"> </w:t>
      </w:r>
      <w:r w:rsidRPr="00005BEA">
        <w:rPr>
          <w:rFonts w:eastAsia="Calibri" w:cs="Sylfaen"/>
          <w:bCs/>
          <w:szCs w:val="22"/>
          <w:lang w:val="hy-AM" w:eastAsia="en-US"/>
        </w:rPr>
        <w:t>և Արցախյան</w:t>
      </w:r>
      <w:r w:rsidRPr="00005BEA">
        <w:rPr>
          <w:rFonts w:eastAsia="Calibri" w:cs="Sylfaen"/>
          <w:b w:val="0"/>
          <w:bCs/>
          <w:szCs w:val="22"/>
          <w:lang w:val="hy-AM" w:eastAsia="en-US"/>
        </w:rPr>
        <w:t xml:space="preserve"> </w:t>
      </w:r>
      <w:r w:rsidRPr="00005BEA">
        <w:rPr>
          <w:rFonts w:eastAsia="Calibri" w:cs="Sylfaen"/>
          <w:bCs/>
          <w:szCs w:val="22"/>
          <w:lang w:val="hy-AM" w:eastAsia="en-US"/>
        </w:rPr>
        <w:t xml:space="preserve">պատերազմի </w:t>
      </w:r>
      <w:r w:rsidRPr="00005BEA">
        <w:rPr>
          <w:rFonts w:eastAsia="Calibri" w:cs="Sylfaen"/>
          <w:szCs w:val="22"/>
          <w:lang w:val="hy-AM" w:eastAsia="en-US"/>
        </w:rPr>
        <w:t>տնտեսական հետևանքներով</w:t>
      </w:r>
      <w:r w:rsidRPr="00005BEA">
        <w:rPr>
          <w:rFonts w:eastAsia="Calibri" w:cs="Sylfaen"/>
          <w:bCs/>
          <w:szCs w:val="22"/>
          <w:lang w:val="hy-AM" w:eastAsia="en-US"/>
        </w:rPr>
        <w:t xml:space="preserve"> պայմանավորված</w:t>
      </w:r>
      <w:r w:rsidRPr="00005BEA" w:rsidDel="004503FE">
        <w:rPr>
          <w:rFonts w:eastAsia="Calibri" w:cs="Sylfaen"/>
          <w:bCs/>
          <w:szCs w:val="22"/>
          <w:lang w:val="hy-AM" w:eastAsia="en-US"/>
        </w:rPr>
        <w:t xml:space="preserve"> </w:t>
      </w:r>
      <w:r w:rsidRPr="00005BEA">
        <w:rPr>
          <w:rFonts w:eastAsia="Calibri" w:cs="Sylfaen"/>
          <w:bCs/>
          <w:szCs w:val="22"/>
          <w:lang w:val="hy-AM" w:eastAsia="en-US"/>
        </w:rPr>
        <w:t>2020թ. սպասվում է շուրջ 31.4% արտահանման նվազում:</w:t>
      </w:r>
      <w:r w:rsidRPr="00005BEA">
        <w:rPr>
          <w:rFonts w:eastAsia="Calibri" w:cs="Sylfaen"/>
          <w:b w:val="0"/>
          <w:szCs w:val="22"/>
          <w:lang w:val="hy-AM" w:eastAsia="en-US"/>
        </w:rPr>
        <w:t xml:space="preserve"> 2021թ. համաշխարհային և ՀՀ տնտեսական ակտիվության վերականգման, արտահանման ու ներդրումների խրախուսմանն ուղղված ՀՀ կառավարության քաղաքականության պայմաններում ակնկալվում է արտահանման 9.4</w:t>
      </w:r>
      <w:r w:rsidRPr="00005BEA">
        <w:rPr>
          <w:rFonts w:eastAsia="Calibri" w:cs="Sylfaen"/>
          <w:bCs/>
          <w:szCs w:val="22"/>
          <w:lang w:val="hy-AM" w:eastAsia="en-US"/>
        </w:rPr>
        <w:t xml:space="preserve">% </w:t>
      </w:r>
      <w:r w:rsidRPr="00005BEA">
        <w:rPr>
          <w:rFonts w:eastAsia="Calibri" w:cs="Sylfaen"/>
          <w:b w:val="0"/>
          <w:bCs/>
          <w:szCs w:val="22"/>
          <w:lang w:val="hy-AM" w:eastAsia="en-US"/>
        </w:rPr>
        <w:t>աճ</w:t>
      </w:r>
      <w:r w:rsidRPr="00005BEA">
        <w:rPr>
          <w:rFonts w:eastAsia="Calibri" w:cs="Sylfaen"/>
          <w:b w:val="0"/>
          <w:szCs w:val="22"/>
          <w:lang w:val="hy-AM" w:eastAsia="en-US"/>
        </w:rPr>
        <w:t xml:space="preserve">։ </w:t>
      </w:r>
    </w:p>
    <w:p w:rsidR="00005BEA" w:rsidRPr="00005BEA" w:rsidRDefault="00005BEA" w:rsidP="00005BEA">
      <w:pPr>
        <w:tabs>
          <w:tab w:val="left" w:pos="0"/>
        </w:tabs>
        <w:spacing w:before="0" w:after="120" w:line="276" w:lineRule="auto"/>
        <w:ind w:firstLine="539"/>
        <w:contextualSpacing w:val="0"/>
        <w:rPr>
          <w:rFonts w:eastAsia="Calibri" w:cs="Sylfaen"/>
          <w:b w:val="0"/>
          <w:szCs w:val="22"/>
          <w:lang w:val="hy-AM" w:eastAsia="en-US"/>
        </w:rPr>
      </w:pPr>
      <w:r w:rsidRPr="00005BEA">
        <w:rPr>
          <w:rFonts w:eastAsia="Calibri" w:cs="Sylfaen"/>
          <w:szCs w:val="22"/>
          <w:u w:val="single"/>
          <w:lang w:val="hy-AM" w:eastAsia="en-US"/>
        </w:rPr>
        <w:t>Ներմուծում:</w:t>
      </w:r>
      <w:r w:rsidRPr="00005BEA">
        <w:rPr>
          <w:rFonts w:eastAsia="Calibri" w:cs="Sylfaen"/>
          <w:szCs w:val="22"/>
          <w:lang w:val="hy-AM" w:eastAsia="en-US"/>
        </w:rPr>
        <w:t xml:space="preserve"> 2019թ. արձանագրվել է ապրանքների և ծառայությունների դոլարային ներմուծման 13% աճ: </w:t>
      </w:r>
      <w:r w:rsidRPr="00005BEA">
        <w:rPr>
          <w:rFonts w:eastAsia="Calibri" w:cs="Sylfaen"/>
          <w:b w:val="0"/>
          <w:szCs w:val="22"/>
          <w:lang w:val="hy-AM" w:eastAsia="en-US"/>
        </w:rPr>
        <w:t>Ապրանքների ներմուծման ծավալներն աճել են 12.8%-ով՝ պայմանավորված տնտեսական ակտիվության, ներքին պահանջարկի, բնակչության տնօրինվող եկամուտների աճերով, ինչպես նաև մեծ քանակով ավտոմեքենաների ներկրմամբ: 2019թ. ընթացքում ներմուծման աճին մեծամասամբ նպաստել են վերջնական և միջանկյալ սպառման ապրանքները, դրական էր նաև կապիտալ բնույթի ապրանքների նպաստումը։ 2019թ. ծառայությունների ներմուծման աճը կազմել է 13</w:t>
      </w:r>
      <w:r w:rsidRPr="00005BEA">
        <w:rPr>
          <w:rFonts w:eastAsia="MS Mincho" w:cs="MS Mincho"/>
          <w:b w:val="0"/>
          <w:szCs w:val="22"/>
          <w:lang w:val="hy-AM" w:eastAsia="en-US"/>
        </w:rPr>
        <w:t>.</w:t>
      </w:r>
      <w:r w:rsidRPr="00005BEA">
        <w:rPr>
          <w:rFonts w:eastAsia="Calibri" w:cs="Sylfaen"/>
          <w:b w:val="0"/>
          <w:szCs w:val="22"/>
          <w:lang w:val="hy-AM" w:eastAsia="en-US"/>
        </w:rPr>
        <w:t xml:space="preserve">5% և հիմնականում պայմանավորվել է ճանապարհորդության հետ կապված ծառայությունների աճով: </w:t>
      </w:r>
    </w:p>
    <w:p w:rsidR="00005BEA" w:rsidRPr="00005BEA" w:rsidRDefault="00005BEA" w:rsidP="00005BEA">
      <w:pPr>
        <w:tabs>
          <w:tab w:val="left" w:pos="0"/>
        </w:tabs>
        <w:spacing w:before="0" w:after="120" w:line="276" w:lineRule="auto"/>
        <w:ind w:firstLine="539"/>
        <w:rPr>
          <w:rFonts w:eastAsia="Calibri" w:cs="Sylfaen"/>
          <w:b w:val="0"/>
          <w:szCs w:val="22"/>
          <w:lang w:val="hy-AM" w:eastAsia="en-US"/>
        </w:rPr>
      </w:pPr>
      <w:r w:rsidRPr="00005BEA">
        <w:rPr>
          <w:rFonts w:eastAsia="Calibri" w:cs="Sylfaen"/>
          <w:szCs w:val="22"/>
          <w:lang w:val="hy-AM" w:eastAsia="en-US"/>
        </w:rPr>
        <w:t xml:space="preserve">2020թ. համավարակի պայմաններում տնտեսական ակտիվության և ներքին պահանջարկի նվազման, ինչպես նաև զբոսաշրջության սահմանափակումների հետևանքով ապրանքների և ծառայությունների ներմուծումը նվազել է։ </w:t>
      </w:r>
      <w:r w:rsidRPr="00005BEA">
        <w:rPr>
          <w:rFonts w:eastAsia="GHEA Grapalat" w:cs="GHEA Grapalat"/>
          <w:b w:val="0"/>
          <w:szCs w:val="22"/>
          <w:lang w:val="hy-AM" w:eastAsia="en-US"/>
        </w:rPr>
        <w:t>Չնայած տարեսկզբի աճի տեմպերին՝ 2020թ</w:t>
      </w:r>
      <w:r w:rsidRPr="00005BEA">
        <w:rPr>
          <w:rFonts w:eastAsia="Calibri" w:cs="Sylfaen"/>
          <w:b w:val="0"/>
          <w:szCs w:val="22"/>
          <w:lang w:val="hy-AM" w:eastAsia="en-US"/>
        </w:rPr>
        <w:t xml:space="preserve">. հունվար-հոկտեմբերին արձանագրվել է 14.9% ապրանքների ներմուծման անկում, որին հիմնական ազդեցությունն է ունեցել </w:t>
      </w:r>
      <w:r w:rsidRPr="00005BEA">
        <w:rPr>
          <w:rFonts w:eastAsia="GHEA Grapalat" w:cs="GHEA Grapalat"/>
          <w:b w:val="0"/>
          <w:szCs w:val="22"/>
          <w:lang w:val="hy-AM" w:eastAsia="en-US"/>
        </w:rPr>
        <w:t>մաքսատուրքերի փոփոխությամբ պայմանավորված</w:t>
      </w:r>
      <w:r w:rsidRPr="00005BEA">
        <w:rPr>
          <w:rFonts w:eastAsia="Calibri" w:cs="Sylfaen"/>
          <w:b w:val="0"/>
          <w:szCs w:val="22"/>
          <w:lang w:val="hy-AM" w:eastAsia="en-US"/>
        </w:rPr>
        <w:t xml:space="preserve"> մարդատար ավտոմեքենաների ներկրման կտրուկ նվազումը</w:t>
      </w:r>
      <w:r w:rsidRPr="00005BEA">
        <w:rPr>
          <w:rFonts w:eastAsia="GHEA Grapalat" w:cs="GHEA Grapalat"/>
          <w:b w:val="0"/>
          <w:szCs w:val="22"/>
          <w:lang w:val="hy-AM" w:eastAsia="en-US"/>
        </w:rPr>
        <w:t xml:space="preserve">: </w:t>
      </w:r>
      <w:r w:rsidRPr="00005BEA">
        <w:rPr>
          <w:rFonts w:eastAsia="Calibri" w:cs="Sylfaen"/>
          <w:b w:val="0"/>
          <w:szCs w:val="22"/>
          <w:lang w:val="hy-AM" w:eastAsia="en-US"/>
        </w:rPr>
        <w:t xml:space="preserve">Ներմուծման կրճատմանը նպաստել է նաև միջանկյալ և վերջնական սպառման ապրանքների, ինչպես նաև կապիտալ բնույթի ապրանքների ներմուծման նվազումը։ Հոկտեմբեր ամիսն իր վրա կրել է նաև Արցախյան պատերազմի և կորոնավիրուսի համավարակի երկրորդ ալիքի բռնկման </w:t>
      </w:r>
      <w:r w:rsidRPr="00005BEA">
        <w:rPr>
          <w:rFonts w:eastAsia="Calibri" w:cs="Sylfaen"/>
          <w:b w:val="0"/>
          <w:szCs w:val="22"/>
          <w:lang w:val="hy-AM" w:eastAsia="en-US"/>
        </w:rPr>
        <w:lastRenderedPageBreak/>
        <w:t>տնտեսական ազդեցությունները՝ վերջին վեց ամիսների ընթացքում գրանցելով ամենախորը տ/տ անկումը:</w:t>
      </w:r>
    </w:p>
    <w:p w:rsidR="00005BEA" w:rsidRPr="00005BEA" w:rsidRDefault="00005BEA" w:rsidP="00005BEA">
      <w:pPr>
        <w:tabs>
          <w:tab w:val="left" w:pos="0"/>
        </w:tabs>
        <w:spacing w:before="0" w:after="120" w:line="276" w:lineRule="auto"/>
        <w:ind w:firstLine="0"/>
        <w:contextualSpacing w:val="0"/>
        <w:rPr>
          <w:rFonts w:eastAsia="Calibri" w:cs="Sylfaen"/>
          <w:b w:val="0"/>
          <w:szCs w:val="22"/>
          <w:lang w:val="hy-AM" w:eastAsia="en-US"/>
        </w:rPr>
      </w:pPr>
      <w:r w:rsidRPr="00005BEA">
        <w:rPr>
          <w:rFonts w:eastAsia="Calibri" w:cs="Sylfaen"/>
          <w:b w:val="0"/>
          <w:szCs w:val="22"/>
          <w:lang w:val="hy-AM" w:eastAsia="en-US"/>
        </w:rPr>
        <w:tab/>
        <w:t>2020թ. առաջին կիսամյակի տվյալներով ծառայությունների ներմուծումը կրճատվել է 40.8%</w:t>
      </w:r>
      <w:r w:rsidRPr="00005BEA">
        <w:rPr>
          <w:rFonts w:eastAsia="Calibri" w:cs="Sylfaen"/>
          <w:b w:val="0"/>
          <w:szCs w:val="22"/>
          <w:lang w:val="hy-AM" w:eastAsia="en-US"/>
        </w:rPr>
        <w:noBreakHyphen/>
        <w:t>ով՝ հիմնականում պայմանավորված ճանապարհորդության և մարդատար տրանսպորտով զբոսաշրջության հետ կապված ծառայությունների 59% անկմամբ։ Ծառայությունների ներմուծման երկրորդ եռամսյակի նվազման տեմպերը երրորդ եռամսյակում խորացել են</w:t>
      </w:r>
      <w:r w:rsidRPr="00005BEA">
        <w:rPr>
          <w:rFonts w:eastAsia="Calibri" w:cs="Sylfaen"/>
          <w:b w:val="0"/>
          <w:szCs w:val="22"/>
          <w:vertAlign w:val="superscript"/>
          <w:lang w:val="hy-AM" w:eastAsia="en-US"/>
        </w:rPr>
        <w:footnoteReference w:id="8"/>
      </w:r>
      <w:r w:rsidRPr="00005BEA">
        <w:rPr>
          <w:rFonts w:eastAsia="Calibri" w:cs="Sylfaen"/>
          <w:b w:val="0"/>
          <w:szCs w:val="22"/>
          <w:lang w:val="hy-AM" w:eastAsia="en-US"/>
        </w:rPr>
        <w:t>։</w:t>
      </w:r>
    </w:p>
    <w:p w:rsidR="00005BEA" w:rsidRPr="00005BEA" w:rsidRDefault="005514DD" w:rsidP="00005BEA">
      <w:pPr>
        <w:tabs>
          <w:tab w:val="left" w:pos="0"/>
        </w:tabs>
        <w:spacing w:before="0" w:after="120" w:line="276" w:lineRule="auto"/>
        <w:ind w:firstLine="539"/>
        <w:contextualSpacing w:val="0"/>
        <w:jc w:val="left"/>
        <w:rPr>
          <w:rFonts w:eastAsia="Calibri" w:cs="Sylfaen"/>
          <w:b w:val="0"/>
          <w:bCs/>
          <w:i/>
          <w:iCs/>
          <w:szCs w:val="22"/>
          <w:lang w:val="hy-AM" w:eastAsia="en-US"/>
        </w:rPr>
      </w:pPr>
      <w:r w:rsidRPr="00005BEA">
        <w:rPr>
          <w:rFonts w:eastAsia="Calibri"/>
          <w:bCs/>
          <w:i/>
          <w:iCs/>
          <w:noProof/>
          <w:szCs w:val="22"/>
          <w:lang w:val="en-US" w:eastAsia="en-US"/>
        </w:rPr>
        <w:drawing>
          <wp:anchor distT="0" distB="0" distL="114300" distR="114300" simplePos="0" relativeHeight="251771392" behindDoc="1" locked="0" layoutInCell="1" allowOverlap="1" wp14:anchorId="226046AA" wp14:editId="6283A5A6">
            <wp:simplePos x="0" y="0"/>
            <wp:positionH relativeFrom="margin">
              <wp:posOffset>3356610</wp:posOffset>
            </wp:positionH>
            <wp:positionV relativeFrom="paragraph">
              <wp:posOffset>300355</wp:posOffset>
            </wp:positionV>
            <wp:extent cx="3162300" cy="1943100"/>
            <wp:effectExtent l="0" t="0" r="0" b="0"/>
            <wp:wrapTight wrapText="bothSides">
              <wp:wrapPolygon edited="0">
                <wp:start x="0" y="0"/>
                <wp:lineTo x="0" y="21388"/>
                <wp:lineTo x="21470" y="21388"/>
                <wp:lineTo x="2147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005BEA">
        <w:rPr>
          <w:rFonts w:eastAsia="Calibri" w:cs="Sylfaen"/>
          <w:bCs/>
          <w:i/>
          <w:iCs/>
          <w:noProof/>
          <w:szCs w:val="22"/>
          <w:lang w:val="en-US" w:eastAsia="en-US"/>
        </w:rPr>
        <w:drawing>
          <wp:anchor distT="0" distB="0" distL="114300" distR="114300" simplePos="0" relativeHeight="251767296" behindDoc="1" locked="0" layoutInCell="1" allowOverlap="1" wp14:anchorId="6F76AC7D" wp14:editId="36C439C9">
            <wp:simplePos x="0" y="0"/>
            <wp:positionH relativeFrom="margin">
              <wp:posOffset>-62865</wp:posOffset>
            </wp:positionH>
            <wp:positionV relativeFrom="paragraph">
              <wp:posOffset>328930</wp:posOffset>
            </wp:positionV>
            <wp:extent cx="3238500" cy="1962150"/>
            <wp:effectExtent l="0" t="0" r="0" b="0"/>
            <wp:wrapTight wrapText="bothSides">
              <wp:wrapPolygon edited="0">
                <wp:start x="0" y="0"/>
                <wp:lineTo x="0" y="21390"/>
                <wp:lineTo x="21473" y="21390"/>
                <wp:lineTo x="21473"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005BEA" w:rsidRPr="00005BEA">
        <w:rPr>
          <w:rFonts w:eastAsia="Calibri" w:cs="Sylfaen"/>
          <w:bCs/>
          <w:i/>
          <w:iCs/>
          <w:szCs w:val="22"/>
          <w:lang w:val="hy-AM" w:eastAsia="en-US"/>
        </w:rPr>
        <w:t>Գծապատկեր 1.24</w:t>
      </w:r>
      <w:r w:rsidR="00005BEA" w:rsidRPr="00005BEA">
        <w:rPr>
          <w:rFonts w:ascii="MS Gothic" w:eastAsia="MS Gothic" w:hAnsi="MS Gothic" w:cs="MS Gothic" w:hint="eastAsia"/>
          <w:bCs/>
          <w:i/>
          <w:iCs/>
          <w:szCs w:val="22"/>
          <w:lang w:val="hy-AM" w:eastAsia="en-US"/>
        </w:rPr>
        <w:t>․</w:t>
      </w:r>
      <w:r w:rsidR="00005BEA" w:rsidRPr="00005BEA">
        <w:rPr>
          <w:rFonts w:eastAsia="Calibri" w:cs="Sylfaen"/>
          <w:b w:val="0"/>
          <w:bCs/>
          <w:i/>
          <w:iCs/>
          <w:sz w:val="21"/>
          <w:szCs w:val="21"/>
          <w:lang w:val="hy-AM" w:eastAsia="en-US"/>
        </w:rPr>
        <w:t xml:space="preserve"> </w:t>
      </w:r>
      <w:r w:rsidR="00005BEA" w:rsidRPr="00005BEA">
        <w:rPr>
          <w:rFonts w:eastAsia="Calibri" w:cs="Sylfaen"/>
          <w:b w:val="0"/>
          <w:bCs/>
          <w:i/>
          <w:iCs/>
          <w:sz w:val="20"/>
          <w:szCs w:val="20"/>
          <w:lang w:val="hy-AM" w:eastAsia="en-US"/>
        </w:rPr>
        <w:t>2020թ. ապրանքների ներմուծման միտումները, %</w:t>
      </w:r>
    </w:p>
    <w:p w:rsidR="00005BEA" w:rsidRPr="00005BEA" w:rsidRDefault="00005BEA" w:rsidP="00005BEA">
      <w:pPr>
        <w:tabs>
          <w:tab w:val="left" w:pos="0"/>
        </w:tabs>
        <w:spacing w:before="0" w:line="276" w:lineRule="auto"/>
        <w:ind w:firstLine="0"/>
        <w:contextualSpacing w:val="0"/>
        <w:rPr>
          <w:rFonts w:eastAsia="Calibri" w:cs="Sylfaen"/>
          <w:b w:val="0"/>
          <w:i/>
          <w:sz w:val="18"/>
          <w:szCs w:val="18"/>
          <w:lang w:val="hy-AM" w:eastAsia="en-US"/>
        </w:rPr>
      </w:pPr>
      <w:r w:rsidRPr="00005BEA">
        <w:rPr>
          <w:rFonts w:eastAsia="Calibri" w:cs="Sylfaen"/>
          <w:b w:val="0"/>
          <w:i/>
          <w:sz w:val="18"/>
          <w:szCs w:val="18"/>
          <w:lang w:val="hy-AM" w:eastAsia="en-US"/>
        </w:rPr>
        <w:t xml:space="preserve">Աղբյուրը՝ ՀՀ ՎԿ և ՀՀ ՖՆ հաշվարկներ:  </w:t>
      </w:r>
    </w:p>
    <w:p w:rsidR="00005BEA" w:rsidRPr="00005BEA" w:rsidRDefault="00005BEA" w:rsidP="00005BEA">
      <w:pPr>
        <w:tabs>
          <w:tab w:val="left" w:pos="0"/>
          <w:tab w:val="num" w:pos="720"/>
        </w:tabs>
        <w:spacing w:before="0" w:after="120" w:line="276" w:lineRule="auto"/>
        <w:ind w:firstLine="539"/>
        <w:contextualSpacing w:val="0"/>
        <w:rPr>
          <w:rFonts w:eastAsia="Calibri" w:cs="Sylfaen"/>
          <w:b w:val="0"/>
          <w:szCs w:val="22"/>
          <w:lang w:val="hy-AM" w:eastAsia="en-US"/>
        </w:rPr>
      </w:pPr>
      <w:r w:rsidRPr="00005BEA">
        <w:rPr>
          <w:rFonts w:eastAsia="Calibri" w:cs="Sylfaen"/>
          <w:bCs/>
          <w:szCs w:val="22"/>
          <w:u w:val="single"/>
          <w:lang w:val="hy-AM" w:eastAsia="en-US"/>
        </w:rPr>
        <w:t>Կանխատեսում։</w:t>
      </w:r>
      <w:r w:rsidRPr="00005BEA">
        <w:rPr>
          <w:rFonts w:eastAsia="Calibri" w:cs="Sylfaen"/>
          <w:b w:val="0"/>
          <w:szCs w:val="22"/>
          <w:lang w:val="hy-AM" w:eastAsia="en-US"/>
        </w:rPr>
        <w:t xml:space="preserve"> </w:t>
      </w:r>
      <w:r w:rsidRPr="00005BEA">
        <w:rPr>
          <w:rFonts w:eastAsia="Calibri" w:cs="Sylfaen"/>
          <w:szCs w:val="22"/>
          <w:lang w:val="hy-AM" w:eastAsia="en-US"/>
        </w:rPr>
        <w:t>Համավարակի և պատերազմի պայմաններում տնտեսական զարգացումներով և դրանց հետագա ազդեցություններով պայմանավորված 2020թ. սպասվում է 27.6% ներմուծման կրճատում:</w:t>
      </w:r>
      <w:r w:rsidRPr="00005BEA">
        <w:rPr>
          <w:rFonts w:eastAsia="Calibri" w:cs="Sylfaen"/>
          <w:b w:val="0"/>
          <w:szCs w:val="22"/>
          <w:lang w:val="hy-AM" w:eastAsia="en-US"/>
        </w:rPr>
        <w:t xml:space="preserve"> Ներմուծման նվազմանը կնպաստի նաև ավտոմեքենաների ներմուծման նախորդ տարվա համեմատ կտրուկ նվազումը՝ պայմանավորված օրենսդրական կարգավորումներով: 2021թ. ՀՀ ներքին պահանջարկի որոշակի վերականգման և երկրների միջև սահմանափակումների վերացման պայմաններում ներմուծման աճը կվերականգնվի՝ կազմելով 9.2%:</w:t>
      </w:r>
    </w:p>
    <w:p w:rsidR="00005BEA" w:rsidRPr="00005BEA" w:rsidRDefault="005514DD" w:rsidP="00005BEA">
      <w:pPr>
        <w:tabs>
          <w:tab w:val="left" w:pos="0"/>
        </w:tabs>
        <w:spacing w:before="0" w:line="276" w:lineRule="auto"/>
        <w:ind w:firstLine="0"/>
        <w:rPr>
          <w:rFonts w:eastAsia="Calibri" w:cs="Sylfaen"/>
          <w:b w:val="0"/>
          <w:i/>
          <w:sz w:val="18"/>
          <w:szCs w:val="18"/>
          <w:lang w:val="hy-AM" w:eastAsia="en-US"/>
        </w:rPr>
      </w:pPr>
      <w:r w:rsidRPr="00005BEA">
        <w:rPr>
          <w:rFonts w:eastAsia="Calibri" w:cs="Sylfaen"/>
          <w:b w:val="0"/>
          <w:noProof/>
          <w:szCs w:val="22"/>
          <w:lang w:val="en-US" w:eastAsia="en-US"/>
        </w:rPr>
        <w:drawing>
          <wp:anchor distT="0" distB="0" distL="114300" distR="114300" simplePos="0" relativeHeight="251774464" behindDoc="1" locked="0" layoutInCell="1" allowOverlap="1" wp14:anchorId="20E9AFF5" wp14:editId="40101EF9">
            <wp:simplePos x="0" y="0"/>
            <wp:positionH relativeFrom="column">
              <wp:posOffset>3232785</wp:posOffset>
            </wp:positionH>
            <wp:positionV relativeFrom="paragraph">
              <wp:posOffset>473710</wp:posOffset>
            </wp:positionV>
            <wp:extent cx="3066415" cy="2009775"/>
            <wp:effectExtent l="0" t="0" r="635" b="9525"/>
            <wp:wrapTight wrapText="bothSides">
              <wp:wrapPolygon edited="0">
                <wp:start x="0" y="0"/>
                <wp:lineTo x="0" y="21498"/>
                <wp:lineTo x="21470" y="21498"/>
                <wp:lineTo x="2147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005BEA">
        <w:rPr>
          <w:rFonts w:eastAsia="Calibri" w:cs="Sylfaen"/>
          <w:b w:val="0"/>
          <w:noProof/>
          <w:szCs w:val="22"/>
          <w:lang w:val="en-US" w:eastAsia="en-US"/>
        </w:rPr>
        <w:drawing>
          <wp:anchor distT="0" distB="0" distL="114300" distR="114300" simplePos="0" relativeHeight="251775488" behindDoc="1" locked="0" layoutInCell="1" allowOverlap="1" wp14:anchorId="45810F8C" wp14:editId="033E4694">
            <wp:simplePos x="0" y="0"/>
            <wp:positionH relativeFrom="margin">
              <wp:align>left</wp:align>
            </wp:positionH>
            <wp:positionV relativeFrom="paragraph">
              <wp:posOffset>469900</wp:posOffset>
            </wp:positionV>
            <wp:extent cx="3171825" cy="2009775"/>
            <wp:effectExtent l="0" t="0" r="9525" b="9525"/>
            <wp:wrapTight wrapText="bothSides">
              <wp:wrapPolygon edited="0">
                <wp:start x="0" y="0"/>
                <wp:lineTo x="0" y="21498"/>
                <wp:lineTo x="21535" y="21498"/>
                <wp:lineTo x="21535"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005BEA" w:rsidRPr="00005BEA">
        <w:rPr>
          <w:rFonts w:eastAsia="Calibri" w:cs="Sylfaen"/>
          <w:i/>
          <w:szCs w:val="22"/>
          <w:lang w:val="hy-AM" w:eastAsia="en-US"/>
        </w:rPr>
        <w:t>Գծապարկեր 1.25</w:t>
      </w:r>
      <w:r w:rsidR="00005BEA" w:rsidRPr="00005BEA">
        <w:rPr>
          <w:rFonts w:ascii="MS Gothic" w:eastAsia="MS Gothic" w:hAnsi="MS Gothic" w:cs="MS Gothic" w:hint="eastAsia"/>
          <w:i/>
          <w:szCs w:val="22"/>
          <w:lang w:val="hy-AM" w:eastAsia="en-US"/>
        </w:rPr>
        <w:t>․</w:t>
      </w:r>
      <w:r w:rsidR="00005BEA" w:rsidRPr="00005BEA">
        <w:rPr>
          <w:rFonts w:eastAsia="Calibri" w:cs="Sylfaen"/>
          <w:b w:val="0"/>
          <w:bCs/>
          <w:sz w:val="21"/>
          <w:szCs w:val="21"/>
          <w:lang w:val="hy-AM" w:eastAsia="en-US"/>
        </w:rPr>
        <w:t xml:space="preserve"> </w:t>
      </w:r>
      <w:r w:rsidR="00005BEA" w:rsidRPr="00005BEA">
        <w:rPr>
          <w:rFonts w:eastAsia="Calibri" w:cs="Sylfaen"/>
          <w:b w:val="0"/>
          <w:bCs/>
          <w:i/>
          <w:sz w:val="20"/>
          <w:szCs w:val="20"/>
          <w:lang w:val="hy-AM" w:eastAsia="en-US"/>
        </w:rPr>
        <w:t>ՀՀ ապրանքների և ծառայությունների արտահանման և ներմուծման միտումները ՀՖՃ տարիներին և 2017-2021թթ., %</w:t>
      </w:r>
      <w:r w:rsidR="00005BEA" w:rsidRPr="00005BEA">
        <w:rPr>
          <w:rFonts w:eastAsia="Calibri" w:cs="Sylfaen"/>
          <w:b w:val="0"/>
          <w:bCs/>
          <w:sz w:val="21"/>
          <w:szCs w:val="21"/>
          <w:lang w:val="hy-AM" w:eastAsia="en-US"/>
        </w:rPr>
        <w:t xml:space="preserve">  </w:t>
      </w:r>
    </w:p>
    <w:p w:rsidR="00005BEA" w:rsidRPr="00005BEA" w:rsidRDefault="00005BEA" w:rsidP="00005BEA">
      <w:pPr>
        <w:tabs>
          <w:tab w:val="left" w:pos="0"/>
          <w:tab w:val="num" w:pos="720"/>
        </w:tabs>
        <w:spacing w:before="0" w:line="276" w:lineRule="auto"/>
        <w:ind w:firstLine="0"/>
        <w:rPr>
          <w:rFonts w:eastAsia="Calibri" w:cs="Sylfaen"/>
          <w:b w:val="0"/>
          <w:i/>
          <w:sz w:val="18"/>
          <w:szCs w:val="18"/>
          <w:lang w:val="hy-AM" w:eastAsia="en-US"/>
        </w:rPr>
      </w:pPr>
      <w:r w:rsidRPr="00005BEA">
        <w:rPr>
          <w:rFonts w:eastAsia="Calibri" w:cs="Sylfaen"/>
          <w:b w:val="0"/>
          <w:i/>
          <w:sz w:val="18"/>
          <w:szCs w:val="18"/>
          <w:lang w:val="hy-AM" w:eastAsia="en-US"/>
        </w:rPr>
        <w:t>Աղբյուր՝ ՀՀ ՎԿ և  ՀՀ ՖՆ հաշվարկներ և կանխաեսումներ:</w:t>
      </w:r>
    </w:p>
    <w:p w:rsidR="00D132CA" w:rsidRPr="00AE0F80" w:rsidRDefault="00D132CA" w:rsidP="00005BEA">
      <w:pPr>
        <w:spacing w:before="0" w:after="120" w:line="240" w:lineRule="auto"/>
        <w:ind w:firstLine="0"/>
        <w:contextualSpacing w:val="0"/>
        <w:jc w:val="left"/>
        <w:rPr>
          <w:rFonts w:eastAsia="Calibri"/>
          <w:bCs/>
          <w:sz w:val="24"/>
          <w:lang w:val="hy-AM" w:eastAsia="en-US"/>
        </w:rPr>
      </w:pPr>
    </w:p>
    <w:p w:rsidR="00005BEA" w:rsidRPr="00005BEA" w:rsidRDefault="00005BEA" w:rsidP="00005BEA">
      <w:pPr>
        <w:spacing w:before="0" w:after="120" w:line="240" w:lineRule="auto"/>
        <w:ind w:firstLine="0"/>
        <w:contextualSpacing w:val="0"/>
        <w:jc w:val="left"/>
        <w:rPr>
          <w:rFonts w:eastAsia="Calibri"/>
          <w:bCs/>
          <w:sz w:val="24"/>
          <w:lang w:val="hy-AM" w:eastAsia="en-US"/>
        </w:rPr>
      </w:pPr>
      <w:r w:rsidRPr="00005BEA">
        <w:rPr>
          <w:rFonts w:eastAsia="Calibri"/>
          <w:bCs/>
          <w:sz w:val="24"/>
          <w:lang w:val="hy-AM" w:eastAsia="en-US"/>
        </w:rPr>
        <w:t>1.3.4. Փոխարժեքներ</w:t>
      </w:r>
    </w:p>
    <w:p w:rsidR="00005BEA" w:rsidRPr="00005BEA" w:rsidRDefault="00005BEA" w:rsidP="00005BEA">
      <w:pPr>
        <w:spacing w:before="0" w:after="120" w:line="276" w:lineRule="auto"/>
        <w:ind w:right="-31" w:firstLine="539"/>
        <w:contextualSpacing w:val="0"/>
        <w:rPr>
          <w:rFonts w:eastAsia="Calibri" w:cs="Sylfaen"/>
          <w:b w:val="0"/>
          <w:szCs w:val="22"/>
          <w:lang w:val="hy-AM" w:eastAsia="en-US"/>
        </w:rPr>
      </w:pPr>
      <w:r w:rsidRPr="00005BEA">
        <w:rPr>
          <w:rFonts w:eastAsia="Calibri" w:cs="Sylfaen"/>
          <w:szCs w:val="22"/>
          <w:lang w:val="hy-AM" w:eastAsia="en-US"/>
        </w:rPr>
        <w:t xml:space="preserve">2019թ. նախորդ տարվա միջինի համեմատ դրամն արժևորվել է բոլոր հիմնական արժույթների նկատմամբ: </w:t>
      </w:r>
      <w:r w:rsidRPr="00005BEA">
        <w:rPr>
          <w:rFonts w:eastAsia="Calibri" w:cs="Sylfaen"/>
          <w:b w:val="0"/>
          <w:szCs w:val="22"/>
          <w:lang w:val="hy-AM" w:eastAsia="en-US"/>
        </w:rPr>
        <w:t>ԱՄՆ դոլարի նկատմամբ ՀՀ դրամը դրսևորել է հարաբերականորեն կայուն վարքագիծ. գրանցվել է ՀՀ դրամի անվանական արժեքի շուրջ 0.5% արժևորում: Եվրոյի և ՌԴ ռուբլու նկատմամբ ՀՀ դրամը նույնպես արժևորվել է, համապատասխանաբար՝ 6.1% և 4.0%</w:t>
      </w:r>
      <w:r w:rsidRPr="00005BEA">
        <w:rPr>
          <w:rFonts w:eastAsia="Calibri" w:cs="Sylfaen"/>
          <w:b w:val="0"/>
          <w:szCs w:val="22"/>
          <w:lang w:val="hy-AM" w:eastAsia="en-US"/>
        </w:rPr>
        <w:noBreakHyphen/>
        <w:t xml:space="preserve">ով: </w:t>
      </w:r>
    </w:p>
    <w:p w:rsidR="00005BEA" w:rsidRPr="00005BEA" w:rsidRDefault="00005BEA" w:rsidP="00005BEA">
      <w:pPr>
        <w:spacing w:before="0" w:after="120" w:line="276" w:lineRule="auto"/>
        <w:ind w:firstLine="539"/>
        <w:contextualSpacing w:val="0"/>
        <w:rPr>
          <w:rFonts w:eastAsia="Calibri" w:cs="Sylfaen"/>
          <w:b w:val="0"/>
          <w:szCs w:val="22"/>
          <w:lang w:val="hy-AM" w:eastAsia="en-US"/>
        </w:rPr>
      </w:pPr>
      <w:r w:rsidRPr="00005BEA">
        <w:rPr>
          <w:rFonts w:eastAsia="Calibri" w:cs="Sylfaen"/>
          <w:bCs/>
          <w:szCs w:val="22"/>
          <w:lang w:val="hy-AM" w:eastAsia="en-US"/>
        </w:rPr>
        <w:t>Չնայած 2020թ. ընթացքում արժեզրկման որոշ ճնշումներին՝ ՀՀ դրամը համավարակի պայմաններում դրսևորել է կայուն վարքագիծ։</w:t>
      </w:r>
      <w:r w:rsidRPr="00005BEA">
        <w:rPr>
          <w:rFonts w:eastAsia="Calibri" w:cs="Sylfaen"/>
          <w:b w:val="0"/>
          <w:szCs w:val="22"/>
          <w:lang w:val="hy-AM" w:eastAsia="en-US"/>
        </w:rPr>
        <w:t xml:space="preserve"> 2020թ. հունվար-հոկտեմբեր ամիսներին ՀՀ դրամի միջին փոխարժեքը  կազմել է մոտ 485.0 ՀՀ դրամ 1 ԱՄՆ դոլարի դիմաց՝ նախորդ տարվա նույն ժամանակահատվածի միջինի նկատմամբ արժեզրկվելով մոտ 0.8%-ով: </w:t>
      </w:r>
      <w:r w:rsidRPr="00005BEA">
        <w:rPr>
          <w:rFonts w:eastAsia="Calibri" w:cs="Sylfaen"/>
          <w:szCs w:val="22"/>
          <w:lang w:val="hy-AM" w:eastAsia="en-US"/>
        </w:rPr>
        <w:t>Համավարակով պայմանավորված ՀՀ փոխարժեքի շուկայում մարտ ամսին նկատվել են արժեզրկման ճնշումներ, որն իր առավելագույն արժեքին հասել է ապրիլի 1-ին</w:t>
      </w:r>
      <w:r w:rsidRPr="00005BEA">
        <w:rPr>
          <w:rFonts w:eastAsia="Calibri" w:cs="Sylfaen"/>
          <w:b w:val="0"/>
          <w:szCs w:val="22"/>
          <w:lang w:val="hy-AM" w:eastAsia="en-US"/>
        </w:rPr>
        <w:t>՝ կազմելով 505 ՀՀ դրամ մեկ ԱՄՆ դոլարի դիմաց: Ստեղծված իրավիճակին ՀՀ ԿԲ-ի համարժեք արձագանքման արդյունքում դրամն աստիճանաբար կայունացել է: 2020թ. հունվար-հոկտեմբեր ամիսներին ՀՀ դրամն եվրոյի նկատմամբ արժեզրկվել է  շուրջ 1.5%-ով, իսկ ռուսական ռուբլու նկատմամբ արժևորվել՝ 8.9%-ով:</w:t>
      </w:r>
    </w:p>
    <w:p w:rsidR="00005BEA" w:rsidRPr="00005BEA" w:rsidRDefault="00005BEA" w:rsidP="00005BEA">
      <w:pPr>
        <w:spacing w:before="0" w:after="120" w:line="276" w:lineRule="auto"/>
        <w:contextualSpacing w:val="0"/>
        <w:rPr>
          <w:rFonts w:eastAsia="Calibri"/>
          <w:b w:val="0"/>
          <w:szCs w:val="22"/>
          <w:lang w:val="hy-AM" w:eastAsia="en-US"/>
        </w:rPr>
      </w:pPr>
      <w:r w:rsidRPr="00005BEA">
        <w:rPr>
          <w:rFonts w:eastAsia="Calibri"/>
          <w:b w:val="0"/>
          <w:szCs w:val="22"/>
          <w:lang w:val="hy-AM" w:eastAsia="en-US"/>
        </w:rPr>
        <w:t>ՀՀ արտաքին առևտրի տեսանկյունից առավել կարևոր արժույթներից բաղկացած զամբյուղի նկատմամբ ՀՀ ազգային արժույթն</w:t>
      </w:r>
      <w:r w:rsidRPr="00005BEA">
        <w:rPr>
          <w:rFonts w:eastAsia="Calibri" w:cs="Sylfaen"/>
          <w:b w:val="0"/>
          <w:szCs w:val="22"/>
          <w:lang w:val="hy-AM" w:eastAsia="en-US"/>
        </w:rPr>
        <w:t xml:space="preserve"> իրական արտահայտությամբ 2019թ. արժևորվել է 3.5%-ով, իսկ անվանական արտահայտությամբ՝ 7.2%-ով: 2020թ. հունվար-սեպտեմբեր ամիսներին ՀՀ դրամի իրական արդյունավետ փոխարժեքի արժևորումը կազմել է 2.0%, իսկ անվանականի արժևորումը՝ 4.7%՝ իր</w:t>
      </w:r>
      <w:r w:rsidRPr="00005BEA">
        <w:rPr>
          <w:rFonts w:eastAsia="Calibri"/>
          <w:b w:val="0"/>
          <w:szCs w:val="22"/>
          <w:lang w:val="hy-AM" w:eastAsia="en-US"/>
        </w:rPr>
        <w:t xml:space="preserve"> բացասական ազդեցությունը թողնելով տեղական ապրանքների արտաքին մրցունակության վրա:</w:t>
      </w:r>
    </w:p>
    <w:tbl>
      <w:tblPr>
        <w:tblStyle w:val="TableGrid9121"/>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5090"/>
      </w:tblGrid>
      <w:tr w:rsidR="00005BEA" w:rsidRPr="003A0B99" w:rsidTr="00005BEA">
        <w:trPr>
          <w:trHeight w:val="309"/>
        </w:trPr>
        <w:tc>
          <w:tcPr>
            <w:tcW w:w="5181" w:type="dxa"/>
          </w:tcPr>
          <w:p w:rsidR="00005BEA" w:rsidRPr="00005BEA" w:rsidRDefault="00005BEA" w:rsidP="00005BEA">
            <w:pPr>
              <w:spacing w:before="0" w:line="240" w:lineRule="auto"/>
              <w:ind w:right="-267" w:firstLine="0"/>
              <w:contextualSpacing w:val="0"/>
              <w:rPr>
                <w:rFonts w:cs="Sylfaen"/>
                <w:b w:val="0"/>
                <w:i/>
                <w:sz w:val="18"/>
                <w:szCs w:val="18"/>
                <w:lang w:val="hy-AM" w:eastAsia="en-US"/>
              </w:rPr>
            </w:pPr>
            <w:r w:rsidRPr="00005BEA">
              <w:rPr>
                <w:rFonts w:cs="Sylfaen"/>
                <w:i/>
                <w:sz w:val="18"/>
                <w:szCs w:val="18"/>
                <w:lang w:val="hy-AM" w:eastAsia="en-US"/>
              </w:rPr>
              <w:t xml:space="preserve">Գծապատկեր 1.26. </w:t>
            </w:r>
            <w:r w:rsidRPr="00005BEA">
              <w:rPr>
                <w:rFonts w:cs="Sylfaen"/>
                <w:b w:val="0"/>
                <w:i/>
                <w:sz w:val="18"/>
                <w:szCs w:val="18"/>
                <w:lang w:val="hy-AM" w:eastAsia="en-US"/>
              </w:rPr>
              <w:t xml:space="preserve">ՀՀ դրամի անվանական </w:t>
            </w:r>
          </w:p>
          <w:p w:rsidR="00005BEA" w:rsidRPr="00005BEA" w:rsidRDefault="00005BEA" w:rsidP="00005BEA">
            <w:pPr>
              <w:spacing w:before="0" w:line="240" w:lineRule="auto"/>
              <w:ind w:right="-267" w:firstLine="0"/>
              <w:contextualSpacing w:val="0"/>
              <w:rPr>
                <w:rFonts w:cs="Sylfaen"/>
                <w:b w:val="0"/>
                <w:i/>
                <w:sz w:val="18"/>
                <w:szCs w:val="18"/>
                <w:lang w:val="hy-AM" w:eastAsia="en-US"/>
              </w:rPr>
            </w:pPr>
            <w:r w:rsidRPr="00005BEA">
              <w:rPr>
                <w:rFonts w:cs="Sylfaen"/>
                <w:b w:val="0"/>
                <w:i/>
                <w:sz w:val="18"/>
                <w:szCs w:val="18"/>
                <w:lang w:val="hy-AM" w:eastAsia="en-US"/>
              </w:rPr>
              <w:t xml:space="preserve">փոխարժեքի օրական դինամիկան </w:t>
            </w:r>
          </w:p>
          <w:p w:rsidR="00005BEA" w:rsidRPr="00005BEA" w:rsidRDefault="008239DE" w:rsidP="00005BEA">
            <w:pPr>
              <w:spacing w:before="0" w:line="240" w:lineRule="auto"/>
              <w:ind w:right="-267" w:firstLine="0"/>
              <w:contextualSpacing w:val="0"/>
              <w:rPr>
                <w:rFonts w:cs="Sylfaen"/>
                <w:b w:val="0"/>
                <w:i/>
                <w:sz w:val="18"/>
                <w:szCs w:val="18"/>
                <w:lang w:val="hy-AM" w:eastAsia="en-US"/>
              </w:rPr>
            </w:pPr>
            <w:r>
              <w:rPr>
                <w:rFonts w:cs="Sylfaen"/>
                <w:b w:val="0"/>
                <w:i/>
                <w:noProof/>
                <w:sz w:val="18"/>
                <w:szCs w:val="18"/>
                <w:lang w:val="en-US" w:eastAsia="en-US"/>
              </w:rPr>
              <mc:AlternateContent>
                <mc:Choice Requires="wps">
                  <w:drawing>
                    <wp:anchor distT="0" distB="0" distL="114300" distR="114300" simplePos="0" relativeHeight="251766272" behindDoc="0" locked="0" layoutInCell="1" allowOverlap="1" wp14:anchorId="072651A5" wp14:editId="6416CB0F">
                      <wp:simplePos x="0" y="0"/>
                      <wp:positionH relativeFrom="column">
                        <wp:posOffset>2195195</wp:posOffset>
                      </wp:positionH>
                      <wp:positionV relativeFrom="paragraph">
                        <wp:posOffset>227330</wp:posOffset>
                      </wp:positionV>
                      <wp:extent cx="19050" cy="201930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2019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A46C082" id="Straight Connector 16"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5pt,17.9pt" to="174.3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" strokecolor="windowText" strokeweight=".5pt">
                      <v:stroke joinstyle="miter"/>
                      <o:lock v:ext="edit" shapetype="f"/>
                    </v:line>
                  </w:pict>
                </mc:Fallback>
              </mc:AlternateContent>
            </w:r>
            <w:r w:rsidR="00005BEA" w:rsidRPr="00005BEA">
              <w:rPr>
                <w:rFonts w:cs="Sylfaen"/>
                <w:b w:val="0"/>
                <w:i/>
                <w:noProof/>
                <w:sz w:val="18"/>
                <w:szCs w:val="18"/>
                <w:lang w:val="en-US" w:eastAsia="en-US"/>
              </w:rPr>
              <w:drawing>
                <wp:anchor distT="0" distB="0" distL="114300" distR="114300" simplePos="0" relativeHeight="251765248" behindDoc="1" locked="0" layoutInCell="1" allowOverlap="1" wp14:anchorId="5978DE0C" wp14:editId="0CEB5A97">
                  <wp:simplePos x="0" y="0"/>
                  <wp:positionH relativeFrom="margin">
                    <wp:posOffset>-26670</wp:posOffset>
                  </wp:positionH>
                  <wp:positionV relativeFrom="paragraph">
                    <wp:posOffset>230505</wp:posOffset>
                  </wp:positionV>
                  <wp:extent cx="3133725" cy="2114550"/>
                  <wp:effectExtent l="0" t="0" r="9525" b="9525"/>
                  <wp:wrapTight wrapText="bothSides">
                    <wp:wrapPolygon edited="0">
                      <wp:start x="0" y="0"/>
                      <wp:lineTo x="0" y="21405"/>
                      <wp:lineTo x="21534" y="21405"/>
                      <wp:lineTo x="21534"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005BEA" w:rsidRPr="00005BEA">
              <w:rPr>
                <w:rFonts w:cs="Sylfaen"/>
                <w:b w:val="0"/>
                <w:i/>
                <w:sz w:val="18"/>
                <w:szCs w:val="18"/>
                <w:lang w:val="hy-AM" w:eastAsia="en-US"/>
              </w:rPr>
              <w:t>հիմնական արժույթների նկատմամբ (աճ՝ արժեզրկում)</w:t>
            </w:r>
          </w:p>
          <w:p w:rsidR="00005BEA" w:rsidRPr="00005BEA" w:rsidRDefault="00005BEA" w:rsidP="00005BEA">
            <w:pPr>
              <w:spacing w:before="0" w:line="276" w:lineRule="auto"/>
              <w:ind w:right="-268" w:firstLine="0"/>
              <w:contextualSpacing w:val="0"/>
              <w:rPr>
                <w:rFonts w:cs="Sylfaen"/>
                <w:b w:val="0"/>
                <w:i/>
                <w:sz w:val="18"/>
                <w:szCs w:val="18"/>
                <w:lang w:val="hy-AM" w:eastAsia="en-US"/>
              </w:rPr>
            </w:pPr>
            <w:r w:rsidRPr="00005BEA">
              <w:rPr>
                <w:rFonts w:cs="Sylfaen"/>
                <w:b w:val="0"/>
                <w:i/>
                <w:sz w:val="18"/>
                <w:szCs w:val="18"/>
                <w:lang w:val="hy-AM" w:eastAsia="en-US"/>
              </w:rPr>
              <w:t>Աղբյուրը՝ ՀՀ ԿԲ, ՀՀ ՖՆ հաշվարկներ</w:t>
            </w:r>
          </w:p>
        </w:tc>
        <w:tc>
          <w:tcPr>
            <w:tcW w:w="5090" w:type="dxa"/>
          </w:tcPr>
          <w:p w:rsidR="00005BEA" w:rsidRPr="00005BEA" w:rsidRDefault="00005BEA" w:rsidP="00005BEA">
            <w:pPr>
              <w:spacing w:before="0" w:line="240" w:lineRule="auto"/>
              <w:ind w:right="217" w:firstLine="0"/>
              <w:contextualSpacing w:val="0"/>
              <w:rPr>
                <w:rFonts w:cs="Sylfaen"/>
                <w:b w:val="0"/>
                <w:i/>
                <w:sz w:val="18"/>
                <w:szCs w:val="18"/>
                <w:lang w:val="hy-AM" w:eastAsia="en-US"/>
              </w:rPr>
            </w:pPr>
            <w:r w:rsidRPr="00005BEA">
              <w:rPr>
                <w:rFonts w:cs="Sylfaen"/>
                <w:b w:val="0"/>
                <w:i/>
                <w:noProof/>
                <w:sz w:val="18"/>
                <w:szCs w:val="18"/>
                <w:lang w:val="en-US" w:eastAsia="en-US"/>
              </w:rPr>
              <w:drawing>
                <wp:anchor distT="0" distB="0" distL="114300" distR="114300" simplePos="0" relativeHeight="251770368" behindDoc="1" locked="0" layoutInCell="1" allowOverlap="1" wp14:anchorId="3BFEF95F" wp14:editId="3FB172ED">
                  <wp:simplePos x="0" y="0"/>
                  <wp:positionH relativeFrom="column">
                    <wp:posOffset>-27940</wp:posOffset>
                  </wp:positionH>
                  <wp:positionV relativeFrom="paragraph">
                    <wp:posOffset>546735</wp:posOffset>
                  </wp:positionV>
                  <wp:extent cx="3076575" cy="2114550"/>
                  <wp:effectExtent l="0" t="0" r="9525" b="0"/>
                  <wp:wrapTight wrapText="bothSides">
                    <wp:wrapPolygon edited="0">
                      <wp:start x="0" y="0"/>
                      <wp:lineTo x="0" y="21405"/>
                      <wp:lineTo x="21533" y="21405"/>
                      <wp:lineTo x="21533"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005BEA">
              <w:rPr>
                <w:rFonts w:cs="Sylfaen"/>
                <w:i/>
                <w:sz w:val="18"/>
                <w:szCs w:val="18"/>
                <w:lang w:val="hy-AM" w:eastAsia="en-US"/>
              </w:rPr>
              <w:t>Գծապատկեր 1.27.</w:t>
            </w:r>
            <w:r w:rsidRPr="00005BEA">
              <w:rPr>
                <w:rFonts w:cs="Sylfaen"/>
                <w:b w:val="0"/>
                <w:i/>
                <w:sz w:val="18"/>
                <w:szCs w:val="18"/>
                <w:lang w:val="hy-AM" w:eastAsia="en-US"/>
              </w:rPr>
              <w:t xml:space="preserve"> ՀՀ իրական և անվանական արդյունավետ փոխարժեքների կուտակային տ/տ աճերի դինամիկան (աճ՝ արժևորում)</w:t>
            </w:r>
          </w:p>
          <w:p w:rsidR="00005BEA" w:rsidRPr="00005BEA" w:rsidRDefault="00005BEA" w:rsidP="00005BEA">
            <w:pPr>
              <w:spacing w:before="0" w:line="276" w:lineRule="auto"/>
              <w:ind w:right="-268" w:firstLine="0"/>
              <w:contextualSpacing w:val="0"/>
              <w:rPr>
                <w:rFonts w:cs="Sylfaen"/>
                <w:b w:val="0"/>
                <w:sz w:val="16"/>
                <w:szCs w:val="16"/>
                <w:lang w:val="hy-AM" w:eastAsia="en-US"/>
              </w:rPr>
            </w:pPr>
            <w:r w:rsidRPr="00005BEA">
              <w:rPr>
                <w:rFonts w:cs="Sylfaen"/>
                <w:b w:val="0"/>
                <w:i/>
                <w:sz w:val="18"/>
                <w:szCs w:val="18"/>
                <w:lang w:val="hy-AM" w:eastAsia="en-US"/>
              </w:rPr>
              <w:t>Աղբյուրը՝ ՀՀ ԿԲ, ՀՀ ՖՆ հաշվարկներ</w:t>
            </w:r>
          </w:p>
        </w:tc>
      </w:tr>
      <w:tr w:rsidR="00005BEA" w:rsidRPr="003A0B99" w:rsidTr="00005BEA">
        <w:trPr>
          <w:trHeight w:val="309"/>
        </w:trPr>
        <w:tc>
          <w:tcPr>
            <w:tcW w:w="5181" w:type="dxa"/>
          </w:tcPr>
          <w:p w:rsidR="00005BEA" w:rsidRPr="00005BEA" w:rsidRDefault="00005BEA" w:rsidP="005514DD">
            <w:pPr>
              <w:spacing w:before="0" w:line="240" w:lineRule="auto"/>
              <w:ind w:firstLine="0"/>
              <w:contextualSpacing w:val="0"/>
              <w:jc w:val="left"/>
              <w:rPr>
                <w:rFonts w:cs="Sylfaen"/>
                <w:b w:val="0"/>
                <w:sz w:val="18"/>
                <w:szCs w:val="18"/>
                <w:lang w:val="hy-AM" w:eastAsia="en-US"/>
              </w:rPr>
            </w:pPr>
          </w:p>
        </w:tc>
        <w:tc>
          <w:tcPr>
            <w:tcW w:w="5090" w:type="dxa"/>
          </w:tcPr>
          <w:p w:rsidR="00005BEA" w:rsidRPr="00005BEA" w:rsidRDefault="00005BEA" w:rsidP="00005BEA">
            <w:pPr>
              <w:spacing w:before="0" w:line="240" w:lineRule="auto"/>
              <w:ind w:right="217" w:firstLine="0"/>
              <w:contextualSpacing w:val="0"/>
              <w:rPr>
                <w:rFonts w:cs="Sylfaen"/>
                <w:b w:val="0"/>
                <w:i/>
                <w:noProof/>
                <w:sz w:val="18"/>
                <w:szCs w:val="18"/>
                <w:lang w:val="hy-AM" w:eastAsia="en-US"/>
              </w:rPr>
            </w:pPr>
          </w:p>
        </w:tc>
      </w:tr>
    </w:tbl>
    <w:p w:rsidR="00005BEA" w:rsidRPr="00005BEA" w:rsidRDefault="00005BEA" w:rsidP="00005BEA">
      <w:pPr>
        <w:spacing w:before="0" w:after="120" w:line="240" w:lineRule="auto"/>
        <w:ind w:firstLine="0"/>
        <w:contextualSpacing w:val="0"/>
        <w:jc w:val="left"/>
        <w:rPr>
          <w:rFonts w:eastAsia="Calibri"/>
          <w:bCs/>
          <w:sz w:val="24"/>
          <w:lang w:val="hy-AM" w:eastAsia="en-US"/>
        </w:rPr>
      </w:pPr>
      <w:r w:rsidRPr="00005BEA">
        <w:rPr>
          <w:rFonts w:eastAsia="Calibri"/>
          <w:bCs/>
          <w:sz w:val="24"/>
          <w:lang w:val="hy-AM" w:eastAsia="en-US"/>
        </w:rPr>
        <w:t xml:space="preserve">1.3.5. Գնաճ և դրամավարկային քաղաքականություն </w:t>
      </w:r>
    </w:p>
    <w:p w:rsidR="00005BEA" w:rsidRPr="00005BEA" w:rsidRDefault="00005BEA" w:rsidP="00005BEA">
      <w:pPr>
        <w:spacing w:before="0" w:after="120" w:line="276" w:lineRule="auto"/>
        <w:ind w:firstLine="720"/>
        <w:contextualSpacing w:val="0"/>
        <w:rPr>
          <w:rFonts w:cs="Sylfaen"/>
          <w:b w:val="0"/>
          <w:szCs w:val="22"/>
          <w:lang w:val="hy-AM" w:eastAsia="en-US"/>
        </w:rPr>
      </w:pPr>
      <w:r w:rsidRPr="00005BEA">
        <w:rPr>
          <w:rFonts w:cs="Sylfaen"/>
          <w:szCs w:val="22"/>
          <w:lang w:val="hy-AM" w:eastAsia="en-US"/>
        </w:rPr>
        <w:t>2019թ</w:t>
      </w:r>
      <w:r w:rsidRPr="00005BEA">
        <w:rPr>
          <w:rFonts w:eastAsia="MS Mincho" w:cs="Cambria Math"/>
          <w:szCs w:val="22"/>
          <w:lang w:val="hy-AM" w:eastAsia="en-US"/>
        </w:rPr>
        <w:t>.</w:t>
      </w:r>
      <w:r w:rsidRPr="00005BEA">
        <w:rPr>
          <w:rFonts w:cs="Sylfaen"/>
          <w:szCs w:val="22"/>
          <w:lang w:val="hy-AM" w:eastAsia="en-US"/>
        </w:rPr>
        <w:t xml:space="preserve"> ընթացքում տնտեսությունը գտնվել է չափավոր գնաճային միջավայրում։  </w:t>
      </w:r>
      <w:r w:rsidRPr="00005BEA">
        <w:rPr>
          <w:rFonts w:cs="Sylfaen"/>
          <w:b w:val="0"/>
          <w:szCs w:val="22"/>
          <w:lang w:val="hy-AM" w:eastAsia="en-US"/>
        </w:rPr>
        <w:t xml:space="preserve">2019թ. գնաճային միջավայրը թուլացել է՝ տարվա առաջին կեսին 12-ամսյա գնաճի փոքր ինչ արագացման, իսկ երկրորդ կեսին՝ էական դանդաղման արդյունքում։ 12-ամսյա գնաճը </w:t>
      </w:r>
      <w:r w:rsidRPr="00005BEA">
        <w:rPr>
          <w:rFonts w:cs="Sylfaen"/>
          <w:b w:val="0"/>
          <w:szCs w:val="22"/>
          <w:lang w:val="hy-AM" w:eastAsia="en-US"/>
        </w:rPr>
        <w:lastRenderedPageBreak/>
        <w:t>դեկտեմբերին կազմել է 0.7%, իսկ միջին գնաճը՝ 1.4%։ Գնաճի դանդաղմանը նպաստել են ապրանքային շուկաներում մրցակցության ավելացումը և սպառողական պահանջարկի կառուցվածքի փոփոխությունն ի հաշիվ երկարաժամկետ սպառման ապրանքների։</w:t>
      </w:r>
    </w:p>
    <w:p w:rsidR="00005BEA" w:rsidRPr="00005BEA" w:rsidRDefault="00005BEA" w:rsidP="00005BEA">
      <w:pPr>
        <w:spacing w:before="0" w:after="120" w:line="276" w:lineRule="auto"/>
        <w:ind w:firstLine="720"/>
        <w:contextualSpacing w:val="0"/>
        <w:rPr>
          <w:rFonts w:cs="Sylfaen"/>
          <w:b w:val="0"/>
          <w:szCs w:val="22"/>
          <w:lang w:val="hy-AM" w:eastAsia="en-US"/>
        </w:rPr>
      </w:pPr>
      <w:r w:rsidRPr="00005BEA">
        <w:rPr>
          <w:rFonts w:cs="Sylfaen"/>
          <w:b w:val="0"/>
          <w:szCs w:val="22"/>
          <w:lang w:val="hy-AM" w:eastAsia="en-US"/>
        </w:rPr>
        <w:t xml:space="preserve"> </w:t>
      </w:r>
      <w:r w:rsidRPr="00005BEA">
        <w:rPr>
          <w:rFonts w:cs="Sylfaen"/>
          <w:bCs/>
          <w:szCs w:val="22"/>
          <w:lang w:val="hy-AM" w:eastAsia="en-US"/>
        </w:rPr>
        <w:t>2020թ. հունվար-հոկտեմբեր ամիսներին գնաճը նախորդ տարվա նույն ժամանակահատվածի համեմատ դանդաղել է՝ կազմելով 0.9%, 1.6%-ի համեմատ։</w:t>
      </w:r>
      <w:r w:rsidRPr="00005BEA">
        <w:rPr>
          <w:rFonts w:cs="Sylfaen"/>
          <w:b w:val="0"/>
          <w:szCs w:val="22"/>
          <w:lang w:val="hy-AM" w:eastAsia="en-US"/>
        </w:rPr>
        <w:t xml:space="preserve"> Դանդաղումը պայմանավորված է համավարակի բռնկման և տնտեսական գործունեության սահմանափակումների պայմաններում մի կողմից արտաքին հատվածից եկող գնանկումային ազդեցություններով, և մյուս կողմից՝ ներքին մասնավոր պահանջարկի թուլացմամբ։ </w:t>
      </w:r>
    </w:p>
    <w:p w:rsidR="00005BEA" w:rsidRPr="00005BEA" w:rsidRDefault="00005BEA" w:rsidP="00005BEA">
      <w:pPr>
        <w:spacing w:before="0" w:after="120" w:line="276" w:lineRule="auto"/>
        <w:ind w:firstLine="720"/>
        <w:contextualSpacing w:val="0"/>
        <w:rPr>
          <w:rFonts w:eastAsia="Calibri"/>
          <w:b w:val="0"/>
          <w:szCs w:val="22"/>
          <w:lang w:val="hy-AM" w:eastAsia="en-US"/>
        </w:rPr>
      </w:pPr>
      <w:r w:rsidRPr="00005BEA">
        <w:rPr>
          <w:rFonts w:eastAsia="Calibri"/>
          <w:szCs w:val="22"/>
          <w:lang w:val="hy-AM" w:eastAsia="en-US"/>
        </w:rPr>
        <w:t>2019թ</w:t>
      </w:r>
      <w:r w:rsidRPr="00005BEA">
        <w:rPr>
          <w:rFonts w:eastAsia="Calibri" w:cs="Cambria Math"/>
          <w:szCs w:val="22"/>
          <w:lang w:val="hy-AM" w:eastAsia="en-US"/>
        </w:rPr>
        <w:t>.</w:t>
      </w:r>
      <w:r w:rsidRPr="00005BEA">
        <w:rPr>
          <w:rFonts w:eastAsia="Calibri"/>
          <w:szCs w:val="22"/>
          <w:lang w:val="hy-AM" w:eastAsia="en-US"/>
        </w:rPr>
        <w:t xml:space="preserve"> ՀՀ կենտրոնական բանկի դրամավարկային քաղաքականությունն ունեցել է խթանող ուղղվածություն։ </w:t>
      </w:r>
      <w:r w:rsidRPr="00005BEA">
        <w:rPr>
          <w:rFonts w:eastAsia="Calibri"/>
          <w:b w:val="0"/>
          <w:szCs w:val="22"/>
          <w:lang w:val="hy-AM" w:eastAsia="en-US"/>
        </w:rPr>
        <w:t xml:space="preserve">ԿԲ-ն նվազեցրել է վերաֆինանսավորման (ռեպո) տոկոսադրույքը 0.5 տոկոսային կետով, ինչպես նաև ֆինանսական շուկայում հանդես է եկել որպես իրացվելիության զուտ տրամադրող։ Ֆինանսական շուկայի կարճաժամկետ տոկոսադրույքների՝ վերաֆինանսավորման տոկոսադրույքի շուրջ ձևավորումն ապահովելու համար հիմնականում ամբողջությամբ բավարարվել է իրացվելիության նկատմամբ բանկային համակարգի պահանջարկը։ </w:t>
      </w:r>
    </w:p>
    <w:p w:rsidR="00005BEA" w:rsidRPr="00005BEA" w:rsidRDefault="00005BEA" w:rsidP="00005BEA">
      <w:pPr>
        <w:spacing w:before="40" w:after="120" w:line="276" w:lineRule="auto"/>
        <w:contextualSpacing w:val="0"/>
        <w:rPr>
          <w:b w:val="0"/>
          <w:szCs w:val="22"/>
          <w:lang w:val="hy-AM" w:eastAsia="en-US"/>
        </w:rPr>
      </w:pPr>
      <w:r w:rsidRPr="00005BEA">
        <w:rPr>
          <w:rFonts w:eastAsia="Calibri"/>
          <w:bCs/>
          <w:szCs w:val="22"/>
          <w:lang w:val="hy-AM" w:eastAsia="en-US"/>
        </w:rPr>
        <w:t>Համավարակի հետևանքով պահանջարկի նվազմանը հակազդելու նպատակով ՀՀ ԿԲ-ն թուլացրել է դրամավարկային պայմանները։</w:t>
      </w:r>
      <w:r w:rsidRPr="00005BEA">
        <w:rPr>
          <w:rFonts w:eastAsia="Calibri"/>
          <w:b w:val="0"/>
          <w:szCs w:val="22"/>
          <w:lang w:val="hy-AM" w:eastAsia="en-US"/>
        </w:rPr>
        <w:t xml:space="preserve"> 2020թ</w:t>
      </w:r>
      <w:r w:rsidRPr="00005BEA">
        <w:rPr>
          <w:rFonts w:eastAsia="Calibri" w:cs="Cambria Math"/>
          <w:b w:val="0"/>
          <w:szCs w:val="22"/>
          <w:lang w:val="hy-AM" w:eastAsia="en-US"/>
        </w:rPr>
        <w:t>.</w:t>
      </w:r>
      <w:r w:rsidRPr="00005BEA">
        <w:rPr>
          <w:rFonts w:eastAsia="Calibri"/>
          <w:b w:val="0"/>
          <w:szCs w:val="22"/>
          <w:lang w:val="hy-AM" w:eastAsia="en-US"/>
        </w:rPr>
        <w:t xml:space="preserve"> </w:t>
      </w:r>
      <w:r w:rsidRPr="00005BEA">
        <w:rPr>
          <w:rFonts w:eastAsia="Calibri" w:cs="GHEA Grapalat"/>
          <w:b w:val="0"/>
          <w:szCs w:val="22"/>
          <w:lang w:val="hy-AM" w:eastAsia="en-US"/>
        </w:rPr>
        <w:t>հունվար</w:t>
      </w:r>
      <w:r w:rsidRPr="00005BEA">
        <w:rPr>
          <w:rFonts w:eastAsia="Calibri"/>
          <w:b w:val="0"/>
          <w:szCs w:val="22"/>
          <w:lang w:val="hy-AM" w:eastAsia="en-US"/>
        </w:rPr>
        <w:t>–հոկտեմբեր ամիսներին ՀՀ ԿԲ-ն վերաֆինանսավորման տոկոսադրույքը նվազեցրել է ընդհանուր առմամբ 1</w:t>
      </w:r>
      <w:r w:rsidRPr="00005BEA">
        <w:rPr>
          <w:rFonts w:ascii="Cambria Math" w:eastAsia="Calibri" w:hAnsi="Cambria Math" w:cs="Cambria Math"/>
          <w:b w:val="0"/>
          <w:szCs w:val="22"/>
          <w:lang w:val="hy-AM" w:eastAsia="en-US"/>
        </w:rPr>
        <w:t>․</w:t>
      </w:r>
      <w:r w:rsidRPr="00005BEA">
        <w:rPr>
          <w:rFonts w:eastAsia="Calibri"/>
          <w:b w:val="0"/>
          <w:szCs w:val="22"/>
          <w:lang w:val="hy-AM" w:eastAsia="en-US"/>
        </w:rPr>
        <w:t xml:space="preserve">25 տոկոսային կետով` ցածր գնաճային միջավայրում ավելացնելով դրամավարկային խթանման չափը։ Փողի շուկայի տոկոսադրույքների ձևավորումը վերաֆինանսավորման տոկոսադրույքի շուրջ ապահովելու համար ԿԲ-ն շարունակել է բավարարել իրացվելիության նկատմամբ բանկային համակարգի պահանջարկը՝ ռեպո գործարքների միջոցով ավելացնելով զուտ իրացվելիության ներարկման չափը։ </w:t>
      </w:r>
      <w:r w:rsidRPr="00005BEA">
        <w:rPr>
          <w:b w:val="0"/>
          <w:szCs w:val="22"/>
          <w:lang w:val="hy-AM" w:eastAsia="en-US"/>
        </w:rPr>
        <w:t xml:space="preserve"> Բացի դրանից, COVID-19-ի տարածմամբ պայմանավորված անորոշությունների բացասական հետևանքները մեղմելու նպատակով ԿԲ-ն հիմնական կապիտալի համարժեքության նորմատիվը 10%-ից իջեցնել 9%-ի, ինչպես նաև իրականացրել մակրոպրուդենցիալ քաղաքականության այլ միջոցառումներ</w:t>
      </w:r>
      <w:r w:rsidRPr="00005BEA">
        <w:rPr>
          <w:rFonts w:ascii="Arial Armenian" w:hAnsi="Arial Armenian"/>
          <w:b w:val="0"/>
          <w:sz w:val="20"/>
          <w:szCs w:val="20"/>
          <w:vertAlign w:val="superscript"/>
          <w:lang w:val="hy-AM" w:eastAsia="en-US"/>
        </w:rPr>
        <w:footnoteReference w:id="9"/>
      </w:r>
      <w:r w:rsidRPr="00005BEA">
        <w:rPr>
          <w:b w:val="0"/>
          <w:szCs w:val="22"/>
          <w:lang w:val="hy-AM" w:eastAsia="en-US"/>
        </w:rPr>
        <w:t xml:space="preserve">։ </w:t>
      </w:r>
    </w:p>
    <w:p w:rsidR="00005BEA" w:rsidRPr="00005BEA" w:rsidRDefault="00005BEA" w:rsidP="00005BEA">
      <w:pPr>
        <w:spacing w:before="0" w:after="120" w:line="276" w:lineRule="auto"/>
        <w:contextualSpacing w:val="0"/>
        <w:rPr>
          <w:rFonts w:eastAsia="Calibri" w:cs="Sylfaen"/>
          <w:b w:val="0"/>
          <w:szCs w:val="22"/>
          <w:lang w:val="es-ES" w:eastAsia="en-US"/>
        </w:rPr>
      </w:pPr>
      <w:r w:rsidRPr="00005BEA">
        <w:rPr>
          <w:rFonts w:eastAsia="Calibri" w:cs="Sylfaen"/>
          <w:szCs w:val="22"/>
          <w:u w:val="single"/>
          <w:lang w:val="hy-AM" w:eastAsia="en-US"/>
        </w:rPr>
        <w:t>Կանխատեսում</w:t>
      </w:r>
      <w:r w:rsidRPr="00005BEA">
        <w:rPr>
          <w:rFonts w:eastAsia="Calibri" w:cs="Sylfaen"/>
          <w:szCs w:val="22"/>
          <w:u w:val="single"/>
          <w:lang w:val="es-ES" w:eastAsia="en-US"/>
        </w:rPr>
        <w:t>.</w:t>
      </w:r>
      <w:r w:rsidRPr="00005BEA">
        <w:rPr>
          <w:rFonts w:eastAsia="Calibri" w:cs="Sylfaen"/>
          <w:b w:val="0"/>
          <w:szCs w:val="22"/>
          <w:lang w:val="es-ES" w:eastAsia="en-US"/>
        </w:rPr>
        <w:t xml:space="preserve"> </w:t>
      </w:r>
      <w:r w:rsidRPr="00005BEA">
        <w:rPr>
          <w:rFonts w:eastAsia="Calibri" w:cs="Sylfaen"/>
          <w:b w:val="0"/>
          <w:szCs w:val="22"/>
          <w:lang w:val="hy-AM" w:eastAsia="en-US"/>
        </w:rPr>
        <w:t>ԿԲ-ն միջնաժամկետ հատվածում կշարունակի պահպանել դրամավարկային քաղաքականության խթանող դիրքը։ Հաշվի առնելով 2020թ</w:t>
      </w:r>
      <w:r w:rsidRPr="00005BEA">
        <w:rPr>
          <w:rFonts w:ascii="Cambria Math" w:eastAsia="Calibri" w:hAnsi="Cambria Math" w:cs="Cambria Math"/>
          <w:b w:val="0"/>
          <w:szCs w:val="22"/>
          <w:lang w:val="hy-AM" w:eastAsia="en-US"/>
        </w:rPr>
        <w:t>․</w:t>
      </w:r>
      <w:r w:rsidRPr="00005BEA">
        <w:rPr>
          <w:rFonts w:eastAsia="Calibri" w:cs="Sylfaen"/>
          <w:b w:val="0"/>
          <w:szCs w:val="22"/>
          <w:lang w:val="hy-AM" w:eastAsia="en-US"/>
        </w:rPr>
        <w:t>-ի չորրորդ եռամսյակում համավարակի տարածման տեմպերի արագացման</w:t>
      </w:r>
      <w:r w:rsidRPr="00005BEA">
        <w:rPr>
          <w:rFonts w:ascii="Cambria Math" w:eastAsia="Calibri" w:hAnsi="Cambria Math" w:cs="Sylfaen"/>
          <w:b w:val="0"/>
          <w:szCs w:val="22"/>
          <w:lang w:val="hy-AM" w:eastAsia="en-US"/>
        </w:rPr>
        <w:t>,</w:t>
      </w:r>
      <w:r w:rsidRPr="00005BEA">
        <w:rPr>
          <w:rFonts w:eastAsia="Calibri" w:cs="Sylfaen"/>
          <w:b w:val="0"/>
          <w:szCs w:val="22"/>
          <w:lang w:val="hy-AM" w:eastAsia="en-US"/>
        </w:rPr>
        <w:t xml:space="preserve"> 2020թ</w:t>
      </w:r>
      <w:r w:rsidRPr="00005BEA">
        <w:rPr>
          <w:rFonts w:ascii="Cambria Math" w:eastAsia="Calibri" w:hAnsi="Cambria Math" w:cs="Cambria Math"/>
          <w:b w:val="0"/>
          <w:szCs w:val="22"/>
          <w:lang w:val="hy-AM" w:eastAsia="en-US"/>
        </w:rPr>
        <w:t>․</w:t>
      </w:r>
      <w:r w:rsidRPr="00005BEA">
        <w:rPr>
          <w:rFonts w:eastAsia="Calibri" w:cs="Sylfaen"/>
          <w:b w:val="0"/>
          <w:szCs w:val="22"/>
          <w:lang w:val="hy-AM" w:eastAsia="en-US"/>
        </w:rPr>
        <w:t>-ի սեպտեմբերի վերջից Արցախյան պատերազմական գործողությունների, ինչպես նաև դրանց հետևանքով խորացած անորոշությունների հնարավոր բացասական ազդեցությունը ամբողջական պահանջարկի վրա, գնահատվում է, որ 2020 և 2021թթ կպահպանվի ցածր գնաճային միջավայրը և գնաճը մոտ կլինի նպատակային թիրախի ստորին շեմին</w:t>
      </w:r>
      <w:r w:rsidRPr="00005BEA">
        <w:rPr>
          <w:rFonts w:eastAsia="Calibri" w:cs="Sylfaen"/>
          <w:b w:val="0"/>
          <w:szCs w:val="22"/>
          <w:lang w:val="es-ES" w:eastAsia="en-US"/>
        </w:rPr>
        <w:t>:</w:t>
      </w:r>
    </w:p>
    <w:p w:rsidR="00005BEA" w:rsidRPr="00005BEA" w:rsidRDefault="00005BEA" w:rsidP="00005BEA">
      <w:pPr>
        <w:keepNext/>
        <w:keepLines/>
        <w:spacing w:before="0" w:after="120" w:line="276" w:lineRule="auto"/>
        <w:ind w:firstLine="0"/>
        <w:contextualSpacing w:val="0"/>
        <w:rPr>
          <w:rFonts w:cs="Sylfaen"/>
          <w:b w:val="0"/>
          <w:i/>
          <w:sz w:val="20"/>
          <w:szCs w:val="20"/>
          <w:lang w:val="hy-AM" w:eastAsia="en-US"/>
        </w:rPr>
      </w:pPr>
      <w:r w:rsidRPr="00005BEA">
        <w:rPr>
          <w:rFonts w:cs="Sylfaen"/>
          <w:i/>
          <w:szCs w:val="22"/>
          <w:lang w:val="hy-AM" w:eastAsia="en-US"/>
        </w:rPr>
        <w:lastRenderedPageBreak/>
        <w:t>Գծապատկեր 1.2</w:t>
      </w:r>
      <w:r w:rsidRPr="00005BEA">
        <w:rPr>
          <w:rFonts w:cs="Sylfaen"/>
          <w:i/>
          <w:szCs w:val="22"/>
          <w:lang w:val="es-ES" w:eastAsia="en-US"/>
        </w:rPr>
        <w:t>8</w:t>
      </w:r>
      <w:r w:rsidRPr="00005BEA">
        <w:rPr>
          <w:rFonts w:cs="Sylfaen"/>
          <w:i/>
          <w:szCs w:val="22"/>
          <w:lang w:val="hy-AM" w:eastAsia="en-US"/>
        </w:rPr>
        <w:t>.</w:t>
      </w:r>
      <w:r w:rsidRPr="00005BEA">
        <w:rPr>
          <w:rFonts w:cs="Sylfaen"/>
          <w:i/>
          <w:sz w:val="21"/>
          <w:szCs w:val="21"/>
          <w:lang w:val="hy-AM" w:eastAsia="en-US"/>
        </w:rPr>
        <w:t xml:space="preserve"> </w:t>
      </w:r>
      <w:r w:rsidRPr="00005BEA">
        <w:rPr>
          <w:rFonts w:cs="Sylfaen"/>
          <w:b w:val="0"/>
          <w:i/>
          <w:sz w:val="20"/>
          <w:szCs w:val="20"/>
          <w:lang w:val="hy-AM" w:eastAsia="en-US"/>
        </w:rPr>
        <w:t>Սպառողական գների աճը, դրամավարկային քաղաքականության հիմնական ցուցանիշները 2017-2020թթ</w:t>
      </w:r>
      <w:r w:rsidRPr="00005BEA">
        <w:rPr>
          <w:rFonts w:cs="Sylfaen"/>
          <w:b w:val="0"/>
          <w:i/>
          <w:sz w:val="20"/>
          <w:szCs w:val="20"/>
          <w:lang w:val="es-ES" w:eastAsia="en-US"/>
        </w:rPr>
        <w:t>.</w:t>
      </w:r>
      <w:r w:rsidRPr="00005BEA">
        <w:rPr>
          <w:rFonts w:cs="Sylfaen"/>
          <w:b w:val="0"/>
          <w:i/>
          <w:sz w:val="20"/>
          <w:szCs w:val="20"/>
          <w:lang w:val="hy-AM" w:eastAsia="en-US"/>
        </w:rPr>
        <w:t xml:space="preserve"> սեպտեմբեր/հոկտեմբերին և գնաճի կանխատեսումները </w:t>
      </w:r>
      <w:r w:rsidRPr="00005BEA">
        <w:rPr>
          <w:rFonts w:cs="Sylfaen"/>
          <w:b w:val="0"/>
          <w:i/>
          <w:sz w:val="20"/>
          <w:szCs w:val="20"/>
          <w:lang w:val="es-ES" w:eastAsia="en-US"/>
        </w:rPr>
        <w:t>2020-2021</w:t>
      </w:r>
      <w:r w:rsidRPr="00005BEA">
        <w:rPr>
          <w:rFonts w:cs="Sylfaen"/>
          <w:b w:val="0"/>
          <w:i/>
          <w:sz w:val="20"/>
          <w:szCs w:val="20"/>
          <w:lang w:val="hy-AM" w:eastAsia="en-US"/>
        </w:rPr>
        <w:t>թթ.</w:t>
      </w:r>
    </w:p>
    <w:p w:rsidR="00005BEA" w:rsidRPr="00005BEA" w:rsidRDefault="00005BEA" w:rsidP="00005BEA">
      <w:pPr>
        <w:spacing w:before="0" w:line="240" w:lineRule="auto"/>
        <w:ind w:firstLine="0"/>
        <w:contextualSpacing w:val="0"/>
        <w:jc w:val="left"/>
        <w:rPr>
          <w:rFonts w:cs="Sylfaen"/>
          <w:noProof/>
          <w:sz w:val="24"/>
          <w:lang w:val="hy-AM" w:eastAsia="en-US"/>
        </w:rPr>
      </w:pPr>
      <w:r w:rsidRPr="00005BEA">
        <w:rPr>
          <w:rFonts w:cs="Sylfaen"/>
          <w:noProof/>
          <w:sz w:val="24"/>
          <w:lang w:val="en-US" w:eastAsia="en-US"/>
        </w:rPr>
        <w:drawing>
          <wp:inline distT="0" distB="0" distL="0" distR="0" wp14:anchorId="1592B788" wp14:editId="3897902F">
            <wp:extent cx="3024000" cy="1980000"/>
            <wp:effectExtent l="0" t="0" r="5080" b="127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005BEA">
        <w:rPr>
          <w:rFonts w:cs="Sylfaen"/>
          <w:noProof/>
          <w:sz w:val="24"/>
          <w:lang w:val="hy-AM" w:eastAsia="en-US"/>
        </w:rPr>
        <w:t xml:space="preserve"> </w:t>
      </w:r>
      <w:r w:rsidRPr="00005BEA">
        <w:rPr>
          <w:rFonts w:cs="Sylfaen"/>
          <w:noProof/>
          <w:sz w:val="24"/>
          <w:lang w:val="en-US" w:eastAsia="en-US"/>
        </w:rPr>
        <w:drawing>
          <wp:inline distT="0" distB="0" distL="0" distR="0" wp14:anchorId="29832242" wp14:editId="26C606E2">
            <wp:extent cx="3024000" cy="1980000"/>
            <wp:effectExtent l="0" t="0" r="5080" b="12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005BEA">
        <w:rPr>
          <w:rFonts w:cs="Sylfaen"/>
          <w:noProof/>
          <w:sz w:val="24"/>
          <w:lang w:val="en-US" w:eastAsia="en-US"/>
        </w:rPr>
        <w:drawing>
          <wp:inline distT="0" distB="0" distL="0" distR="0" wp14:anchorId="1602DBD4" wp14:editId="06B811AF">
            <wp:extent cx="6102000" cy="485775"/>
            <wp:effectExtent l="0" t="0" r="1333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05BEA" w:rsidRPr="00005BEA" w:rsidRDefault="00005BEA" w:rsidP="00005BEA">
      <w:pPr>
        <w:spacing w:before="0" w:line="240" w:lineRule="auto"/>
        <w:ind w:firstLine="0"/>
        <w:contextualSpacing w:val="0"/>
        <w:jc w:val="left"/>
        <w:rPr>
          <w:rFonts w:eastAsia="Calibri" w:cs="Sylfaen"/>
          <w:b w:val="0"/>
          <w:i/>
          <w:sz w:val="24"/>
          <w:lang w:val="en-US" w:eastAsia="en-US"/>
        </w:rPr>
      </w:pPr>
      <w:r w:rsidRPr="00005BEA">
        <w:rPr>
          <w:rFonts w:cs="Sylfaen"/>
          <w:noProof/>
          <w:sz w:val="24"/>
          <w:lang w:val="en-US" w:eastAsia="en-US"/>
        </w:rPr>
        <w:drawing>
          <wp:inline distT="0" distB="0" distL="0" distR="0" wp14:anchorId="5E8B2CDB" wp14:editId="1C44B5F0">
            <wp:extent cx="6102000" cy="2160000"/>
            <wp:effectExtent l="0" t="0" r="13335"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05BEA" w:rsidRPr="00005BEA" w:rsidRDefault="00005BEA" w:rsidP="00005BEA">
      <w:pPr>
        <w:spacing w:before="0" w:line="240" w:lineRule="auto"/>
        <w:ind w:firstLine="0"/>
        <w:contextualSpacing w:val="0"/>
        <w:jc w:val="left"/>
        <w:rPr>
          <w:rFonts w:eastAsia="Calibri" w:cs="Sylfaen"/>
          <w:b w:val="0"/>
          <w:i/>
          <w:sz w:val="24"/>
          <w:lang w:val="hy-AM" w:eastAsia="en-US"/>
        </w:rPr>
      </w:pPr>
      <w:r w:rsidRPr="00005BEA">
        <w:rPr>
          <w:rFonts w:ascii="Times New Roman" w:hAnsi="Times New Roman"/>
          <w:b w:val="0"/>
          <w:noProof/>
          <w:sz w:val="24"/>
          <w:lang w:val="en-US" w:eastAsia="en-US"/>
        </w:rPr>
        <w:drawing>
          <wp:inline distT="0" distB="0" distL="0" distR="0" wp14:anchorId="13046CA4" wp14:editId="2BC888C0">
            <wp:extent cx="3024000" cy="1980000"/>
            <wp:effectExtent l="0" t="0" r="5080"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005BEA">
        <w:rPr>
          <w:rFonts w:eastAsia="Calibri" w:cs="Sylfaen"/>
          <w:b w:val="0"/>
          <w:i/>
          <w:sz w:val="24"/>
          <w:lang w:val="en-US" w:eastAsia="en-US"/>
        </w:rPr>
        <w:t xml:space="preserve"> </w:t>
      </w:r>
      <w:r w:rsidRPr="00005BEA">
        <w:rPr>
          <w:rFonts w:ascii="Times New Roman" w:hAnsi="Times New Roman"/>
          <w:b w:val="0"/>
          <w:noProof/>
          <w:sz w:val="24"/>
          <w:lang w:val="en-US" w:eastAsia="en-US"/>
        </w:rPr>
        <w:drawing>
          <wp:inline distT="0" distB="0" distL="0" distR="0" wp14:anchorId="4732F7EE" wp14:editId="095E388F">
            <wp:extent cx="3024000" cy="1980000"/>
            <wp:effectExtent l="0" t="0" r="5080" b="12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F0A25" w:rsidRPr="00F76E85" w:rsidRDefault="00005BEA" w:rsidP="00005BEA">
      <w:pPr>
        <w:spacing w:before="0"/>
        <w:rPr>
          <w:rFonts w:eastAsia="Calibri" w:cs="Sylfaen"/>
          <w:b w:val="0"/>
          <w:i/>
          <w:sz w:val="18"/>
          <w:szCs w:val="18"/>
          <w:lang w:val="hy-AM"/>
        </w:rPr>
      </w:pPr>
      <w:r w:rsidRPr="00005BEA">
        <w:rPr>
          <w:rFonts w:eastAsia="Calibri" w:cs="Sylfaen"/>
          <w:b w:val="0"/>
          <w:i/>
          <w:sz w:val="18"/>
          <w:szCs w:val="18"/>
          <w:lang w:val="hy-AM" w:eastAsia="en-US"/>
        </w:rPr>
        <w:t>Աղբյուրը՝ ՀՀ ԿԲ, ՀՀ ՖՆ հաշվարկներ և կանխատեսումներ</w:t>
      </w:r>
      <w:r w:rsidRPr="00F76E85">
        <w:rPr>
          <w:rFonts w:eastAsia="Calibri"/>
          <w:b w:val="0"/>
          <w:bCs/>
          <w:lang w:val="hy-AM"/>
        </w:rPr>
        <w:t xml:space="preserve"> </w:t>
      </w:r>
      <w:r w:rsidR="009F0A25" w:rsidRPr="00F76E85">
        <w:rPr>
          <w:rFonts w:eastAsia="Calibri"/>
          <w:b w:val="0"/>
          <w:bCs/>
          <w:lang w:val="hy-AM"/>
        </w:rPr>
        <w:br w:type="page"/>
      </w:r>
    </w:p>
    <w:p w:rsidR="009F0A25" w:rsidRDefault="009F0A25" w:rsidP="007730AA">
      <w:pPr>
        <w:keepNext/>
        <w:keepLines/>
        <w:spacing w:before="0" w:line="276" w:lineRule="auto"/>
        <w:outlineLvl w:val="2"/>
        <w:rPr>
          <w:b w:val="0"/>
          <w:bCs/>
          <w:sz w:val="28"/>
          <w:szCs w:val="28"/>
          <w:lang w:val="hy-AM"/>
        </w:rPr>
      </w:pPr>
      <w:bookmarkStart w:id="28" w:name="_Toc46760406"/>
      <w:bookmarkStart w:id="29" w:name="_Toc51947415"/>
      <w:bookmarkStart w:id="30" w:name="_Toc52452088"/>
      <w:bookmarkStart w:id="31" w:name="_Toc57559415"/>
      <w:bookmarkStart w:id="32" w:name="_Toc57655448"/>
      <w:bookmarkEnd w:id="23"/>
      <w:r w:rsidRPr="005D4C87">
        <w:rPr>
          <w:bCs/>
          <w:sz w:val="28"/>
          <w:szCs w:val="28"/>
          <w:lang w:val="hy-AM"/>
        </w:rPr>
        <w:lastRenderedPageBreak/>
        <w:t>1.4. ԿԱՆԽԱՏԵՍՈՒՄՆԵՐԻ ՀԻՄՔՈՒՄ ԸՆԿԱԾ ԵՆԹԱԴՐՈՒԹՅՈՒՆՆԵՐԸ</w:t>
      </w:r>
      <w:bookmarkEnd w:id="28"/>
      <w:bookmarkEnd w:id="29"/>
      <w:bookmarkEnd w:id="30"/>
      <w:bookmarkEnd w:id="31"/>
      <w:bookmarkEnd w:id="32"/>
    </w:p>
    <w:p w:rsidR="004E6953" w:rsidRPr="004E6953" w:rsidRDefault="004E6953" w:rsidP="004E6953">
      <w:pPr>
        <w:spacing w:after="120" w:line="276" w:lineRule="auto"/>
        <w:ind w:firstLine="709"/>
        <w:rPr>
          <w:rFonts w:eastAsia="Calibri" w:cs="Sylfaen"/>
          <w:b w:val="0"/>
          <w:bCs/>
          <w:szCs w:val="22"/>
          <w:lang w:val="hy-AM" w:eastAsia="en-US"/>
        </w:rPr>
      </w:pPr>
      <w:r w:rsidRPr="004E6953">
        <w:rPr>
          <w:rFonts w:eastAsia="Calibri" w:cs="Sylfaen"/>
          <w:b w:val="0"/>
          <w:bCs/>
          <w:szCs w:val="22"/>
          <w:lang w:val="hy-AM" w:eastAsia="en-US"/>
        </w:rPr>
        <w:t>2021թ. Պետական բյուջեի մակրոտնտեսական շրջանակի կանխատեսումներն իրականացվել են ՀՀ ՖՆ կողմից՝ կիրառելով  տնտեսաչափական մոդելներ և համադրելով ՀՀ ՖՆ հարկաբյուջետային քաղաքականության դինամիկ ստոխաստիկ ընդհանուր հավասարակշռության (Fiscal Policy Strategy</w:t>
      </w:r>
      <w:r w:rsidRPr="004E6953">
        <w:rPr>
          <w:rFonts w:eastAsia="Calibri"/>
          <w:b w:val="0"/>
          <w:bCs/>
          <w:szCs w:val="22"/>
          <w:lang w:val="hy-AM" w:eastAsia="en-US"/>
        </w:rPr>
        <w:t xml:space="preserve"> </w:t>
      </w:r>
      <w:r w:rsidRPr="004E6953">
        <w:rPr>
          <w:rFonts w:eastAsia="Calibri" w:cs="Sylfaen"/>
          <w:b w:val="0"/>
          <w:bCs/>
          <w:szCs w:val="22"/>
          <w:lang w:val="hy-AM" w:eastAsia="en-US"/>
        </w:rPr>
        <w:t>Dynamic Stochastic General Equilibrium</w:t>
      </w:r>
      <w:r w:rsidRPr="004E6953">
        <w:rPr>
          <w:rFonts w:eastAsia="Calibri"/>
          <w:b w:val="0"/>
          <w:bCs/>
          <w:szCs w:val="22"/>
          <w:lang w:val="hy-AM" w:eastAsia="en-US"/>
        </w:rPr>
        <w:t xml:space="preserve"> (</w:t>
      </w:r>
      <w:r w:rsidRPr="004E6953">
        <w:rPr>
          <w:rFonts w:eastAsia="Calibri" w:cs="Sylfaen"/>
          <w:b w:val="0"/>
          <w:bCs/>
          <w:szCs w:val="22"/>
          <w:lang w:val="hy-AM" w:eastAsia="en-US"/>
        </w:rPr>
        <w:t>DSGE)) մոդելի</w:t>
      </w:r>
      <w:r w:rsidRPr="004E6953">
        <w:rPr>
          <w:rFonts w:eastAsia="GHEA Grapalat" w:cs="GHEA Grapalat"/>
          <w:b w:val="0"/>
          <w:szCs w:val="22"/>
          <w:vertAlign w:val="superscript"/>
          <w:lang w:val="en-US" w:eastAsia="en-US"/>
        </w:rPr>
        <w:footnoteReference w:id="10"/>
      </w:r>
      <w:r w:rsidRPr="004E6953">
        <w:rPr>
          <w:rFonts w:eastAsia="Calibri" w:cs="Sylfaen"/>
          <w:b w:val="0"/>
          <w:bCs/>
          <w:szCs w:val="22"/>
          <w:lang w:val="hy-AM" w:eastAsia="en-US"/>
        </w:rPr>
        <w:t>՝ համավարակի հետևանքով առաջացած արտաքին, ներքին մի շարք շոկերի և հարկաբյուջետային միջոցառումների ազդեցությունների գնահատումների հետ:</w:t>
      </w:r>
      <w:r w:rsidRPr="004E6953">
        <w:rPr>
          <w:rFonts w:eastAsia="GHEA Grapalat" w:cs="GHEA Grapalat"/>
          <w:b w:val="0"/>
          <w:i/>
          <w:color w:val="000000"/>
          <w:szCs w:val="22"/>
          <w:lang w:val="hy-AM" w:eastAsia="en-US"/>
        </w:rPr>
        <w:t xml:space="preserve"> </w:t>
      </w:r>
      <w:r w:rsidRPr="004E6953">
        <w:rPr>
          <w:rFonts w:eastAsia="Calibri" w:cs="Sylfaen"/>
          <w:b w:val="0"/>
          <w:bCs/>
          <w:szCs w:val="22"/>
          <w:lang w:val="hy-AM" w:eastAsia="en-US"/>
        </w:rPr>
        <w:t>Սկզբնական կանխատեսումներն</w:t>
      </w:r>
      <w:r w:rsidRPr="004E6953">
        <w:rPr>
          <w:rFonts w:eastAsia="Calibri" w:cs="Sylfaen"/>
          <w:b w:val="0"/>
          <w:bCs/>
          <w:szCs w:val="22"/>
          <w:vertAlign w:val="superscript"/>
          <w:lang w:val="hy-AM" w:eastAsia="en-US"/>
        </w:rPr>
        <w:footnoteReference w:id="11"/>
      </w:r>
      <w:r w:rsidRPr="004E6953">
        <w:rPr>
          <w:rFonts w:eastAsia="Calibri" w:cs="Sylfaen"/>
          <w:b w:val="0"/>
          <w:bCs/>
          <w:szCs w:val="22"/>
          <w:lang w:val="hy-AM" w:eastAsia="en-US"/>
        </w:rPr>
        <w:t xml:space="preserve"> իրականացվել են  օգոստոսի դրությամբ հասանելի տեղեկատվության հիման վրա, ապա այն վերանայվել է՝ հաշվի առնելով Արցախյան պատերազմի, կորոնավիրուսի համավարակի երկրորդ ալիքի, ընթացիկ տնտեսական զարգացումների և նոյեմբերի դրությամբ՝ ՀՀ գործընկեր երկրների տնտեսական,  հումքային ապրանքների համաշխարհային գների ընթացիկ և կանխատեսվող զարգացումների, ինչպես նաև իրականացված և նախատեսվող հարկաբյուջետային միջոցառումների ՀՀ տնտեսության վրա ՀՀ ՖՆ կողմից գնահատված ազդեցությունները: </w:t>
      </w:r>
    </w:p>
    <w:p w:rsidR="004E6953" w:rsidRPr="004E6953" w:rsidRDefault="004E6953" w:rsidP="004E6953">
      <w:pPr>
        <w:spacing w:after="120" w:line="276" w:lineRule="auto"/>
        <w:ind w:firstLine="709"/>
        <w:rPr>
          <w:rFonts w:eastAsia="Calibri" w:cs="Sylfaen"/>
          <w:b w:val="0"/>
          <w:bCs/>
          <w:szCs w:val="22"/>
          <w:lang w:val="hy-AM" w:eastAsia="en-US"/>
        </w:rPr>
      </w:pPr>
      <w:r w:rsidRPr="004E6953">
        <w:rPr>
          <w:rFonts w:eastAsia="Calibri" w:cs="Sylfaen"/>
          <w:b w:val="0"/>
          <w:bCs/>
          <w:szCs w:val="22"/>
          <w:lang w:val="hy-AM" w:eastAsia="en-US"/>
        </w:rPr>
        <w:t xml:space="preserve">Սկզբնական կանխատեսումների հիմքում ընկած էր նաև այն ենթադրությունը, որ ՀՀ և գործընկեր երկրների տնտեսությունները եռամսյակային կտրվածքով «V-աձև» զարգացում են ունենալու՝ ամենամեծ անկումը գրանցելով 2020թ. երկրորդ եռամսյակում և սկսելով վերականգնվել դրանից հետո, սակայն վերջին զարգացումների արդյունքում 2020թ. չորրորդ եռամսյակում կանխատեսվում է վատթարացում՝   նախանշելով տնտեսությունների  «W-աձև» զարգացում:  </w:t>
      </w:r>
    </w:p>
    <w:p w:rsidR="004E6953" w:rsidRPr="004E6953" w:rsidRDefault="004E6953" w:rsidP="004E6953">
      <w:pPr>
        <w:spacing w:after="120" w:line="276" w:lineRule="auto"/>
        <w:ind w:firstLine="709"/>
        <w:rPr>
          <w:rFonts w:eastAsia="Calibri" w:cs="Sylfaen"/>
          <w:b w:val="0"/>
          <w:bCs/>
          <w:szCs w:val="22"/>
          <w:lang w:val="hy-AM" w:eastAsia="en-US"/>
        </w:rPr>
      </w:pPr>
      <w:r w:rsidRPr="004E6953">
        <w:rPr>
          <w:rFonts w:eastAsia="Calibri" w:cs="Sylfaen"/>
          <w:b w:val="0"/>
          <w:bCs/>
          <w:szCs w:val="22"/>
          <w:lang w:val="hy-AM" w:eastAsia="en-US"/>
        </w:rPr>
        <w:t>Մասնավորապես՝</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 xml:space="preserve">Մարտ ամսին հայտարարված արտակարգ դրության պայմաններում կիրառվեցին տնտեսական ակտիվության համատարած սահմանափակումներ, որոնք աստիճանաբար հանվեցին մինչև հունիս՝ առաջացնելով, հիմնականում երկրորդ եռամսյակում, առաջարկի և պահանջարկի էական բացասական շոկեր, երրորդ եռամսյակի հարաբերական կայուն իրավիճակից հետո, հոկտեմբերից սկիզբ առավ կորոնավիրուսի երկրորդ ալիքը և չնայած տնտեսական սահմանափակումների բացակայությանը, այնուամենայնիվ, այն իր բացասական ազդեցությունն է թողնելու տնտեսության վրա՝ կրճատելով աշխատուժի առաջարկը: </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Արցախյան պատերազմական գործողություններն իրենց բացասական արտացոլումն են գնտելու 2020թ. չորրորդ եռամսյակի, ինչպես նաև 2021թ. տնտեսական աճերի վրա:</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lastRenderedPageBreak/>
        <w:t>Համաձայն ԱՄՀ կանխատեսումների Հայաստանի հիմ</w:t>
      </w:r>
      <w:r w:rsidRPr="004E6953">
        <w:rPr>
          <w:rFonts w:eastAsia="Calibri" w:cs="Sylfaen"/>
          <w:b w:val="0"/>
          <w:bCs/>
          <w:szCs w:val="22"/>
          <w:lang w:val="hy-AM" w:eastAsia="en-US"/>
        </w:rPr>
        <w:softHyphen/>
        <w:t>նական գործընկեր երկրների, այդ թվում` Ռուսաստանի, ԱՄՆ-ի, Չինաստանի և Եվրոգոտու արտաքին պահանջարկը 2020թ. կկրճատվի 5.4%-ով, իսկ 2021թ. կաճի 4.3%-ով</w:t>
      </w:r>
      <w:r w:rsidRPr="004E6953">
        <w:rPr>
          <w:rFonts w:eastAsia="Calibri"/>
          <w:b w:val="0"/>
          <w:szCs w:val="22"/>
          <w:vertAlign w:val="superscript"/>
          <w:lang w:val="en-US" w:eastAsia="en-US"/>
        </w:rPr>
        <w:footnoteReference w:id="12"/>
      </w:r>
      <w:r w:rsidRPr="004E6953">
        <w:rPr>
          <w:rFonts w:eastAsia="Calibri" w:cs="Sylfaen"/>
          <w:b w:val="0"/>
          <w:bCs/>
          <w:szCs w:val="22"/>
          <w:lang w:val="hy-AM" w:eastAsia="en-US"/>
        </w:rPr>
        <w:t>:</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 xml:space="preserve">Բլումբերգի ներկայացրած կանխատեսումների համաձայն </w:t>
      </w:r>
      <w:r w:rsidRPr="004E6953">
        <w:rPr>
          <w:rFonts w:eastAsia="Calibri"/>
          <w:b w:val="0"/>
          <w:szCs w:val="22"/>
          <w:lang w:val="hy-AM" w:eastAsia="en-US"/>
        </w:rPr>
        <w:t>2020թ. նավթի համաշխարհային  գները կնվազեն 36.7%-ով, իսկ 2021թ. կսկսեն վերականգնվել:</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b w:val="0"/>
          <w:szCs w:val="22"/>
          <w:lang w:val="hy-AM" w:eastAsia="en-US"/>
        </w:rPr>
        <w:t>Պղնձի համաշխարհային գները երրորդ եռամսյակից սկսել են վերականգնվել: Համաձայն Բլումբերգի գնահատականների պղնձի գները 2020 թ. կաճեն 3.2%</w:t>
      </w:r>
      <w:r w:rsidRPr="004E6953">
        <w:rPr>
          <w:rFonts w:eastAsia="Calibri"/>
          <w:b w:val="0"/>
          <w:szCs w:val="22"/>
          <w:lang w:val="hy-AM" w:eastAsia="en-US"/>
        </w:rPr>
        <w:noBreakHyphen/>
        <w:t>ով, աճը կշարունակվի նաև 2021թ.:</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 xml:space="preserve">Արտաքին զարգացումներով, մասնավորապես Ռուսաստանի տնտեսական անկմամբ </w:t>
      </w:r>
      <w:r>
        <w:rPr>
          <w:rFonts w:eastAsia="Calibri" w:cs="Sylfaen"/>
          <w:b w:val="0"/>
          <w:bCs/>
          <w:szCs w:val="22"/>
          <w:lang w:val="hy-AM" w:eastAsia="en-US"/>
        </w:rPr>
        <w:t xml:space="preserve">և երկրների միջև սահմանափակումներով </w:t>
      </w:r>
      <w:r w:rsidRPr="004E6953">
        <w:rPr>
          <w:rFonts w:eastAsia="Calibri" w:cs="Sylfaen"/>
          <w:b w:val="0"/>
          <w:bCs/>
          <w:szCs w:val="22"/>
          <w:lang w:val="hy-AM" w:eastAsia="en-US"/>
        </w:rPr>
        <w:t>պայմանավորված՝ 2020թ. գնահատվում է Ռուսաստանից դրամական փոխանցումների կրճատում, իսկ այլ երկրներից՝ աճ, արդյունքում 2020թ. գնահատվում է դրամական փոխանցումների փոքր անկում, իսկ 2021թ.՝ որոշակի վերականգնում:</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 xml:space="preserve">2020թ. ենթադրվել է համավարկի հետևանքների չեզոքացմանն ուղղված խթանող հարկաբյուջետային միջոցառումների՝ </w:t>
      </w:r>
      <w:r w:rsidRPr="004E6953">
        <w:rPr>
          <w:rFonts w:eastAsia="Calibri" w:cs="Sylfaen"/>
          <w:b w:val="0"/>
          <w:bCs/>
          <w:szCs w:val="22"/>
          <w:lang w:val="af-ZA" w:eastAsia="en-US"/>
        </w:rPr>
        <w:t xml:space="preserve">150 </w:t>
      </w:r>
      <w:r w:rsidRPr="004E6953">
        <w:rPr>
          <w:rFonts w:eastAsia="Calibri" w:cs="Sylfaen"/>
          <w:b w:val="0"/>
          <w:bCs/>
          <w:szCs w:val="22"/>
          <w:lang w:val="hy-AM" w:eastAsia="en-US"/>
        </w:rPr>
        <w:t xml:space="preserve">մլրդ դրամի ամբողջական օգտագործում, ինչպես նաև հաշվի են առնվել շահութահարկի կանխավճարների համակարգում իրականացված բարեփոխումների հետևանքով մոտ </w:t>
      </w:r>
      <w:r w:rsidRPr="004E6953">
        <w:rPr>
          <w:rFonts w:eastAsia="Calibri" w:cs="Sylfaen"/>
          <w:b w:val="0"/>
          <w:bCs/>
          <w:szCs w:val="22"/>
          <w:lang w:val="hy-AM"/>
        </w:rPr>
        <w:t xml:space="preserve">տնտեսավարող սուբյեկտների մոտ խնայված շրջանառու շուրջ 65 մլրդ դրամ միջոցները, </w:t>
      </w:r>
      <w:r w:rsidRPr="004E6953">
        <w:rPr>
          <w:rFonts w:eastAsia="Calibri" w:cs="Sylfaen"/>
          <w:b w:val="0"/>
          <w:bCs/>
          <w:szCs w:val="22"/>
          <w:lang w:val="af-ZA"/>
        </w:rPr>
        <w:t>(</w:t>
      </w:r>
      <w:r w:rsidRPr="004E6953">
        <w:rPr>
          <w:rFonts w:eastAsia="Calibri" w:cs="Sylfaen"/>
          <w:b w:val="0"/>
          <w:bCs/>
          <w:szCs w:val="22"/>
          <w:lang w:val="hy-AM"/>
        </w:rPr>
        <w:t>ինչը նշանակում է, որ, այլ հավասար պայմաններում, այդ նույն չափով պակաս հարկային եկամուտներ են հավաքագրվելու</w:t>
      </w:r>
      <w:r w:rsidRPr="004E6953">
        <w:rPr>
          <w:rFonts w:eastAsia="Calibri" w:cs="Sylfaen"/>
          <w:b w:val="0"/>
          <w:bCs/>
          <w:szCs w:val="22"/>
          <w:lang w:val="af-ZA"/>
        </w:rPr>
        <w:t>)</w:t>
      </w:r>
      <w:r w:rsidRPr="004E6953">
        <w:rPr>
          <w:rFonts w:eastAsia="Calibri" w:cs="Sylfaen"/>
          <w:b w:val="0"/>
          <w:bCs/>
          <w:szCs w:val="22"/>
          <w:vertAlign w:val="superscript"/>
          <w:lang w:val="af-ZA"/>
        </w:rPr>
        <w:footnoteReference w:id="13"/>
      </w:r>
      <w:r w:rsidRPr="004E6953">
        <w:rPr>
          <w:rFonts w:eastAsia="Calibri" w:cs="Sylfaen"/>
          <w:b w:val="0"/>
          <w:bCs/>
          <w:szCs w:val="22"/>
          <w:lang w:val="hy-AM"/>
        </w:rPr>
        <w:t xml:space="preserve"> </w:t>
      </w:r>
      <w:r w:rsidRPr="004E6953">
        <w:rPr>
          <w:rFonts w:eastAsia="Calibri" w:cs="Sylfaen"/>
          <w:b w:val="0"/>
          <w:bCs/>
          <w:szCs w:val="22"/>
          <w:lang w:val="hy-AM" w:eastAsia="en-US"/>
        </w:rPr>
        <w:t xml:space="preserve">և COVID-19-ի կանխարգելման և բուժման նպատակով առողջապահության ոլորտին հատկացված ծախսերի աճը, որը ըստ առկա վերջին տվյալների (նոյեմբերի 24-ի դրությամբ) կազմել է 22.9 մլրդ դրամ: Բացի այդ, հաշվի է առնվել նաև </w:t>
      </w:r>
      <w:r w:rsidRPr="004E6953">
        <w:rPr>
          <w:rFonts w:eastAsia="Calibri" w:cs="Sylfaen"/>
          <w:b w:val="0"/>
          <w:bCs/>
          <w:szCs w:val="22"/>
          <w:lang w:val="hy-AM"/>
        </w:rPr>
        <w:t>Արցախյան պատերազմական գործողություններով պայմանավորված պետական բյուջեի ծախսերի աճը:</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cs="Cambria Math"/>
          <w:b w:val="0"/>
          <w:bCs/>
          <w:szCs w:val="22"/>
          <w:lang w:val="hy-AM" w:eastAsia="en-US"/>
        </w:rPr>
        <w:t>2021թ. տնտեսության վերականգնման պայմաններում</w:t>
      </w:r>
      <w:r w:rsidRPr="004E6953">
        <w:rPr>
          <w:rFonts w:cs="Times Armenian"/>
          <w:b w:val="0"/>
          <w:bCs/>
          <w:szCs w:val="22"/>
          <w:lang w:val="hy-AM" w:eastAsia="en-US"/>
        </w:rPr>
        <w:t xml:space="preserve"> հարկաբյուջետային քաղաքականությունը կունենա փոքր զսպող ուղղվածություն` պայմաններ ստեղծելով միջնաժամկետում ՀՀ կառավարության պարտքի նվազման և հարկաբյուջետային կայնության ապահովման համար</w:t>
      </w:r>
      <w:r w:rsidRPr="004E6953">
        <w:rPr>
          <w:rFonts w:eastAsia="Calibri" w:cs="Sylfaen"/>
          <w:b w:val="0"/>
          <w:bCs/>
          <w:szCs w:val="22"/>
          <w:lang w:val="hy-AM" w:eastAsia="en-US"/>
        </w:rPr>
        <w:t>:</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cs="Times Armenian"/>
          <w:b w:val="0"/>
          <w:bCs/>
          <w:szCs w:val="22"/>
          <w:lang w:val="hy-AM" w:eastAsia="en-US"/>
        </w:rPr>
        <w:t>ԿԲ-ն կարճաժամկետ հատվածում կշարունակի վարել խթանող դրամավարկային քաղաքականություն, և անհրաժեշտության դեպքում, կպահպանի քաղաքականության խթանող դիրքը նաև 2021թ.</w:t>
      </w:r>
      <w:r w:rsidRPr="004E6953">
        <w:rPr>
          <w:rFonts w:eastAsia="Calibri" w:cs="Sylfaen"/>
          <w:b w:val="0"/>
          <w:bCs/>
          <w:szCs w:val="22"/>
          <w:lang w:val="hy-AM" w:eastAsia="en-US"/>
        </w:rPr>
        <w:t>։</w:t>
      </w:r>
    </w:p>
    <w:p w:rsidR="009F0A25" w:rsidRDefault="009F0A25" w:rsidP="007730AA">
      <w:pPr>
        <w:keepNext/>
        <w:keepLines/>
        <w:spacing w:before="0" w:line="276" w:lineRule="auto"/>
        <w:outlineLvl w:val="2"/>
        <w:rPr>
          <w:b w:val="0"/>
          <w:sz w:val="28"/>
          <w:szCs w:val="28"/>
          <w:lang w:val="hy-AM"/>
        </w:rPr>
      </w:pPr>
      <w:r w:rsidRPr="00F76E85">
        <w:rPr>
          <w:rFonts w:eastAsia="Calibri" w:cs="Sylfaen"/>
          <w:b w:val="0"/>
          <w:bCs/>
          <w:color w:val="C00000"/>
          <w:szCs w:val="22"/>
          <w:lang w:val="hy-AM"/>
        </w:rPr>
        <w:br w:type="page"/>
      </w:r>
      <w:bookmarkStart w:id="33" w:name="_Toc46760407"/>
      <w:bookmarkStart w:id="34" w:name="_Toc51947416"/>
      <w:bookmarkStart w:id="35" w:name="_Toc52452089"/>
      <w:bookmarkStart w:id="36" w:name="_Toc57559416"/>
      <w:bookmarkStart w:id="37" w:name="_Toc57655449"/>
      <w:r w:rsidRPr="001A41E1">
        <w:rPr>
          <w:bCs/>
          <w:sz w:val="28"/>
          <w:szCs w:val="28"/>
          <w:lang w:val="hy-AM"/>
        </w:rPr>
        <w:lastRenderedPageBreak/>
        <w:t>1.5. ԿՈՐՈՆԱՎԻՐՈՒՍԻ ՀԱՄԱՎԱՐԱԿԻ (COVID-19) ԱԶԴԵՑՈՒԹՅԱՆ ԳՆԱՀԱՏՈՒՄԸ ՀԱՐԿԱԲՅՈՒՋԵՏԱՅԻՆ ՔԱՂԱՔԱԿԱՆՈՒԹՅԱՆ ԸՆԴՀԱՆՈՒՐ ՀԱՎԱՍԱՐԱԿՇՌՈՒԹՅԱՆ DSGE ՄՈԴԵԼՈՎ</w:t>
      </w:r>
      <w:bookmarkEnd w:id="33"/>
      <w:bookmarkEnd w:id="34"/>
      <w:bookmarkEnd w:id="35"/>
      <w:bookmarkEnd w:id="36"/>
      <w:bookmarkEnd w:id="37"/>
      <w:r w:rsidRPr="001A41E1">
        <w:rPr>
          <w:sz w:val="28"/>
          <w:szCs w:val="28"/>
          <w:lang w:val="hy-AM"/>
        </w:rPr>
        <w:t xml:space="preserve">  </w:t>
      </w:r>
    </w:p>
    <w:p w:rsidR="009F0A25" w:rsidRPr="00F76E85" w:rsidRDefault="009F0A25" w:rsidP="007730AA">
      <w:pPr>
        <w:tabs>
          <w:tab w:val="left" w:pos="10605"/>
        </w:tabs>
        <w:spacing w:before="0" w:line="276" w:lineRule="auto"/>
        <w:ind w:firstLine="709"/>
        <w:rPr>
          <w:rFonts w:eastAsia="Calibri" w:cs="Sylfaen"/>
          <w:b w:val="0"/>
          <w:bCs/>
          <w:szCs w:val="22"/>
          <w:lang w:val="hy-AM"/>
        </w:rPr>
      </w:pPr>
      <w:r w:rsidRPr="00F76E85">
        <w:rPr>
          <w:rFonts w:eastAsia="Calibri" w:cs="Sylfaen"/>
          <w:b w:val="0"/>
          <w:bCs/>
          <w:szCs w:val="22"/>
          <w:lang w:val="hy-AM"/>
        </w:rPr>
        <w:t>ՀՀ տնտեսության վրա կորոնավիրուսի համավարակի ազդեցությունը, դրա փոխանցումային մեխանիզմները, ինչպես նաև համավարակի տնտեսական հետևանքները մեղմելու նպատակով ՀՀ կառավարության կողմից իրականացվող միջոցառումների ազդեցությունը գնահատելու նպատակով կառուցվել է COVID-19 hամավարակի սցենար՝ կիրառելով ՀՀ ՖՆ հարկաբյուջետային քաղաքականության DSGE մոդելը։ Կառուցվել են արտաքին և ներքին շոկերի ազդեցության, ինչպես նաև հարկաբյուջետային քաղաքականության ազդեցության սցենարներ, որոնց արդյունքների հիման վրա մշակվել է 2021թ. Պետական բյուջեի մակրոտնտեսական և հարկաբյուջետային շրջանակները։ Ինչպես «ՄԺԾԾ 2021-2023» սցենարում, այնպես էլ «Բյուջե-2021» սկզբնական սցենարում ենթադրվում էր, որ ՀՀ տնտեսությունն, այսպես կոչված, «V-աձև» զարգացում է ունենալու, ավելի խորը անկմամբ և դանդաղ վերականգմամբ, ամենամեծ տնտեսական անկումը գրանցվելու է երկրորդ եռամսյակում, որից հետո երրորդ եռամսյակից սկսած տնտեսությունը սկսելու է վերականգնվել, սակայն հաշվի առնելով Արցախյան պատերազմի և կորոնավիրուսի համավարակի երկրորդ ալիքի ազդեցությունները, ընթացիկ տնտեսական զարգացումները և ՀՀ գործընկեր երկրների ԱՄՀ կողմից կանխատեսված տնտեսական աճերը՝ 2020թ. չորրորդ եռամսյակում կանխատեսվում է վատթարացում՝   նախանշելով տնտեսության  «W-աձև» զարգացում և առավել դանդաղ վերականգնում՝ բացասական ազդեցություն թողնելով տնտեսության ներուժի վրա:</w:t>
      </w:r>
    </w:p>
    <w:p w:rsidR="00F76E85" w:rsidRDefault="00F76E85" w:rsidP="007730AA">
      <w:pPr>
        <w:tabs>
          <w:tab w:val="left" w:pos="10605"/>
        </w:tabs>
        <w:spacing w:before="0" w:line="276" w:lineRule="auto"/>
        <w:ind w:firstLine="709"/>
        <w:rPr>
          <w:rFonts w:cs="Sylfaen"/>
          <w:i/>
          <w:szCs w:val="22"/>
          <w:lang w:val="hy-AM"/>
        </w:rPr>
      </w:pPr>
    </w:p>
    <w:p w:rsidR="009F0A25" w:rsidRPr="00F76E85" w:rsidRDefault="009F0A25" w:rsidP="007730AA">
      <w:pPr>
        <w:tabs>
          <w:tab w:val="left" w:pos="10605"/>
        </w:tabs>
        <w:spacing w:before="0" w:line="276" w:lineRule="auto"/>
        <w:ind w:firstLine="709"/>
        <w:rPr>
          <w:rFonts w:eastAsia="Calibri" w:cs="Sylfaen"/>
          <w:b w:val="0"/>
          <w:bCs/>
          <w:szCs w:val="22"/>
          <w:lang w:val="hy-AM"/>
        </w:rPr>
      </w:pPr>
      <w:r w:rsidRPr="00F76E85">
        <w:rPr>
          <w:rFonts w:cs="Sylfaen"/>
          <w:i/>
          <w:szCs w:val="22"/>
          <w:lang w:val="hy-AM"/>
        </w:rPr>
        <w:t>Գծապատկեր 1.29.</w:t>
      </w:r>
      <w:r w:rsidRPr="00F76E85">
        <w:rPr>
          <w:rFonts w:cs="Sylfaen"/>
          <w:b w:val="0"/>
          <w:i/>
          <w:szCs w:val="22"/>
          <w:lang w:val="hy-AM"/>
        </w:rPr>
        <w:t xml:space="preserve"> «</w:t>
      </w:r>
      <w:r w:rsidRPr="00F76E85">
        <w:rPr>
          <w:rFonts w:eastAsia="MS Mincho" w:cs="Arial"/>
          <w:b w:val="0"/>
          <w:i/>
          <w:szCs w:val="22"/>
          <w:lang w:val="hy-AM"/>
        </w:rPr>
        <w:t>ՄԺԾԾ-2021-2023», «Այլընտրանքային»</w:t>
      </w:r>
      <w:r w:rsidRPr="00F76E85">
        <w:rPr>
          <w:rStyle w:val="FootnoteReference"/>
          <w:rFonts w:ascii="GHEA Grapalat" w:eastAsia="MS Mincho" w:hAnsi="GHEA Grapalat" w:cs="Arial"/>
          <w:b w:val="0"/>
          <w:i/>
          <w:sz w:val="22"/>
          <w:szCs w:val="22"/>
          <w:lang w:val="hy-AM"/>
        </w:rPr>
        <w:footnoteReference w:id="14"/>
      </w:r>
      <w:r w:rsidRPr="00F76E85">
        <w:rPr>
          <w:rFonts w:eastAsia="MS Mincho" w:cs="Arial"/>
          <w:b w:val="0"/>
          <w:i/>
          <w:szCs w:val="22"/>
          <w:lang w:val="hy-AM"/>
        </w:rPr>
        <w:t xml:space="preserve"> և «Բյուջե-2021 Սկզբնական» և  «Բյուջե-2021»    սցենարներում ՀՆԱ կորուստները</w:t>
      </w:r>
    </w:p>
    <w:p w:rsidR="009F0A25" w:rsidRPr="00205A17" w:rsidRDefault="009F0A25" w:rsidP="007730AA">
      <w:pPr>
        <w:tabs>
          <w:tab w:val="left" w:pos="10605"/>
        </w:tabs>
        <w:spacing w:before="0" w:line="276" w:lineRule="auto"/>
        <w:ind w:firstLine="709"/>
        <w:rPr>
          <w:rFonts w:eastAsia="Calibri" w:cs="Sylfaen"/>
          <w:bCs/>
          <w:noProof/>
          <w:szCs w:val="22"/>
          <w:u w:val="single"/>
          <w:lang w:val="hy-AM"/>
        </w:rPr>
      </w:pPr>
      <w:r w:rsidRPr="000E6B55">
        <w:rPr>
          <w:rFonts w:eastAsia="Calibri" w:cs="Sylfaen"/>
          <w:bCs/>
          <w:noProof/>
          <w:szCs w:val="22"/>
          <w:u w:val="single"/>
          <w:lang w:val="en-US" w:eastAsia="en-US"/>
        </w:rPr>
        <w:drawing>
          <wp:inline distT="0" distB="0" distL="0" distR="0" wp14:anchorId="7EAC8A48" wp14:editId="3C41DF2C">
            <wp:extent cx="5686425" cy="2867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86425" cy="2867025"/>
                    </a:xfrm>
                    <a:prstGeom prst="rect">
                      <a:avLst/>
                    </a:prstGeom>
                    <a:noFill/>
                    <a:ln>
                      <a:noFill/>
                    </a:ln>
                  </pic:spPr>
                </pic:pic>
              </a:graphicData>
            </a:graphic>
          </wp:inline>
        </w:drawing>
      </w:r>
    </w:p>
    <w:p w:rsidR="009F0A25" w:rsidRPr="00F76E85" w:rsidRDefault="009F0A25" w:rsidP="007730AA">
      <w:pPr>
        <w:spacing w:before="0" w:line="312" w:lineRule="auto"/>
        <w:ind w:firstLine="709"/>
        <w:rPr>
          <w:rFonts w:eastAsia="GHEA Grapalat" w:cs="GHEA Grapalat"/>
          <w:b w:val="0"/>
          <w:i/>
          <w:szCs w:val="22"/>
          <w:lang w:val="hy-AM"/>
        </w:rPr>
      </w:pPr>
      <w:r w:rsidRPr="00F76E85">
        <w:rPr>
          <w:rFonts w:eastAsia="Calibri" w:cs="Sylfaen"/>
          <w:b w:val="0"/>
          <w:i/>
          <w:sz w:val="18"/>
          <w:szCs w:val="18"/>
          <w:lang w:val="hy-AM"/>
        </w:rPr>
        <w:t>Աղբյուրը՝ ՀՀ ՖՆ գնահատումներ և կանխատեսումներ:</w:t>
      </w:r>
    </w:p>
    <w:p w:rsidR="009F0A25" w:rsidRDefault="009F0A25" w:rsidP="007730AA">
      <w:pPr>
        <w:spacing w:before="0" w:line="312" w:lineRule="auto"/>
        <w:ind w:firstLine="709"/>
        <w:rPr>
          <w:rFonts w:eastAsia="GHEA Grapalat" w:cs="GHEA Grapalat"/>
          <w:szCs w:val="22"/>
          <w:lang w:val="hy-AM"/>
        </w:rPr>
      </w:pPr>
      <w:r w:rsidRPr="001A41E1">
        <w:rPr>
          <w:rFonts w:eastAsia="GHEA Grapalat" w:cs="GHEA Grapalat"/>
          <w:i/>
          <w:szCs w:val="22"/>
          <w:lang w:val="hy-AM"/>
        </w:rPr>
        <w:lastRenderedPageBreak/>
        <w:t xml:space="preserve">Գծապատկեր 1.30. </w:t>
      </w:r>
      <w:r w:rsidRPr="00F76E85">
        <w:rPr>
          <w:rFonts w:eastAsia="MS Mincho" w:cs="Arial"/>
          <w:b w:val="0"/>
          <w:i/>
          <w:sz w:val="20"/>
          <w:szCs w:val="20"/>
          <w:lang w:val="hy-AM"/>
        </w:rPr>
        <w:t>Տնտեսության արձագանքը ներքին և արտաքին շոկերին, հարկաբյուջետային քաղաքականության խթանող ազդեցությունը</w:t>
      </w:r>
      <w:r w:rsidRPr="001A41E1">
        <w:rPr>
          <w:rFonts w:eastAsia="GHEA Grapalat" w:cs="GHEA Grapalat"/>
          <w:szCs w:val="22"/>
          <w:lang w:val="hy-AM"/>
        </w:rPr>
        <w:t xml:space="preserve"> </w:t>
      </w:r>
    </w:p>
    <w:p w:rsidR="009F0A25" w:rsidRPr="001A41E1" w:rsidRDefault="009F0A25" w:rsidP="007730AA">
      <w:pPr>
        <w:spacing w:before="0" w:line="312" w:lineRule="auto"/>
        <w:ind w:firstLine="709"/>
        <w:rPr>
          <w:rFonts w:eastAsia="GHEA Grapalat" w:cs="GHEA Grapalat"/>
          <w:u w:val="single"/>
          <w:lang w:val="hy-AM"/>
        </w:rPr>
      </w:pPr>
      <w:r w:rsidRPr="001A41E1">
        <w:rPr>
          <w:rFonts w:eastAsia="GHEA Grapalat" w:cs="GHEA Grapalat"/>
          <w:noProof/>
          <w:u w:val="single"/>
          <w:lang w:val="en-US" w:eastAsia="en-US"/>
        </w:rPr>
        <w:drawing>
          <wp:inline distT="0" distB="0" distL="0" distR="0" wp14:anchorId="461B6DEE" wp14:editId="25552039">
            <wp:extent cx="5972175" cy="65716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8553" cy="6578688"/>
                    </a:xfrm>
                    <a:prstGeom prst="rect">
                      <a:avLst/>
                    </a:prstGeom>
                    <a:noFill/>
                    <a:ln>
                      <a:noFill/>
                    </a:ln>
                  </pic:spPr>
                </pic:pic>
              </a:graphicData>
            </a:graphic>
          </wp:inline>
        </w:drawing>
      </w:r>
    </w:p>
    <w:p w:rsidR="009F0A25" w:rsidRPr="00F76E85" w:rsidRDefault="009F0A25" w:rsidP="007730AA">
      <w:pPr>
        <w:spacing w:before="0" w:line="276" w:lineRule="auto"/>
        <w:rPr>
          <w:rFonts w:eastAsia="Calibri" w:cs="Sylfaen"/>
          <w:b w:val="0"/>
          <w:i/>
          <w:sz w:val="18"/>
          <w:szCs w:val="18"/>
          <w:lang w:val="hy-AM"/>
        </w:rPr>
      </w:pPr>
      <w:r w:rsidRPr="00F76E85">
        <w:rPr>
          <w:rFonts w:eastAsia="Calibri" w:cs="Sylfaen"/>
          <w:b w:val="0"/>
          <w:i/>
          <w:sz w:val="18"/>
          <w:szCs w:val="18"/>
          <w:lang w:val="hy-AM"/>
        </w:rPr>
        <w:t>Աղբյուրը՝ ՀՀ ՖՆ գնահատումներ և կանխատեսումներ: Գծապատկերներում ցուցանիշները ներկայացված են որպես իրենց հավասարակշիռ մակարդակներից, համապատասխանաբար,  տոկոս կամ տոկոսային կետ շեղումներով</w:t>
      </w:r>
    </w:p>
    <w:p w:rsidR="009F0A25" w:rsidRDefault="009F0A25" w:rsidP="007730AA">
      <w:pPr>
        <w:spacing w:before="0"/>
        <w:rPr>
          <w:rFonts w:eastAsia="Calibri" w:cs="Sylfaen"/>
          <w:i/>
          <w:sz w:val="18"/>
          <w:szCs w:val="18"/>
          <w:lang w:val="hy-AM"/>
        </w:rPr>
      </w:pPr>
    </w:p>
    <w:p w:rsidR="009F0A25" w:rsidRDefault="009F0A25" w:rsidP="007730AA">
      <w:pPr>
        <w:spacing w:before="0"/>
        <w:rPr>
          <w:rFonts w:eastAsia="Calibri" w:cs="Sylfaen"/>
          <w:i/>
          <w:sz w:val="18"/>
          <w:szCs w:val="18"/>
          <w:lang w:val="hy-AM"/>
        </w:rPr>
      </w:pPr>
    </w:p>
    <w:p w:rsidR="00F76E85" w:rsidRDefault="00F76E85" w:rsidP="007730AA">
      <w:pPr>
        <w:spacing w:before="0"/>
        <w:rPr>
          <w:rFonts w:eastAsia="Calibri" w:cs="Sylfaen"/>
          <w:i/>
          <w:sz w:val="18"/>
          <w:szCs w:val="18"/>
          <w:lang w:val="hy-AM"/>
        </w:rPr>
      </w:pPr>
    </w:p>
    <w:p w:rsidR="009F0A25" w:rsidRDefault="009F0A25" w:rsidP="007730AA">
      <w:pPr>
        <w:spacing w:before="0"/>
        <w:rPr>
          <w:rFonts w:eastAsia="Calibri" w:cs="Sylfaen"/>
          <w:i/>
          <w:sz w:val="18"/>
          <w:szCs w:val="18"/>
          <w:lang w:val="hy-AM"/>
        </w:rPr>
      </w:pPr>
    </w:p>
    <w:p w:rsidR="009F0A25" w:rsidRDefault="009F0A25" w:rsidP="007730AA">
      <w:pPr>
        <w:spacing w:before="0"/>
        <w:rPr>
          <w:rFonts w:eastAsia="Calibri" w:cs="Sylfaen"/>
          <w:i/>
          <w:sz w:val="18"/>
          <w:szCs w:val="18"/>
          <w:lang w:val="hy-AM"/>
        </w:rPr>
      </w:pPr>
    </w:p>
    <w:p w:rsidR="009F0A25" w:rsidRDefault="009F0A25" w:rsidP="007730AA">
      <w:pPr>
        <w:spacing w:before="0"/>
        <w:rPr>
          <w:rFonts w:eastAsia="Calibri" w:cs="Sylfaen"/>
          <w:i/>
          <w:sz w:val="18"/>
          <w:szCs w:val="18"/>
          <w:lang w:val="hy-AM"/>
        </w:rPr>
      </w:pPr>
    </w:p>
    <w:p w:rsidR="005578F9" w:rsidRPr="001A41E1" w:rsidRDefault="005578F9" w:rsidP="007730AA">
      <w:pPr>
        <w:spacing w:before="0"/>
        <w:rPr>
          <w:rFonts w:eastAsia="Calibri" w:cs="Sylfaen"/>
          <w:i/>
          <w:sz w:val="18"/>
          <w:szCs w:val="18"/>
          <w:lang w:val="hy-AM"/>
        </w:rPr>
      </w:pPr>
    </w:p>
    <w:p w:rsidR="009F0A25" w:rsidRPr="00853619" w:rsidRDefault="009F0A25" w:rsidP="007730AA">
      <w:pPr>
        <w:spacing w:before="0" w:line="276" w:lineRule="auto"/>
        <w:rPr>
          <w:rFonts w:cs="Sylfaen"/>
          <w:b w:val="0"/>
          <w:i/>
          <w:sz w:val="21"/>
          <w:szCs w:val="21"/>
          <w:lang w:val="hy-AM"/>
        </w:rPr>
      </w:pPr>
      <w:r w:rsidRPr="001A41E1">
        <w:rPr>
          <w:rFonts w:cs="Sylfaen"/>
          <w:i/>
          <w:lang w:val="hy-AM"/>
        </w:rPr>
        <w:lastRenderedPageBreak/>
        <w:t>Գծապատկեր 1.31.</w:t>
      </w:r>
      <w:r w:rsidRPr="001A41E1">
        <w:rPr>
          <w:rFonts w:cs="Sylfaen"/>
          <w:i/>
          <w:sz w:val="21"/>
          <w:szCs w:val="21"/>
          <w:lang w:val="hy-AM"/>
        </w:rPr>
        <w:t xml:space="preserve"> </w:t>
      </w:r>
      <w:r w:rsidRPr="00F76E85">
        <w:rPr>
          <w:rFonts w:cs="Sylfaen"/>
          <w:b w:val="0"/>
          <w:i/>
          <w:sz w:val="20"/>
          <w:szCs w:val="20"/>
          <w:lang w:val="hy-AM"/>
        </w:rPr>
        <w:t>Հարկաբյուջետային միջավայրը  շոկերի ազդեցության ներքո և քաղաքականության իրականացումից հետո</w:t>
      </w:r>
      <w:r w:rsidRPr="001A41E1">
        <w:rPr>
          <w:rFonts w:cs="Sylfaen"/>
          <w:i/>
          <w:sz w:val="21"/>
          <w:szCs w:val="21"/>
          <w:lang w:val="hy-AM"/>
        </w:rPr>
        <w:t xml:space="preserve"> </w:t>
      </w:r>
    </w:p>
    <w:p w:rsidR="009F0A25" w:rsidRPr="001A41E1" w:rsidRDefault="009F0A25" w:rsidP="007730AA">
      <w:pPr>
        <w:spacing w:before="0" w:line="276" w:lineRule="auto"/>
        <w:rPr>
          <w:rFonts w:cs="Sylfaen"/>
          <w:i/>
          <w:sz w:val="18"/>
          <w:szCs w:val="18"/>
          <w:u w:val="single"/>
          <w:lang w:val="hy-AM"/>
        </w:rPr>
      </w:pPr>
      <w:r w:rsidRPr="000E6B55">
        <w:rPr>
          <w:rFonts w:cs="Sylfaen"/>
          <w:i/>
          <w:noProof/>
          <w:sz w:val="18"/>
          <w:szCs w:val="18"/>
          <w:u w:val="single"/>
          <w:lang w:val="en-US" w:eastAsia="en-US"/>
        </w:rPr>
        <w:drawing>
          <wp:inline distT="0" distB="0" distL="0" distR="0" wp14:anchorId="4DC1FF9A" wp14:editId="26778912">
            <wp:extent cx="6370320" cy="24574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0320" cy="2457450"/>
                    </a:xfrm>
                    <a:prstGeom prst="rect">
                      <a:avLst/>
                    </a:prstGeom>
                    <a:noFill/>
                    <a:ln>
                      <a:noFill/>
                    </a:ln>
                  </pic:spPr>
                </pic:pic>
              </a:graphicData>
            </a:graphic>
          </wp:inline>
        </w:drawing>
      </w:r>
    </w:p>
    <w:p w:rsidR="009F0A25" w:rsidRPr="00F76E85" w:rsidRDefault="009F0A25" w:rsidP="007730AA">
      <w:pPr>
        <w:spacing w:before="0" w:line="276" w:lineRule="auto"/>
        <w:rPr>
          <w:rFonts w:cs="Sylfaen"/>
          <w:b w:val="0"/>
          <w:i/>
          <w:sz w:val="18"/>
          <w:szCs w:val="18"/>
          <w:lang w:val="hy-AM"/>
        </w:rPr>
      </w:pPr>
      <w:r w:rsidRPr="00F76E85">
        <w:rPr>
          <w:rFonts w:cs="Sylfaen"/>
          <w:b w:val="0"/>
          <w:i/>
          <w:sz w:val="18"/>
          <w:szCs w:val="18"/>
          <w:lang w:val="hy-AM"/>
        </w:rPr>
        <w:t>Աղբյուրը՝ ՀՀ ՖՆ գնահատումներ և կանխատեսումներ: Գծապատկերներում ցուցանիշները ներկայացված են որպես իրենց հավասարակշիռ մակարդակներից տոկոսային կետ շեղումներով</w:t>
      </w:r>
    </w:p>
    <w:p w:rsidR="009F0A25" w:rsidRPr="001A41E1" w:rsidRDefault="008239DE" w:rsidP="007730AA">
      <w:pPr>
        <w:spacing w:before="0"/>
        <w:ind w:firstLine="0"/>
        <w:rPr>
          <w:lang w:val="hy-AM"/>
        </w:rPr>
      </w:pPr>
      <w:r>
        <w:rPr>
          <w:rFonts w:eastAsia="Calibri"/>
          <w:noProof/>
          <w:lang w:val="en-US" w:eastAsia="en-US"/>
        </w:rPr>
        <mc:AlternateContent>
          <mc:Choice Requires="wps">
            <w:drawing>
              <wp:inline distT="0" distB="0" distL="0" distR="0" wp14:anchorId="52D22E03" wp14:editId="643C04F3">
                <wp:extent cx="6467475" cy="5953125"/>
                <wp:effectExtent l="9525" t="9525" r="9525" b="9525"/>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953125"/>
                        </a:xfrm>
                        <a:prstGeom prst="rect">
                          <a:avLst/>
                        </a:prstGeom>
                        <a:solidFill>
                          <a:srgbClr val="D8E2F4"/>
                        </a:solidFill>
                        <a:ln w="6350">
                          <a:solidFill>
                            <a:srgbClr val="000000"/>
                          </a:solidFill>
                          <a:miter lim="800000"/>
                          <a:headEnd/>
                          <a:tailEnd/>
                        </a:ln>
                      </wps:spPr>
                      <wps:txbx>
                        <w:txbxContent>
                          <w:p w:rsidR="003A0B99" w:rsidRPr="00F76E85" w:rsidRDefault="003A0B99" w:rsidP="00F76E85">
                            <w:pPr>
                              <w:spacing w:line="276" w:lineRule="auto"/>
                              <w:ind w:firstLine="720"/>
                              <w:rPr>
                                <w:rFonts w:eastAsia="GHEA Grapalat" w:cs="GHEA Grapalat"/>
                                <w:b w:val="0"/>
                                <w:bCs/>
                                <w:i/>
                                <w:sz w:val="18"/>
                                <w:szCs w:val="18"/>
                                <w:lang w:val="hy-AM"/>
                              </w:rPr>
                            </w:pPr>
                            <w:r w:rsidRPr="00F76E85">
                              <w:rPr>
                                <w:rFonts w:eastAsia="GHEA Grapalat" w:cs="GHEA Grapalat"/>
                                <w:b w:val="0"/>
                                <w:bCs/>
                                <w:i/>
                                <w:sz w:val="18"/>
                                <w:szCs w:val="18"/>
                                <w:lang w:val="hy-AM"/>
                              </w:rPr>
                              <w:t>Ներդիր</w:t>
                            </w:r>
                            <w:r w:rsidRPr="00F76E85">
                              <w:rPr>
                                <w:rFonts w:eastAsia="GHEA Grapalat" w:cs="GHEA Grapalat"/>
                                <w:b w:val="0"/>
                                <w:bCs/>
                                <w:i/>
                                <w:sz w:val="18"/>
                                <w:szCs w:val="18"/>
                              </w:rPr>
                              <w:t xml:space="preserve"> 2. </w:t>
                            </w:r>
                            <w:r w:rsidRPr="00F76E85">
                              <w:rPr>
                                <w:rFonts w:eastAsia="GHEA Grapalat" w:cs="GHEA Grapalat"/>
                                <w:b w:val="0"/>
                                <w:bCs/>
                                <w:i/>
                                <w:sz w:val="18"/>
                                <w:szCs w:val="18"/>
                                <w:lang w:val="hy-AM"/>
                              </w:rPr>
                              <w:t xml:space="preserve">ՀՀ ՖՆ հարկաբյուջետային քաղաքականության </w:t>
                            </w:r>
                            <w:r w:rsidRPr="00F76E85">
                              <w:rPr>
                                <w:rFonts w:eastAsia="GHEA Grapalat" w:cs="GHEA Grapalat"/>
                                <w:b w:val="0"/>
                                <w:bCs/>
                                <w:i/>
                                <w:sz w:val="18"/>
                                <w:szCs w:val="18"/>
                              </w:rPr>
                              <w:t>DSGE</w:t>
                            </w:r>
                            <w:r w:rsidRPr="00F76E85">
                              <w:rPr>
                                <w:rFonts w:eastAsia="GHEA Grapalat" w:cs="GHEA Grapalat"/>
                                <w:b w:val="0"/>
                                <w:bCs/>
                                <w:i/>
                                <w:sz w:val="18"/>
                                <w:szCs w:val="18"/>
                                <w:lang w:val="hy-AM"/>
                              </w:rPr>
                              <w:t xml:space="preserve"> մոդելը </w:t>
                            </w:r>
                            <w:r w:rsidRPr="00F76E85">
                              <w:rPr>
                                <w:b w:val="0"/>
                                <w:bCs/>
                                <w:sz w:val="18"/>
                                <w:szCs w:val="18"/>
                                <w:lang w:val="hy-AM"/>
                              </w:rPr>
                              <w:t>(Fiscal Policy Strategy</w:t>
                            </w:r>
                            <w:r w:rsidRPr="00F76E85">
                              <w:rPr>
                                <w:b w:val="0"/>
                                <w:bCs/>
                                <w:sz w:val="18"/>
                                <w:szCs w:val="18"/>
                              </w:rPr>
                              <w:t xml:space="preserve"> DSGE</w:t>
                            </w:r>
                            <w:r w:rsidRPr="00F76E85">
                              <w:rPr>
                                <w:b w:val="0"/>
                                <w:bCs/>
                                <w:sz w:val="18"/>
                                <w:szCs w:val="18"/>
                                <w:lang w:val="hy-AM"/>
                              </w:rPr>
                              <w:t>)</w:t>
                            </w:r>
                          </w:p>
                          <w:p w:rsidR="003A0B99" w:rsidRPr="00F76E85" w:rsidRDefault="003A0B99" w:rsidP="00F76E85">
                            <w:pPr>
                              <w:tabs>
                                <w:tab w:val="left" w:pos="720"/>
                              </w:tabs>
                              <w:spacing w:line="276" w:lineRule="auto"/>
                              <w:rPr>
                                <w:b w:val="0"/>
                                <w:bCs/>
                                <w:sz w:val="18"/>
                                <w:szCs w:val="18"/>
                                <w:lang w:val="hy-AM"/>
                              </w:rPr>
                            </w:pPr>
                            <w:r w:rsidRPr="00F76E85">
                              <w:rPr>
                                <w:b w:val="0"/>
                                <w:bCs/>
                                <w:sz w:val="18"/>
                                <w:szCs w:val="18"/>
                                <w:lang w:val="hy-AM"/>
                              </w:rPr>
                              <w:tab/>
                              <w:t>FPS DSGE մոդելը իր տեսակի մեջ առաջինն է, որը մշակվել է ՀՀ ՖՆ-ում և պատկանում է նախարարությանը: Մոդելի մշակումը կարևորագույն քայլ է ՀՀ ՖՆ-ում քանակական մակրոտնտեսական մոդելավորման ավանդույթի ձևավորման ուղղությամբ: Հարկաբյուջետային քաղաքականության մշակմանն ու իրականացմանն աջակցելու համար ՀՀ ՖՆ մակրոտնտեսական կանխատեսման և վերլուծության համակարգը անցել է զարգացման որոշ փուլեր` պարզ մեթոդներից մինչև կիսակառուցվածքային վիճակագրական մեթոդներ, ինչը սակայն, բավարար չէ հարկաբյուջետային քաղաքականության միջնաժամկետ և երկարաժամկետ բազմակողմանի հետևանքները վերլուծելու, ինչպես նաև արդյունավետ ու հետևողական ձևով քաղաքականության սցենարներ մշակելու համար։ Նշված խնդրին ինստիտուցիոնալ լուծում տալու նպատակով ՀՀ ՖՆ և ԱՄՀ համատեղ ջանքերով մշակվել է հարկաբյուջետային քաղաքականության ռազմավարության մոդելը, որը լիովին կալիբրացված, ստուգված և համապատասխանեցված է Հայաստանի տնտեսական զարգացումներին և մակրոտնտեսական քաղաքականությունների միտումներին, պատկանում է նախարարությանը և կարող է օգտագործվել հարկաբյուջետային և այլ մակրոտմտեսական քաղաքականությունների խնդիրների լայն դասի վերլուծության համար:</w:t>
                            </w:r>
                          </w:p>
                          <w:p w:rsidR="003A0B99" w:rsidRPr="00F76E85" w:rsidRDefault="003A0B99" w:rsidP="00F76E85">
                            <w:pPr>
                              <w:tabs>
                                <w:tab w:val="left" w:pos="720"/>
                              </w:tabs>
                              <w:spacing w:line="276" w:lineRule="auto"/>
                              <w:rPr>
                                <w:b w:val="0"/>
                                <w:bCs/>
                                <w:sz w:val="18"/>
                                <w:szCs w:val="18"/>
                                <w:lang w:val="hy-AM"/>
                              </w:rPr>
                            </w:pPr>
                            <w:r w:rsidRPr="00F76E85">
                              <w:rPr>
                                <w:b w:val="0"/>
                                <w:bCs/>
                                <w:sz w:val="18"/>
                                <w:szCs w:val="18"/>
                                <w:lang w:val="hy-AM"/>
                              </w:rPr>
                              <w:tab/>
                              <w:t xml:space="preserve">Այսպիսով, հարկաբյուջետային քաղաքականության ռազմավարության մոդելը ամբողջությամբ միկրո հիմքերով փոքր բաց տնտեսության դինամիկ ստոխաստիկ ընդհանուր հավասարակշռության (DSGE) մոդել է, որտեղ շեշտադրվում է հարկաբյուջետային քաղաքականությունը։ </w:t>
                            </w:r>
                          </w:p>
                          <w:p w:rsidR="003A0B99" w:rsidRPr="00F76E85" w:rsidRDefault="003A0B99" w:rsidP="00F76E85">
                            <w:pPr>
                              <w:tabs>
                                <w:tab w:val="left" w:pos="720"/>
                              </w:tabs>
                              <w:spacing w:line="276" w:lineRule="auto"/>
                              <w:rPr>
                                <w:b w:val="0"/>
                                <w:bCs/>
                                <w:sz w:val="18"/>
                                <w:szCs w:val="18"/>
                                <w:lang w:val="hy-AM"/>
                              </w:rPr>
                            </w:pPr>
                            <w:r w:rsidRPr="00F76E85">
                              <w:rPr>
                                <w:b w:val="0"/>
                                <w:bCs/>
                                <w:sz w:val="18"/>
                                <w:szCs w:val="18"/>
                                <w:lang w:val="hy-AM"/>
                              </w:rPr>
                              <w:tab/>
                              <w:t>Մոդելի հիմնական կառուցվածքային հատկանիշներն են՝</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հարկաբյուջետային քաղաքականության գործիքների՝ հարկերի, պետական ծախսերի և պետական տրանսֆերտների առկայություն</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դրամավարկային քաղաքականության գործիքների առկայություն</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երկու խմբի տնային տնտեսություններ՝ համատեղ գոյատևող/խնայող (OLG) և սահմանափակ իրացվելիությամբ (ROT)</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տնտեսության արտահանելի և ոչ արտահանելի հատվածներ</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կապիտալ արտադրող ֆիրմաներ, վերավաճառողներ, արհմիություններ։</w:t>
                            </w:r>
                          </w:p>
                          <w:p w:rsidR="003A0B99" w:rsidRPr="00F76E85" w:rsidRDefault="003A0B99" w:rsidP="00F76E85">
                            <w:pPr>
                              <w:tabs>
                                <w:tab w:val="left" w:pos="720"/>
                              </w:tabs>
                              <w:spacing w:line="276" w:lineRule="auto"/>
                              <w:rPr>
                                <w:b w:val="0"/>
                                <w:sz w:val="18"/>
                                <w:szCs w:val="18"/>
                                <w:lang w:val="hy-AM"/>
                              </w:rPr>
                            </w:pPr>
                            <w:r w:rsidRPr="00F76E85">
                              <w:rPr>
                                <w:b w:val="0"/>
                                <w:bCs/>
                                <w:sz w:val="18"/>
                                <w:szCs w:val="18"/>
                                <w:lang w:val="hy-AM"/>
                              </w:rPr>
                              <w:tab/>
                              <w:t>Մոդելում կան նաև վարքագծային հատկանիշներ,</w:t>
                            </w:r>
                            <w:r w:rsidRPr="00F76E85">
                              <w:rPr>
                                <w:b w:val="0"/>
                                <w:sz w:val="18"/>
                                <w:szCs w:val="18"/>
                                <w:lang w:val="hy-AM"/>
                              </w:rPr>
                              <w:t xml:space="preserve"> որոնց շնորհիվ տարբեր խմբերի տնային տնտեսություններն ու ֆիրմաները որոշակի ձևով են արձագանքում հարկաբյուջետային քաղաքականության փոփոխություններին:</w:t>
                            </w:r>
                            <w:r w:rsidRPr="00F76E85">
                              <w:rPr>
                                <w:b w:val="0"/>
                                <w:bCs/>
                                <w:sz w:val="18"/>
                                <w:szCs w:val="18"/>
                                <w:lang w:val="hy-AM"/>
                              </w:rPr>
                              <w:t xml:space="preserve"> </w:t>
                            </w:r>
                            <w:r w:rsidRPr="00F76E85">
                              <w:rPr>
                                <w:b w:val="0"/>
                                <w:sz w:val="18"/>
                                <w:szCs w:val="18"/>
                                <w:lang w:val="hy-AM"/>
                              </w:rPr>
                              <w:t xml:space="preserve">Մոդելը հիմնվում է տնտեսական գործակալների վարքագծի վրա և թույլ է տալիս բացահայտել հարկաբյուջետային քաղաքականության բազմակողմանի ազդեցությունները, ինչը դժվար է իրագործել վիճակագրական մոդելների միջոցով։ Այսպիսով, նշված գործիքի միջոցով հնարավոր է դառնում  հասկանալ քաղաքականության փոփոխությունների մակրոտնտեսական ազդեցությունները, դրանց փոխանցումային մեխանիզմը և քանակապես գնահատել հարկաբյուջետային քաղաքականության ազդեցությունները տնտեսական զարգացումների վրա միջին և երակարաժամկետ հատվածներում: </w:t>
                            </w:r>
                          </w:p>
                          <w:p w:rsidR="003A0B99" w:rsidRPr="0059524A" w:rsidRDefault="003A0B99" w:rsidP="00F76E85">
                            <w:pPr>
                              <w:spacing w:line="276" w:lineRule="auto"/>
                              <w:rPr>
                                <w:sz w:val="18"/>
                                <w:szCs w:val="18"/>
                                <w:lang w:val="hy-AM"/>
                              </w:rPr>
                            </w:pPr>
                          </w:p>
                          <w:p w:rsidR="003A0B99" w:rsidRPr="0059524A" w:rsidRDefault="003A0B99" w:rsidP="009F0A25">
                            <w:pPr>
                              <w:rPr>
                                <w:sz w:val="18"/>
                                <w:szCs w:val="18"/>
                                <w:lang w:val="hy-AM"/>
                              </w:rPr>
                            </w:pPr>
                          </w:p>
                        </w:txbxContent>
                      </wps:txbx>
                      <wps:bodyPr rot="0" vert="horz" wrap="square" lIns="91440" tIns="45720" rIns="91440" bIns="45720" anchor="t" anchorCtr="0" upright="1">
                        <a:noAutofit/>
                      </wps:bodyPr>
                    </wps:wsp>
                  </a:graphicData>
                </a:graphic>
              </wp:inline>
            </w:drawing>
          </mc:Choice>
          <mc:Fallback>
            <w:pict>
              <v:shapetype w14:anchorId="52D22E03" id="_x0000_t202" coordsize="21600,21600" o:spt="202" path="m,l,21600r21600,l21600,xe">
                <v:stroke joinstyle="miter"/>
                <v:path gradientshapeok="t" o:connecttype="rect"/>
              </v:shapetype>
              <v:shape id="Text Box 102" o:spid="_x0000_s1026" type="#_x0000_t202" style="width:509.25pt;height:4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" fillcolor="#d8e2f4" strokeweight=".5pt">
                <v:textbox>
                  <w:txbxContent>
                    <w:p w:rsidR="003A0B99" w:rsidRPr="00F76E85" w:rsidRDefault="003A0B99" w:rsidP="00F76E85">
                      <w:pPr>
                        <w:spacing w:line="276" w:lineRule="auto"/>
                        <w:ind w:firstLine="720"/>
                        <w:rPr>
                          <w:rFonts w:eastAsia="GHEA Grapalat" w:cs="GHEA Grapalat"/>
                          <w:b w:val="0"/>
                          <w:bCs/>
                          <w:i/>
                          <w:sz w:val="18"/>
                          <w:szCs w:val="18"/>
                          <w:lang w:val="hy-AM"/>
                        </w:rPr>
                      </w:pPr>
                      <w:r w:rsidRPr="00F76E85">
                        <w:rPr>
                          <w:rFonts w:eastAsia="GHEA Grapalat" w:cs="GHEA Grapalat"/>
                          <w:b w:val="0"/>
                          <w:bCs/>
                          <w:i/>
                          <w:sz w:val="18"/>
                          <w:szCs w:val="18"/>
                          <w:lang w:val="hy-AM"/>
                        </w:rPr>
                        <w:t>Ներդիր</w:t>
                      </w:r>
                      <w:r w:rsidRPr="00F76E85">
                        <w:rPr>
                          <w:rFonts w:eastAsia="GHEA Grapalat" w:cs="GHEA Grapalat"/>
                          <w:b w:val="0"/>
                          <w:bCs/>
                          <w:i/>
                          <w:sz w:val="18"/>
                          <w:szCs w:val="18"/>
                        </w:rPr>
                        <w:t xml:space="preserve"> 2. </w:t>
                      </w:r>
                      <w:r w:rsidRPr="00F76E85">
                        <w:rPr>
                          <w:rFonts w:eastAsia="GHEA Grapalat" w:cs="GHEA Grapalat"/>
                          <w:b w:val="0"/>
                          <w:bCs/>
                          <w:i/>
                          <w:sz w:val="18"/>
                          <w:szCs w:val="18"/>
                          <w:lang w:val="hy-AM"/>
                        </w:rPr>
                        <w:t xml:space="preserve">ՀՀ ՖՆ հարկաբյուջետային քաղաքականության </w:t>
                      </w:r>
                      <w:r w:rsidRPr="00F76E85">
                        <w:rPr>
                          <w:rFonts w:eastAsia="GHEA Grapalat" w:cs="GHEA Grapalat"/>
                          <w:b w:val="0"/>
                          <w:bCs/>
                          <w:i/>
                          <w:sz w:val="18"/>
                          <w:szCs w:val="18"/>
                        </w:rPr>
                        <w:t>DSGE</w:t>
                      </w:r>
                      <w:r w:rsidRPr="00F76E85">
                        <w:rPr>
                          <w:rFonts w:eastAsia="GHEA Grapalat" w:cs="GHEA Grapalat"/>
                          <w:b w:val="0"/>
                          <w:bCs/>
                          <w:i/>
                          <w:sz w:val="18"/>
                          <w:szCs w:val="18"/>
                          <w:lang w:val="hy-AM"/>
                        </w:rPr>
                        <w:t xml:space="preserve"> մոդելը </w:t>
                      </w:r>
                      <w:r w:rsidRPr="00F76E85">
                        <w:rPr>
                          <w:b w:val="0"/>
                          <w:bCs/>
                          <w:sz w:val="18"/>
                          <w:szCs w:val="18"/>
                          <w:lang w:val="hy-AM"/>
                        </w:rPr>
                        <w:t>(Fiscal Policy Strategy</w:t>
                      </w:r>
                      <w:r w:rsidRPr="00F76E85">
                        <w:rPr>
                          <w:b w:val="0"/>
                          <w:bCs/>
                          <w:sz w:val="18"/>
                          <w:szCs w:val="18"/>
                        </w:rPr>
                        <w:t xml:space="preserve"> DSGE</w:t>
                      </w:r>
                      <w:r w:rsidRPr="00F76E85">
                        <w:rPr>
                          <w:b w:val="0"/>
                          <w:bCs/>
                          <w:sz w:val="18"/>
                          <w:szCs w:val="18"/>
                          <w:lang w:val="hy-AM"/>
                        </w:rPr>
                        <w:t>)</w:t>
                      </w:r>
                    </w:p>
                    <w:p w:rsidR="003A0B99" w:rsidRPr="00F76E85" w:rsidRDefault="003A0B99" w:rsidP="00F76E85">
                      <w:pPr>
                        <w:tabs>
                          <w:tab w:val="left" w:pos="720"/>
                        </w:tabs>
                        <w:spacing w:line="276" w:lineRule="auto"/>
                        <w:rPr>
                          <w:b w:val="0"/>
                          <w:bCs/>
                          <w:sz w:val="18"/>
                          <w:szCs w:val="18"/>
                          <w:lang w:val="hy-AM"/>
                        </w:rPr>
                      </w:pPr>
                      <w:r w:rsidRPr="00F76E85">
                        <w:rPr>
                          <w:b w:val="0"/>
                          <w:bCs/>
                          <w:sz w:val="18"/>
                          <w:szCs w:val="18"/>
                          <w:lang w:val="hy-AM"/>
                        </w:rPr>
                        <w:tab/>
                        <w:t>FPS DSGE մոդելը իր տեսակի մեջ առաջինն է, որը մշակվել է ՀՀ ՖՆ-ում և պատկանում է նախարարությանը: Մոդելի մշակումը կարևորագույն քայլ է ՀՀ ՖՆ-ում քանակական մակրոտնտեսական մոդելավորման ավանդույթի ձևավորման ուղղությամբ: Հարկաբյուջետային քաղաքականության մշակմանն ու իրականացմանն աջակցելու համար ՀՀ ՖՆ մակրոտնտեսական կանխատեսման և վերլուծության համակարգը անցել է զարգացման որոշ փուլեր` պարզ մեթոդներից մինչև կիսակառուցվածքային վիճակագրական մեթոդներ, ինչը սակայն, բավարար չէ հարկաբյուջետային քաղաքականության միջնաժամկետ և երկարաժամկետ բազմակողմանի հետևանքները վերլուծելու, ինչպես նաև արդյունավետ ու հետևողական ձևով քաղաքականության սցենարներ մշակելու համար։ Նշված խնդրին ինստիտուցիոնալ լուծում տալու նպատակով ՀՀ ՖՆ և ԱՄՀ համատեղ ջանքերով մշակվել է հարկաբյուջետային քաղաքականության ռազմավարության մոդելը, որը լիովին կալիբրացված, ստուգված և համապատասխանեցված է Հայաստանի տնտեսական զարգացումներին և մակրոտնտեսական քաղաքականությունների միտումներին, պատկանում է նախարարությանը և կարող է օգտագործվել հարկաբյուջետային և այլ մակրոտմտեսական քաղաքականությունների խնդիրների լայն դասի վերլուծության համար:</w:t>
                      </w:r>
                    </w:p>
                    <w:p w:rsidR="003A0B99" w:rsidRPr="00F76E85" w:rsidRDefault="003A0B99" w:rsidP="00F76E85">
                      <w:pPr>
                        <w:tabs>
                          <w:tab w:val="left" w:pos="720"/>
                        </w:tabs>
                        <w:spacing w:line="276" w:lineRule="auto"/>
                        <w:rPr>
                          <w:b w:val="0"/>
                          <w:bCs/>
                          <w:sz w:val="18"/>
                          <w:szCs w:val="18"/>
                          <w:lang w:val="hy-AM"/>
                        </w:rPr>
                      </w:pPr>
                      <w:r w:rsidRPr="00F76E85">
                        <w:rPr>
                          <w:b w:val="0"/>
                          <w:bCs/>
                          <w:sz w:val="18"/>
                          <w:szCs w:val="18"/>
                          <w:lang w:val="hy-AM"/>
                        </w:rPr>
                        <w:tab/>
                        <w:t xml:space="preserve">Այսպիսով, հարկաբյուջետային քաղաքականության ռազմավարության մոդելը ամբողջությամբ միկրո հիմքերով փոքր բաց տնտեսության դինամիկ ստոխաստիկ ընդհանուր հավասարակշռության (DSGE) մոդել է, որտեղ շեշտադրվում է հարկաբյուջետային քաղաքականությունը։ </w:t>
                      </w:r>
                    </w:p>
                    <w:p w:rsidR="003A0B99" w:rsidRPr="00F76E85" w:rsidRDefault="003A0B99" w:rsidP="00F76E85">
                      <w:pPr>
                        <w:tabs>
                          <w:tab w:val="left" w:pos="720"/>
                        </w:tabs>
                        <w:spacing w:line="276" w:lineRule="auto"/>
                        <w:rPr>
                          <w:b w:val="0"/>
                          <w:bCs/>
                          <w:sz w:val="18"/>
                          <w:szCs w:val="18"/>
                          <w:lang w:val="hy-AM"/>
                        </w:rPr>
                      </w:pPr>
                      <w:r w:rsidRPr="00F76E85">
                        <w:rPr>
                          <w:b w:val="0"/>
                          <w:bCs/>
                          <w:sz w:val="18"/>
                          <w:szCs w:val="18"/>
                          <w:lang w:val="hy-AM"/>
                        </w:rPr>
                        <w:tab/>
                        <w:t>Մոդելի հիմնական կառուցվածքային հատկանիշներն են՝</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հարկաբյուջետային քաղաքականության գործիքների՝ հարկերի, պետական ծախսերի և պետական տրանսֆերտների առկայություն</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դրամավարկային քաղաքականության գործիքների առկայություն</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երկու խմբի տնային տնտեսություններ՝ համատեղ գոյատևող/խնայող (OLG) և սահմանափակ իրացվելիությամբ (ROT)</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տնտեսության արտահանելի և ոչ արտահանելի հատվածներ</w:t>
                      </w:r>
                    </w:p>
                    <w:p w:rsidR="003A0B99" w:rsidRPr="00F76E85" w:rsidRDefault="003A0B99"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կապիտալ արտադրող ֆիրմաներ, վերավաճառողներ, արհմիություններ։</w:t>
                      </w:r>
                    </w:p>
                    <w:p w:rsidR="003A0B99" w:rsidRPr="00F76E85" w:rsidRDefault="003A0B99" w:rsidP="00F76E85">
                      <w:pPr>
                        <w:tabs>
                          <w:tab w:val="left" w:pos="720"/>
                        </w:tabs>
                        <w:spacing w:line="276" w:lineRule="auto"/>
                        <w:rPr>
                          <w:b w:val="0"/>
                          <w:sz w:val="18"/>
                          <w:szCs w:val="18"/>
                          <w:lang w:val="hy-AM"/>
                        </w:rPr>
                      </w:pPr>
                      <w:r w:rsidRPr="00F76E85">
                        <w:rPr>
                          <w:b w:val="0"/>
                          <w:bCs/>
                          <w:sz w:val="18"/>
                          <w:szCs w:val="18"/>
                          <w:lang w:val="hy-AM"/>
                        </w:rPr>
                        <w:tab/>
                        <w:t>Մոդելում կան նաև վարքագծային հատկանիշներ,</w:t>
                      </w:r>
                      <w:r w:rsidRPr="00F76E85">
                        <w:rPr>
                          <w:b w:val="0"/>
                          <w:sz w:val="18"/>
                          <w:szCs w:val="18"/>
                          <w:lang w:val="hy-AM"/>
                        </w:rPr>
                        <w:t xml:space="preserve"> որոնց շնորհիվ տարբեր խմբերի տնային տնտեսություններն ու ֆիրմաները որոշակի ձևով են արձագանքում հարկաբյուջետային քաղաքականության փոփոխություններին:</w:t>
                      </w:r>
                      <w:r w:rsidRPr="00F76E85">
                        <w:rPr>
                          <w:b w:val="0"/>
                          <w:bCs/>
                          <w:sz w:val="18"/>
                          <w:szCs w:val="18"/>
                          <w:lang w:val="hy-AM"/>
                        </w:rPr>
                        <w:t xml:space="preserve"> </w:t>
                      </w:r>
                      <w:r w:rsidRPr="00F76E85">
                        <w:rPr>
                          <w:b w:val="0"/>
                          <w:sz w:val="18"/>
                          <w:szCs w:val="18"/>
                          <w:lang w:val="hy-AM"/>
                        </w:rPr>
                        <w:t xml:space="preserve">Մոդելը հիմնվում է տնտեսական գործակալների վարքագծի վրա և թույլ է տալիս բացահայտել հարկաբյուջետային քաղաքականության բազմակողմանի ազդեցությունները, ինչը դժվար է իրագործել վիճակագրական մոդելների միջոցով։ Այսպիսով, նշված գործիքի միջոցով հնարավոր է դառնում  հասկանալ քաղաքականության փոփոխությունների մակրոտնտեսական ազդեցությունները, դրանց փոխանցումային մեխանիզմը և քանակապես գնահատել հարկաբյուջետային քաղաքականության ազդեցությունները տնտեսական զարգացումների վրա միջին և երակարաժամկետ հատվածներում: </w:t>
                      </w:r>
                    </w:p>
                    <w:p w:rsidR="003A0B99" w:rsidRPr="0059524A" w:rsidRDefault="003A0B99" w:rsidP="00F76E85">
                      <w:pPr>
                        <w:spacing w:line="276" w:lineRule="auto"/>
                        <w:rPr>
                          <w:sz w:val="18"/>
                          <w:szCs w:val="18"/>
                          <w:lang w:val="hy-AM"/>
                        </w:rPr>
                      </w:pPr>
                    </w:p>
                    <w:p w:rsidR="003A0B99" w:rsidRPr="0059524A" w:rsidRDefault="003A0B99" w:rsidP="009F0A25">
                      <w:pPr>
                        <w:rPr>
                          <w:sz w:val="18"/>
                          <w:szCs w:val="18"/>
                          <w:lang w:val="hy-AM"/>
                        </w:rPr>
                      </w:pPr>
                    </w:p>
                  </w:txbxContent>
                </v:textbox>
                <w10:anchorlock/>
              </v:shape>
            </w:pict>
          </mc:Fallback>
        </mc:AlternateContent>
      </w:r>
    </w:p>
    <w:p w:rsidR="009F0A25" w:rsidRPr="00F76E85" w:rsidRDefault="009F0A25" w:rsidP="007730AA">
      <w:pPr>
        <w:spacing w:before="0" w:line="276" w:lineRule="auto"/>
        <w:rPr>
          <w:rFonts w:eastAsia="Calibri"/>
          <w:bCs/>
          <w:szCs w:val="22"/>
          <w:lang w:val="hy-AM"/>
        </w:rPr>
      </w:pPr>
      <w:r w:rsidRPr="00F76E85">
        <w:rPr>
          <w:rFonts w:eastAsia="Calibri"/>
          <w:bCs/>
          <w:szCs w:val="22"/>
          <w:lang w:val="hy-AM"/>
        </w:rPr>
        <w:lastRenderedPageBreak/>
        <w:t>1.5.1. Ներքին շոկերի ազդեցությունը</w:t>
      </w:r>
    </w:p>
    <w:p w:rsidR="009F0A25" w:rsidRPr="00F76E85" w:rsidRDefault="009F0A25" w:rsidP="007730AA">
      <w:pPr>
        <w:tabs>
          <w:tab w:val="left" w:pos="9923"/>
        </w:tabs>
        <w:spacing w:before="0" w:line="276" w:lineRule="auto"/>
        <w:ind w:firstLine="720"/>
        <w:rPr>
          <w:rFonts w:eastAsia="GHEA Grapalat" w:cs="GHEA Grapalat"/>
          <w:b w:val="0"/>
          <w:szCs w:val="22"/>
          <w:lang w:val="hy-AM"/>
        </w:rPr>
      </w:pPr>
      <w:r w:rsidRPr="00F76E85">
        <w:rPr>
          <w:rFonts w:eastAsia="GHEA Grapalat" w:cs="GHEA Grapalat"/>
          <w:b w:val="0"/>
          <w:szCs w:val="22"/>
          <w:lang w:val="hy-AM"/>
        </w:rPr>
        <w:t>Համաճարակի կանխարգելման նպատակով կիրառված ներքին սահմանափակումների, կորոնավիրուսով վարակման արդյունքում զբաղվածների կրճատման, Արցախյան պատերազմական գործողությունների</w:t>
      </w:r>
      <w:r w:rsidRPr="00F76E85" w:rsidDel="00311C81">
        <w:rPr>
          <w:rFonts w:eastAsia="GHEA Grapalat" w:cs="GHEA Grapalat"/>
          <w:b w:val="0"/>
          <w:szCs w:val="22"/>
          <w:lang w:val="hy-AM"/>
        </w:rPr>
        <w:t xml:space="preserve"> </w:t>
      </w:r>
      <w:r w:rsidRPr="00F76E85">
        <w:rPr>
          <w:rFonts w:eastAsia="GHEA Grapalat" w:cs="GHEA Grapalat"/>
          <w:b w:val="0"/>
          <w:szCs w:val="22"/>
          <w:lang w:val="hy-AM"/>
        </w:rPr>
        <w:t xml:space="preserve">հետևանքով տնտեսությունում ձևավորվում են և՛ առաջարկի, և՛ պահանջարկի բացասական շոկեր: </w:t>
      </w:r>
    </w:p>
    <w:p w:rsidR="009F0A25" w:rsidRPr="00F76E85" w:rsidRDefault="009F0A25" w:rsidP="007730AA">
      <w:pPr>
        <w:spacing w:before="0" w:line="276" w:lineRule="auto"/>
        <w:ind w:firstLine="720"/>
        <w:rPr>
          <w:b w:val="0"/>
          <w:szCs w:val="22"/>
          <w:lang w:val="hy-AM"/>
        </w:rPr>
      </w:pPr>
      <w:r w:rsidRPr="00F76E85">
        <w:rPr>
          <w:rFonts w:eastAsia="GHEA Grapalat" w:cs="GHEA Grapalat"/>
          <w:b w:val="0"/>
          <w:szCs w:val="22"/>
          <w:lang w:val="hy-AM"/>
        </w:rPr>
        <w:t>Շոկերը կալիբրացվել են վերոնշյալ գործոնների ազդեցությունների վերաբերյալ կատարված առանձին ՀՀ ՖՆ գնահատումների հիման վրա (2020թ համար ՀՆԱ-ի շուրջ 6.7% կորուստ</w:t>
      </w:r>
      <w:r w:rsidRPr="00F76E85">
        <w:rPr>
          <w:rStyle w:val="FootnoteReference"/>
          <w:rFonts w:ascii="GHEA Grapalat" w:eastAsia="GHEA Grapalat" w:hAnsi="GHEA Grapalat" w:cs="GHEA Grapalat"/>
          <w:b w:val="0"/>
          <w:sz w:val="22"/>
          <w:szCs w:val="22"/>
          <w:lang w:val="hy-AM"/>
        </w:rPr>
        <w:footnoteReference w:id="15"/>
      </w:r>
      <w:r w:rsidRPr="00F76E85">
        <w:rPr>
          <w:rFonts w:eastAsia="GHEA Grapalat" w:cs="GHEA Grapalat"/>
          <w:b w:val="0"/>
          <w:szCs w:val="22"/>
          <w:lang w:val="hy-AM"/>
        </w:rPr>
        <w:t xml:space="preserve">)։ Այսպիսով, կիրառվող սահմանափակումների, վարակման հետևանքվ զբաղվածության կրճատման, պատերազմական գործողությունների հետևանքով խաթարվում է տնտեսությունում արտադրանքի թողարկման գործընթացը, բարձրանում են արտադրական ծախսերը, որոնք հանգեցնում են աշխատուժի և ներդրումների նկատմամբ պահանջարկի նվազման, ինչն էլ իր հերթին առաջացնում է հավելյալ զբաղվածության կրճատում և աշխատավարձերի նվազում, արդյունքում տնտեսությունում կրճատվում է տնօրինվող եկամտի մակարդակը՝ առաջացնելով  նաև մասնավոր պահանջարկի անկում, արդյունքում տնտեսությունը կրում է ոչ միայն ցիկլային անկում, այլ նաև ներուժային:  </w:t>
      </w:r>
    </w:p>
    <w:p w:rsidR="009F0A25" w:rsidRPr="00F76E85" w:rsidRDefault="009F0A25" w:rsidP="007730AA">
      <w:pPr>
        <w:spacing w:before="0" w:line="276" w:lineRule="auto"/>
        <w:rPr>
          <w:rFonts w:eastAsia="Calibri"/>
          <w:bCs/>
          <w:szCs w:val="22"/>
          <w:lang w:val="hy-AM"/>
        </w:rPr>
      </w:pPr>
      <w:r w:rsidRPr="00F76E85">
        <w:rPr>
          <w:rFonts w:eastAsia="Calibri"/>
          <w:bCs/>
          <w:szCs w:val="22"/>
          <w:lang w:val="hy-AM"/>
        </w:rPr>
        <w:t>1.5.2. Արտաքին շոկերի ազդեցությունը</w:t>
      </w:r>
    </w:p>
    <w:p w:rsidR="009F0A25" w:rsidRPr="00F76E85" w:rsidRDefault="009F0A25" w:rsidP="007730AA">
      <w:pPr>
        <w:spacing w:before="0" w:line="276" w:lineRule="auto"/>
        <w:ind w:firstLine="284"/>
        <w:rPr>
          <w:rFonts w:eastAsia="Calibri" w:cs="Sylfaen"/>
          <w:b w:val="0"/>
          <w:bCs/>
          <w:szCs w:val="22"/>
          <w:lang w:val="hy-AM"/>
        </w:rPr>
      </w:pPr>
      <w:r w:rsidRPr="00F76E85">
        <w:rPr>
          <w:rFonts w:eastAsia="GHEA Grapalat" w:cs="GHEA Grapalat"/>
          <w:b w:val="0"/>
          <w:szCs w:val="22"/>
          <w:lang w:val="hy-AM"/>
        </w:rPr>
        <w:t xml:space="preserve">    Հ</w:t>
      </w:r>
      <w:r w:rsidRPr="00F76E85">
        <w:rPr>
          <w:rFonts w:eastAsia="Calibri" w:cs="Sylfaen"/>
          <w:b w:val="0"/>
          <w:bCs/>
          <w:szCs w:val="22"/>
          <w:lang w:val="hy-AM"/>
        </w:rPr>
        <w:t>ամաճարակի հետևանքով առաջացած արտաքին տնտեսական շոկերի ազդեցությունները ՀՀ տնտեսության վրա գնահատելու համար դիտարկվել են արտաքին պահանջարկի նվազման, դրամական փոխանցումների կրճատման և երկրի ռիսկ պրեմիայի բարձրացման շոկեր, որոնց կալիբրացման համար հիմք են հանդիսացել ԱՄՀ կանխատեսումները և ՀՀ ՖՆ գնահատումները։ Մասնավորապես, 2020թ. համար ենթադրվել է ՀՀ գործընկեր երկրներում տնտեսական աճերի միջինում 7.4 տոկոսային կետ դանդաղում</w:t>
      </w:r>
      <w:r w:rsidRPr="00F76E85">
        <w:rPr>
          <w:rFonts w:eastAsia="Calibri" w:cs="Sylfaen"/>
          <w:b w:val="0"/>
          <w:bCs/>
          <w:szCs w:val="22"/>
        </w:rPr>
        <w:footnoteReference w:id="16"/>
      </w:r>
      <w:r w:rsidRPr="00F76E85">
        <w:rPr>
          <w:rFonts w:eastAsia="Calibri" w:cs="Sylfaen"/>
          <w:b w:val="0"/>
          <w:bCs/>
          <w:szCs w:val="22"/>
          <w:lang w:val="hy-AM"/>
        </w:rPr>
        <w:t>, ամենամեծ անկումն ենթադրվել է 2020թ. երկրորդ եռամսյակում, որոշակի կայունացում երրորդ եռամսյակում և վատթարացում չորրորդ եռամսյակում,  2021 թ. դանդաղ վերականգնում, դրամական փոխանցումների շուրջ 2.1% կրճատում և երկրի ռիսկ պրեմիայի (1.1 տոկոսային կետ</w:t>
      </w:r>
      <w:r w:rsidRPr="00F76E85">
        <w:rPr>
          <w:rStyle w:val="FootnoteReference"/>
          <w:rFonts w:ascii="GHEA Grapalat" w:hAnsi="GHEA Grapalat"/>
          <w:b w:val="0"/>
          <w:sz w:val="22"/>
          <w:szCs w:val="22"/>
        </w:rPr>
        <w:footnoteReference w:id="17"/>
      </w:r>
      <w:r w:rsidRPr="00F76E85">
        <w:rPr>
          <w:rStyle w:val="FootnoteReference"/>
          <w:rFonts w:ascii="GHEA Grapalat" w:hAnsi="GHEA Grapalat"/>
          <w:b w:val="0"/>
          <w:sz w:val="22"/>
          <w:szCs w:val="22"/>
          <w:lang w:val="hy-AM"/>
        </w:rPr>
        <w:t xml:space="preserve">) </w:t>
      </w:r>
      <w:r w:rsidRPr="00F76E85">
        <w:rPr>
          <w:rFonts w:eastAsia="Calibri" w:cs="Sylfaen"/>
          <w:b w:val="0"/>
          <w:bCs/>
          <w:szCs w:val="22"/>
          <w:lang w:val="hy-AM"/>
        </w:rPr>
        <w:t xml:space="preserve"> բարձրացում: </w:t>
      </w:r>
    </w:p>
    <w:p w:rsidR="009F0A25" w:rsidRPr="00F76E85" w:rsidRDefault="009F0A25" w:rsidP="007730AA">
      <w:pPr>
        <w:spacing w:before="0" w:line="276" w:lineRule="auto"/>
        <w:ind w:firstLine="284"/>
        <w:rPr>
          <w:rFonts w:eastAsia="Calibri" w:cs="Sylfaen"/>
          <w:b w:val="0"/>
          <w:bCs/>
          <w:szCs w:val="22"/>
          <w:lang w:val="hy-AM"/>
        </w:rPr>
      </w:pPr>
      <w:r w:rsidRPr="00F76E85">
        <w:rPr>
          <w:rFonts w:eastAsia="Calibri" w:cs="Sylfaen"/>
          <w:b w:val="0"/>
          <w:bCs/>
          <w:szCs w:val="22"/>
          <w:lang w:val="hy-AM"/>
        </w:rPr>
        <w:t xml:space="preserve">Այսպիսով, արտաքին շոկերի ազդեցության արդյունքում նվազում է արտահանման պահանջարկը և կրճատվում դրամական փոխանցումների ներհոսքը: Արտահանման պահանջարկի նվազման հետևանքով կրճատվում են արտահանելի հատվածում արտադրության ծավալները և զբաղվածության մակարդակը՝ հանգեցնելով նաև ներքին պահանջարկի թուլացման: Դրամական փոխանցումների կրճատումը հանգեցնում է տնօրինվող եկամտի կրճատման, և հետևաբար՝ տնտեսությունում մասնավոր պահանջարկի նվազման: Ներքին և արտաքին պահանջարկի թուլացումը ստիպում է կրճատել ընդհանուր թողարկման ծավալները և ներդրումային ծախսերը: Արդյունքում տնտեսությունում առաջանում են միաժամանակ </w:t>
      </w:r>
      <w:r w:rsidRPr="00F76E85">
        <w:rPr>
          <w:rFonts w:eastAsia="Calibri" w:cs="Sylfaen"/>
          <w:b w:val="0"/>
          <w:bCs/>
          <w:szCs w:val="22"/>
          <w:lang w:val="hy-AM"/>
        </w:rPr>
        <w:lastRenderedPageBreak/>
        <w:t>առաջարկի և պահանջարկի անկում, որն Էլ իր հերթին նվազեցնում է ինչպես ՀՆԱ փաստացի մակարդակը, այնպես էլ երկարաժամկետ ներուժային մակարդակը:</w:t>
      </w:r>
    </w:p>
    <w:p w:rsidR="009F0A25" w:rsidRPr="00F76E85" w:rsidRDefault="009F0A25" w:rsidP="007730AA">
      <w:pPr>
        <w:spacing w:before="0" w:line="276" w:lineRule="auto"/>
        <w:rPr>
          <w:rFonts w:eastAsia="Calibri"/>
          <w:bCs/>
          <w:szCs w:val="22"/>
          <w:lang w:val="hy-AM"/>
        </w:rPr>
      </w:pPr>
      <w:r w:rsidRPr="00F76E85">
        <w:rPr>
          <w:rFonts w:eastAsia="Calibri"/>
          <w:bCs/>
          <w:szCs w:val="22"/>
          <w:lang w:val="hy-AM"/>
        </w:rPr>
        <w:t>1.5.3. Հարկաբյուջետային շոկերի ազդեցությունը</w:t>
      </w:r>
    </w:p>
    <w:p w:rsidR="009F0A25" w:rsidRPr="000E6B55" w:rsidRDefault="009F0A25" w:rsidP="007730AA">
      <w:pPr>
        <w:spacing w:before="0" w:line="276" w:lineRule="auto"/>
        <w:ind w:firstLine="720"/>
        <w:rPr>
          <w:rFonts w:eastAsia="GHEA Grapalat" w:cs="GHEA Grapalat"/>
          <w:szCs w:val="22"/>
          <w:lang w:val="hy-AM"/>
        </w:rPr>
      </w:pPr>
      <w:r w:rsidRPr="00F76E85">
        <w:rPr>
          <w:rFonts w:eastAsia="GHEA Grapalat" w:cs="GHEA Grapalat"/>
          <w:b w:val="0"/>
          <w:szCs w:val="22"/>
          <w:lang w:val="hy-AM"/>
        </w:rPr>
        <w:t>Կորոնավիրուսի ազդեցությունների մեղմանն ուղղված հարկաբյուջետային քաղաքականության (ՀՀ կառավարության աջակցության փաթեթներ) արձագանքը պարունակում է սոցիալական և տնտեսական աջակցության, ինչպես նաև մասնավոր ներդրումների խթանմանն ուղղված միջոցառումներ՝ 150 մլրդ դրամ ընդհանուր ծավալով: Բացի այդ, կառավարության հակաճգնաժամային ծրագրերը ներառում են նաև մի շարք հարկային քաղաքականության ոլորտի միջոցառումներ (առավել մանրամասն ներկայացված է ներդիր 3-ում), որոնք հաշվի առնելով, ընդհանուր հակաճգնաժամային փաթեթը (առանց COVID-19 կանխարգելման և բուժմանն ուղղված առողջապահական ծախսերի) կազմում է 215.0 մլրդ դրամ</w:t>
      </w:r>
      <w:r w:rsidRPr="00F76E85">
        <w:rPr>
          <w:rFonts w:eastAsia="GHEA Grapalat" w:cs="GHEA Grapalat"/>
          <w:b w:val="0"/>
          <w:szCs w:val="22"/>
          <w:vertAlign w:val="superscript"/>
          <w:lang w:val="hy-AM"/>
        </w:rPr>
        <w:footnoteReference w:id="18"/>
      </w:r>
      <w:r w:rsidRPr="00F76E85">
        <w:rPr>
          <w:rFonts w:eastAsia="GHEA Grapalat" w:cs="GHEA Grapalat"/>
          <w:b w:val="0"/>
          <w:szCs w:val="22"/>
          <w:lang w:val="hy-AM"/>
        </w:rPr>
        <w:t>, կամ 2020թ.-ի սպասվող ՀՆԱ-ի շուրջ 3.5%-ը:</w:t>
      </w:r>
    </w:p>
    <w:p w:rsidR="00F76E85" w:rsidRDefault="00F76E85" w:rsidP="007730AA">
      <w:pPr>
        <w:keepNext/>
        <w:keepLines/>
        <w:spacing w:before="0" w:line="276" w:lineRule="auto"/>
        <w:rPr>
          <w:rFonts w:cs="Sylfaen"/>
          <w:bCs/>
          <w:color w:val="000000"/>
          <w:szCs w:val="22"/>
          <w:lang w:val="hy-AM"/>
        </w:rPr>
      </w:pPr>
    </w:p>
    <w:p w:rsidR="009F0A25" w:rsidRPr="001A41E1" w:rsidRDefault="009F0A25" w:rsidP="007730AA">
      <w:pPr>
        <w:keepNext/>
        <w:keepLines/>
        <w:spacing w:before="0" w:line="276" w:lineRule="auto"/>
        <w:rPr>
          <w:rFonts w:cs="Sylfaen"/>
          <w:bCs/>
          <w:color w:val="000000"/>
          <w:sz w:val="20"/>
          <w:szCs w:val="20"/>
          <w:lang w:val="hy-AM"/>
        </w:rPr>
      </w:pPr>
      <w:r w:rsidRPr="001A41E1">
        <w:rPr>
          <w:rFonts w:cs="Sylfaen"/>
          <w:bCs/>
          <w:color w:val="000000"/>
          <w:szCs w:val="22"/>
          <w:lang w:val="hy-AM"/>
        </w:rPr>
        <w:t xml:space="preserve">Աղյուսակ 1.3. </w:t>
      </w:r>
      <w:r w:rsidRPr="00F76E85">
        <w:rPr>
          <w:rFonts w:cs="Sylfaen"/>
          <w:b w:val="0"/>
          <w:bCs/>
          <w:color w:val="000000"/>
          <w:sz w:val="20"/>
          <w:szCs w:val="20"/>
          <w:lang w:val="hy-AM"/>
        </w:rPr>
        <w:t>Կորոնավիրուսի ազդեցությունների մեղմանն ուղղված միջոցառումների հիմնական ուղղությունները</w:t>
      </w:r>
    </w:p>
    <w:tbl>
      <w:tblPr>
        <w:tblStyle w:val="GridTable1Light-Accent51211"/>
        <w:tblW w:w="0" w:type="auto"/>
        <w:tblLook w:val="04A0" w:firstRow="1" w:lastRow="0" w:firstColumn="1" w:lastColumn="0" w:noHBand="0" w:noVBand="1"/>
      </w:tblPr>
      <w:tblGrid>
        <w:gridCol w:w="1739"/>
        <w:gridCol w:w="2745"/>
        <w:gridCol w:w="9"/>
        <w:gridCol w:w="2714"/>
        <w:gridCol w:w="2539"/>
      </w:tblGrid>
      <w:tr w:rsidR="009F0A25" w:rsidRPr="001A41E1" w:rsidTr="009F0A25">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920" w:type="dxa"/>
            <w:gridSpan w:val="3"/>
            <w:shd w:val="clear" w:color="auto" w:fill="4BACC6"/>
            <w:vAlign w:val="center"/>
          </w:tcPr>
          <w:p w:rsidR="009F0A25" w:rsidRPr="001A41E1" w:rsidRDefault="009F0A25" w:rsidP="007730AA">
            <w:pPr>
              <w:spacing w:before="0" w:after="0" w:line="312" w:lineRule="auto"/>
              <w:jc w:val="center"/>
              <w:rPr>
                <w:rFonts w:cs="GHEA Grapalat"/>
                <w:color w:val="000000"/>
                <w:sz w:val="18"/>
                <w:szCs w:val="18"/>
              </w:rPr>
            </w:pPr>
            <w:r w:rsidRPr="001A41E1">
              <w:rPr>
                <w:rFonts w:cs="GHEA Grapalat"/>
                <w:color w:val="000000"/>
                <w:sz w:val="18"/>
                <w:szCs w:val="18"/>
              </w:rPr>
              <w:t>Օժանդակության ծրագրեր</w:t>
            </w:r>
          </w:p>
        </w:tc>
        <w:tc>
          <w:tcPr>
            <w:tcW w:w="2842" w:type="dxa"/>
            <w:shd w:val="clear" w:color="auto" w:fill="4BACC6"/>
            <w:vAlign w:val="center"/>
          </w:tcPr>
          <w:p w:rsidR="009F0A25" w:rsidRPr="001A41E1" w:rsidRDefault="009F0A25" w:rsidP="007730AA">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cs="GHEA Grapalat"/>
                <w:color w:val="000000"/>
                <w:sz w:val="18"/>
                <w:szCs w:val="18"/>
              </w:rPr>
            </w:pPr>
            <w:r w:rsidRPr="001A41E1">
              <w:rPr>
                <w:rFonts w:cs="GHEA Grapalat"/>
                <w:color w:val="000000"/>
                <w:sz w:val="18"/>
                <w:szCs w:val="18"/>
              </w:rPr>
              <w:t>Հարկաբյուջետային ազդեցություններ</w:t>
            </w:r>
          </w:p>
        </w:tc>
        <w:tc>
          <w:tcPr>
            <w:tcW w:w="2570" w:type="dxa"/>
            <w:shd w:val="clear" w:color="auto" w:fill="4BACC6"/>
            <w:vAlign w:val="center"/>
          </w:tcPr>
          <w:p w:rsidR="009F0A25" w:rsidRPr="001A41E1" w:rsidRDefault="009F0A25" w:rsidP="007730AA">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cs="GHEA Grapalat"/>
                <w:color w:val="000000"/>
                <w:sz w:val="18"/>
                <w:szCs w:val="18"/>
              </w:rPr>
            </w:pPr>
            <w:r w:rsidRPr="001A41E1">
              <w:rPr>
                <w:rFonts w:cs="GHEA Grapalat"/>
                <w:color w:val="000000"/>
                <w:sz w:val="18"/>
                <w:szCs w:val="18"/>
              </w:rPr>
              <w:t>Սպասվող արդյունքներ</w:t>
            </w:r>
          </w:p>
        </w:tc>
      </w:tr>
      <w:tr w:rsidR="009F0A25" w:rsidRPr="00D350A3" w:rsidTr="009F0A25">
        <w:trPr>
          <w:trHeight w:val="458"/>
        </w:trPr>
        <w:tc>
          <w:tcPr>
            <w:cnfStyle w:val="001000000000" w:firstRow="0" w:lastRow="0" w:firstColumn="1" w:lastColumn="0" w:oddVBand="0" w:evenVBand="0" w:oddHBand="0" w:evenHBand="0" w:firstRowFirstColumn="0" w:firstRowLastColumn="0" w:lastRowFirstColumn="0" w:lastRowLastColumn="0"/>
            <w:tcW w:w="1908" w:type="dxa"/>
            <w:vMerge w:val="restart"/>
            <w:vAlign w:val="center"/>
          </w:tcPr>
          <w:p w:rsidR="009F0A25" w:rsidRPr="00F76E85" w:rsidRDefault="009F0A25" w:rsidP="007730AA">
            <w:pPr>
              <w:spacing w:before="0" w:after="0"/>
              <w:ind w:firstLine="41"/>
              <w:rPr>
                <w:rFonts w:cs="GHEA Grapalat"/>
                <w:color w:val="000000"/>
                <w:sz w:val="18"/>
                <w:szCs w:val="18"/>
              </w:rPr>
            </w:pPr>
            <w:r w:rsidRPr="00F76E85">
              <w:rPr>
                <w:rFonts w:cs="GHEA Grapalat"/>
                <w:color w:val="000000"/>
                <w:sz w:val="18"/>
                <w:szCs w:val="18"/>
              </w:rPr>
              <w:t>Տնտեսական աջակցության ծրագրեր</w:t>
            </w:r>
          </w:p>
        </w:tc>
        <w:tc>
          <w:tcPr>
            <w:tcW w:w="3001"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20 մլրդ դրամ ծավալով սուբսիդավորման ծրագրեր</w:t>
            </w:r>
          </w:p>
        </w:tc>
        <w:tc>
          <w:tcPr>
            <w:tcW w:w="2853" w:type="dxa"/>
            <w:gridSpan w:val="2"/>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Ընթացիկ ծախսերի աճ</w:t>
            </w:r>
          </w:p>
        </w:tc>
        <w:tc>
          <w:tcPr>
            <w:tcW w:w="2570" w:type="dxa"/>
            <w:vMerge w:val="restart"/>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Ամբողջական պահանջարկի խթանում և մասնավո</w:t>
            </w:r>
            <w:r w:rsidRPr="00F76E85">
              <w:rPr>
                <w:rFonts w:cs="GHEA Grapalat"/>
                <w:b w:val="0"/>
                <w:color w:val="000000"/>
                <w:sz w:val="18"/>
                <w:szCs w:val="18"/>
              </w:rPr>
              <w:cr/>
              <w:t xml:space="preserve"> հատվածի իրացվելիության խնդիրների մեղմում</w:t>
            </w:r>
          </w:p>
        </w:tc>
      </w:tr>
      <w:tr w:rsidR="009F0A25" w:rsidRPr="00D350A3" w:rsidTr="009F0A25">
        <w:trPr>
          <w:trHeight w:val="753"/>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rsidR="009F0A25" w:rsidRPr="00F76E85" w:rsidRDefault="009F0A25" w:rsidP="007730AA">
            <w:pPr>
              <w:spacing w:before="0" w:after="0"/>
              <w:rPr>
                <w:rFonts w:cs="GHEA Grapalat"/>
                <w:color w:val="000000"/>
                <w:sz w:val="18"/>
                <w:szCs w:val="18"/>
              </w:rPr>
            </w:pPr>
          </w:p>
        </w:tc>
        <w:tc>
          <w:tcPr>
            <w:tcW w:w="3001"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10 մլրդ դրամ ծավալով համաֆինանսավորման և վերաֆինանսավորման ծրագրեր</w:t>
            </w:r>
          </w:p>
        </w:tc>
        <w:tc>
          <w:tcPr>
            <w:tcW w:w="2853" w:type="dxa"/>
            <w:gridSpan w:val="2"/>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Պետական վարկավորման աճ (պակասուրդի գործառնություններ)</w:t>
            </w:r>
          </w:p>
        </w:tc>
        <w:tc>
          <w:tcPr>
            <w:tcW w:w="2570" w:type="dxa"/>
            <w:vMerge/>
          </w:tcPr>
          <w:p w:rsidR="009F0A25" w:rsidRPr="00F76E85" w:rsidRDefault="009F0A25" w:rsidP="007730AA">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p>
        </w:tc>
      </w:tr>
      <w:tr w:rsidR="009F0A25" w:rsidRPr="001A41E1" w:rsidTr="009F0A25">
        <w:trPr>
          <w:trHeight w:val="182"/>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rsidR="009F0A25" w:rsidRPr="00F76E85" w:rsidRDefault="009F0A25" w:rsidP="007730AA">
            <w:pPr>
              <w:spacing w:before="0" w:after="0" w:line="276" w:lineRule="auto"/>
              <w:ind w:firstLine="0"/>
              <w:jc w:val="left"/>
              <w:rPr>
                <w:rFonts w:cs="GHEA Grapalat"/>
                <w:color w:val="000000"/>
                <w:sz w:val="18"/>
                <w:szCs w:val="18"/>
                <w:lang w:val="hy-AM"/>
              </w:rPr>
            </w:pPr>
            <w:r w:rsidRPr="00F76E85">
              <w:rPr>
                <w:rFonts w:cs="GHEA Grapalat"/>
                <w:color w:val="000000"/>
                <w:sz w:val="18"/>
                <w:szCs w:val="18"/>
                <w:lang w:val="hy-AM"/>
              </w:rPr>
              <w:t>30 մլրդ դրամ սոցիալական աջակցության ծրագրեր</w:t>
            </w:r>
          </w:p>
        </w:tc>
        <w:tc>
          <w:tcPr>
            <w:tcW w:w="2842"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Ընթացիկ ծախսերի աճ</w:t>
            </w:r>
          </w:p>
        </w:tc>
        <w:tc>
          <w:tcPr>
            <w:tcW w:w="2570" w:type="dxa"/>
            <w:vMerge/>
          </w:tcPr>
          <w:p w:rsidR="009F0A25" w:rsidRPr="00F76E85" w:rsidRDefault="009F0A25" w:rsidP="007730AA">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p>
        </w:tc>
      </w:tr>
      <w:tr w:rsidR="009F0A25" w:rsidRPr="001A41E1" w:rsidTr="009F0A25">
        <w:trPr>
          <w:trHeight w:val="374"/>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rsidR="009F0A25" w:rsidRPr="00F76E85" w:rsidRDefault="009F0A25" w:rsidP="007730AA">
            <w:pPr>
              <w:spacing w:before="0" w:after="0" w:line="276" w:lineRule="auto"/>
              <w:ind w:firstLine="0"/>
              <w:jc w:val="left"/>
              <w:rPr>
                <w:rFonts w:cs="GHEA Grapalat"/>
                <w:color w:val="000000"/>
                <w:sz w:val="18"/>
                <w:szCs w:val="18"/>
              </w:rPr>
            </w:pPr>
            <w:r w:rsidRPr="00F76E85">
              <w:rPr>
                <w:rFonts w:cs="GHEA Grapalat"/>
                <w:color w:val="000000"/>
                <w:sz w:val="18"/>
                <w:szCs w:val="18"/>
              </w:rPr>
              <w:t>10 մլրդ</w:t>
            </w:r>
            <w:r w:rsidRPr="00F76E85">
              <w:rPr>
                <w:rFonts w:cs="GHEA Grapalat"/>
                <w:color w:val="000000"/>
                <w:sz w:val="18"/>
                <w:szCs w:val="18"/>
              </w:rPr>
              <w:cr/>
              <w:t>դրամ պահուստային գումարներ՝ հնարավոր վերաբաշխումների համար</w:t>
            </w:r>
          </w:p>
        </w:tc>
        <w:tc>
          <w:tcPr>
            <w:tcW w:w="2842"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Ընթացիկ ծախսերի աճ</w:t>
            </w:r>
          </w:p>
        </w:tc>
        <w:tc>
          <w:tcPr>
            <w:tcW w:w="2570" w:type="dxa"/>
            <w:vMerge/>
          </w:tcPr>
          <w:p w:rsidR="009F0A25" w:rsidRPr="00F76E85" w:rsidRDefault="009F0A25" w:rsidP="007730AA">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p>
        </w:tc>
      </w:tr>
      <w:tr w:rsidR="009F0A25" w:rsidRPr="001A41E1" w:rsidTr="009F0A25">
        <w:trPr>
          <w:trHeight w:val="556"/>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rsidR="009F0A25" w:rsidRPr="00F76E85" w:rsidRDefault="009F0A25" w:rsidP="007730AA">
            <w:pPr>
              <w:spacing w:before="0" w:after="0" w:line="276" w:lineRule="auto"/>
              <w:ind w:firstLine="0"/>
              <w:jc w:val="left"/>
              <w:rPr>
                <w:rFonts w:cs="GHEA Grapalat"/>
                <w:color w:val="000000"/>
                <w:sz w:val="18"/>
                <w:szCs w:val="18"/>
              </w:rPr>
            </w:pPr>
            <w:r w:rsidRPr="00F76E85">
              <w:rPr>
                <w:rFonts w:cs="GHEA Grapalat"/>
                <w:color w:val="000000"/>
                <w:sz w:val="18"/>
                <w:szCs w:val="18"/>
              </w:rPr>
              <w:t>80 մլրդ դրամ մասնավոր ներդրումների խթանման ծրագրեր</w:t>
            </w:r>
          </w:p>
        </w:tc>
        <w:tc>
          <w:tcPr>
            <w:tcW w:w="2842"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Պետական վարկավորման աճ (պակասուրդի գործառնություններ)</w:t>
            </w:r>
          </w:p>
        </w:tc>
        <w:tc>
          <w:tcPr>
            <w:tcW w:w="2570"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Մասնավոր ներդրումների աճ</w:t>
            </w:r>
          </w:p>
        </w:tc>
      </w:tr>
      <w:tr w:rsidR="009F0A25" w:rsidRPr="00D350A3" w:rsidTr="009F0A25">
        <w:trPr>
          <w:trHeight w:val="556"/>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rsidR="009F0A25" w:rsidRPr="00F76E85" w:rsidRDefault="009F0A25" w:rsidP="007730AA">
            <w:pPr>
              <w:spacing w:before="0" w:after="0" w:line="276" w:lineRule="auto"/>
              <w:ind w:firstLine="41"/>
              <w:jc w:val="left"/>
              <w:rPr>
                <w:rFonts w:cs="GHEA Grapalat"/>
                <w:color w:val="000000"/>
                <w:sz w:val="18"/>
                <w:szCs w:val="18"/>
              </w:rPr>
            </w:pPr>
            <w:r w:rsidRPr="00F76E85">
              <w:rPr>
                <w:rFonts w:cs="GHEA Grapalat"/>
                <w:color w:val="000000"/>
                <w:sz w:val="18"/>
                <w:szCs w:val="18"/>
              </w:rPr>
              <w:t>Շահութահարկի կանխավճարների համակարգի բարեփոխում և 2020թ.-ի երկրորդ եռամսյակի համար հարկատուներին շահութահարկի կանխավճարների վճարումից ազատում</w:t>
            </w:r>
          </w:p>
        </w:tc>
        <w:tc>
          <w:tcPr>
            <w:tcW w:w="2842"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Հարկային եկամուտների նվազում</w:t>
            </w:r>
          </w:p>
        </w:tc>
        <w:tc>
          <w:tcPr>
            <w:tcW w:w="2570"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2020թ. հարկատուների ընթացիկ իրավցելիության խնդիրների մեղմում և շահութահարկի՝ որպես հակապարբերաշրջանային ազդեցության գործիքի դերի մեծացում</w:t>
            </w:r>
          </w:p>
        </w:tc>
      </w:tr>
    </w:tbl>
    <w:p w:rsidR="009F0A25" w:rsidRPr="001A41E1" w:rsidRDefault="009F0A25" w:rsidP="007730AA">
      <w:pPr>
        <w:spacing w:before="0" w:line="276" w:lineRule="auto"/>
        <w:rPr>
          <w:rFonts w:cs="Sylfaen"/>
          <w:b w:val="0"/>
          <w:bCs/>
          <w:color w:val="000000"/>
          <w:szCs w:val="22"/>
          <w:lang w:val="hy-AM"/>
        </w:rPr>
      </w:pPr>
    </w:p>
    <w:p w:rsidR="009F0A25" w:rsidRPr="00F76E85" w:rsidRDefault="009F0A25" w:rsidP="007730AA">
      <w:pPr>
        <w:spacing w:before="0" w:line="276" w:lineRule="auto"/>
        <w:ind w:firstLine="284"/>
        <w:rPr>
          <w:rFonts w:eastAsia="GHEA Grapalat" w:cs="GHEA Grapalat"/>
          <w:b w:val="0"/>
          <w:color w:val="000000"/>
          <w:szCs w:val="22"/>
          <w:lang w:val="hy-AM"/>
        </w:rPr>
      </w:pPr>
      <w:r w:rsidRPr="00F76E85">
        <w:rPr>
          <w:rFonts w:eastAsia="GHEA Grapalat" w:cs="GHEA Grapalat"/>
          <w:b w:val="0"/>
          <w:color w:val="000000"/>
          <w:szCs w:val="22"/>
          <w:lang w:val="hy-AM"/>
        </w:rPr>
        <w:t>Վերոնշյալ միջոցառումների իրականացումը նպաստում է մասնավոր սպառման և ներդրումների վերականգնմանը, ինչի արդյունքում զբաղվածության և իրական աշխատավարձի անկումը լինում է ավելի փոքր, տնտեսական աճի անկումը մեղմվում է մոտ 2.2 տոկոսային կետով և տնտեսության վերականգնումը տեղի է ունենում ավելի արագ:</w:t>
      </w:r>
    </w:p>
    <w:p w:rsidR="00CF2B2C" w:rsidRPr="00CF2B2C" w:rsidRDefault="00CF2B2C" w:rsidP="00CF2B2C">
      <w:pPr>
        <w:keepNext/>
        <w:keepLines/>
        <w:spacing w:before="240" w:after="60" w:line="276" w:lineRule="auto"/>
        <w:ind w:firstLine="0"/>
        <w:outlineLvl w:val="2"/>
        <w:rPr>
          <w:bCs/>
          <w:sz w:val="28"/>
          <w:szCs w:val="28"/>
          <w:lang w:val="hy-AM" w:eastAsia="en-US"/>
        </w:rPr>
      </w:pPr>
      <w:bookmarkStart w:id="38" w:name="_Toc46154348"/>
      <w:bookmarkStart w:id="39" w:name="_Toc51360534"/>
      <w:bookmarkStart w:id="40" w:name="_Toc51947417"/>
      <w:bookmarkStart w:id="41" w:name="_Toc52452090"/>
      <w:bookmarkStart w:id="42" w:name="_Toc57559417"/>
      <w:bookmarkStart w:id="43" w:name="_Toc57655450"/>
      <w:r w:rsidRPr="00CF2B2C">
        <w:rPr>
          <w:bCs/>
          <w:sz w:val="28"/>
          <w:szCs w:val="28"/>
          <w:lang w:val="hy-AM" w:eastAsia="en-US"/>
        </w:rPr>
        <w:lastRenderedPageBreak/>
        <w:t>1.6. ՄԱԿՐՈՏՆՏԵՍԱԿԱՆ ԿԱՆԽԱՏԵՍՈՒՄՆԵՐԻ ՌԻՍԿԵՐԸ</w:t>
      </w:r>
      <w:bookmarkEnd w:id="38"/>
      <w:bookmarkEnd w:id="39"/>
      <w:bookmarkEnd w:id="40"/>
      <w:bookmarkEnd w:id="41"/>
      <w:bookmarkEnd w:id="42"/>
      <w:bookmarkEnd w:id="43"/>
    </w:p>
    <w:p w:rsidR="00CF2B2C" w:rsidRPr="00CF2B2C" w:rsidRDefault="00CF2B2C" w:rsidP="00CF2B2C">
      <w:pPr>
        <w:tabs>
          <w:tab w:val="left" w:pos="9356"/>
        </w:tabs>
        <w:spacing w:before="0" w:after="120" w:line="276" w:lineRule="auto"/>
        <w:ind w:right="111" w:firstLine="360"/>
        <w:contextualSpacing w:val="0"/>
        <w:rPr>
          <w:rFonts w:eastAsia="Calibri"/>
          <w:b w:val="0"/>
          <w:szCs w:val="22"/>
          <w:lang w:val="hy-AM" w:eastAsia="en-US"/>
        </w:rPr>
      </w:pPr>
      <w:r w:rsidRPr="00CF2B2C">
        <w:rPr>
          <w:rFonts w:eastAsia="Calibri"/>
          <w:b w:val="0"/>
          <w:szCs w:val="22"/>
          <w:lang w:val="es-ES" w:eastAsia="en-U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CF2B2C">
        <w:rPr>
          <w:rFonts w:eastAsia="Calibri"/>
          <w:b w:val="0"/>
          <w:szCs w:val="22"/>
          <w:lang w:val="hy-AM" w:eastAsia="en-US"/>
        </w:rPr>
        <w:t xml:space="preserve"> </w:t>
      </w:r>
      <w:r w:rsidRPr="00CF2B2C">
        <w:rPr>
          <w:rFonts w:eastAsia="Calibri"/>
          <w:b w:val="0"/>
          <w:szCs w:val="22"/>
          <w:lang w:val="es-ES" w:eastAsia="en-US"/>
        </w:rPr>
        <w:t>կանխատեսումների համեմատ:</w:t>
      </w:r>
      <w:r w:rsidRPr="00CF2B2C">
        <w:rPr>
          <w:rFonts w:eastAsia="Calibri"/>
          <w:b w:val="0"/>
          <w:szCs w:val="22"/>
          <w:lang w:val="hy-AM" w:eastAsia="en-US"/>
        </w:rPr>
        <w:t xml:space="preserve"> Ռիսկերի տեղի ունենալու դեպքում շեղումներ կարձանագրվեն սույն փաստաթղթի 1.4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w:t>
      </w:r>
    </w:p>
    <w:p w:rsidR="00CF2B2C" w:rsidRPr="00CF2B2C" w:rsidRDefault="00CF2B2C" w:rsidP="00CF2B2C">
      <w:pPr>
        <w:tabs>
          <w:tab w:val="left" w:pos="9356"/>
        </w:tabs>
        <w:spacing w:before="0" w:after="120" w:line="276" w:lineRule="auto"/>
        <w:ind w:right="111" w:firstLine="360"/>
        <w:contextualSpacing w:val="0"/>
        <w:rPr>
          <w:rFonts w:eastAsia="Calibri" w:cs="Sylfaen"/>
          <w:b w:val="0"/>
          <w:szCs w:val="22"/>
          <w:lang w:val="hy-AM" w:eastAsia="en-US"/>
        </w:rPr>
      </w:pPr>
      <w:r w:rsidRPr="00CF2B2C">
        <w:rPr>
          <w:rFonts w:eastAsia="Calibri"/>
          <w:b w:val="0"/>
          <w:szCs w:val="22"/>
          <w:lang w:val="hy-AM" w:eastAsia="en-US"/>
        </w:rPr>
        <w:t>Պետք է նշել, որ համաշխարհային տնտեսության զարգացման ընթացքը մեծապես կախված է COVID-19 համավարակի հաղթահարմանն ուղղված առողջապահական միջոցառումներից։ Այս պայմաններում, անորոշության մեծ աստիճանից ելնելով՝ ինչպես աշխարհի և ՀՀ գործընկերների, այնպես էլ ՀՀ տնտեսական աճի կանխատեսումներում առկա են դեպի ներքև ռիսկեր։</w:t>
      </w:r>
    </w:p>
    <w:p w:rsidR="00CF2B2C" w:rsidRPr="00CF2B2C" w:rsidRDefault="00CF2B2C" w:rsidP="00CF2B2C">
      <w:pPr>
        <w:numPr>
          <w:ilvl w:val="0"/>
          <w:numId w:val="59"/>
        </w:numPr>
        <w:spacing w:before="40" w:after="120" w:line="276" w:lineRule="auto"/>
        <w:ind w:right="540"/>
        <w:contextualSpacing w:val="0"/>
        <w:jc w:val="left"/>
        <w:rPr>
          <w:rFonts w:ascii="Calibri" w:eastAsia="Calibri" w:hAnsi="Calibri"/>
          <w:b w:val="0"/>
          <w:sz w:val="24"/>
          <w:lang w:val="hy-AM" w:eastAsia="en-US"/>
        </w:rPr>
      </w:pPr>
      <w:r w:rsidRPr="00CF2B2C">
        <w:rPr>
          <w:rFonts w:eastAsia="Calibri" w:cs="Sylfaen"/>
          <w:bCs/>
          <w:szCs w:val="22"/>
          <w:lang w:val="hy-AM" w:eastAsia="en-US"/>
        </w:rPr>
        <w:t>ՀՀ</w:t>
      </w:r>
      <w:r w:rsidRPr="00CF2B2C">
        <w:rPr>
          <w:rFonts w:eastAsia="Calibri"/>
          <w:bCs/>
          <w:szCs w:val="22"/>
          <w:lang w:val="hy-AM" w:eastAsia="en-US"/>
        </w:rPr>
        <w:t xml:space="preserve"> </w:t>
      </w:r>
      <w:r w:rsidRPr="00CF2B2C">
        <w:rPr>
          <w:rFonts w:eastAsia="Calibri" w:cs="Sylfaen"/>
          <w:bCs/>
          <w:szCs w:val="22"/>
          <w:lang w:val="hy-AM" w:eastAsia="en-US"/>
        </w:rPr>
        <w:t>տնտեսական</w:t>
      </w:r>
      <w:r w:rsidRPr="00CF2B2C">
        <w:rPr>
          <w:rFonts w:eastAsia="Calibri"/>
          <w:bCs/>
          <w:szCs w:val="22"/>
          <w:lang w:val="hy-AM" w:eastAsia="en-US"/>
        </w:rPr>
        <w:t xml:space="preserve"> </w:t>
      </w:r>
      <w:r w:rsidRPr="00CF2B2C">
        <w:rPr>
          <w:rFonts w:eastAsia="Calibri" w:cs="Sylfaen"/>
          <w:bCs/>
          <w:szCs w:val="22"/>
          <w:lang w:val="hy-AM" w:eastAsia="en-US"/>
        </w:rPr>
        <w:t>աճի</w:t>
      </w:r>
      <w:r w:rsidRPr="00CF2B2C">
        <w:rPr>
          <w:rFonts w:eastAsia="Calibri"/>
          <w:bCs/>
          <w:szCs w:val="22"/>
          <w:lang w:val="hy-AM" w:eastAsia="en-US"/>
        </w:rPr>
        <w:t xml:space="preserve"> </w:t>
      </w:r>
      <w:r w:rsidRPr="00CF2B2C">
        <w:rPr>
          <w:rFonts w:eastAsia="Calibri" w:cs="Sylfaen"/>
          <w:bCs/>
          <w:szCs w:val="22"/>
          <w:lang w:val="hy-AM" w:eastAsia="en-US"/>
        </w:rPr>
        <w:t>դեպի</w:t>
      </w:r>
      <w:r w:rsidRPr="00CF2B2C">
        <w:rPr>
          <w:rFonts w:eastAsia="Calibri"/>
          <w:bCs/>
          <w:szCs w:val="22"/>
          <w:lang w:val="hy-AM" w:eastAsia="en-US"/>
        </w:rPr>
        <w:t xml:space="preserve"> </w:t>
      </w:r>
      <w:r w:rsidRPr="00CF2B2C">
        <w:rPr>
          <w:rFonts w:eastAsia="Calibri" w:cs="Sylfaen"/>
          <w:bCs/>
          <w:szCs w:val="22"/>
          <w:lang w:val="hy-AM" w:eastAsia="en-US"/>
        </w:rPr>
        <w:t>ներքև</w:t>
      </w:r>
      <w:r w:rsidRPr="00CF2B2C">
        <w:rPr>
          <w:rFonts w:eastAsia="Calibri"/>
          <w:bCs/>
          <w:szCs w:val="22"/>
          <w:lang w:val="hy-AM" w:eastAsia="en-US"/>
        </w:rPr>
        <w:t xml:space="preserve"> </w:t>
      </w:r>
      <w:r w:rsidRPr="00CF2B2C">
        <w:rPr>
          <w:rFonts w:eastAsia="Calibri" w:cs="Sylfaen"/>
          <w:bCs/>
          <w:szCs w:val="22"/>
          <w:lang w:val="hy-AM" w:eastAsia="en-US"/>
        </w:rPr>
        <w:t>ուղղությամբ</w:t>
      </w:r>
      <w:r w:rsidRPr="00CF2B2C">
        <w:rPr>
          <w:rFonts w:eastAsia="Calibri"/>
          <w:bCs/>
          <w:szCs w:val="22"/>
          <w:lang w:val="hy-AM" w:eastAsia="en-US"/>
        </w:rPr>
        <w:t xml:space="preserve"> </w:t>
      </w:r>
      <w:r w:rsidRPr="00CF2B2C">
        <w:rPr>
          <w:rFonts w:eastAsia="Calibri" w:cs="Sylfaen"/>
          <w:bCs/>
          <w:szCs w:val="22"/>
          <w:lang w:val="hy-AM" w:eastAsia="en-US"/>
        </w:rPr>
        <w:t>ռիսկեր՝</w:t>
      </w:r>
    </w:p>
    <w:p w:rsidR="00CF2B2C" w:rsidRPr="00CF2B2C" w:rsidRDefault="00CF2B2C" w:rsidP="00CF2B2C">
      <w:pPr>
        <w:numPr>
          <w:ilvl w:val="0"/>
          <w:numId w:val="57"/>
        </w:numPr>
        <w:spacing w:before="40" w:after="120" w:line="276" w:lineRule="auto"/>
        <w:ind w:left="850" w:right="111" w:hanging="357"/>
        <w:contextualSpacing w:val="0"/>
        <w:rPr>
          <w:rFonts w:eastAsia="Calibri" w:cs="Sylfaen"/>
          <w:b w:val="0"/>
          <w:bCs/>
          <w:szCs w:val="22"/>
          <w:lang w:val="hy-AM" w:eastAsia="en-US"/>
        </w:rPr>
      </w:pPr>
      <w:r w:rsidRPr="00CF2B2C">
        <w:rPr>
          <w:rFonts w:eastAsia="Calibri" w:cs="Sylfaen"/>
          <w:b w:val="0"/>
          <w:bCs/>
          <w:szCs w:val="22"/>
          <w:lang w:val="hy-AM" w:eastAsia="en-US"/>
        </w:rPr>
        <w:t>Արտաքին միջավայրից բխող դեպի ներքև ռիսկերը կապված են համաշխարհային տնտեսական ավելի խորը անկման և</w:t>
      </w:r>
      <w:r w:rsidRPr="00CF2B2C">
        <w:rPr>
          <w:rFonts w:eastAsia="Calibri" w:cs="Sylfaen"/>
          <w:b w:val="0"/>
          <w:bCs/>
          <w:szCs w:val="22"/>
          <w:lang w:val="es-ES" w:eastAsia="en-US"/>
        </w:rPr>
        <w:t xml:space="preserve"> </w:t>
      </w:r>
      <w:r w:rsidRPr="00CF2B2C">
        <w:rPr>
          <w:rFonts w:eastAsia="Calibri" w:cs="Sylfaen"/>
          <w:b w:val="0"/>
          <w:bCs/>
          <w:szCs w:val="22"/>
          <w:lang w:val="hy-AM" w:eastAsia="en-US"/>
        </w:rPr>
        <w:t>կորոնավիրուսի համավարակի երկրորդ ալիքի տարածման ու նոր հնարավոր սահմանափակումների կիրառման հետևանքով տնտեսական կորուստների, երկրների սահմանների բացման և փոխադրումների սահմանափակումների վերացման ընթացքի անորոշությունների, ինչպես</w:t>
      </w:r>
      <w:r w:rsidRPr="00CF2B2C">
        <w:rPr>
          <w:rFonts w:eastAsia="Calibri" w:cs="Sylfaen"/>
          <w:b w:val="0"/>
          <w:bCs/>
          <w:szCs w:val="22"/>
          <w:lang w:val="es-ES" w:eastAsia="en-US"/>
        </w:rPr>
        <w:t xml:space="preserve"> </w:t>
      </w:r>
      <w:r w:rsidRPr="00CF2B2C">
        <w:rPr>
          <w:rFonts w:eastAsia="Calibri" w:cs="Sylfaen"/>
          <w:b w:val="0"/>
          <w:bCs/>
          <w:szCs w:val="22"/>
          <w:lang w:val="hy-AM" w:eastAsia="en-US"/>
        </w:rPr>
        <w:t>նաև</w:t>
      </w:r>
      <w:r w:rsidRPr="00CF2B2C">
        <w:rPr>
          <w:rFonts w:eastAsia="Calibri" w:cs="Sylfaen"/>
          <w:b w:val="0"/>
          <w:bCs/>
          <w:szCs w:val="22"/>
          <w:lang w:val="es-ES" w:eastAsia="en-US"/>
        </w:rPr>
        <w:t xml:space="preserve"> </w:t>
      </w:r>
      <w:r w:rsidRPr="00CF2B2C">
        <w:rPr>
          <w:rFonts w:eastAsia="Calibri" w:cs="Sylfaen"/>
          <w:b w:val="0"/>
          <w:bCs/>
          <w:szCs w:val="22"/>
          <w:lang w:val="hy-AM" w:eastAsia="en-US"/>
        </w:rPr>
        <w:t xml:space="preserve">հումքային ապրանքների գների ոչ բարենպաստ տատանումների հետ։ </w:t>
      </w:r>
    </w:p>
    <w:p w:rsidR="00CF2B2C" w:rsidRPr="00CF2B2C" w:rsidRDefault="00CF2B2C" w:rsidP="00CF2B2C">
      <w:pPr>
        <w:numPr>
          <w:ilvl w:val="0"/>
          <w:numId w:val="57"/>
        </w:numPr>
        <w:spacing w:before="40" w:after="120" w:line="276" w:lineRule="auto"/>
        <w:ind w:left="850" w:right="111" w:hanging="357"/>
        <w:contextualSpacing w:val="0"/>
        <w:rPr>
          <w:rFonts w:ascii="Calibri" w:eastAsia="Calibri" w:hAnsi="Calibri" w:cs="Sylfaen"/>
          <w:b w:val="0"/>
          <w:sz w:val="24"/>
          <w:lang w:val="it-IT" w:eastAsia="en-US"/>
        </w:rPr>
      </w:pPr>
      <w:r w:rsidRPr="00CF2B2C">
        <w:rPr>
          <w:rFonts w:eastAsia="Calibri" w:cs="Sylfaen"/>
          <w:b w:val="0"/>
          <w:szCs w:val="22"/>
          <w:lang w:val="hy-AM" w:eastAsia="en-US"/>
        </w:rPr>
        <w:t>Ներքին միջավայրից բխող դեպի ներքև ռիսկերը կապված են ՀՀ-ում</w:t>
      </w:r>
      <w:r w:rsidRPr="00CF2B2C">
        <w:rPr>
          <w:rFonts w:eastAsia="Calibri" w:cs="Sylfaen"/>
          <w:i/>
          <w:szCs w:val="22"/>
          <w:lang w:val="hy-AM" w:eastAsia="en-US"/>
        </w:rPr>
        <w:t xml:space="preserve"> </w:t>
      </w:r>
      <w:r w:rsidRPr="00CF2B2C">
        <w:rPr>
          <w:rFonts w:eastAsia="Calibri" w:cs="Sylfaen"/>
          <w:b w:val="0"/>
          <w:szCs w:val="22"/>
          <w:lang w:val="hy-AM" w:eastAsia="en-US"/>
        </w:rPr>
        <w:t xml:space="preserve">կորոնավիրուսի համավարակի տարածման անորոշությունների, երկրորդ ալիքի </w:t>
      </w:r>
      <w:bookmarkStart w:id="44" w:name="_Hlk57326882"/>
      <w:r w:rsidRPr="00CF2B2C">
        <w:rPr>
          <w:rFonts w:eastAsia="Calibri" w:cs="Sylfaen"/>
          <w:b w:val="0"/>
          <w:szCs w:val="22"/>
          <w:lang w:val="hy-AM" w:eastAsia="en-US"/>
        </w:rPr>
        <w:t>հետևանքով հետագա տնտեսական կորուստների</w:t>
      </w:r>
      <w:bookmarkEnd w:id="44"/>
      <w:r w:rsidRPr="00CF2B2C">
        <w:rPr>
          <w:rFonts w:eastAsia="Calibri" w:cs="Sylfaen"/>
          <w:b w:val="0"/>
          <w:szCs w:val="22"/>
          <w:lang w:val="hy-AM" w:eastAsia="en-US"/>
        </w:rPr>
        <w:t>, ՀՀ կառավարության աջակցության փաթեթների (մասնավորապես ներդրումների խթանմանն ուղղված՝ 80 մլրդ դրամ փաթեթի) ազդեցության ավելի դանդաղ դրսևորման, ՀՀ կառավարության կառուցվածքային</w:t>
      </w:r>
      <w:r w:rsidRPr="00CF2B2C">
        <w:rPr>
          <w:rFonts w:eastAsia="Calibri" w:cs="Sylfaen"/>
          <w:b w:val="0"/>
          <w:szCs w:val="22"/>
          <w:lang w:val="it-IT" w:eastAsia="en-US"/>
        </w:rPr>
        <w:t xml:space="preserve"> </w:t>
      </w:r>
      <w:r w:rsidRPr="00CF2B2C">
        <w:rPr>
          <w:rFonts w:eastAsia="Calibri" w:cs="Sylfaen"/>
          <w:b w:val="0"/>
          <w:szCs w:val="22"/>
          <w:lang w:val="hy-AM" w:eastAsia="en-US"/>
        </w:rPr>
        <w:t xml:space="preserve">բարեփոխումների և ներդրումների խթանման քաղաքականության ակնկալվող արդյունքների սպասվածից ավելի ուշ արտահայտման </w:t>
      </w:r>
      <w:r w:rsidRPr="00CF2B2C">
        <w:rPr>
          <w:rFonts w:eastAsia="Calibri" w:cs="Sylfaen"/>
          <w:b w:val="0"/>
          <w:szCs w:val="22"/>
          <w:lang w:val="it-IT" w:eastAsia="en-US"/>
        </w:rPr>
        <w:t>հետ:</w:t>
      </w:r>
    </w:p>
    <w:p w:rsidR="00CF2B2C" w:rsidRPr="00CF2B2C" w:rsidRDefault="00CF2B2C" w:rsidP="00CF2B2C">
      <w:pPr>
        <w:numPr>
          <w:ilvl w:val="0"/>
          <w:numId w:val="57"/>
        </w:numPr>
        <w:spacing w:before="40" w:after="120" w:line="276" w:lineRule="auto"/>
        <w:ind w:left="850" w:right="111" w:hanging="357"/>
        <w:contextualSpacing w:val="0"/>
        <w:rPr>
          <w:rFonts w:ascii="Calibri" w:eastAsia="Calibri" w:hAnsi="Calibri" w:cs="Sylfaen"/>
          <w:b w:val="0"/>
          <w:sz w:val="24"/>
          <w:lang w:val="it-IT" w:eastAsia="en-US"/>
        </w:rPr>
      </w:pPr>
      <w:r w:rsidRPr="00CF2B2C">
        <w:rPr>
          <w:rFonts w:eastAsia="Calibri" w:cs="Sylfaen"/>
          <w:b w:val="0"/>
          <w:szCs w:val="22"/>
          <w:lang w:val="hy-AM" w:eastAsia="en-US"/>
        </w:rPr>
        <w:t xml:space="preserve">Դեպի ներքև ռիսկեր կարող են առաջանալ </w:t>
      </w:r>
      <w:bookmarkStart w:id="45" w:name="_Hlk57326638"/>
      <w:r w:rsidRPr="00CF2B2C">
        <w:rPr>
          <w:rFonts w:eastAsia="Calibri" w:cs="Sylfaen"/>
          <w:b w:val="0"/>
          <w:szCs w:val="22"/>
          <w:lang w:val="it-IT" w:eastAsia="en-US"/>
        </w:rPr>
        <w:t xml:space="preserve">Արցախյան պատերազմի հետագա </w:t>
      </w:r>
      <w:r w:rsidRPr="00CF2B2C">
        <w:rPr>
          <w:rFonts w:eastAsia="Calibri" w:cs="Sylfaen"/>
          <w:b w:val="0"/>
          <w:szCs w:val="22"/>
          <w:lang w:val="hy-AM" w:eastAsia="en-US"/>
        </w:rPr>
        <w:t xml:space="preserve">սոցիալ-տնտեսական </w:t>
      </w:r>
      <w:r w:rsidRPr="00CF2B2C">
        <w:rPr>
          <w:rFonts w:eastAsia="Calibri" w:cs="Sylfaen"/>
          <w:b w:val="0"/>
          <w:szCs w:val="22"/>
          <w:lang w:val="it-IT" w:eastAsia="en-US"/>
        </w:rPr>
        <w:t xml:space="preserve">ազդեցությունների, </w:t>
      </w:r>
      <w:r w:rsidRPr="00CF2B2C">
        <w:rPr>
          <w:rFonts w:eastAsia="Calibri" w:cs="Sylfaen"/>
          <w:b w:val="0"/>
          <w:szCs w:val="22"/>
          <w:lang w:val="hy-AM" w:eastAsia="en-US"/>
        </w:rPr>
        <w:t>ինչպես նաև   Արցախյան հակամարտության</w:t>
      </w:r>
      <w:r w:rsidRPr="00CF2B2C">
        <w:rPr>
          <w:rFonts w:eastAsia="Calibri" w:cs="Sylfaen"/>
          <w:b w:val="0"/>
          <w:szCs w:val="22"/>
          <w:lang w:val="it-IT" w:eastAsia="en-US"/>
        </w:rPr>
        <w:t xml:space="preserve"> հետ կապված</w:t>
      </w:r>
      <w:r w:rsidRPr="00CF2B2C">
        <w:rPr>
          <w:rFonts w:eastAsia="Calibri" w:cs="Sylfaen"/>
          <w:b w:val="0"/>
          <w:szCs w:val="22"/>
          <w:lang w:val="hy-AM" w:eastAsia="en-US"/>
        </w:rPr>
        <w:t xml:space="preserve"> անորոշություններից</w:t>
      </w:r>
      <w:r w:rsidRPr="00CF2B2C">
        <w:rPr>
          <w:rFonts w:eastAsia="Calibri" w:cs="Sylfaen"/>
          <w:b w:val="0"/>
          <w:szCs w:val="22"/>
          <w:lang w:val="it-IT" w:eastAsia="en-US"/>
        </w:rPr>
        <w:t>:</w:t>
      </w:r>
    </w:p>
    <w:bookmarkEnd w:id="45"/>
    <w:p w:rsidR="00CF2B2C" w:rsidRPr="00CF2B2C" w:rsidRDefault="00CF2B2C" w:rsidP="00CF2B2C">
      <w:pPr>
        <w:numPr>
          <w:ilvl w:val="0"/>
          <w:numId w:val="59"/>
        </w:numPr>
        <w:spacing w:before="40" w:after="120" w:line="276" w:lineRule="auto"/>
        <w:ind w:right="111"/>
        <w:contextualSpacing w:val="0"/>
        <w:jc w:val="left"/>
        <w:rPr>
          <w:rFonts w:ascii="Calibri" w:eastAsia="Calibri" w:hAnsi="Calibri"/>
          <w:b w:val="0"/>
          <w:sz w:val="24"/>
          <w:lang w:val="it-IT" w:eastAsia="en-US"/>
        </w:rPr>
      </w:pPr>
      <w:r w:rsidRPr="00CF2B2C">
        <w:rPr>
          <w:rFonts w:eastAsia="Calibri" w:cs="Sylfaen"/>
          <w:bCs/>
          <w:szCs w:val="22"/>
          <w:lang w:val="hy-AM" w:eastAsia="en-US"/>
        </w:rPr>
        <w:t>Տնտեսական</w:t>
      </w:r>
      <w:r w:rsidRPr="00CF2B2C">
        <w:rPr>
          <w:rFonts w:eastAsia="Calibri"/>
          <w:bCs/>
          <w:szCs w:val="22"/>
          <w:lang w:val="hy-AM" w:eastAsia="en-US"/>
        </w:rPr>
        <w:t xml:space="preserve"> </w:t>
      </w:r>
      <w:r w:rsidRPr="00CF2B2C">
        <w:rPr>
          <w:rFonts w:eastAsia="Calibri" w:cs="Sylfaen"/>
          <w:bCs/>
          <w:szCs w:val="22"/>
          <w:lang w:val="hy-AM" w:eastAsia="en-US"/>
        </w:rPr>
        <w:t>աճի</w:t>
      </w:r>
      <w:r w:rsidRPr="00CF2B2C">
        <w:rPr>
          <w:rFonts w:eastAsia="Calibri"/>
          <w:bCs/>
          <w:szCs w:val="22"/>
          <w:lang w:val="hy-AM" w:eastAsia="en-US"/>
        </w:rPr>
        <w:t xml:space="preserve"> </w:t>
      </w:r>
      <w:r w:rsidRPr="00CF2B2C">
        <w:rPr>
          <w:rFonts w:eastAsia="Calibri" w:cs="Sylfaen"/>
          <w:bCs/>
          <w:szCs w:val="22"/>
          <w:lang w:val="hy-AM" w:eastAsia="en-US"/>
        </w:rPr>
        <w:t>դեպի</w:t>
      </w:r>
      <w:r w:rsidRPr="00CF2B2C">
        <w:rPr>
          <w:rFonts w:eastAsia="Calibri"/>
          <w:bCs/>
          <w:szCs w:val="22"/>
          <w:lang w:val="hy-AM" w:eastAsia="en-US"/>
        </w:rPr>
        <w:t xml:space="preserve"> </w:t>
      </w:r>
      <w:r w:rsidRPr="00CF2B2C">
        <w:rPr>
          <w:rFonts w:eastAsia="Calibri" w:cs="Sylfaen"/>
          <w:bCs/>
          <w:szCs w:val="22"/>
          <w:lang w:val="hy-AM" w:eastAsia="en-US"/>
        </w:rPr>
        <w:t>վերև</w:t>
      </w:r>
      <w:r w:rsidRPr="00CF2B2C">
        <w:rPr>
          <w:rFonts w:eastAsia="Calibri"/>
          <w:bCs/>
          <w:szCs w:val="22"/>
          <w:lang w:val="it-IT" w:eastAsia="en-US"/>
        </w:rPr>
        <w:t xml:space="preserve"> </w:t>
      </w:r>
      <w:r w:rsidRPr="00CF2B2C">
        <w:rPr>
          <w:rFonts w:eastAsia="Calibri" w:cs="Sylfaen"/>
          <w:bCs/>
          <w:szCs w:val="22"/>
          <w:lang w:val="en-US" w:eastAsia="en-US"/>
        </w:rPr>
        <w:t>ուղղությամբ</w:t>
      </w:r>
      <w:r w:rsidRPr="00CF2B2C">
        <w:rPr>
          <w:rFonts w:eastAsia="Calibri"/>
          <w:bCs/>
          <w:szCs w:val="22"/>
          <w:lang w:val="it-IT" w:eastAsia="en-US"/>
        </w:rPr>
        <w:t xml:space="preserve"> </w:t>
      </w:r>
      <w:r w:rsidRPr="00CF2B2C">
        <w:rPr>
          <w:rFonts w:eastAsia="Calibri" w:cs="Sylfaen"/>
          <w:bCs/>
          <w:szCs w:val="22"/>
          <w:lang w:val="en-US" w:eastAsia="en-US"/>
        </w:rPr>
        <w:t>ռիսկեր</w:t>
      </w:r>
      <w:r w:rsidRPr="00CF2B2C">
        <w:rPr>
          <w:rFonts w:eastAsia="Calibri" w:cs="Sylfaen"/>
          <w:bCs/>
          <w:szCs w:val="22"/>
          <w:lang w:val="hy-AM" w:eastAsia="en-US"/>
        </w:rPr>
        <w:t>՝</w:t>
      </w:r>
      <w:r w:rsidRPr="00CF2B2C">
        <w:rPr>
          <w:rFonts w:eastAsia="Calibri"/>
          <w:bCs/>
          <w:szCs w:val="22"/>
          <w:lang w:val="it-IT" w:eastAsia="en-US"/>
        </w:rPr>
        <w:t xml:space="preserve"> </w:t>
      </w:r>
    </w:p>
    <w:p w:rsidR="00CF2B2C" w:rsidRPr="00CF2B2C" w:rsidRDefault="00CF2B2C" w:rsidP="00CF2B2C">
      <w:pPr>
        <w:spacing w:before="0" w:after="120" w:line="276" w:lineRule="auto"/>
        <w:ind w:right="111" w:firstLine="227"/>
        <w:rPr>
          <w:rFonts w:eastAsia="Calibri" w:cs="Sylfaen"/>
          <w:b w:val="0"/>
          <w:szCs w:val="22"/>
          <w:lang w:val="hy-AM" w:eastAsia="en-US"/>
        </w:rPr>
      </w:pPr>
      <w:r w:rsidRPr="00CF2B2C">
        <w:rPr>
          <w:rFonts w:eastAsia="Calibri" w:cs="Sylfaen"/>
          <w:b w:val="0"/>
          <w:szCs w:val="22"/>
          <w:lang w:val="hy-AM" w:eastAsia="en-US"/>
        </w:rPr>
        <w:t xml:space="preserve">երքին միջավայրից բխող դեպի վերև ռիսկերը կապված են տնտեսության վերականգմանը </w:t>
      </w:r>
      <w:r w:rsidRPr="00CF2B2C">
        <w:rPr>
          <w:rFonts w:eastAsia="Calibri" w:cs="Sylfaen"/>
          <w:b w:val="0"/>
          <w:szCs w:val="22"/>
          <w:lang w:val="it-IT" w:eastAsia="en-US"/>
        </w:rPr>
        <w:t>(</w:t>
      </w:r>
      <w:r w:rsidRPr="00CF2B2C">
        <w:rPr>
          <w:rFonts w:eastAsia="Calibri" w:cs="Sylfaen"/>
          <w:b w:val="0"/>
          <w:szCs w:val="22"/>
          <w:lang w:val="hy-AM" w:eastAsia="en-US"/>
        </w:rPr>
        <w:t>մասնավորապես՝ արտահանման և ներդրումների խթանման ուղղությամբ</w:t>
      </w:r>
      <w:r w:rsidRPr="00CF2B2C">
        <w:rPr>
          <w:rFonts w:eastAsia="Calibri" w:cs="Sylfaen"/>
          <w:b w:val="0"/>
          <w:szCs w:val="22"/>
          <w:lang w:val="it-IT" w:eastAsia="en-US"/>
        </w:rPr>
        <w:t>)</w:t>
      </w:r>
      <w:r w:rsidRPr="00CF2B2C">
        <w:rPr>
          <w:rFonts w:eastAsia="Calibri" w:cs="Sylfaen"/>
          <w:b w:val="0"/>
          <w:szCs w:val="22"/>
          <w:lang w:val="hy-AM" w:eastAsia="en-US"/>
        </w:rPr>
        <w:t xml:space="preserve"> և Արցախյան պատերազմի բացասական սոցիալ-տնտեսական հետևանքների մեղմանն ուղղված ՀՀ կառավարության միջոցառումների հետ, ։ </w:t>
      </w:r>
    </w:p>
    <w:p w:rsidR="00CF2B2C" w:rsidRPr="00CF2B2C" w:rsidRDefault="00CF2B2C" w:rsidP="00CF2B2C">
      <w:pPr>
        <w:spacing w:before="0" w:line="276" w:lineRule="auto"/>
        <w:ind w:right="111" w:firstLine="426"/>
        <w:rPr>
          <w:rFonts w:eastAsia="Calibri" w:cs="Sylfaen"/>
          <w:b w:val="0"/>
          <w:bCs/>
          <w:szCs w:val="22"/>
          <w:lang w:val="hy-AM" w:eastAsia="en-US"/>
        </w:rPr>
      </w:pPr>
      <w:r w:rsidRPr="00CF2B2C">
        <w:rPr>
          <w:rFonts w:eastAsia="Calibri" w:cs="Sylfaen"/>
          <w:b w:val="0"/>
          <w:bCs/>
          <w:szCs w:val="22"/>
          <w:lang w:val="hy-AM" w:eastAsia="en-US"/>
        </w:rPr>
        <w:t>Տնտեսական աճի ռիսկերը ներկայացված են ներքոնշյալ Գծապատկեր 1.32-ում և Աղյուսակ 1.4-ում:</w:t>
      </w:r>
    </w:p>
    <w:p w:rsidR="00CF2B2C" w:rsidRPr="00CF2B2C" w:rsidRDefault="00CF2B2C" w:rsidP="00CF2B2C">
      <w:pPr>
        <w:spacing w:before="0" w:line="276" w:lineRule="auto"/>
        <w:ind w:right="111" w:firstLine="426"/>
        <w:rPr>
          <w:rFonts w:eastAsia="Calibri" w:cs="Sylfaen"/>
          <w:b w:val="0"/>
          <w:bCs/>
          <w:szCs w:val="22"/>
          <w:highlight w:val="yellow"/>
          <w:lang w:val="hy-AM" w:eastAsia="en-US"/>
        </w:rPr>
      </w:pPr>
    </w:p>
    <w:p w:rsidR="00CF2B2C" w:rsidRPr="00CF2B2C" w:rsidRDefault="00CF2B2C" w:rsidP="00CF2B2C">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CF2B2C">
        <w:rPr>
          <w:rFonts w:eastAsia="Calibri" w:cs="Sylfaen"/>
          <w:bCs/>
          <w:i/>
          <w:iCs/>
          <w:color w:val="000000"/>
          <w:szCs w:val="22"/>
          <w:lang w:val="hy-AM" w:eastAsia="en-US"/>
        </w:rPr>
        <w:lastRenderedPageBreak/>
        <w:t>Գծապատկեր 1.32</w:t>
      </w:r>
      <w:r w:rsidRPr="00CF2B2C">
        <w:rPr>
          <w:rFonts w:eastAsia="Calibri" w:cs="Sylfaen"/>
          <w:bCs/>
          <w:i/>
          <w:iCs/>
          <w:color w:val="000000"/>
          <w:sz w:val="20"/>
          <w:szCs w:val="20"/>
          <w:lang w:val="hy-AM" w:eastAsia="en-US"/>
        </w:rPr>
        <w:t xml:space="preserve">. </w:t>
      </w:r>
      <w:r w:rsidRPr="00CF2B2C">
        <w:rPr>
          <w:rFonts w:eastAsia="Calibri" w:cs="Sylfaen"/>
          <w:b w:val="0"/>
          <w:bCs/>
          <w:i/>
          <w:iCs/>
          <w:color w:val="000000"/>
          <w:sz w:val="20"/>
          <w:szCs w:val="20"/>
          <w:lang w:val="hy-AM" w:eastAsia="en-US"/>
        </w:rPr>
        <w:t>Իրական ՀՆԱ աճի կանխատեսման հավանականությունների բաշխումը (Fan Chart)</w:t>
      </w:r>
    </w:p>
    <w:p w:rsidR="00CF2B2C" w:rsidRPr="00CF2B2C" w:rsidRDefault="00CF2B2C" w:rsidP="00CF2B2C">
      <w:pPr>
        <w:keepNext/>
        <w:keepLines/>
        <w:spacing w:before="0" w:line="276" w:lineRule="auto"/>
        <w:ind w:right="111" w:firstLine="0"/>
        <w:contextualSpacing w:val="0"/>
        <w:jc w:val="left"/>
        <w:rPr>
          <w:rFonts w:ascii="Times New Roman" w:eastAsia="Calibri" w:hAnsi="Times New Roman" w:cs="Sylfaen"/>
          <w:b w:val="0"/>
          <w:bCs/>
          <w:i/>
          <w:iCs/>
          <w:color w:val="000000"/>
          <w:sz w:val="20"/>
          <w:szCs w:val="20"/>
          <w:lang w:val="hy-AM" w:eastAsia="en-US"/>
        </w:rPr>
      </w:pPr>
      <w:r w:rsidRPr="00CF2B2C">
        <w:rPr>
          <w:rFonts w:ascii="Sylfaen" w:eastAsia="Calibri" w:hAnsi="Sylfaen"/>
          <w:noProof/>
          <w:sz w:val="18"/>
          <w:szCs w:val="18"/>
          <w:lang w:val="en-US" w:eastAsia="en-US"/>
        </w:rPr>
        <w:drawing>
          <wp:inline distT="0" distB="0" distL="0" distR="0" wp14:anchorId="6D96D2A3" wp14:editId="4E1BBACA">
            <wp:extent cx="5940425" cy="2412980"/>
            <wp:effectExtent l="19050" t="0" r="22225" b="63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F2B2C" w:rsidRPr="00CF2B2C" w:rsidRDefault="00CF2B2C" w:rsidP="00CF2B2C">
      <w:pPr>
        <w:spacing w:before="0" w:line="276" w:lineRule="auto"/>
        <w:ind w:right="111" w:firstLine="709"/>
        <w:contextualSpacing w:val="0"/>
        <w:jc w:val="left"/>
        <w:rPr>
          <w:rFonts w:ascii="Times New Roman" w:eastAsia="Calibri" w:hAnsi="Times New Roman" w:cs="Sylfaen"/>
          <w:b w:val="0"/>
          <w:bCs/>
          <w:i/>
          <w:iCs/>
          <w:color w:val="000000"/>
          <w:sz w:val="20"/>
          <w:szCs w:val="20"/>
          <w:lang w:val="hy-AM" w:eastAsia="en-US"/>
        </w:rPr>
      </w:pPr>
    </w:p>
    <w:p w:rsidR="00CF2B2C" w:rsidRPr="00CF2B2C" w:rsidRDefault="00CF2B2C" w:rsidP="00CF2B2C">
      <w:pPr>
        <w:spacing w:before="0" w:line="240" w:lineRule="auto"/>
        <w:ind w:right="111" w:firstLine="0"/>
        <w:contextualSpacing w:val="0"/>
        <w:jc w:val="left"/>
        <w:rPr>
          <w:rFonts w:eastAsia="Calibri"/>
          <w:b w:val="0"/>
          <w:sz w:val="18"/>
          <w:szCs w:val="18"/>
          <w:lang w:val="hy-AM" w:eastAsia="en-US"/>
        </w:rPr>
      </w:pPr>
      <w:r w:rsidRPr="00CF2B2C">
        <w:rPr>
          <w:rFonts w:eastAsia="Calibri"/>
          <w:b w:val="0"/>
          <w:sz w:val="18"/>
          <w:szCs w:val="18"/>
          <w:lang w:val="hy-AM" w:eastAsia="en-US"/>
        </w:rPr>
        <w:t>Աղբյուրը՝ ՀՀ ՖՆ գնահատումներ և կանխատեսումներ</w:t>
      </w:r>
    </w:p>
    <w:p w:rsidR="00CF2B2C" w:rsidRPr="00CF2B2C" w:rsidRDefault="00CF2B2C" w:rsidP="00CF2B2C">
      <w:pPr>
        <w:spacing w:before="0" w:line="240" w:lineRule="auto"/>
        <w:ind w:right="111" w:firstLine="0"/>
        <w:contextualSpacing w:val="0"/>
        <w:jc w:val="left"/>
        <w:rPr>
          <w:rFonts w:eastAsia="Calibri"/>
          <w:b w:val="0"/>
          <w:sz w:val="18"/>
          <w:szCs w:val="18"/>
          <w:lang w:val="hy-AM" w:eastAsia="en-US"/>
        </w:rPr>
      </w:pPr>
    </w:p>
    <w:p w:rsidR="00CF2B2C" w:rsidRPr="00CF2B2C" w:rsidRDefault="00CF2B2C" w:rsidP="00CF2B2C">
      <w:pPr>
        <w:ind w:right="111"/>
        <w:rPr>
          <w:rFonts w:ascii="Sylfaen" w:hAnsi="Sylfaen"/>
          <w:lang w:val="hy-AM"/>
        </w:rPr>
      </w:pPr>
      <w:r w:rsidRPr="00CF2B2C">
        <w:rPr>
          <w:rFonts w:eastAsia="Calibri" w:cs="Sylfaen"/>
          <w:bCs/>
          <w:i/>
          <w:iCs/>
          <w:color w:val="000000"/>
          <w:szCs w:val="22"/>
          <w:lang w:val="hy-AM" w:eastAsia="en-US"/>
        </w:rPr>
        <w:t>Աղյուսակ</w:t>
      </w:r>
      <w:r w:rsidRPr="00CF2B2C">
        <w:rPr>
          <w:rFonts w:eastAsia="Calibri"/>
          <w:bCs/>
          <w:i/>
          <w:iCs/>
          <w:color w:val="000000"/>
          <w:szCs w:val="22"/>
          <w:lang w:val="hy-AM" w:eastAsia="en-US"/>
        </w:rPr>
        <w:t xml:space="preserve"> 1.4.</w:t>
      </w:r>
      <w:r w:rsidRPr="00CF2B2C">
        <w:rPr>
          <w:rFonts w:eastAsia="Calibri"/>
          <w:bCs/>
          <w:i/>
          <w:iCs/>
          <w:color w:val="000000"/>
          <w:sz w:val="20"/>
          <w:szCs w:val="20"/>
          <w:lang w:val="hy-AM" w:eastAsia="en-US"/>
        </w:rPr>
        <w:t xml:space="preserve"> </w:t>
      </w:r>
      <w:r w:rsidRPr="00CF2B2C">
        <w:rPr>
          <w:rFonts w:eastAsia="Calibri" w:cs="Sylfaen"/>
          <w:b w:val="0"/>
          <w:bCs/>
          <w:i/>
          <w:iCs/>
          <w:color w:val="000000"/>
          <w:sz w:val="20"/>
          <w:szCs w:val="20"/>
          <w:lang w:val="hy-AM" w:eastAsia="en-US"/>
        </w:rPr>
        <w:t>Իրական</w:t>
      </w:r>
      <w:r w:rsidRPr="00CF2B2C">
        <w:rPr>
          <w:rFonts w:eastAsia="Calibri"/>
          <w:b w:val="0"/>
          <w:bCs/>
          <w:i/>
          <w:iCs/>
          <w:color w:val="000000"/>
          <w:sz w:val="20"/>
          <w:szCs w:val="20"/>
          <w:lang w:val="hy-AM" w:eastAsia="en-US"/>
        </w:rPr>
        <w:t xml:space="preserve"> </w:t>
      </w:r>
      <w:r w:rsidRPr="00CF2B2C">
        <w:rPr>
          <w:rFonts w:eastAsia="Calibri" w:cs="Sylfaen"/>
          <w:b w:val="0"/>
          <w:bCs/>
          <w:i/>
          <w:iCs/>
          <w:color w:val="000000"/>
          <w:sz w:val="20"/>
          <w:szCs w:val="20"/>
          <w:lang w:val="hy-AM" w:eastAsia="en-US"/>
        </w:rPr>
        <w:t>ՀՆԱ-ի աճի կանխատեսման</w:t>
      </w:r>
      <w:r w:rsidRPr="00CF2B2C">
        <w:rPr>
          <w:rFonts w:eastAsia="Calibri"/>
          <w:b w:val="0"/>
          <w:bCs/>
          <w:i/>
          <w:iCs/>
          <w:color w:val="000000"/>
          <w:sz w:val="20"/>
          <w:szCs w:val="20"/>
          <w:lang w:val="hy-AM" w:eastAsia="en-US"/>
        </w:rPr>
        <w:t xml:space="preserve"> </w:t>
      </w:r>
      <w:r w:rsidRPr="00CF2B2C">
        <w:rPr>
          <w:rFonts w:eastAsia="Calibri" w:cs="Sylfaen"/>
          <w:b w:val="0"/>
          <w:bCs/>
          <w:i/>
          <w:iCs/>
          <w:color w:val="000000"/>
          <w:sz w:val="20"/>
          <w:szCs w:val="20"/>
          <w:lang w:val="hy-AM" w:eastAsia="en-US"/>
        </w:rPr>
        <w:t>հավանականությունների</w:t>
      </w:r>
      <w:r w:rsidRPr="00CF2B2C">
        <w:rPr>
          <w:rFonts w:eastAsia="Calibri"/>
          <w:b w:val="0"/>
          <w:bCs/>
          <w:i/>
          <w:iCs/>
          <w:color w:val="000000"/>
          <w:sz w:val="20"/>
          <w:szCs w:val="20"/>
          <w:lang w:val="hy-AM" w:eastAsia="en-US"/>
        </w:rPr>
        <w:t xml:space="preserve"> </w:t>
      </w:r>
      <w:r w:rsidRPr="00CF2B2C">
        <w:rPr>
          <w:rFonts w:eastAsia="Calibri" w:cs="Sylfaen"/>
          <w:b w:val="0"/>
          <w:bCs/>
          <w:i/>
          <w:iCs/>
          <w:color w:val="000000"/>
          <w:sz w:val="20"/>
          <w:szCs w:val="20"/>
          <w:lang w:val="hy-AM" w:eastAsia="en-US"/>
        </w:rPr>
        <w:t>բաշխումը, (կուտակային</w:t>
      </w:r>
      <w:r w:rsidRPr="00CF2B2C">
        <w:rPr>
          <w:rFonts w:cs="Sylfaen"/>
          <w:b w:val="0"/>
          <w:szCs w:val="22"/>
          <w:u w:val="single"/>
          <w:lang w:val="es-ES" w:eastAsia="en-US"/>
        </w:rPr>
        <w:t>)</w:t>
      </w:r>
      <w:bookmarkStart w:id="46" w:name="_Hlk56530504"/>
      <w:r w:rsidRPr="00CF2B2C">
        <w:rPr>
          <w:rFonts w:ascii="Sylfaen" w:eastAsia="Calibri" w:hAnsi="Sylfaen"/>
          <w:vertAlign w:val="superscript"/>
          <w:lang w:val="hy-AM"/>
        </w:rPr>
        <w:footnoteReference w:id="19"/>
      </w:r>
    </w:p>
    <w:tbl>
      <w:tblPr>
        <w:tblW w:w="8433" w:type="dxa"/>
        <w:tblInd w:w="67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1474"/>
        <w:gridCol w:w="1440"/>
        <w:gridCol w:w="1530"/>
        <w:gridCol w:w="1710"/>
      </w:tblGrid>
      <w:tr w:rsidR="00CF2B2C" w:rsidRPr="003A0B99" w:rsidTr="00A03FB4">
        <w:trPr>
          <w:trHeight w:val="459"/>
        </w:trPr>
        <w:tc>
          <w:tcPr>
            <w:tcW w:w="2279" w:type="dxa"/>
            <w:vMerge w:val="restart"/>
            <w:shd w:val="clear" w:color="auto" w:fill="auto"/>
            <w:vAlign w:val="center"/>
            <w:hideMark/>
          </w:tcPr>
          <w:p w:rsidR="00CF2B2C" w:rsidRPr="00CF2B2C" w:rsidRDefault="00CF2B2C" w:rsidP="00CF2B2C">
            <w:pPr>
              <w:tabs>
                <w:tab w:val="center" w:pos="4677"/>
                <w:tab w:val="right" w:pos="9355"/>
              </w:tabs>
              <w:spacing w:before="0" w:line="240" w:lineRule="auto"/>
              <w:ind w:right="111" w:firstLine="152"/>
              <w:jc w:val="center"/>
              <w:rPr>
                <w:rFonts w:eastAsia="Calibri" w:cs="Calibri"/>
                <w:color w:val="000000"/>
                <w:sz w:val="18"/>
                <w:szCs w:val="18"/>
                <w:lang w:val="hy-AM"/>
              </w:rPr>
            </w:pPr>
            <w:bookmarkStart w:id="47" w:name="_Hlk56530454"/>
            <w:bookmarkEnd w:id="46"/>
            <w:r w:rsidRPr="00CF2B2C">
              <w:rPr>
                <w:rFonts w:eastAsia="Calibri" w:cs="Sylfaen"/>
                <w:color w:val="000000"/>
                <w:sz w:val="18"/>
                <w:szCs w:val="18"/>
              </w:rPr>
              <w:t>Տնտեսական</w:t>
            </w:r>
            <w:r w:rsidRPr="00CF2B2C">
              <w:rPr>
                <w:rFonts w:eastAsia="Calibri" w:cs="Calibri"/>
                <w:color w:val="000000"/>
                <w:sz w:val="18"/>
                <w:szCs w:val="18"/>
              </w:rPr>
              <w:t xml:space="preserve"> </w:t>
            </w:r>
            <w:r w:rsidRPr="00CF2B2C">
              <w:rPr>
                <w:rFonts w:eastAsia="Calibri" w:cs="Sylfaen"/>
                <w:color w:val="000000"/>
                <w:sz w:val="18"/>
                <w:szCs w:val="18"/>
              </w:rPr>
              <w:t>աճի</w:t>
            </w:r>
            <w:r w:rsidRPr="00CF2B2C">
              <w:rPr>
                <w:rFonts w:eastAsia="Calibri" w:cs="Calibri"/>
                <w:color w:val="000000"/>
                <w:sz w:val="18"/>
                <w:szCs w:val="18"/>
              </w:rPr>
              <w:t xml:space="preserve"> </w:t>
            </w:r>
            <w:r w:rsidRPr="00CF2B2C">
              <w:rPr>
                <w:rFonts w:eastAsia="Calibri" w:cs="Sylfaen"/>
                <w:color w:val="000000"/>
                <w:sz w:val="18"/>
                <w:szCs w:val="18"/>
              </w:rPr>
              <w:t>միջակայքը</w:t>
            </w:r>
            <w:r w:rsidRPr="00CF2B2C">
              <w:rPr>
                <w:rFonts w:eastAsia="Calibri" w:cs="Calibri"/>
                <w:color w:val="000000"/>
                <w:sz w:val="18"/>
                <w:szCs w:val="18"/>
                <w:lang w:val="hy-AM"/>
              </w:rPr>
              <w:t xml:space="preserve">, </w:t>
            </w:r>
            <w:r w:rsidRPr="00CF2B2C">
              <w:rPr>
                <w:rFonts w:eastAsia="Calibri" w:cs="Calibri"/>
                <w:color w:val="000000"/>
                <w:sz w:val="18"/>
                <w:szCs w:val="18"/>
              </w:rPr>
              <w:t>%</w:t>
            </w:r>
          </w:p>
        </w:tc>
        <w:tc>
          <w:tcPr>
            <w:tcW w:w="6154" w:type="dxa"/>
            <w:gridSpan w:val="4"/>
            <w:shd w:val="clear" w:color="auto" w:fill="auto"/>
            <w:vAlign w:val="center"/>
            <w:hideMark/>
          </w:tcPr>
          <w:p w:rsidR="00CF2B2C" w:rsidRPr="00CF2B2C" w:rsidRDefault="00CF2B2C" w:rsidP="00CF2B2C">
            <w:pPr>
              <w:tabs>
                <w:tab w:val="center" w:pos="4677"/>
                <w:tab w:val="right" w:pos="9355"/>
              </w:tabs>
              <w:spacing w:before="0" w:line="240" w:lineRule="auto"/>
              <w:ind w:right="111" w:firstLine="0"/>
              <w:jc w:val="center"/>
              <w:rPr>
                <w:rFonts w:eastAsia="Calibri" w:cs="Calibri"/>
                <w:color w:val="000000"/>
                <w:sz w:val="18"/>
                <w:szCs w:val="18"/>
                <w:lang w:val="hy-AM"/>
              </w:rPr>
            </w:pPr>
            <w:r w:rsidRPr="00CF2B2C">
              <w:rPr>
                <w:rFonts w:eastAsia="Calibri" w:cs="Sylfaen"/>
                <w:color w:val="000000"/>
                <w:sz w:val="18"/>
                <w:szCs w:val="18"/>
                <w:lang w:val="hy-AM"/>
              </w:rPr>
              <w:t>Տնտեսական</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աճի</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տվյալ</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միջակայքում</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ձևավորվելու</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հավանականությունը</w:t>
            </w:r>
            <w:r w:rsidRPr="00CF2B2C">
              <w:rPr>
                <w:rFonts w:eastAsia="Calibri" w:cs="Calibri"/>
                <w:color w:val="000000"/>
                <w:sz w:val="18"/>
                <w:szCs w:val="18"/>
                <w:lang w:val="hy-AM"/>
              </w:rPr>
              <w:t>, %</w:t>
            </w:r>
          </w:p>
        </w:tc>
      </w:tr>
      <w:tr w:rsidR="00CF2B2C" w:rsidRPr="00CF2B2C" w:rsidTr="00A03FB4">
        <w:trPr>
          <w:trHeight w:val="930"/>
        </w:trPr>
        <w:tc>
          <w:tcPr>
            <w:tcW w:w="2279" w:type="dxa"/>
            <w:vMerge/>
            <w:vAlign w:val="center"/>
            <w:hideMark/>
          </w:tcPr>
          <w:p w:rsidR="00CF2B2C" w:rsidRPr="00CF2B2C" w:rsidRDefault="00CF2B2C" w:rsidP="00CF2B2C">
            <w:pPr>
              <w:spacing w:before="0" w:line="240" w:lineRule="auto"/>
              <w:ind w:right="111" w:firstLine="0"/>
              <w:jc w:val="left"/>
              <w:rPr>
                <w:rFonts w:eastAsia="Calibri" w:cs="Calibri"/>
                <w:color w:val="000000"/>
                <w:sz w:val="18"/>
                <w:szCs w:val="18"/>
                <w:lang w:val="hy-AM"/>
              </w:rPr>
            </w:pPr>
          </w:p>
        </w:tc>
        <w:tc>
          <w:tcPr>
            <w:tcW w:w="1474" w:type="dxa"/>
            <w:shd w:val="clear" w:color="auto" w:fill="auto"/>
            <w:noWrap/>
            <w:vAlign w:val="center"/>
            <w:hideMark/>
          </w:tcPr>
          <w:p w:rsidR="00CF2B2C" w:rsidRPr="00CF2B2C" w:rsidRDefault="00CF2B2C" w:rsidP="00CF2B2C">
            <w:pPr>
              <w:ind w:right="111" w:firstLine="106"/>
              <w:jc w:val="center"/>
              <w:rPr>
                <w:rFonts w:eastAsia="Calibri" w:cs="Calibri"/>
                <w:color w:val="000000"/>
                <w:sz w:val="20"/>
                <w:szCs w:val="20"/>
                <w:lang w:val="hy-AM"/>
              </w:rPr>
            </w:pPr>
            <w:r w:rsidRPr="00CF2B2C">
              <w:rPr>
                <w:color w:val="000000"/>
                <w:sz w:val="20"/>
                <w:szCs w:val="20"/>
              </w:rPr>
              <w:t xml:space="preserve">2021 I </w:t>
            </w:r>
            <w:r w:rsidRPr="00CF2B2C">
              <w:rPr>
                <w:rFonts w:cs="Sylfaen"/>
                <w:color w:val="000000"/>
                <w:sz w:val="20"/>
                <w:szCs w:val="20"/>
              </w:rPr>
              <w:t>եռ</w:t>
            </w:r>
            <w:r w:rsidRPr="00CF2B2C">
              <w:rPr>
                <w:color w:val="000000"/>
                <w:sz w:val="20"/>
                <w:szCs w:val="20"/>
              </w:rPr>
              <w:t>.</w:t>
            </w:r>
          </w:p>
        </w:tc>
        <w:tc>
          <w:tcPr>
            <w:tcW w:w="1440" w:type="dxa"/>
            <w:shd w:val="clear" w:color="auto" w:fill="auto"/>
            <w:vAlign w:val="center"/>
            <w:hideMark/>
          </w:tcPr>
          <w:p w:rsidR="00CF2B2C" w:rsidRPr="00CF2B2C" w:rsidRDefault="00CF2B2C" w:rsidP="00CF2B2C">
            <w:pPr>
              <w:ind w:right="111" w:firstLine="106"/>
              <w:jc w:val="center"/>
              <w:rPr>
                <w:rFonts w:eastAsia="Calibri" w:cs="Calibri"/>
                <w:color w:val="000000"/>
                <w:sz w:val="20"/>
                <w:szCs w:val="20"/>
                <w:lang w:val="hy-AM"/>
              </w:rPr>
            </w:pPr>
            <w:r w:rsidRPr="00CF2B2C">
              <w:rPr>
                <w:color w:val="000000"/>
                <w:sz w:val="20"/>
                <w:szCs w:val="20"/>
              </w:rPr>
              <w:t xml:space="preserve">2021 II </w:t>
            </w:r>
            <w:r w:rsidRPr="00CF2B2C">
              <w:rPr>
                <w:rFonts w:cs="Sylfaen"/>
                <w:color w:val="000000"/>
                <w:sz w:val="20"/>
                <w:szCs w:val="20"/>
              </w:rPr>
              <w:t>եռ</w:t>
            </w:r>
            <w:r w:rsidRPr="00CF2B2C">
              <w:rPr>
                <w:color w:val="000000"/>
                <w:sz w:val="20"/>
                <w:szCs w:val="20"/>
              </w:rPr>
              <w:t>.</w:t>
            </w:r>
          </w:p>
        </w:tc>
        <w:tc>
          <w:tcPr>
            <w:tcW w:w="1530" w:type="dxa"/>
            <w:shd w:val="clear" w:color="auto" w:fill="auto"/>
            <w:noWrap/>
            <w:vAlign w:val="center"/>
            <w:hideMark/>
          </w:tcPr>
          <w:p w:rsidR="00CF2B2C" w:rsidRPr="00CF2B2C" w:rsidRDefault="00CF2B2C" w:rsidP="00CF2B2C">
            <w:pPr>
              <w:ind w:right="111" w:firstLine="106"/>
              <w:jc w:val="center"/>
              <w:rPr>
                <w:rFonts w:eastAsia="Calibri" w:cs="Calibri"/>
                <w:color w:val="000000"/>
                <w:sz w:val="20"/>
                <w:szCs w:val="20"/>
                <w:lang w:val="hy-AM"/>
              </w:rPr>
            </w:pPr>
            <w:r w:rsidRPr="00CF2B2C">
              <w:rPr>
                <w:color w:val="000000"/>
                <w:sz w:val="20"/>
                <w:szCs w:val="20"/>
              </w:rPr>
              <w:t xml:space="preserve">2021 III </w:t>
            </w:r>
            <w:r w:rsidRPr="00CF2B2C">
              <w:rPr>
                <w:rFonts w:cs="Sylfaen"/>
                <w:color w:val="000000"/>
                <w:sz w:val="20"/>
                <w:szCs w:val="20"/>
              </w:rPr>
              <w:t>եռ</w:t>
            </w:r>
            <w:r w:rsidRPr="00CF2B2C">
              <w:rPr>
                <w:color w:val="000000"/>
                <w:sz w:val="20"/>
                <w:szCs w:val="20"/>
              </w:rPr>
              <w:t>.</w:t>
            </w:r>
          </w:p>
        </w:tc>
        <w:tc>
          <w:tcPr>
            <w:tcW w:w="1710" w:type="dxa"/>
            <w:shd w:val="clear" w:color="auto" w:fill="auto"/>
            <w:vAlign w:val="center"/>
            <w:hideMark/>
          </w:tcPr>
          <w:p w:rsidR="00CF2B2C" w:rsidRPr="00CF2B2C" w:rsidRDefault="00CF2B2C" w:rsidP="00CF2B2C">
            <w:pPr>
              <w:ind w:right="111" w:firstLine="106"/>
              <w:jc w:val="center"/>
              <w:rPr>
                <w:rFonts w:eastAsia="Calibri" w:cs="Calibri"/>
                <w:color w:val="000000"/>
                <w:sz w:val="20"/>
                <w:szCs w:val="20"/>
                <w:lang w:val="hy-AM"/>
              </w:rPr>
            </w:pPr>
            <w:r w:rsidRPr="00CF2B2C">
              <w:rPr>
                <w:color w:val="000000"/>
                <w:sz w:val="20"/>
                <w:szCs w:val="20"/>
              </w:rPr>
              <w:t xml:space="preserve">2021 IV </w:t>
            </w:r>
            <w:r w:rsidRPr="00CF2B2C">
              <w:rPr>
                <w:rFonts w:cs="Sylfaen"/>
                <w:color w:val="000000"/>
                <w:sz w:val="20"/>
                <w:szCs w:val="20"/>
              </w:rPr>
              <w:t>եռ</w:t>
            </w:r>
            <w:r w:rsidRPr="00CF2B2C">
              <w:rPr>
                <w:color w:val="000000"/>
                <w:sz w:val="20"/>
                <w:szCs w:val="20"/>
              </w:rPr>
              <w:t>.</w:t>
            </w:r>
          </w:p>
        </w:tc>
      </w:tr>
      <w:tr w:rsidR="00CF2B2C" w:rsidRPr="00CF2B2C" w:rsidTr="00A03FB4">
        <w:trPr>
          <w:trHeight w:val="257"/>
        </w:trPr>
        <w:tc>
          <w:tcPr>
            <w:tcW w:w="2279" w:type="dxa"/>
            <w:shd w:val="clear" w:color="auto" w:fill="auto"/>
            <w:noWrap/>
            <w:vAlign w:val="bottom"/>
            <w:hideMark/>
          </w:tcPr>
          <w:p w:rsidR="00CF2B2C" w:rsidRPr="00CF2B2C" w:rsidRDefault="00CF2B2C" w:rsidP="00CF2B2C">
            <w:pPr>
              <w:ind w:right="111" w:hanging="45"/>
              <w:jc w:val="center"/>
              <w:rPr>
                <w:b w:val="0"/>
                <w:bCs/>
                <w:color w:val="000000"/>
              </w:rPr>
            </w:pPr>
            <w:r w:rsidRPr="00CF2B2C">
              <w:rPr>
                <w:b w:val="0"/>
                <w:bCs/>
                <w:color w:val="000000"/>
              </w:rPr>
              <w:t>(-2)-0</w:t>
            </w:r>
          </w:p>
        </w:tc>
        <w:tc>
          <w:tcPr>
            <w:tcW w:w="1474" w:type="dxa"/>
            <w:shd w:val="clear" w:color="auto" w:fill="auto"/>
            <w:noWrap/>
            <w:vAlign w:val="bottom"/>
            <w:hideMark/>
          </w:tcPr>
          <w:p w:rsidR="00CF2B2C" w:rsidRPr="00CF2B2C" w:rsidRDefault="00CF2B2C" w:rsidP="00CF2B2C">
            <w:pPr>
              <w:ind w:right="111"/>
              <w:jc w:val="center"/>
              <w:rPr>
                <w:color w:val="000000"/>
              </w:rPr>
            </w:pPr>
            <w:r w:rsidRPr="00CF2B2C">
              <w:rPr>
                <w:color w:val="000000"/>
              </w:rPr>
              <w:t>22.6</w:t>
            </w:r>
          </w:p>
        </w:tc>
        <w:tc>
          <w:tcPr>
            <w:tcW w:w="144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18.0</w:t>
            </w:r>
          </w:p>
        </w:tc>
        <w:tc>
          <w:tcPr>
            <w:tcW w:w="153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16.4</w:t>
            </w:r>
          </w:p>
        </w:tc>
        <w:tc>
          <w:tcPr>
            <w:tcW w:w="171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15.8</w:t>
            </w:r>
          </w:p>
        </w:tc>
      </w:tr>
      <w:tr w:rsidR="00CF2B2C" w:rsidRPr="00CF2B2C" w:rsidTr="00A03FB4">
        <w:trPr>
          <w:trHeight w:val="275"/>
        </w:trPr>
        <w:tc>
          <w:tcPr>
            <w:tcW w:w="2279" w:type="dxa"/>
            <w:shd w:val="clear" w:color="auto" w:fill="auto"/>
            <w:noWrap/>
            <w:vAlign w:val="bottom"/>
            <w:hideMark/>
          </w:tcPr>
          <w:p w:rsidR="00CF2B2C" w:rsidRPr="00CF2B2C" w:rsidRDefault="00CF2B2C" w:rsidP="00CF2B2C">
            <w:pPr>
              <w:ind w:right="111" w:hanging="45"/>
              <w:jc w:val="center"/>
              <w:rPr>
                <w:b w:val="0"/>
                <w:bCs/>
                <w:color w:val="000000"/>
              </w:rPr>
            </w:pPr>
            <w:r w:rsidRPr="00CF2B2C">
              <w:rPr>
                <w:b w:val="0"/>
                <w:bCs/>
                <w:color w:val="000000"/>
              </w:rPr>
              <w:t>0-2</w:t>
            </w:r>
          </w:p>
        </w:tc>
        <w:tc>
          <w:tcPr>
            <w:tcW w:w="1474"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10.3</w:t>
            </w:r>
          </w:p>
        </w:tc>
        <w:tc>
          <w:tcPr>
            <w:tcW w:w="1440" w:type="dxa"/>
            <w:shd w:val="clear" w:color="auto" w:fill="auto"/>
            <w:noWrap/>
            <w:vAlign w:val="bottom"/>
            <w:hideMark/>
          </w:tcPr>
          <w:p w:rsidR="00CF2B2C" w:rsidRPr="00CF2B2C" w:rsidRDefault="00CF2B2C" w:rsidP="00CF2B2C">
            <w:pPr>
              <w:ind w:right="111"/>
              <w:jc w:val="center"/>
              <w:rPr>
                <w:color w:val="000000"/>
              </w:rPr>
            </w:pPr>
            <w:r w:rsidRPr="00CF2B2C">
              <w:rPr>
                <w:color w:val="000000"/>
              </w:rPr>
              <w:t>21.2</w:t>
            </w:r>
          </w:p>
        </w:tc>
        <w:tc>
          <w:tcPr>
            <w:tcW w:w="153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19.9</w:t>
            </w:r>
          </w:p>
        </w:tc>
        <w:tc>
          <w:tcPr>
            <w:tcW w:w="171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19.3</w:t>
            </w:r>
          </w:p>
        </w:tc>
      </w:tr>
      <w:tr w:rsidR="00CF2B2C" w:rsidRPr="00CF2B2C" w:rsidTr="00A03FB4">
        <w:trPr>
          <w:trHeight w:val="279"/>
        </w:trPr>
        <w:tc>
          <w:tcPr>
            <w:tcW w:w="2279" w:type="dxa"/>
            <w:shd w:val="clear" w:color="auto" w:fill="auto"/>
            <w:noWrap/>
            <w:vAlign w:val="bottom"/>
            <w:hideMark/>
          </w:tcPr>
          <w:p w:rsidR="00CF2B2C" w:rsidRPr="00CF2B2C" w:rsidRDefault="00CF2B2C" w:rsidP="00CF2B2C">
            <w:pPr>
              <w:ind w:right="111" w:hanging="45"/>
              <w:jc w:val="center"/>
              <w:rPr>
                <w:b w:val="0"/>
                <w:bCs/>
                <w:color w:val="000000"/>
              </w:rPr>
            </w:pPr>
            <w:r w:rsidRPr="00CF2B2C">
              <w:rPr>
                <w:b w:val="0"/>
                <w:bCs/>
                <w:color w:val="000000"/>
              </w:rPr>
              <w:t>2-4</w:t>
            </w:r>
          </w:p>
        </w:tc>
        <w:tc>
          <w:tcPr>
            <w:tcW w:w="1474"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1.0</w:t>
            </w:r>
          </w:p>
        </w:tc>
        <w:tc>
          <w:tcPr>
            <w:tcW w:w="144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20.3</w:t>
            </w:r>
          </w:p>
        </w:tc>
        <w:tc>
          <w:tcPr>
            <w:tcW w:w="1530" w:type="dxa"/>
            <w:shd w:val="clear" w:color="auto" w:fill="auto"/>
            <w:noWrap/>
            <w:vAlign w:val="bottom"/>
            <w:hideMark/>
          </w:tcPr>
          <w:p w:rsidR="00CF2B2C" w:rsidRPr="00CF2B2C" w:rsidRDefault="00CF2B2C" w:rsidP="00CF2B2C">
            <w:pPr>
              <w:ind w:right="111"/>
              <w:jc w:val="center"/>
              <w:rPr>
                <w:color w:val="000000"/>
              </w:rPr>
            </w:pPr>
            <w:r w:rsidRPr="00CF2B2C">
              <w:rPr>
                <w:color w:val="000000"/>
              </w:rPr>
              <w:t>20.8</w:t>
            </w:r>
          </w:p>
        </w:tc>
        <w:tc>
          <w:tcPr>
            <w:tcW w:w="1710" w:type="dxa"/>
            <w:shd w:val="clear" w:color="auto" w:fill="auto"/>
            <w:noWrap/>
            <w:vAlign w:val="bottom"/>
            <w:hideMark/>
          </w:tcPr>
          <w:p w:rsidR="00CF2B2C" w:rsidRPr="00CF2B2C" w:rsidRDefault="00CF2B2C" w:rsidP="00CF2B2C">
            <w:pPr>
              <w:ind w:right="111"/>
              <w:jc w:val="center"/>
              <w:rPr>
                <w:color w:val="000000"/>
              </w:rPr>
            </w:pPr>
            <w:r w:rsidRPr="00CF2B2C">
              <w:rPr>
                <w:color w:val="000000"/>
              </w:rPr>
              <w:t>20.5</w:t>
            </w:r>
          </w:p>
        </w:tc>
      </w:tr>
      <w:tr w:rsidR="00CF2B2C" w:rsidRPr="00CF2B2C" w:rsidTr="00A03FB4">
        <w:trPr>
          <w:trHeight w:val="283"/>
        </w:trPr>
        <w:tc>
          <w:tcPr>
            <w:tcW w:w="2279" w:type="dxa"/>
            <w:shd w:val="clear" w:color="auto" w:fill="auto"/>
            <w:noWrap/>
            <w:vAlign w:val="bottom"/>
            <w:hideMark/>
          </w:tcPr>
          <w:p w:rsidR="00CF2B2C" w:rsidRPr="00CF2B2C" w:rsidRDefault="00CF2B2C" w:rsidP="00CF2B2C">
            <w:pPr>
              <w:ind w:right="111" w:hanging="45"/>
              <w:jc w:val="center"/>
              <w:rPr>
                <w:b w:val="0"/>
                <w:bCs/>
                <w:color w:val="000000"/>
              </w:rPr>
            </w:pPr>
            <w:r w:rsidRPr="00CF2B2C">
              <w:rPr>
                <w:b w:val="0"/>
                <w:bCs/>
                <w:color w:val="000000"/>
              </w:rPr>
              <w:t>4-6</w:t>
            </w:r>
          </w:p>
        </w:tc>
        <w:tc>
          <w:tcPr>
            <w:tcW w:w="1474"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0.0</w:t>
            </w:r>
          </w:p>
        </w:tc>
        <w:tc>
          <w:tcPr>
            <w:tcW w:w="144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8.2</w:t>
            </w:r>
          </w:p>
        </w:tc>
        <w:tc>
          <w:tcPr>
            <w:tcW w:w="153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12.3</w:t>
            </w:r>
          </w:p>
        </w:tc>
        <w:tc>
          <w:tcPr>
            <w:tcW w:w="171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13.5</w:t>
            </w:r>
          </w:p>
        </w:tc>
      </w:tr>
      <w:bookmarkEnd w:id="47"/>
    </w:tbl>
    <w:p w:rsidR="00CF2B2C" w:rsidRPr="00CF2B2C" w:rsidRDefault="00CF2B2C" w:rsidP="00CF2B2C">
      <w:pPr>
        <w:ind w:right="111"/>
        <w:rPr>
          <w:rFonts w:ascii="Sylfaen" w:hAnsi="Sylfaen"/>
          <w:lang w:val="hy-AM"/>
        </w:rPr>
      </w:pPr>
    </w:p>
    <w:p w:rsidR="00CF2B2C" w:rsidRPr="00CF2B2C" w:rsidRDefault="00CF2B2C" w:rsidP="00CF2B2C">
      <w:pPr>
        <w:spacing w:before="0"/>
        <w:ind w:right="111"/>
        <w:contextualSpacing w:val="0"/>
        <w:rPr>
          <w:rFonts w:eastAsia="Calibri" w:cs="Sylfaen"/>
          <w:b w:val="0"/>
          <w:sz w:val="2"/>
          <w:szCs w:val="2"/>
          <w:highlight w:val="yellow"/>
          <w:lang w:val="hy-AM" w:eastAsia="en-US"/>
        </w:rPr>
      </w:pPr>
    </w:p>
    <w:p w:rsidR="00CF2B2C" w:rsidRPr="00CF2B2C" w:rsidRDefault="00CF2B2C" w:rsidP="00CF2B2C">
      <w:pPr>
        <w:spacing w:before="0" w:line="276" w:lineRule="auto"/>
        <w:ind w:right="111"/>
        <w:contextualSpacing w:val="0"/>
        <w:rPr>
          <w:rFonts w:eastAsia="Calibri" w:cs="Sylfaen"/>
          <w:b w:val="0"/>
          <w:szCs w:val="22"/>
          <w:lang w:val="hy-AM" w:eastAsia="en-US"/>
        </w:rPr>
      </w:pPr>
      <w:r w:rsidRPr="00CF2B2C">
        <w:rPr>
          <w:rFonts w:eastAsia="Calibri" w:cs="Sylfaen"/>
          <w:b w:val="0"/>
          <w:szCs w:val="22"/>
          <w:lang w:val="hy-AM" w:eastAsia="en-US"/>
        </w:rPr>
        <w:t>Ինչպես</w:t>
      </w:r>
      <w:r w:rsidRPr="00CF2B2C">
        <w:rPr>
          <w:rFonts w:eastAsia="Calibri" w:cs="Sylfaen"/>
          <w:b w:val="0"/>
          <w:szCs w:val="22"/>
          <w:lang w:val="it-IT" w:eastAsia="en-US"/>
        </w:rPr>
        <w:t xml:space="preserve"> </w:t>
      </w:r>
      <w:r w:rsidRPr="00CF2B2C">
        <w:rPr>
          <w:rFonts w:eastAsia="Calibri" w:cs="Sylfaen"/>
          <w:b w:val="0"/>
          <w:szCs w:val="22"/>
          <w:lang w:val="hy-AM" w:eastAsia="en-US"/>
        </w:rPr>
        <w:t>երևում</w:t>
      </w:r>
      <w:r w:rsidRPr="00CF2B2C">
        <w:rPr>
          <w:rFonts w:eastAsia="Calibri" w:cs="Sylfaen"/>
          <w:b w:val="0"/>
          <w:szCs w:val="22"/>
          <w:lang w:val="it-IT" w:eastAsia="en-US"/>
        </w:rPr>
        <w:t xml:space="preserve"> </w:t>
      </w:r>
      <w:r w:rsidRPr="00CF2B2C">
        <w:rPr>
          <w:rFonts w:eastAsia="Calibri" w:cs="Sylfaen"/>
          <w:b w:val="0"/>
          <w:szCs w:val="22"/>
          <w:lang w:val="hy-AM" w:eastAsia="en-US"/>
        </w:rPr>
        <w:t>է</w:t>
      </w:r>
      <w:r w:rsidRPr="00CF2B2C">
        <w:rPr>
          <w:rFonts w:eastAsia="Calibri" w:cs="Sylfaen"/>
          <w:b w:val="0"/>
          <w:szCs w:val="22"/>
          <w:lang w:val="it-IT" w:eastAsia="en-US"/>
        </w:rPr>
        <w:t xml:space="preserve"> </w:t>
      </w:r>
      <w:r w:rsidRPr="00CF2B2C">
        <w:rPr>
          <w:rFonts w:eastAsia="Calibri" w:cs="Sylfaen"/>
          <w:b w:val="0"/>
          <w:szCs w:val="22"/>
          <w:lang w:val="hy-AM" w:eastAsia="en-US"/>
        </w:rPr>
        <w:t>Գծապատկեր</w:t>
      </w:r>
      <w:r w:rsidRPr="00CF2B2C">
        <w:rPr>
          <w:rFonts w:eastAsia="Calibri" w:cs="Sylfaen"/>
          <w:b w:val="0"/>
          <w:szCs w:val="22"/>
          <w:lang w:val="it-IT" w:eastAsia="en-US"/>
        </w:rPr>
        <w:t xml:space="preserve"> </w:t>
      </w:r>
      <w:r w:rsidRPr="00CF2B2C">
        <w:rPr>
          <w:rFonts w:eastAsia="Calibri" w:cs="Sylfaen"/>
          <w:b w:val="0"/>
          <w:szCs w:val="22"/>
          <w:lang w:val="hy-AM" w:eastAsia="en-US"/>
        </w:rPr>
        <w:t>1.32-ից, 2021թ.</w:t>
      </w:r>
      <w:r w:rsidRPr="00CF2B2C" w:rsidDel="00301E27">
        <w:rPr>
          <w:rFonts w:eastAsia="Calibri" w:cs="Sylfaen"/>
          <w:b w:val="0"/>
          <w:szCs w:val="22"/>
          <w:lang w:val="hy-AM" w:eastAsia="en-US"/>
        </w:rPr>
        <w:t xml:space="preserve"> </w:t>
      </w:r>
      <w:r w:rsidRPr="00CF2B2C">
        <w:rPr>
          <w:rFonts w:eastAsia="Calibri" w:cs="Sylfaen"/>
          <w:b w:val="0"/>
          <w:szCs w:val="22"/>
          <w:lang w:val="hy-AM" w:eastAsia="en-US"/>
        </w:rPr>
        <w:t xml:space="preserve">տնտեսական աճի ձևավորման ամենաբարձր հավանականությունը գտնվում է կենտրոնական կանխատեսումները պարունակող համապատասխան միջակայքում (Գծապատկեր 1.32-ում այն մուգ կարմիր է, իսկ Աղյուսակ 1.4-ում՝ հոծ նշումով), իսկ իրական ՀՆԱ-ի տարեկան աճի կենտրոնական կանխատեսումներից շեղման ռիսկերում ավելի մեծ են դեպի ներքև ռիսկերը: </w:t>
      </w:r>
    </w:p>
    <w:p w:rsidR="00CF2B2C" w:rsidRPr="00CF2B2C" w:rsidRDefault="00CF2B2C" w:rsidP="00CF2B2C">
      <w:pPr>
        <w:spacing w:before="0" w:after="160" w:line="259" w:lineRule="auto"/>
        <w:ind w:right="111" w:firstLine="0"/>
        <w:contextualSpacing w:val="0"/>
        <w:jc w:val="left"/>
        <w:rPr>
          <w:rFonts w:ascii="Times New Roman" w:hAnsi="Times New Roman"/>
          <w:b w:val="0"/>
          <w:sz w:val="24"/>
          <w:lang w:val="hy-AM" w:eastAsia="en-US"/>
        </w:rPr>
      </w:pPr>
      <w:r w:rsidRPr="00CF2B2C">
        <w:rPr>
          <w:rFonts w:ascii="Times New Roman" w:hAnsi="Times New Roman"/>
          <w:b w:val="0"/>
          <w:sz w:val="24"/>
          <w:lang w:val="hy-AM" w:eastAsia="en-US"/>
        </w:rPr>
        <w:br w:type="page"/>
      </w:r>
    </w:p>
    <w:tbl>
      <w:tblPr>
        <w:tblStyle w:val="TableGrid1213"/>
        <w:tblW w:w="10931"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1"/>
      </w:tblGrid>
      <w:tr w:rsidR="009F0A25" w:rsidRPr="00553709" w:rsidTr="009F0A25">
        <w:trPr>
          <w:trHeight w:val="9147"/>
        </w:trPr>
        <w:tc>
          <w:tcPr>
            <w:tcW w:w="10931" w:type="dxa"/>
          </w:tcPr>
          <w:p w:rsidR="009F0A25" w:rsidRPr="00553709" w:rsidRDefault="009F0A25" w:rsidP="007730AA">
            <w:pPr>
              <w:keepNext/>
              <w:keepLines/>
              <w:spacing w:before="0" w:after="0" w:line="276" w:lineRule="auto"/>
              <w:outlineLvl w:val="2"/>
              <w:rPr>
                <w:b w:val="0"/>
                <w:bCs/>
                <w:sz w:val="28"/>
                <w:szCs w:val="28"/>
                <w:lang w:val="hy-AM"/>
              </w:rPr>
            </w:pPr>
            <w:r w:rsidRPr="00553709">
              <w:rPr>
                <w:rFonts w:eastAsia="GHEA Grapalat" w:cs="GHEA Grapalat"/>
                <w:lang w:val="hy-AM"/>
              </w:rPr>
              <w:lastRenderedPageBreak/>
              <w:br w:type="page"/>
            </w:r>
            <w:bookmarkStart w:id="48" w:name="_Toc51360535"/>
            <w:bookmarkStart w:id="49" w:name="_Toc51947418"/>
            <w:bookmarkStart w:id="50" w:name="_Toc57559418"/>
            <w:bookmarkStart w:id="51" w:name="_Toc57655451"/>
            <w:r w:rsidRPr="00553709">
              <w:rPr>
                <w:bCs/>
                <w:sz w:val="28"/>
                <w:szCs w:val="28"/>
                <w:lang w:val="hy-AM"/>
              </w:rPr>
              <w:t>1.7. ՀԱՄԵՄԱՏՈՒԹՅՈՒՆ ՆԱԽՈՐԴ ԿԱՆԽԱՏԵՍՈՒՄՆԵՐԻ ՀԵՏ</w:t>
            </w:r>
            <w:bookmarkEnd w:id="48"/>
            <w:bookmarkEnd w:id="49"/>
            <w:bookmarkEnd w:id="50"/>
            <w:bookmarkEnd w:id="51"/>
          </w:p>
          <w:p w:rsidR="009F0A25" w:rsidRPr="00EE7164" w:rsidRDefault="009F0A25" w:rsidP="007730AA">
            <w:pPr>
              <w:keepNext/>
              <w:keepLines/>
              <w:spacing w:before="0" w:after="0" w:line="276" w:lineRule="auto"/>
              <w:rPr>
                <w:rFonts w:eastAsia="Calibri" w:cs="Sylfaen"/>
                <w:b w:val="0"/>
                <w:bCs/>
                <w:i/>
                <w:iCs/>
                <w:color w:val="4F81BD"/>
                <w:lang w:val="hy-AM"/>
              </w:rPr>
            </w:pPr>
            <w:r w:rsidRPr="00EE7164">
              <w:rPr>
                <w:rFonts w:eastAsia="Calibri" w:cs="Sylfaen"/>
                <w:bCs/>
                <w:i/>
                <w:iCs/>
                <w:color w:val="000000"/>
                <w:lang w:val="hy-AM"/>
              </w:rPr>
              <w:t xml:space="preserve">Աղյուսակ 1.5. </w:t>
            </w:r>
            <w:r w:rsidRPr="00EE7164">
              <w:rPr>
                <w:rFonts w:eastAsia="Calibri" w:cs="Sylfaen"/>
                <w:bCs/>
                <w:i/>
                <w:iCs/>
                <w:color w:val="000000"/>
                <w:sz w:val="20"/>
                <w:szCs w:val="20"/>
                <w:lang w:val="hy-AM"/>
              </w:rPr>
              <w:t>ՀՆԱ-ի կանխատեսումները</w:t>
            </w:r>
            <w:r w:rsidRPr="00EE7164">
              <w:rPr>
                <w:rFonts w:eastAsia="Calibri"/>
                <w:bCs/>
                <w:i/>
                <w:iCs/>
                <w:color w:val="000000"/>
                <w:sz w:val="20"/>
                <w:szCs w:val="20"/>
                <w:lang w:val="hy-AM"/>
              </w:rPr>
              <w:t xml:space="preserve"> </w:t>
            </w:r>
            <w:r w:rsidRPr="00EE7164">
              <w:rPr>
                <w:rFonts w:eastAsia="Calibri" w:cs="Sylfaen"/>
                <w:bCs/>
                <w:i/>
                <w:iCs/>
                <w:color w:val="000000"/>
                <w:sz w:val="20"/>
                <w:szCs w:val="20"/>
                <w:lang w:val="hy-AM"/>
              </w:rPr>
              <w:t>2021-2023 թթ. ՄԺԾԾ-ով  և 2020թ. և 2021թ. պետական բյուջեներով</w:t>
            </w:r>
          </w:p>
          <w:tbl>
            <w:tblPr>
              <w:tblW w:w="8922" w:type="dxa"/>
              <w:tblInd w:w="50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052"/>
              <w:gridCol w:w="2324"/>
              <w:gridCol w:w="1527"/>
              <w:gridCol w:w="1890"/>
              <w:gridCol w:w="1129"/>
            </w:tblGrid>
            <w:tr w:rsidR="005037D0" w:rsidRPr="00EE7164" w:rsidTr="005037D0">
              <w:trPr>
                <w:trHeight w:val="303"/>
              </w:trPr>
              <w:tc>
                <w:tcPr>
                  <w:tcW w:w="2052" w:type="dxa"/>
                  <w:vMerge w:val="restart"/>
                  <w:shd w:val="clear" w:color="auto" w:fill="9CC2E5"/>
                  <w:noWrap/>
                  <w:vAlign w:val="center"/>
                  <w:hideMark/>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Ցուցանիշներ</w:t>
                  </w:r>
                </w:p>
              </w:tc>
              <w:tc>
                <w:tcPr>
                  <w:tcW w:w="2460" w:type="dxa"/>
                  <w:vMerge w:val="restart"/>
                  <w:shd w:val="clear" w:color="auto" w:fill="9CC2E5"/>
                  <w:vAlign w:val="center"/>
                  <w:hideMark/>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Ծրագիր</w:t>
                  </w:r>
                </w:p>
              </w:tc>
              <w:tc>
                <w:tcPr>
                  <w:tcW w:w="1360" w:type="dxa"/>
                  <w:shd w:val="clear" w:color="auto" w:fill="9CC2E5"/>
                  <w:vAlign w:val="center"/>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20</w:t>
                  </w:r>
                  <w:r w:rsidRPr="00EE7164">
                    <w:rPr>
                      <w:rFonts w:cs="Calibri"/>
                      <w:bCs/>
                      <w:color w:val="000000"/>
                      <w:sz w:val="18"/>
                      <w:szCs w:val="18"/>
                    </w:rPr>
                    <w:t>19</w:t>
                  </w:r>
                </w:p>
              </w:tc>
              <w:tc>
                <w:tcPr>
                  <w:tcW w:w="1890" w:type="dxa"/>
                  <w:shd w:val="clear" w:color="auto" w:fill="9CC2E5"/>
                  <w:vAlign w:val="center"/>
                  <w:hideMark/>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2020</w:t>
                  </w:r>
                </w:p>
              </w:tc>
              <w:tc>
                <w:tcPr>
                  <w:tcW w:w="1160" w:type="dxa"/>
                  <w:shd w:val="clear" w:color="auto" w:fill="9CC2E5"/>
                  <w:vAlign w:val="center"/>
                  <w:hideMark/>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2021</w:t>
                  </w:r>
                </w:p>
              </w:tc>
            </w:tr>
            <w:tr w:rsidR="005037D0" w:rsidRPr="00EE7164" w:rsidTr="005037D0">
              <w:trPr>
                <w:trHeight w:val="303"/>
              </w:trPr>
              <w:tc>
                <w:tcPr>
                  <w:tcW w:w="2052" w:type="dxa"/>
                  <w:vMerge/>
                  <w:vAlign w:val="center"/>
                  <w:hideMark/>
                </w:tcPr>
                <w:p w:rsidR="009F0A25" w:rsidRPr="00EE7164" w:rsidRDefault="009F0A25" w:rsidP="007730AA">
                  <w:pPr>
                    <w:spacing w:before="0"/>
                    <w:jc w:val="center"/>
                    <w:rPr>
                      <w:rFonts w:cs="Calibri"/>
                      <w:b w:val="0"/>
                      <w:bCs/>
                      <w:color w:val="000000"/>
                      <w:sz w:val="18"/>
                      <w:szCs w:val="18"/>
                    </w:rPr>
                  </w:pPr>
                </w:p>
              </w:tc>
              <w:tc>
                <w:tcPr>
                  <w:tcW w:w="2460" w:type="dxa"/>
                  <w:vMerge/>
                  <w:vAlign w:val="center"/>
                  <w:hideMark/>
                </w:tcPr>
                <w:p w:rsidR="009F0A25" w:rsidRPr="00EE7164" w:rsidRDefault="009F0A25" w:rsidP="007730AA">
                  <w:pPr>
                    <w:spacing w:before="0"/>
                    <w:jc w:val="center"/>
                    <w:rPr>
                      <w:rFonts w:cs="Calibri"/>
                      <w:b w:val="0"/>
                      <w:bCs/>
                      <w:color w:val="000000"/>
                      <w:sz w:val="18"/>
                      <w:szCs w:val="18"/>
                    </w:rPr>
                  </w:pPr>
                </w:p>
              </w:tc>
              <w:tc>
                <w:tcPr>
                  <w:tcW w:w="1360" w:type="dxa"/>
                  <w:shd w:val="clear" w:color="auto" w:fill="9CC2E5"/>
                  <w:vAlign w:val="center"/>
                </w:tcPr>
                <w:p w:rsidR="009F0A25" w:rsidRPr="00EE7164" w:rsidRDefault="009F0A25" w:rsidP="007730AA">
                  <w:pPr>
                    <w:spacing w:before="0"/>
                    <w:ind w:firstLine="0"/>
                    <w:jc w:val="center"/>
                    <w:rPr>
                      <w:rFonts w:cs="Calibri"/>
                      <w:i/>
                      <w:iCs/>
                      <w:color w:val="000000"/>
                      <w:sz w:val="18"/>
                      <w:szCs w:val="18"/>
                      <w:lang w:val="hy-AM"/>
                    </w:rPr>
                  </w:pPr>
                  <w:r w:rsidRPr="00EE7164">
                    <w:rPr>
                      <w:rFonts w:cs="Calibri"/>
                      <w:i/>
                      <w:iCs/>
                      <w:color w:val="000000"/>
                      <w:sz w:val="18"/>
                      <w:szCs w:val="18"/>
                      <w:lang w:val="hy-AM"/>
                    </w:rPr>
                    <w:t>փաստ</w:t>
                  </w:r>
                  <w:r w:rsidRPr="00EE7164">
                    <w:rPr>
                      <w:rFonts w:cs="Calibri"/>
                      <w:i/>
                      <w:iCs/>
                      <w:color w:val="000000"/>
                      <w:sz w:val="18"/>
                      <w:szCs w:val="18"/>
                    </w:rPr>
                    <w:t>*</w:t>
                  </w:r>
                  <w:r w:rsidRPr="00EE7164">
                    <w:rPr>
                      <w:rFonts w:cs="Calibri"/>
                      <w:i/>
                      <w:iCs/>
                      <w:color w:val="000000"/>
                      <w:sz w:val="18"/>
                      <w:szCs w:val="18"/>
                      <w:lang w:val="hy-AM"/>
                    </w:rPr>
                    <w:t>/կանխ.</w:t>
                  </w:r>
                </w:p>
              </w:tc>
              <w:tc>
                <w:tcPr>
                  <w:tcW w:w="1890" w:type="dxa"/>
                  <w:shd w:val="clear" w:color="auto" w:fill="9CC2E5"/>
                  <w:vAlign w:val="center"/>
                  <w:hideMark/>
                </w:tcPr>
                <w:p w:rsidR="009F0A25" w:rsidRPr="00EE7164" w:rsidRDefault="009F0A25" w:rsidP="007730AA">
                  <w:pPr>
                    <w:spacing w:before="0"/>
                    <w:ind w:firstLine="0"/>
                    <w:jc w:val="center"/>
                    <w:rPr>
                      <w:rFonts w:cs="Calibri"/>
                      <w:i/>
                      <w:iCs/>
                      <w:color w:val="000000"/>
                      <w:sz w:val="18"/>
                      <w:szCs w:val="18"/>
                    </w:rPr>
                  </w:pPr>
                  <w:r w:rsidRPr="00EE7164">
                    <w:rPr>
                      <w:rFonts w:cs="Calibri"/>
                      <w:i/>
                      <w:iCs/>
                      <w:color w:val="000000"/>
                      <w:sz w:val="18"/>
                      <w:szCs w:val="18"/>
                      <w:lang w:val="hy-AM"/>
                    </w:rPr>
                    <w:t>կանխ.</w:t>
                  </w:r>
                </w:p>
              </w:tc>
              <w:tc>
                <w:tcPr>
                  <w:tcW w:w="1160" w:type="dxa"/>
                  <w:shd w:val="clear" w:color="auto" w:fill="9CC2E5"/>
                  <w:vAlign w:val="center"/>
                  <w:hideMark/>
                </w:tcPr>
                <w:p w:rsidR="009F0A25" w:rsidRPr="00EE7164" w:rsidRDefault="009F0A25" w:rsidP="007730AA">
                  <w:pPr>
                    <w:spacing w:before="0"/>
                    <w:ind w:firstLine="0"/>
                    <w:jc w:val="center"/>
                    <w:rPr>
                      <w:rFonts w:cs="Calibri"/>
                      <w:i/>
                      <w:iCs/>
                      <w:color w:val="000000"/>
                      <w:sz w:val="18"/>
                      <w:szCs w:val="18"/>
                    </w:rPr>
                  </w:pPr>
                  <w:r w:rsidRPr="00EE7164">
                    <w:rPr>
                      <w:rFonts w:cs="Calibri"/>
                      <w:i/>
                      <w:iCs/>
                      <w:color w:val="000000"/>
                      <w:sz w:val="18"/>
                      <w:szCs w:val="18"/>
                      <w:lang w:val="hy-AM"/>
                    </w:rPr>
                    <w:t>կանխ.</w:t>
                  </w:r>
                </w:p>
              </w:tc>
            </w:tr>
            <w:tr w:rsidR="005037D0" w:rsidRPr="00EE7164" w:rsidTr="005037D0">
              <w:trPr>
                <w:trHeight w:val="303"/>
              </w:trPr>
              <w:tc>
                <w:tcPr>
                  <w:tcW w:w="2052" w:type="dxa"/>
                  <w:vMerge w:val="restart"/>
                  <w:shd w:val="clear" w:color="auto" w:fill="auto"/>
                  <w:vAlign w:val="center"/>
                </w:tcPr>
                <w:p w:rsidR="009F0A25" w:rsidRPr="005037D0" w:rsidRDefault="009F0A25" w:rsidP="007730AA">
                  <w:pPr>
                    <w:spacing w:before="0" w:line="276" w:lineRule="auto"/>
                    <w:ind w:firstLine="0"/>
                    <w:rPr>
                      <w:rFonts w:cs="Calibri"/>
                      <w:bCs/>
                      <w:color w:val="000000"/>
                      <w:sz w:val="18"/>
                      <w:szCs w:val="18"/>
                      <w:highlight w:val="yellow"/>
                    </w:rPr>
                  </w:pPr>
                  <w:r w:rsidRPr="005037D0">
                    <w:rPr>
                      <w:rFonts w:cs="Calibri"/>
                      <w:bCs/>
                      <w:color w:val="000000"/>
                      <w:sz w:val="18"/>
                      <w:szCs w:val="18"/>
                    </w:rPr>
                    <w:t>Անվանական ՀՆԱ, մլրդ դրամ</w:t>
                  </w:r>
                </w:p>
              </w:tc>
              <w:tc>
                <w:tcPr>
                  <w:tcW w:w="2460" w:type="dxa"/>
                  <w:shd w:val="clear" w:color="auto" w:fill="auto"/>
                  <w:vAlign w:val="center"/>
                </w:tcPr>
                <w:p w:rsidR="009F0A25" w:rsidRPr="005037D0" w:rsidRDefault="009F0A25" w:rsidP="007730AA">
                  <w:pPr>
                    <w:spacing w:before="0" w:line="276" w:lineRule="auto"/>
                    <w:ind w:firstLine="0"/>
                    <w:rPr>
                      <w:rFonts w:cs="Calibri"/>
                      <w:b w:val="0"/>
                      <w:i/>
                      <w:iCs/>
                      <w:color w:val="000000"/>
                      <w:sz w:val="18"/>
                      <w:szCs w:val="18"/>
                      <w:highlight w:val="yellow"/>
                    </w:rPr>
                  </w:pPr>
                  <w:r w:rsidRPr="005037D0">
                    <w:rPr>
                      <w:rFonts w:cs="Calibri"/>
                      <w:b w:val="0"/>
                      <w:i/>
                      <w:iCs/>
                      <w:color w:val="000000"/>
                      <w:sz w:val="18"/>
                      <w:szCs w:val="18"/>
                    </w:rPr>
                    <w:t>202</w:t>
                  </w:r>
                  <w:r w:rsidRPr="005037D0">
                    <w:rPr>
                      <w:rFonts w:cs="Calibri"/>
                      <w:b w:val="0"/>
                      <w:i/>
                      <w:iCs/>
                      <w:color w:val="000000"/>
                      <w:sz w:val="18"/>
                      <w:szCs w:val="18"/>
                      <w:lang w:val="hy-AM"/>
                    </w:rPr>
                    <w:t>1</w:t>
                  </w:r>
                  <w:r w:rsidRPr="005037D0">
                    <w:rPr>
                      <w:rFonts w:cs="Calibri"/>
                      <w:b w:val="0"/>
                      <w:i/>
                      <w:iCs/>
                      <w:color w:val="000000"/>
                      <w:sz w:val="18"/>
                      <w:szCs w:val="18"/>
                    </w:rPr>
                    <w:t xml:space="preserve">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highlight w:val="yellow"/>
                    </w:rPr>
                  </w:pPr>
                  <w:r w:rsidRPr="005037D0">
                    <w:rPr>
                      <w:b w:val="0"/>
                      <w:sz w:val="18"/>
                      <w:szCs w:val="18"/>
                    </w:rPr>
                    <w:t>6,569.0</w:t>
                  </w:r>
                </w:p>
              </w:tc>
              <w:tc>
                <w:tcPr>
                  <w:tcW w:w="1890" w:type="dxa"/>
                  <w:shd w:val="clear" w:color="auto" w:fill="auto"/>
                  <w:noWrap/>
                  <w:vAlign w:val="center"/>
                </w:tcPr>
                <w:p w:rsidR="009F0A25" w:rsidRPr="005037D0" w:rsidRDefault="009F0A25" w:rsidP="007730AA">
                  <w:pPr>
                    <w:spacing w:before="0" w:line="276" w:lineRule="auto"/>
                    <w:ind w:firstLine="0"/>
                    <w:jc w:val="center"/>
                    <w:rPr>
                      <w:rFonts w:cs="Calibri"/>
                      <w:b w:val="0"/>
                      <w:color w:val="000000"/>
                      <w:sz w:val="18"/>
                      <w:szCs w:val="18"/>
                    </w:rPr>
                  </w:pPr>
                  <w:r w:rsidRPr="005037D0">
                    <w:rPr>
                      <w:b w:val="0"/>
                      <w:sz w:val="18"/>
                      <w:szCs w:val="18"/>
                    </w:rPr>
                    <w:t>6,</w:t>
                  </w:r>
                  <w:r w:rsidRPr="005037D0">
                    <w:rPr>
                      <w:b w:val="0"/>
                      <w:sz w:val="18"/>
                      <w:szCs w:val="18"/>
                      <w:lang w:val="hy-AM"/>
                    </w:rPr>
                    <w:t>075</w:t>
                  </w:r>
                  <w:r w:rsidRPr="005037D0">
                    <w:rPr>
                      <w:b w:val="0"/>
                      <w:sz w:val="18"/>
                      <w:szCs w:val="18"/>
                    </w:rPr>
                    <w:t>.9</w:t>
                  </w:r>
                </w:p>
              </w:tc>
              <w:tc>
                <w:tcPr>
                  <w:tcW w:w="1160" w:type="dxa"/>
                  <w:shd w:val="clear" w:color="auto" w:fill="auto"/>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rPr>
                    <w:t>6,</w:t>
                  </w:r>
                  <w:r w:rsidRPr="005037D0">
                    <w:rPr>
                      <w:b w:val="0"/>
                      <w:sz w:val="18"/>
                      <w:szCs w:val="18"/>
                      <w:lang w:val="hy-AM"/>
                    </w:rPr>
                    <w:t>395</w:t>
                  </w:r>
                  <w:r w:rsidRPr="005037D0">
                    <w:rPr>
                      <w:b w:val="0"/>
                      <w:sz w:val="18"/>
                      <w:szCs w:val="18"/>
                    </w:rPr>
                    <w:t>.</w:t>
                  </w:r>
                  <w:r w:rsidRPr="005037D0">
                    <w:rPr>
                      <w:b w:val="0"/>
                      <w:sz w:val="18"/>
                      <w:szCs w:val="18"/>
                      <w:lang w:val="hy-AM"/>
                    </w:rPr>
                    <w:t>3</w:t>
                  </w:r>
                </w:p>
              </w:tc>
            </w:tr>
            <w:tr w:rsidR="005037D0" w:rsidRPr="00EE7164" w:rsidTr="005037D0">
              <w:trPr>
                <w:trHeight w:val="303"/>
              </w:trPr>
              <w:tc>
                <w:tcPr>
                  <w:tcW w:w="2052" w:type="dxa"/>
                  <w:vMerge/>
                  <w:shd w:val="clear" w:color="auto" w:fill="auto"/>
                  <w:vAlign w:val="center"/>
                  <w:hideMark/>
                </w:tcPr>
                <w:p w:rsidR="009F0A25" w:rsidRPr="005037D0" w:rsidRDefault="009F0A25" w:rsidP="007730AA">
                  <w:pPr>
                    <w:spacing w:before="0" w:line="276" w:lineRule="auto"/>
                    <w:rPr>
                      <w:rFonts w:cs="Calibri"/>
                      <w:bCs/>
                      <w:color w:val="000000"/>
                      <w:sz w:val="18"/>
                      <w:szCs w:val="18"/>
                      <w:highlight w:val="yellow"/>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highlight w:val="yellow"/>
                    </w:rPr>
                  </w:pPr>
                  <w:r w:rsidRPr="005037D0">
                    <w:rPr>
                      <w:rFonts w:cs="Calibri"/>
                      <w:b w:val="0"/>
                      <w:i/>
                      <w:iCs/>
                      <w:color w:val="000000"/>
                      <w:sz w:val="18"/>
                      <w:szCs w:val="18"/>
                    </w:rPr>
                    <w:t>2021-2023 ՄԺԾԾ</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highlight w:val="yellow"/>
                    </w:rPr>
                  </w:pPr>
                  <w:r w:rsidRPr="005037D0">
                    <w:rPr>
                      <w:rFonts w:cs="Calibri"/>
                      <w:b w:val="0"/>
                      <w:color w:val="000000"/>
                      <w:sz w:val="18"/>
                      <w:szCs w:val="18"/>
                    </w:rPr>
                    <w:t>6569.0</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6,505.1</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7,143.0</w:t>
                  </w:r>
                </w:p>
              </w:tc>
            </w:tr>
            <w:tr w:rsidR="005037D0" w:rsidRPr="00EE7164" w:rsidTr="005037D0">
              <w:trPr>
                <w:trHeight w:val="303"/>
              </w:trPr>
              <w:tc>
                <w:tcPr>
                  <w:tcW w:w="2052" w:type="dxa"/>
                  <w:vMerge/>
                  <w:vAlign w:val="center"/>
                  <w:hideMark/>
                </w:tcPr>
                <w:p w:rsidR="009F0A25" w:rsidRPr="005037D0" w:rsidRDefault="009F0A25" w:rsidP="007730AA">
                  <w:pPr>
                    <w:spacing w:before="0" w:line="276" w:lineRule="auto"/>
                    <w:rPr>
                      <w:rFonts w:cs="Calibri"/>
                      <w:bCs/>
                      <w:color w:val="000000"/>
                      <w:sz w:val="18"/>
                      <w:szCs w:val="18"/>
                      <w:highlight w:val="yellow"/>
                    </w:rPr>
                  </w:pPr>
                </w:p>
              </w:tc>
              <w:tc>
                <w:tcPr>
                  <w:tcW w:w="2460" w:type="dxa"/>
                  <w:shd w:val="clear" w:color="auto" w:fill="auto"/>
                  <w:vAlign w:val="center"/>
                  <w:hideMark/>
                </w:tcPr>
                <w:p w:rsidR="009F0A25" w:rsidRPr="005037D0" w:rsidRDefault="005037D0" w:rsidP="007730AA">
                  <w:pPr>
                    <w:spacing w:before="0" w:line="276" w:lineRule="auto"/>
                    <w:ind w:firstLine="0"/>
                    <w:rPr>
                      <w:rFonts w:cs="Calibri"/>
                      <w:b w:val="0"/>
                      <w:i/>
                      <w:iCs/>
                      <w:color w:val="000000"/>
                      <w:sz w:val="18"/>
                      <w:szCs w:val="18"/>
                      <w:highlight w:val="yellow"/>
                    </w:rPr>
                  </w:pPr>
                  <w:r>
                    <w:rPr>
                      <w:rFonts w:cs="Calibri"/>
                      <w:b w:val="0"/>
                      <w:i/>
                      <w:iCs/>
                      <w:color w:val="000000"/>
                      <w:sz w:val="18"/>
                      <w:szCs w:val="18"/>
                    </w:rPr>
                    <w:t>2020</w:t>
                  </w:r>
                  <w:r>
                    <w:rPr>
                      <w:rFonts w:cs="Calibri"/>
                      <w:b w:val="0"/>
                      <w:i/>
                      <w:iCs/>
                      <w:color w:val="000000"/>
                      <w:sz w:val="18"/>
                      <w:szCs w:val="18"/>
                      <w:lang w:val="en-US"/>
                    </w:rPr>
                    <w:t xml:space="preserve"> </w:t>
                  </w:r>
                  <w:r w:rsidR="009F0A25" w:rsidRPr="005037D0">
                    <w:rPr>
                      <w:rFonts w:cs="Calibri"/>
                      <w:b w:val="0"/>
                      <w:i/>
                      <w:iCs/>
                      <w:color w:val="000000"/>
                      <w:sz w:val="18"/>
                      <w:szCs w:val="18"/>
                    </w:rPr>
                    <w:t>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6,566.5</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7,095.1</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w:t>
                  </w:r>
                </w:p>
              </w:tc>
            </w:tr>
            <w:tr w:rsidR="005037D0" w:rsidRPr="003A0B99" w:rsidTr="005037D0">
              <w:trPr>
                <w:trHeight w:val="303"/>
              </w:trPr>
              <w:tc>
                <w:tcPr>
                  <w:tcW w:w="2052" w:type="dxa"/>
                  <w:vMerge w:val="restart"/>
                  <w:shd w:val="clear" w:color="auto" w:fill="auto"/>
                  <w:vAlign w:val="center"/>
                </w:tcPr>
                <w:p w:rsidR="009F0A25" w:rsidRPr="005037D0" w:rsidRDefault="009F0A25" w:rsidP="007730AA">
                  <w:pPr>
                    <w:spacing w:before="0" w:line="276" w:lineRule="auto"/>
                    <w:ind w:firstLine="0"/>
                    <w:rPr>
                      <w:rFonts w:cs="Calibri"/>
                      <w:bCs/>
                      <w:color w:val="000000"/>
                      <w:sz w:val="18"/>
                      <w:szCs w:val="18"/>
                      <w:lang w:val="hy-AM"/>
                    </w:rPr>
                  </w:pPr>
                  <w:r w:rsidRPr="005037D0">
                    <w:rPr>
                      <w:rFonts w:cs="Calibri"/>
                      <w:bCs/>
                      <w:color w:val="000000"/>
                      <w:sz w:val="18"/>
                      <w:szCs w:val="18"/>
                      <w:lang w:val="hy-AM"/>
                    </w:rPr>
                    <w:t>Տնտեսական</w:t>
                  </w:r>
                  <w:r w:rsidRPr="005037D0">
                    <w:rPr>
                      <w:rFonts w:cs="Calibri"/>
                      <w:bCs/>
                      <w:color w:val="000000"/>
                      <w:sz w:val="18"/>
                      <w:szCs w:val="18"/>
                    </w:rPr>
                    <w:t xml:space="preserve"> (</w:t>
                  </w:r>
                  <w:r w:rsidRPr="005037D0">
                    <w:rPr>
                      <w:rFonts w:cs="Calibri"/>
                      <w:bCs/>
                      <w:color w:val="000000"/>
                      <w:sz w:val="18"/>
                      <w:szCs w:val="18"/>
                      <w:lang w:val="hy-AM"/>
                    </w:rPr>
                    <w:t>իրական ՀՆԱ-ի</w:t>
                  </w:r>
                  <w:r w:rsidRPr="005037D0">
                    <w:rPr>
                      <w:rFonts w:cs="Calibri"/>
                      <w:bCs/>
                      <w:color w:val="000000"/>
                      <w:sz w:val="18"/>
                      <w:szCs w:val="18"/>
                    </w:rPr>
                    <w:t>)</w:t>
                  </w:r>
                  <w:r w:rsidRPr="005037D0">
                    <w:rPr>
                      <w:rFonts w:cs="Calibri"/>
                      <w:bCs/>
                      <w:color w:val="000000"/>
                      <w:sz w:val="18"/>
                      <w:szCs w:val="18"/>
                      <w:lang w:val="hy-AM"/>
                    </w:rPr>
                    <w:t xml:space="preserve"> աճ, </w:t>
                  </w:r>
                  <w:r w:rsidRPr="005037D0">
                    <w:rPr>
                      <w:rFonts w:cs="Calibri"/>
                      <w:bCs/>
                      <w:color w:val="000000"/>
                      <w:sz w:val="18"/>
                      <w:szCs w:val="18"/>
                    </w:rPr>
                    <w:t>%</w:t>
                  </w:r>
                </w:p>
              </w:tc>
              <w:tc>
                <w:tcPr>
                  <w:tcW w:w="2460" w:type="dxa"/>
                  <w:shd w:val="clear" w:color="auto" w:fill="auto"/>
                  <w:vAlign w:val="center"/>
                </w:tcPr>
                <w:p w:rsidR="009F0A25" w:rsidRPr="005037D0" w:rsidRDefault="009F0A25" w:rsidP="007730AA">
                  <w:pPr>
                    <w:spacing w:before="0" w:line="276" w:lineRule="auto"/>
                    <w:ind w:firstLine="0"/>
                    <w:rPr>
                      <w:rFonts w:cs="Calibri"/>
                      <w:b w:val="0"/>
                      <w:i/>
                      <w:iCs/>
                      <w:color w:val="000000"/>
                      <w:sz w:val="18"/>
                      <w:szCs w:val="18"/>
                      <w:highlight w:val="yellow"/>
                      <w:lang w:val="hy-AM"/>
                    </w:rPr>
                  </w:pPr>
                  <w:r w:rsidRPr="005037D0">
                    <w:rPr>
                      <w:rFonts w:cs="Calibri"/>
                      <w:b w:val="0"/>
                      <w:i/>
                      <w:iCs/>
                      <w:color w:val="000000"/>
                      <w:sz w:val="18"/>
                      <w:szCs w:val="18"/>
                      <w:lang w:val="hy-AM"/>
                    </w:rPr>
                    <w:t>2021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highlight w:val="yellow"/>
                      <w:lang w:val="hy-AM"/>
                    </w:rPr>
                  </w:pPr>
                  <w:r w:rsidRPr="005037D0">
                    <w:rPr>
                      <w:b w:val="0"/>
                      <w:sz w:val="18"/>
                      <w:szCs w:val="18"/>
                      <w:lang w:val="hy-AM"/>
                    </w:rPr>
                    <w:t>7.6</w:t>
                  </w:r>
                </w:p>
              </w:tc>
              <w:tc>
                <w:tcPr>
                  <w:tcW w:w="1890" w:type="dxa"/>
                  <w:shd w:val="clear" w:color="auto" w:fill="auto"/>
                  <w:noWrap/>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lang w:val="hy-AM"/>
                    </w:rPr>
                    <w:t>-7.9</w:t>
                  </w:r>
                </w:p>
              </w:tc>
              <w:tc>
                <w:tcPr>
                  <w:tcW w:w="1160" w:type="dxa"/>
                  <w:shd w:val="clear" w:color="auto" w:fill="auto"/>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lang w:val="hy-AM"/>
                    </w:rPr>
                    <w:t>3.2</w:t>
                  </w:r>
                </w:p>
              </w:tc>
            </w:tr>
            <w:tr w:rsidR="005037D0" w:rsidRPr="003A0B99" w:rsidTr="005037D0">
              <w:trPr>
                <w:trHeight w:val="303"/>
              </w:trPr>
              <w:tc>
                <w:tcPr>
                  <w:tcW w:w="2052" w:type="dxa"/>
                  <w:vMerge/>
                  <w:shd w:val="clear" w:color="auto" w:fill="auto"/>
                  <w:vAlign w:val="center"/>
                  <w:hideMark/>
                </w:tcPr>
                <w:p w:rsidR="009F0A25" w:rsidRPr="005037D0" w:rsidRDefault="009F0A25" w:rsidP="007730AA">
                  <w:pPr>
                    <w:spacing w:before="0" w:line="276" w:lineRule="auto"/>
                    <w:rPr>
                      <w:rFonts w:cs="Calibri"/>
                      <w:bCs/>
                      <w:color w:val="000000"/>
                      <w:sz w:val="18"/>
                      <w:szCs w:val="18"/>
                      <w:highlight w:val="yellow"/>
                      <w:lang w:val="hy-AM"/>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highlight w:val="yellow"/>
                      <w:lang w:val="hy-AM"/>
                    </w:rPr>
                  </w:pPr>
                  <w:r w:rsidRPr="005037D0">
                    <w:rPr>
                      <w:rFonts w:cs="Calibri"/>
                      <w:b w:val="0"/>
                      <w:i/>
                      <w:iCs/>
                      <w:color w:val="000000"/>
                      <w:sz w:val="18"/>
                      <w:szCs w:val="18"/>
                      <w:lang w:val="hy-AM"/>
                    </w:rPr>
                    <w:t>2021-2023 ՄԺԾԾ</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7.6</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-2.6</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7.0</w:t>
                  </w:r>
                </w:p>
              </w:tc>
            </w:tr>
            <w:tr w:rsidR="005037D0" w:rsidRPr="003A0B99" w:rsidTr="005037D0">
              <w:trPr>
                <w:trHeight w:val="303"/>
              </w:trPr>
              <w:tc>
                <w:tcPr>
                  <w:tcW w:w="2052" w:type="dxa"/>
                  <w:vMerge/>
                  <w:vAlign w:val="center"/>
                  <w:hideMark/>
                </w:tcPr>
                <w:p w:rsidR="009F0A25" w:rsidRPr="005037D0" w:rsidRDefault="009F0A25" w:rsidP="007730AA">
                  <w:pPr>
                    <w:spacing w:before="0" w:line="276" w:lineRule="auto"/>
                    <w:rPr>
                      <w:rFonts w:cs="Calibri"/>
                      <w:bCs/>
                      <w:color w:val="000000"/>
                      <w:sz w:val="18"/>
                      <w:szCs w:val="18"/>
                      <w:highlight w:val="yellow"/>
                      <w:lang w:val="hy-AM"/>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lang w:val="hy-AM"/>
                    </w:rPr>
                  </w:pPr>
                  <w:r w:rsidRPr="005037D0">
                    <w:rPr>
                      <w:rFonts w:cs="Calibri"/>
                      <w:b w:val="0"/>
                      <w:i/>
                      <w:iCs/>
                      <w:color w:val="000000"/>
                      <w:sz w:val="18"/>
                      <w:szCs w:val="18"/>
                      <w:lang w:val="hy-AM"/>
                    </w:rPr>
                    <w:t>2020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6.3</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4.9</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w:t>
                  </w:r>
                </w:p>
              </w:tc>
            </w:tr>
            <w:tr w:rsidR="005037D0" w:rsidRPr="003A0B99" w:rsidTr="005037D0">
              <w:trPr>
                <w:trHeight w:val="303"/>
              </w:trPr>
              <w:tc>
                <w:tcPr>
                  <w:tcW w:w="2052" w:type="dxa"/>
                  <w:vMerge w:val="restart"/>
                  <w:shd w:val="clear" w:color="auto" w:fill="auto"/>
                  <w:vAlign w:val="center"/>
                </w:tcPr>
                <w:p w:rsidR="009F0A25" w:rsidRPr="005037D0" w:rsidRDefault="009F0A25" w:rsidP="007730AA">
                  <w:pPr>
                    <w:spacing w:before="0" w:line="276" w:lineRule="auto"/>
                    <w:ind w:firstLine="0"/>
                    <w:rPr>
                      <w:rFonts w:cs="Calibri"/>
                      <w:bCs/>
                      <w:color w:val="000000"/>
                      <w:sz w:val="18"/>
                      <w:szCs w:val="18"/>
                      <w:highlight w:val="yellow"/>
                      <w:lang w:val="hy-AM"/>
                    </w:rPr>
                  </w:pPr>
                  <w:r w:rsidRPr="005037D0">
                    <w:rPr>
                      <w:rFonts w:cs="Calibri"/>
                      <w:bCs/>
                      <w:color w:val="000000"/>
                      <w:sz w:val="18"/>
                      <w:szCs w:val="18"/>
                      <w:lang w:val="hy-AM"/>
                    </w:rPr>
                    <w:t>ՀՆԱ-ի դեֆլյատորի աճ, %</w:t>
                  </w:r>
                </w:p>
              </w:tc>
              <w:tc>
                <w:tcPr>
                  <w:tcW w:w="2460" w:type="dxa"/>
                  <w:shd w:val="clear" w:color="auto" w:fill="auto"/>
                  <w:vAlign w:val="center"/>
                </w:tcPr>
                <w:p w:rsidR="009F0A25" w:rsidRPr="005037D0" w:rsidRDefault="009F0A25" w:rsidP="007730AA">
                  <w:pPr>
                    <w:spacing w:before="0" w:line="276" w:lineRule="auto"/>
                    <w:ind w:firstLine="0"/>
                    <w:rPr>
                      <w:rFonts w:cs="Calibri"/>
                      <w:b w:val="0"/>
                      <w:i/>
                      <w:iCs/>
                      <w:color w:val="000000"/>
                      <w:sz w:val="18"/>
                      <w:szCs w:val="18"/>
                      <w:highlight w:val="yellow"/>
                      <w:lang w:val="hy-AM"/>
                    </w:rPr>
                  </w:pPr>
                  <w:r w:rsidRPr="005037D0">
                    <w:rPr>
                      <w:rFonts w:cs="Calibri"/>
                      <w:b w:val="0"/>
                      <w:i/>
                      <w:iCs/>
                      <w:color w:val="000000"/>
                      <w:sz w:val="18"/>
                      <w:szCs w:val="18"/>
                      <w:lang w:val="hy-AM"/>
                    </w:rPr>
                    <w:t>2021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highlight w:val="yellow"/>
                      <w:lang w:val="hy-AM"/>
                    </w:rPr>
                  </w:pPr>
                  <w:r w:rsidRPr="005037D0">
                    <w:rPr>
                      <w:b w:val="0"/>
                      <w:sz w:val="18"/>
                      <w:szCs w:val="18"/>
                      <w:lang w:val="hy-AM"/>
                    </w:rPr>
                    <w:t>1.5</w:t>
                  </w:r>
                </w:p>
              </w:tc>
              <w:tc>
                <w:tcPr>
                  <w:tcW w:w="1890" w:type="dxa"/>
                  <w:shd w:val="clear" w:color="auto" w:fill="auto"/>
                  <w:noWrap/>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lang w:val="hy-AM"/>
                    </w:rPr>
                    <w:t>0.4</w:t>
                  </w:r>
                </w:p>
              </w:tc>
              <w:tc>
                <w:tcPr>
                  <w:tcW w:w="1160" w:type="dxa"/>
                  <w:shd w:val="clear" w:color="auto" w:fill="auto"/>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lang w:val="hy-AM"/>
                    </w:rPr>
                    <w:t>2.0</w:t>
                  </w:r>
                </w:p>
              </w:tc>
            </w:tr>
            <w:tr w:rsidR="005037D0" w:rsidRPr="003A0B99" w:rsidTr="005037D0">
              <w:trPr>
                <w:trHeight w:val="303"/>
              </w:trPr>
              <w:tc>
                <w:tcPr>
                  <w:tcW w:w="2052" w:type="dxa"/>
                  <w:vMerge/>
                  <w:shd w:val="clear" w:color="auto" w:fill="auto"/>
                  <w:vAlign w:val="center"/>
                  <w:hideMark/>
                </w:tcPr>
                <w:p w:rsidR="009F0A25" w:rsidRPr="00EE7164" w:rsidRDefault="009F0A25" w:rsidP="007730AA">
                  <w:pPr>
                    <w:spacing w:before="0" w:line="276" w:lineRule="auto"/>
                    <w:rPr>
                      <w:rFonts w:cs="Calibri"/>
                      <w:b w:val="0"/>
                      <w:bCs/>
                      <w:color w:val="000000"/>
                      <w:sz w:val="18"/>
                      <w:szCs w:val="18"/>
                      <w:highlight w:val="yellow"/>
                      <w:lang w:val="hy-AM"/>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lang w:val="hy-AM"/>
                    </w:rPr>
                  </w:pPr>
                  <w:r w:rsidRPr="005037D0">
                    <w:rPr>
                      <w:rFonts w:cs="Calibri"/>
                      <w:b w:val="0"/>
                      <w:i/>
                      <w:iCs/>
                      <w:color w:val="000000"/>
                      <w:sz w:val="18"/>
                      <w:szCs w:val="18"/>
                      <w:lang w:val="hy-AM"/>
                    </w:rPr>
                    <w:t>2021-2023 ՄԺԾԾ</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1.5</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1.7</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2.7</w:t>
                  </w:r>
                </w:p>
              </w:tc>
            </w:tr>
            <w:tr w:rsidR="005037D0" w:rsidRPr="003A0B99" w:rsidTr="005037D0">
              <w:trPr>
                <w:trHeight w:val="303"/>
              </w:trPr>
              <w:tc>
                <w:tcPr>
                  <w:tcW w:w="2052" w:type="dxa"/>
                  <w:vMerge/>
                  <w:vAlign w:val="center"/>
                  <w:hideMark/>
                </w:tcPr>
                <w:p w:rsidR="009F0A25" w:rsidRPr="00EE7164" w:rsidRDefault="009F0A25" w:rsidP="007730AA">
                  <w:pPr>
                    <w:spacing w:before="0" w:line="276" w:lineRule="auto"/>
                    <w:rPr>
                      <w:rFonts w:cs="Calibri"/>
                      <w:b w:val="0"/>
                      <w:bCs/>
                      <w:color w:val="000000"/>
                      <w:sz w:val="18"/>
                      <w:szCs w:val="18"/>
                      <w:highlight w:val="yellow"/>
                      <w:lang w:val="hy-AM"/>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lang w:val="hy-AM"/>
                    </w:rPr>
                  </w:pPr>
                  <w:r w:rsidRPr="005037D0">
                    <w:rPr>
                      <w:rFonts w:cs="Calibri"/>
                      <w:b w:val="0"/>
                      <w:i/>
                      <w:iCs/>
                      <w:color w:val="000000"/>
                      <w:sz w:val="18"/>
                      <w:szCs w:val="18"/>
                      <w:lang w:val="hy-AM"/>
                    </w:rPr>
                    <w:t>2020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2.9</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3.0</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w:t>
                  </w:r>
                </w:p>
              </w:tc>
            </w:tr>
          </w:tbl>
          <w:p w:rsidR="009F0A25" w:rsidRPr="005037D0" w:rsidRDefault="009F0A25" w:rsidP="007730AA">
            <w:pPr>
              <w:spacing w:before="0" w:after="0" w:line="276" w:lineRule="auto"/>
              <w:rPr>
                <w:rFonts w:eastAsia="Calibri"/>
                <w:b w:val="0"/>
                <w:sz w:val="18"/>
                <w:szCs w:val="18"/>
                <w:lang w:val="hy-AM"/>
              </w:rPr>
            </w:pPr>
            <w:r w:rsidRPr="005037D0">
              <w:rPr>
                <w:rFonts w:eastAsia="Calibri"/>
                <w:b w:val="0"/>
                <w:sz w:val="18"/>
                <w:szCs w:val="18"/>
                <w:lang w:val="hy-AM"/>
              </w:rPr>
              <w:t xml:space="preserve">* </w:t>
            </w:r>
            <w:r w:rsidRPr="005037D0">
              <w:rPr>
                <w:rFonts w:cs="Calibri"/>
                <w:b w:val="0"/>
                <w:i/>
                <w:iCs/>
                <w:color w:val="000000"/>
                <w:sz w:val="18"/>
                <w:szCs w:val="18"/>
                <w:lang w:val="hy-AM"/>
              </w:rPr>
              <w:t xml:space="preserve">2021-2023 ՄԺԾԾ և 2021 պետական բյուջեի համար 2019թ. ցուցանիշները փաստացի են </w:t>
            </w:r>
          </w:p>
          <w:p w:rsidR="009F0A25" w:rsidRPr="005037D0" w:rsidRDefault="009F0A25" w:rsidP="007730AA">
            <w:pPr>
              <w:spacing w:before="0" w:after="0"/>
              <w:rPr>
                <w:rFonts w:eastAsia="Calibri"/>
                <w:b w:val="0"/>
                <w:sz w:val="18"/>
                <w:szCs w:val="18"/>
                <w:lang w:val="hy-AM"/>
              </w:rPr>
            </w:pPr>
            <w:r w:rsidRPr="005037D0">
              <w:rPr>
                <w:rFonts w:eastAsia="Calibri"/>
                <w:b w:val="0"/>
                <w:sz w:val="18"/>
                <w:szCs w:val="18"/>
                <w:lang w:val="hy-AM"/>
              </w:rPr>
              <w:t>Աղբյուրը ՝ ՀՀ ՖՆ կանխատեսումներ</w:t>
            </w:r>
          </w:p>
          <w:p w:rsidR="009F0A25" w:rsidRPr="00553709" w:rsidRDefault="009F0A25" w:rsidP="007730AA">
            <w:pPr>
              <w:spacing w:before="0" w:after="0" w:line="276" w:lineRule="auto"/>
              <w:rPr>
                <w:rFonts w:eastAsia="Calibri" w:cs="Sylfaen"/>
                <w:b w:val="0"/>
                <w:bCs/>
                <w:i/>
                <w:iCs/>
                <w:color w:val="4F81BD"/>
                <w:lang w:val="hy-AM"/>
              </w:rPr>
            </w:pPr>
          </w:p>
          <w:p w:rsidR="009F0A25" w:rsidRPr="005037D0" w:rsidRDefault="009F0A25" w:rsidP="007730AA">
            <w:pPr>
              <w:keepNext/>
              <w:keepLines/>
              <w:spacing w:before="0" w:after="0" w:line="276" w:lineRule="auto"/>
              <w:rPr>
                <w:rFonts w:eastAsia="Calibri" w:cs="Sylfaen"/>
                <w:b w:val="0"/>
                <w:bCs/>
                <w:i/>
                <w:iCs/>
                <w:color w:val="000000"/>
                <w:sz w:val="20"/>
                <w:szCs w:val="20"/>
                <w:lang w:val="hy-AM"/>
              </w:rPr>
            </w:pPr>
            <w:r w:rsidRPr="00553709">
              <w:rPr>
                <w:rFonts w:eastAsia="Calibri" w:cs="Sylfaen"/>
                <w:bCs/>
                <w:i/>
                <w:iCs/>
                <w:color w:val="000000"/>
                <w:lang w:val="hy-AM"/>
              </w:rPr>
              <w:t>Աղյուսակ</w:t>
            </w:r>
            <w:r w:rsidRPr="00553709">
              <w:rPr>
                <w:rFonts w:eastAsia="Calibri"/>
                <w:bCs/>
                <w:i/>
                <w:iCs/>
                <w:color w:val="000000"/>
                <w:lang w:val="hy-AM"/>
              </w:rPr>
              <w:t xml:space="preserve"> 1.6.</w:t>
            </w:r>
            <w:r w:rsidRPr="00553709">
              <w:rPr>
                <w:rFonts w:eastAsia="Calibri"/>
                <w:bCs/>
                <w:i/>
                <w:iCs/>
                <w:color w:val="000000"/>
                <w:sz w:val="20"/>
                <w:szCs w:val="20"/>
                <w:lang w:val="hy-AM"/>
              </w:rPr>
              <w:t xml:space="preserve"> </w:t>
            </w:r>
            <w:r w:rsidRPr="005037D0">
              <w:rPr>
                <w:rFonts w:eastAsia="Calibri" w:cs="Sylfaen"/>
                <w:b w:val="0"/>
                <w:bCs/>
                <w:i/>
                <w:iCs/>
                <w:color w:val="000000"/>
                <w:sz w:val="20"/>
                <w:szCs w:val="20"/>
                <w:lang w:val="hy-AM"/>
              </w:rPr>
              <w:t>Ընթացիկ</w:t>
            </w:r>
            <w:r w:rsidRPr="005037D0">
              <w:rPr>
                <w:rFonts w:eastAsia="Calibri"/>
                <w:b w:val="0"/>
                <w:bCs/>
                <w:i/>
                <w:iCs/>
                <w:color w:val="000000"/>
                <w:sz w:val="20"/>
                <w:szCs w:val="20"/>
                <w:lang w:val="hy-AM"/>
              </w:rPr>
              <w:t xml:space="preserve"> </w:t>
            </w:r>
            <w:r w:rsidRPr="005037D0">
              <w:rPr>
                <w:rFonts w:eastAsia="Calibri" w:cs="Sylfaen"/>
                <w:b w:val="0"/>
                <w:bCs/>
                <w:i/>
                <w:iCs/>
                <w:color w:val="000000"/>
                <w:sz w:val="20"/>
                <w:szCs w:val="20"/>
                <w:lang w:val="hy-AM"/>
              </w:rPr>
              <w:t>հաշվի</w:t>
            </w:r>
            <w:r w:rsidRPr="005037D0">
              <w:rPr>
                <w:rFonts w:eastAsia="Calibri"/>
                <w:b w:val="0"/>
                <w:bCs/>
                <w:i/>
                <w:iCs/>
                <w:color w:val="000000"/>
                <w:sz w:val="20"/>
                <w:szCs w:val="20"/>
                <w:lang w:val="hy-AM"/>
              </w:rPr>
              <w:t xml:space="preserve"> </w:t>
            </w:r>
            <w:r w:rsidRPr="005037D0">
              <w:rPr>
                <w:rFonts w:eastAsia="Calibri" w:cs="Sylfaen"/>
                <w:b w:val="0"/>
                <w:bCs/>
                <w:i/>
                <w:iCs/>
                <w:color w:val="000000"/>
                <w:sz w:val="20"/>
                <w:szCs w:val="20"/>
                <w:lang w:val="hy-AM"/>
              </w:rPr>
              <w:t>կանխատեսումները</w:t>
            </w:r>
            <w:r w:rsidRPr="005037D0">
              <w:rPr>
                <w:rFonts w:eastAsia="Calibri"/>
                <w:b w:val="0"/>
                <w:bCs/>
                <w:i/>
                <w:iCs/>
                <w:color w:val="000000"/>
                <w:sz w:val="20"/>
                <w:szCs w:val="20"/>
                <w:lang w:val="hy-AM"/>
              </w:rPr>
              <w:t xml:space="preserve"> </w:t>
            </w:r>
            <w:r w:rsidRPr="005037D0">
              <w:rPr>
                <w:rFonts w:eastAsia="Calibri" w:cs="Sylfaen"/>
                <w:b w:val="0"/>
                <w:bCs/>
                <w:i/>
                <w:iCs/>
                <w:color w:val="000000"/>
                <w:sz w:val="20"/>
                <w:szCs w:val="20"/>
                <w:lang w:val="hy-AM"/>
              </w:rPr>
              <w:t>2021-2023 թթ. ՄԺԾԾ-ով և  2020թ. և 2021թ. պետական բյուջեներով</w:t>
            </w:r>
          </w:p>
          <w:tbl>
            <w:tblPr>
              <w:tblW w:w="9807" w:type="dxa"/>
              <w:tblInd w:w="39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2361"/>
              <w:gridCol w:w="1527"/>
              <w:gridCol w:w="1685"/>
              <w:gridCol w:w="1955"/>
            </w:tblGrid>
            <w:tr w:rsidR="009F0A25" w:rsidRPr="00553709" w:rsidTr="005037D0">
              <w:trPr>
                <w:trHeight w:val="384"/>
              </w:trPr>
              <w:tc>
                <w:tcPr>
                  <w:tcW w:w="2279" w:type="dxa"/>
                  <w:vMerge w:val="restart"/>
                  <w:shd w:val="clear" w:color="auto" w:fill="9CC2E5"/>
                  <w:noWrap/>
                  <w:vAlign w:val="center"/>
                  <w:hideMark/>
                </w:tcPr>
                <w:p w:rsidR="009F0A25" w:rsidRPr="00553709" w:rsidRDefault="009F0A25" w:rsidP="007730AA">
                  <w:pPr>
                    <w:spacing w:before="0"/>
                    <w:jc w:val="center"/>
                    <w:rPr>
                      <w:rFonts w:cs="Calibri"/>
                      <w:b w:val="0"/>
                      <w:bCs/>
                      <w:color w:val="000000"/>
                      <w:sz w:val="18"/>
                      <w:szCs w:val="18"/>
                    </w:rPr>
                  </w:pPr>
                  <w:r w:rsidRPr="00553709">
                    <w:rPr>
                      <w:rFonts w:cs="Calibri"/>
                      <w:bCs/>
                      <w:color w:val="000000"/>
                      <w:sz w:val="18"/>
                      <w:szCs w:val="18"/>
                      <w:lang w:val="hy-AM"/>
                    </w:rPr>
                    <w:t>Ցուցանիշներ</w:t>
                  </w:r>
                </w:p>
              </w:tc>
              <w:tc>
                <w:tcPr>
                  <w:tcW w:w="2441" w:type="dxa"/>
                  <w:vMerge w:val="restart"/>
                  <w:shd w:val="clear" w:color="auto" w:fill="9CC2E5"/>
                  <w:vAlign w:val="center"/>
                  <w:hideMark/>
                </w:tcPr>
                <w:p w:rsidR="009F0A25" w:rsidRPr="00553709" w:rsidRDefault="009F0A25" w:rsidP="007730AA">
                  <w:pPr>
                    <w:spacing w:before="0"/>
                    <w:ind w:firstLine="0"/>
                    <w:rPr>
                      <w:rFonts w:cs="Calibri"/>
                      <w:b w:val="0"/>
                      <w:bCs/>
                      <w:color w:val="000000"/>
                      <w:sz w:val="18"/>
                      <w:szCs w:val="18"/>
                    </w:rPr>
                  </w:pPr>
                  <w:r w:rsidRPr="00553709">
                    <w:rPr>
                      <w:rFonts w:cs="Calibri"/>
                      <w:bCs/>
                      <w:color w:val="000000"/>
                      <w:sz w:val="18"/>
                      <w:szCs w:val="18"/>
                      <w:lang w:val="hy-AM"/>
                    </w:rPr>
                    <w:t>Ծրագիր</w:t>
                  </w:r>
                </w:p>
              </w:tc>
              <w:tc>
                <w:tcPr>
                  <w:tcW w:w="1375" w:type="dxa"/>
                  <w:shd w:val="clear" w:color="auto" w:fill="9CC2E5"/>
                  <w:vAlign w:val="center"/>
                </w:tcPr>
                <w:p w:rsidR="009F0A25" w:rsidRPr="00553709" w:rsidRDefault="009F0A25" w:rsidP="007730AA">
                  <w:pPr>
                    <w:spacing w:before="0"/>
                    <w:ind w:firstLine="0"/>
                    <w:rPr>
                      <w:rFonts w:cs="Calibri"/>
                      <w:b w:val="0"/>
                      <w:bCs/>
                      <w:color w:val="000000"/>
                      <w:sz w:val="18"/>
                      <w:szCs w:val="18"/>
                    </w:rPr>
                  </w:pPr>
                  <w:r w:rsidRPr="00553709">
                    <w:rPr>
                      <w:rFonts w:cs="Calibri"/>
                      <w:bCs/>
                      <w:color w:val="000000"/>
                      <w:sz w:val="18"/>
                      <w:szCs w:val="18"/>
                      <w:lang w:val="hy-AM"/>
                    </w:rPr>
                    <w:t>20</w:t>
                  </w:r>
                  <w:r w:rsidRPr="00553709">
                    <w:rPr>
                      <w:rFonts w:cs="Calibri"/>
                      <w:bCs/>
                      <w:color w:val="000000"/>
                      <w:sz w:val="18"/>
                      <w:szCs w:val="18"/>
                    </w:rPr>
                    <w:t>19</w:t>
                  </w:r>
                </w:p>
              </w:tc>
              <w:tc>
                <w:tcPr>
                  <w:tcW w:w="1685" w:type="dxa"/>
                  <w:shd w:val="clear" w:color="auto" w:fill="9CC2E5"/>
                  <w:vAlign w:val="center"/>
                  <w:hideMark/>
                </w:tcPr>
                <w:p w:rsidR="009F0A25" w:rsidRPr="00553709" w:rsidRDefault="009F0A25" w:rsidP="007730AA">
                  <w:pPr>
                    <w:spacing w:before="0"/>
                    <w:ind w:firstLine="0"/>
                    <w:rPr>
                      <w:rFonts w:cs="Calibri"/>
                      <w:b w:val="0"/>
                      <w:bCs/>
                      <w:color w:val="000000"/>
                      <w:sz w:val="18"/>
                      <w:szCs w:val="18"/>
                    </w:rPr>
                  </w:pPr>
                  <w:r w:rsidRPr="00553709">
                    <w:rPr>
                      <w:rFonts w:cs="Calibri"/>
                      <w:bCs/>
                      <w:color w:val="000000"/>
                      <w:sz w:val="18"/>
                      <w:szCs w:val="18"/>
                      <w:lang w:val="hy-AM"/>
                    </w:rPr>
                    <w:t>2020</w:t>
                  </w:r>
                </w:p>
              </w:tc>
              <w:tc>
                <w:tcPr>
                  <w:tcW w:w="2027" w:type="dxa"/>
                  <w:shd w:val="clear" w:color="auto" w:fill="9CC2E5"/>
                  <w:vAlign w:val="center"/>
                  <w:hideMark/>
                </w:tcPr>
                <w:p w:rsidR="009F0A25" w:rsidRPr="00553709" w:rsidRDefault="009F0A25" w:rsidP="007730AA">
                  <w:pPr>
                    <w:spacing w:before="0"/>
                    <w:ind w:firstLine="0"/>
                    <w:rPr>
                      <w:rFonts w:cs="Calibri"/>
                      <w:b w:val="0"/>
                      <w:bCs/>
                      <w:color w:val="000000"/>
                      <w:sz w:val="18"/>
                      <w:szCs w:val="18"/>
                    </w:rPr>
                  </w:pPr>
                  <w:r w:rsidRPr="00553709">
                    <w:rPr>
                      <w:rFonts w:cs="Calibri"/>
                      <w:bCs/>
                      <w:color w:val="000000"/>
                      <w:sz w:val="18"/>
                      <w:szCs w:val="18"/>
                      <w:lang w:val="hy-AM"/>
                    </w:rPr>
                    <w:t>2021</w:t>
                  </w:r>
                </w:p>
              </w:tc>
            </w:tr>
            <w:tr w:rsidR="009F0A25" w:rsidRPr="00553709" w:rsidTr="005037D0">
              <w:trPr>
                <w:trHeight w:val="384"/>
              </w:trPr>
              <w:tc>
                <w:tcPr>
                  <w:tcW w:w="2279" w:type="dxa"/>
                  <w:vMerge/>
                  <w:shd w:val="clear" w:color="auto" w:fill="9CC2E5"/>
                  <w:vAlign w:val="center"/>
                  <w:hideMark/>
                </w:tcPr>
                <w:p w:rsidR="009F0A25" w:rsidRPr="00553709" w:rsidRDefault="009F0A25" w:rsidP="007730AA">
                  <w:pPr>
                    <w:spacing w:before="0"/>
                    <w:rPr>
                      <w:rFonts w:cs="Calibri"/>
                      <w:b w:val="0"/>
                      <w:bCs/>
                      <w:color w:val="000000"/>
                      <w:sz w:val="18"/>
                      <w:szCs w:val="18"/>
                    </w:rPr>
                  </w:pPr>
                </w:p>
              </w:tc>
              <w:tc>
                <w:tcPr>
                  <w:tcW w:w="2441" w:type="dxa"/>
                  <w:vMerge/>
                  <w:shd w:val="clear" w:color="auto" w:fill="9CC2E5"/>
                  <w:vAlign w:val="center"/>
                  <w:hideMark/>
                </w:tcPr>
                <w:p w:rsidR="009F0A25" w:rsidRPr="00553709" w:rsidRDefault="009F0A25" w:rsidP="007730AA">
                  <w:pPr>
                    <w:spacing w:before="0"/>
                    <w:rPr>
                      <w:rFonts w:cs="Calibri"/>
                      <w:b w:val="0"/>
                      <w:bCs/>
                      <w:color w:val="000000"/>
                      <w:sz w:val="18"/>
                      <w:szCs w:val="18"/>
                    </w:rPr>
                  </w:pPr>
                </w:p>
              </w:tc>
              <w:tc>
                <w:tcPr>
                  <w:tcW w:w="1375" w:type="dxa"/>
                  <w:shd w:val="clear" w:color="auto" w:fill="9CC2E5"/>
                  <w:vAlign w:val="center"/>
                </w:tcPr>
                <w:p w:rsidR="009F0A25" w:rsidRPr="00553709" w:rsidRDefault="009F0A25" w:rsidP="007730AA">
                  <w:pPr>
                    <w:spacing w:before="0"/>
                    <w:ind w:firstLine="0"/>
                    <w:rPr>
                      <w:rFonts w:cs="Calibri"/>
                      <w:i/>
                      <w:iCs/>
                      <w:color w:val="000000"/>
                      <w:sz w:val="18"/>
                      <w:szCs w:val="18"/>
                      <w:lang w:val="hy-AM"/>
                    </w:rPr>
                  </w:pPr>
                  <w:r w:rsidRPr="00553709">
                    <w:rPr>
                      <w:rFonts w:cs="Calibri"/>
                      <w:i/>
                      <w:iCs/>
                      <w:color w:val="000000"/>
                      <w:sz w:val="18"/>
                      <w:szCs w:val="18"/>
                      <w:lang w:val="hy-AM"/>
                    </w:rPr>
                    <w:t>փաստ</w:t>
                  </w:r>
                  <w:r w:rsidRPr="00553709">
                    <w:rPr>
                      <w:rFonts w:cs="Calibri"/>
                      <w:i/>
                      <w:iCs/>
                      <w:color w:val="000000"/>
                      <w:sz w:val="18"/>
                      <w:szCs w:val="18"/>
                    </w:rPr>
                    <w:t>*</w:t>
                  </w:r>
                  <w:r w:rsidRPr="00553709">
                    <w:rPr>
                      <w:rFonts w:cs="Calibri"/>
                      <w:i/>
                      <w:iCs/>
                      <w:color w:val="000000"/>
                      <w:sz w:val="18"/>
                      <w:szCs w:val="18"/>
                      <w:lang w:val="hy-AM"/>
                    </w:rPr>
                    <w:t>/կանխ.</w:t>
                  </w:r>
                </w:p>
              </w:tc>
              <w:tc>
                <w:tcPr>
                  <w:tcW w:w="1685" w:type="dxa"/>
                  <w:shd w:val="clear" w:color="auto" w:fill="9CC2E5"/>
                  <w:vAlign w:val="center"/>
                  <w:hideMark/>
                </w:tcPr>
                <w:p w:rsidR="009F0A25" w:rsidRPr="00553709" w:rsidRDefault="009F0A25" w:rsidP="007730AA">
                  <w:pPr>
                    <w:spacing w:before="0"/>
                    <w:ind w:firstLine="0"/>
                    <w:rPr>
                      <w:rFonts w:cs="Calibri"/>
                      <w:i/>
                      <w:iCs/>
                      <w:color w:val="000000"/>
                      <w:sz w:val="18"/>
                      <w:szCs w:val="18"/>
                    </w:rPr>
                  </w:pPr>
                  <w:r w:rsidRPr="00553709">
                    <w:rPr>
                      <w:rFonts w:cs="Calibri"/>
                      <w:i/>
                      <w:iCs/>
                      <w:color w:val="000000"/>
                      <w:sz w:val="18"/>
                      <w:szCs w:val="18"/>
                      <w:lang w:val="hy-AM"/>
                    </w:rPr>
                    <w:t>կանխ.</w:t>
                  </w:r>
                </w:p>
              </w:tc>
              <w:tc>
                <w:tcPr>
                  <w:tcW w:w="2027" w:type="dxa"/>
                  <w:shd w:val="clear" w:color="auto" w:fill="9CC2E5"/>
                  <w:vAlign w:val="center"/>
                  <w:hideMark/>
                </w:tcPr>
                <w:p w:rsidR="009F0A25" w:rsidRPr="00553709" w:rsidRDefault="009F0A25" w:rsidP="007730AA">
                  <w:pPr>
                    <w:spacing w:before="0"/>
                    <w:ind w:firstLine="0"/>
                    <w:rPr>
                      <w:rFonts w:cs="Calibri"/>
                      <w:i/>
                      <w:iCs/>
                      <w:color w:val="000000"/>
                      <w:sz w:val="18"/>
                      <w:szCs w:val="18"/>
                    </w:rPr>
                  </w:pPr>
                  <w:r w:rsidRPr="00553709">
                    <w:rPr>
                      <w:rFonts w:cs="Calibri"/>
                      <w:i/>
                      <w:iCs/>
                      <w:color w:val="000000"/>
                      <w:sz w:val="18"/>
                      <w:szCs w:val="18"/>
                      <w:lang w:val="hy-AM"/>
                    </w:rPr>
                    <w:t>կանխ.</w:t>
                  </w:r>
                </w:p>
              </w:tc>
            </w:tr>
            <w:tr w:rsidR="009F0A25" w:rsidRPr="00553709" w:rsidTr="005037D0">
              <w:trPr>
                <w:trHeight w:val="384"/>
              </w:trPr>
              <w:tc>
                <w:tcPr>
                  <w:tcW w:w="2279" w:type="dxa"/>
                  <w:vMerge w:val="restart"/>
                  <w:shd w:val="clear" w:color="auto" w:fill="auto"/>
                  <w:vAlign w:val="center"/>
                  <w:hideMark/>
                </w:tcPr>
                <w:p w:rsidR="009F0A25" w:rsidRPr="006A5644" w:rsidRDefault="009F0A25" w:rsidP="007730AA">
                  <w:pPr>
                    <w:spacing w:before="0"/>
                    <w:ind w:firstLine="0"/>
                    <w:rPr>
                      <w:rFonts w:cs="Calibri"/>
                      <w:b w:val="0"/>
                      <w:bCs/>
                      <w:color w:val="000000"/>
                      <w:sz w:val="18"/>
                      <w:szCs w:val="18"/>
                    </w:rPr>
                  </w:pPr>
                  <w:r w:rsidRPr="00553709">
                    <w:rPr>
                      <w:rFonts w:cs="Calibri"/>
                      <w:bCs/>
                      <w:color w:val="000000"/>
                      <w:sz w:val="18"/>
                      <w:szCs w:val="18"/>
                    </w:rPr>
                    <w:t>Ընթացիկ</w:t>
                  </w:r>
                  <w:r w:rsidRPr="006A5644">
                    <w:rPr>
                      <w:rFonts w:cs="Calibri"/>
                      <w:bCs/>
                      <w:color w:val="000000"/>
                      <w:sz w:val="18"/>
                      <w:szCs w:val="18"/>
                    </w:rPr>
                    <w:t xml:space="preserve"> </w:t>
                  </w:r>
                  <w:r w:rsidRPr="00553709">
                    <w:rPr>
                      <w:rFonts w:cs="Calibri"/>
                      <w:bCs/>
                      <w:color w:val="000000"/>
                      <w:sz w:val="18"/>
                      <w:szCs w:val="18"/>
                    </w:rPr>
                    <w:t>հաշիվ</w:t>
                  </w:r>
                  <w:r w:rsidRPr="006A5644">
                    <w:rPr>
                      <w:rFonts w:cs="Calibri"/>
                      <w:bCs/>
                      <w:color w:val="000000"/>
                      <w:sz w:val="18"/>
                      <w:szCs w:val="18"/>
                    </w:rPr>
                    <w:t xml:space="preserve">, </w:t>
                  </w:r>
                  <w:r w:rsidRPr="00553709">
                    <w:rPr>
                      <w:rFonts w:cs="Calibri"/>
                      <w:bCs/>
                      <w:color w:val="000000"/>
                      <w:sz w:val="18"/>
                      <w:szCs w:val="18"/>
                    </w:rPr>
                    <w:t>մլն</w:t>
                  </w:r>
                  <w:r w:rsidRPr="006A5644">
                    <w:rPr>
                      <w:rFonts w:cs="Calibri"/>
                      <w:bCs/>
                      <w:color w:val="000000"/>
                      <w:sz w:val="18"/>
                      <w:szCs w:val="18"/>
                    </w:rPr>
                    <w:t xml:space="preserve"> </w:t>
                  </w:r>
                  <w:r w:rsidRPr="00553709">
                    <w:rPr>
                      <w:rFonts w:cs="Calibri"/>
                      <w:bCs/>
                      <w:color w:val="000000"/>
                      <w:sz w:val="18"/>
                      <w:szCs w:val="18"/>
                    </w:rPr>
                    <w:t>ԱՄՆ</w:t>
                  </w:r>
                  <w:r w:rsidRPr="006A5644">
                    <w:rPr>
                      <w:rFonts w:cs="Calibri"/>
                      <w:bCs/>
                      <w:color w:val="000000"/>
                      <w:sz w:val="18"/>
                      <w:szCs w:val="18"/>
                    </w:rPr>
                    <w:t xml:space="preserve"> </w:t>
                  </w:r>
                  <w:r w:rsidRPr="00553709">
                    <w:rPr>
                      <w:rFonts w:cs="Calibri"/>
                      <w:bCs/>
                      <w:color w:val="000000"/>
                      <w:sz w:val="18"/>
                      <w:szCs w:val="18"/>
                    </w:rPr>
                    <w:t>դոլար</w:t>
                  </w:r>
                </w:p>
              </w:tc>
              <w:tc>
                <w:tcPr>
                  <w:tcW w:w="2441" w:type="dxa"/>
                  <w:shd w:val="clear" w:color="auto" w:fill="auto"/>
                  <w:vAlign w:val="center"/>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 xml:space="preserve">2021 </w:t>
                  </w:r>
                  <w:r w:rsidRPr="005037D0">
                    <w:rPr>
                      <w:rFonts w:cs="Calibri"/>
                      <w:b w:val="0"/>
                      <w:i/>
                      <w:iCs/>
                      <w:color w:val="000000"/>
                      <w:sz w:val="18"/>
                      <w:szCs w:val="18"/>
                      <w:lang w:val="hy-AM"/>
                    </w:rPr>
                    <w:t>Պետական բյուջե</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lang w:val="hy-AM"/>
                    </w:rPr>
                    <w:t>-987.5</w:t>
                  </w:r>
                </w:p>
              </w:tc>
              <w:tc>
                <w:tcPr>
                  <w:tcW w:w="1685" w:type="dxa"/>
                  <w:shd w:val="clear" w:color="auto" w:fill="auto"/>
                  <w:noWrap/>
                </w:tcPr>
                <w:p w:rsidR="009F0A25" w:rsidRPr="005037D0" w:rsidRDefault="009F0A25" w:rsidP="007730AA">
                  <w:pPr>
                    <w:spacing w:before="0"/>
                    <w:ind w:firstLine="0"/>
                    <w:jc w:val="center"/>
                    <w:rPr>
                      <w:rFonts w:cs="Calibri"/>
                      <w:b w:val="0"/>
                      <w:color w:val="000000"/>
                      <w:sz w:val="18"/>
                      <w:szCs w:val="18"/>
                      <w:lang w:val="hy-AM"/>
                    </w:rPr>
                  </w:pPr>
                  <w:r w:rsidRPr="005037D0">
                    <w:rPr>
                      <w:rFonts w:cs="Calibri"/>
                      <w:b w:val="0"/>
                      <w:color w:val="000000"/>
                      <w:sz w:val="18"/>
                      <w:szCs w:val="18"/>
                      <w:lang w:val="hy-AM"/>
                    </w:rPr>
                    <w:t>-731.7</w:t>
                  </w:r>
                </w:p>
              </w:tc>
              <w:tc>
                <w:tcPr>
                  <w:tcW w:w="2027" w:type="dxa"/>
                  <w:shd w:val="clear" w:color="auto" w:fill="auto"/>
                </w:tcPr>
                <w:p w:rsidR="009F0A25" w:rsidRPr="005037D0" w:rsidRDefault="009F0A25" w:rsidP="007730AA">
                  <w:pPr>
                    <w:spacing w:before="0"/>
                    <w:ind w:firstLine="0"/>
                    <w:jc w:val="center"/>
                    <w:rPr>
                      <w:rFonts w:cs="Calibri"/>
                      <w:b w:val="0"/>
                      <w:color w:val="000000"/>
                      <w:sz w:val="18"/>
                      <w:szCs w:val="18"/>
                      <w:lang w:val="hy-AM"/>
                    </w:rPr>
                  </w:pPr>
                  <w:r w:rsidRPr="005037D0">
                    <w:rPr>
                      <w:rFonts w:cs="Calibri"/>
                      <w:b w:val="0"/>
                      <w:color w:val="000000"/>
                      <w:sz w:val="18"/>
                      <w:szCs w:val="18"/>
                      <w:lang w:val="hy-AM"/>
                    </w:rPr>
                    <w:t>-7</w:t>
                  </w:r>
                  <w:r w:rsidRPr="005037D0">
                    <w:rPr>
                      <w:rFonts w:cs="Calibri"/>
                      <w:b w:val="0"/>
                      <w:color w:val="000000"/>
                      <w:sz w:val="18"/>
                      <w:szCs w:val="18"/>
                    </w:rPr>
                    <w:t>72.3</w:t>
                  </w:r>
                </w:p>
              </w:tc>
            </w:tr>
            <w:tr w:rsidR="009F0A25" w:rsidRPr="00553709" w:rsidTr="005037D0">
              <w:trPr>
                <w:trHeight w:val="384"/>
              </w:trPr>
              <w:tc>
                <w:tcPr>
                  <w:tcW w:w="2279" w:type="dxa"/>
                  <w:vMerge/>
                  <w:vAlign w:val="center"/>
                  <w:hideMark/>
                </w:tcPr>
                <w:p w:rsidR="009F0A25" w:rsidRPr="00553709" w:rsidRDefault="009F0A25" w:rsidP="007730AA">
                  <w:pPr>
                    <w:spacing w:before="0"/>
                    <w:rPr>
                      <w:rFonts w:cs="Calibri"/>
                      <w:b w:val="0"/>
                      <w:bCs/>
                      <w:color w:val="000000"/>
                      <w:sz w:val="18"/>
                      <w:szCs w:val="18"/>
                    </w:rPr>
                  </w:pPr>
                </w:p>
              </w:tc>
              <w:tc>
                <w:tcPr>
                  <w:tcW w:w="2441" w:type="dxa"/>
                  <w:shd w:val="clear" w:color="auto" w:fill="auto"/>
                  <w:vAlign w:val="center"/>
                  <w:hideMark/>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2021-2023 ՄԺԾԾ</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-987.5</w:t>
                  </w:r>
                </w:p>
              </w:tc>
              <w:tc>
                <w:tcPr>
                  <w:tcW w:w="1685" w:type="dxa"/>
                  <w:shd w:val="clear" w:color="auto" w:fill="auto"/>
                  <w:noWrap/>
                  <w:hideMark/>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-1,247.3</w:t>
                  </w:r>
                </w:p>
              </w:tc>
              <w:tc>
                <w:tcPr>
                  <w:tcW w:w="2027" w:type="dxa"/>
                  <w:shd w:val="clear" w:color="auto" w:fill="auto"/>
                  <w:hideMark/>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-1,020.0</w:t>
                  </w:r>
                </w:p>
              </w:tc>
            </w:tr>
            <w:tr w:rsidR="009F0A25" w:rsidRPr="00553709" w:rsidTr="005037D0">
              <w:trPr>
                <w:trHeight w:val="384"/>
              </w:trPr>
              <w:tc>
                <w:tcPr>
                  <w:tcW w:w="2279" w:type="dxa"/>
                  <w:vMerge/>
                  <w:vAlign w:val="center"/>
                  <w:hideMark/>
                </w:tcPr>
                <w:p w:rsidR="009F0A25" w:rsidRPr="00553709" w:rsidRDefault="009F0A25" w:rsidP="007730AA">
                  <w:pPr>
                    <w:spacing w:before="0"/>
                    <w:rPr>
                      <w:rFonts w:cs="Calibri"/>
                      <w:b w:val="0"/>
                      <w:bCs/>
                      <w:color w:val="000000"/>
                      <w:sz w:val="18"/>
                      <w:szCs w:val="18"/>
                    </w:rPr>
                  </w:pPr>
                </w:p>
              </w:tc>
              <w:tc>
                <w:tcPr>
                  <w:tcW w:w="2441" w:type="dxa"/>
                  <w:shd w:val="clear" w:color="auto" w:fill="auto"/>
                  <w:vAlign w:val="center"/>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2020 Պետական բյուջե</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-943.9</w:t>
                  </w:r>
                </w:p>
              </w:tc>
              <w:tc>
                <w:tcPr>
                  <w:tcW w:w="1685" w:type="dxa"/>
                  <w:shd w:val="clear" w:color="auto" w:fill="auto"/>
                  <w:noWrap/>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-862.5</w:t>
                  </w:r>
                </w:p>
              </w:tc>
              <w:tc>
                <w:tcPr>
                  <w:tcW w:w="2027" w:type="dxa"/>
                  <w:shd w:val="clear" w:color="auto" w:fill="auto"/>
                  <w:vAlign w:val="center"/>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w:t>
                  </w:r>
                </w:p>
              </w:tc>
            </w:tr>
            <w:tr w:rsidR="009F0A25" w:rsidRPr="00553709" w:rsidTr="005037D0">
              <w:trPr>
                <w:trHeight w:val="384"/>
              </w:trPr>
              <w:tc>
                <w:tcPr>
                  <w:tcW w:w="2279" w:type="dxa"/>
                  <w:vMerge w:val="restart"/>
                  <w:shd w:val="clear" w:color="auto" w:fill="auto"/>
                  <w:vAlign w:val="center"/>
                  <w:hideMark/>
                </w:tcPr>
                <w:p w:rsidR="009F0A25" w:rsidRPr="006A5644" w:rsidRDefault="009F0A25" w:rsidP="007730AA">
                  <w:pPr>
                    <w:spacing w:before="0"/>
                    <w:ind w:firstLine="0"/>
                    <w:rPr>
                      <w:rFonts w:cs="Calibri"/>
                      <w:b w:val="0"/>
                      <w:bCs/>
                      <w:color w:val="000000"/>
                      <w:sz w:val="18"/>
                      <w:szCs w:val="18"/>
                    </w:rPr>
                  </w:pPr>
                  <w:r w:rsidRPr="00553709">
                    <w:rPr>
                      <w:rFonts w:cs="Calibri"/>
                      <w:bCs/>
                      <w:color w:val="000000"/>
                      <w:sz w:val="18"/>
                      <w:szCs w:val="18"/>
                    </w:rPr>
                    <w:t>Ընթացիկ</w:t>
                  </w:r>
                  <w:r w:rsidRPr="006A5644">
                    <w:rPr>
                      <w:rFonts w:cs="Calibri"/>
                      <w:bCs/>
                      <w:color w:val="000000"/>
                      <w:sz w:val="18"/>
                      <w:szCs w:val="18"/>
                    </w:rPr>
                    <w:t xml:space="preserve"> </w:t>
                  </w:r>
                  <w:r w:rsidRPr="00553709">
                    <w:rPr>
                      <w:rFonts w:cs="Calibri"/>
                      <w:bCs/>
                      <w:color w:val="000000"/>
                      <w:sz w:val="18"/>
                      <w:szCs w:val="18"/>
                    </w:rPr>
                    <w:t>հաշիվ</w:t>
                  </w:r>
                  <w:r w:rsidRPr="006A5644">
                    <w:rPr>
                      <w:rFonts w:cs="Calibri"/>
                      <w:bCs/>
                      <w:color w:val="000000"/>
                      <w:sz w:val="18"/>
                      <w:szCs w:val="18"/>
                    </w:rPr>
                    <w:t>, %-</w:t>
                  </w:r>
                  <w:r w:rsidRPr="00553709">
                    <w:rPr>
                      <w:rFonts w:cs="Calibri"/>
                      <w:bCs/>
                      <w:color w:val="000000"/>
                      <w:sz w:val="18"/>
                      <w:szCs w:val="18"/>
                    </w:rPr>
                    <w:t>ով՝</w:t>
                  </w:r>
                  <w:r w:rsidRPr="006A5644">
                    <w:rPr>
                      <w:rFonts w:cs="Calibri"/>
                      <w:bCs/>
                      <w:color w:val="000000"/>
                      <w:sz w:val="18"/>
                      <w:szCs w:val="18"/>
                    </w:rPr>
                    <w:t xml:space="preserve"> </w:t>
                  </w:r>
                  <w:r w:rsidRPr="00553709">
                    <w:rPr>
                      <w:rFonts w:cs="Calibri"/>
                      <w:bCs/>
                      <w:color w:val="000000"/>
                      <w:sz w:val="18"/>
                      <w:szCs w:val="18"/>
                    </w:rPr>
                    <w:t>ՀՆԱ</w:t>
                  </w:r>
                  <w:r w:rsidRPr="006A5644">
                    <w:rPr>
                      <w:rFonts w:cs="Calibri"/>
                      <w:bCs/>
                      <w:color w:val="000000"/>
                      <w:sz w:val="18"/>
                      <w:szCs w:val="18"/>
                    </w:rPr>
                    <w:t>-</w:t>
                  </w:r>
                  <w:r w:rsidRPr="00553709">
                    <w:rPr>
                      <w:rFonts w:cs="Calibri"/>
                      <w:bCs/>
                      <w:color w:val="000000"/>
                      <w:sz w:val="18"/>
                      <w:szCs w:val="18"/>
                    </w:rPr>
                    <w:t>ի</w:t>
                  </w:r>
                  <w:r w:rsidRPr="006A5644">
                    <w:rPr>
                      <w:rFonts w:cs="Calibri"/>
                      <w:bCs/>
                      <w:color w:val="000000"/>
                      <w:sz w:val="18"/>
                      <w:szCs w:val="18"/>
                    </w:rPr>
                    <w:t xml:space="preserve"> </w:t>
                  </w:r>
                  <w:r w:rsidRPr="00553709">
                    <w:rPr>
                      <w:rFonts w:cs="Calibri"/>
                      <w:bCs/>
                      <w:color w:val="000000"/>
                      <w:sz w:val="18"/>
                      <w:szCs w:val="18"/>
                    </w:rPr>
                    <w:t>նկատմամբ</w:t>
                  </w:r>
                </w:p>
              </w:tc>
              <w:tc>
                <w:tcPr>
                  <w:tcW w:w="2441" w:type="dxa"/>
                  <w:shd w:val="clear" w:color="auto" w:fill="auto"/>
                  <w:vAlign w:val="center"/>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lang w:val="hy-AM"/>
                    </w:rPr>
                    <w:t>2021 պետկան բյուջե</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lang w:val="hy-AM"/>
                    </w:rPr>
                    <w:t>-7.2</w:t>
                  </w:r>
                </w:p>
              </w:tc>
              <w:tc>
                <w:tcPr>
                  <w:tcW w:w="1685" w:type="dxa"/>
                  <w:shd w:val="clear" w:color="auto" w:fill="auto"/>
                  <w:noWrap/>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lang w:val="hy-AM"/>
                    </w:rPr>
                    <w:t>-5.</w:t>
                  </w:r>
                  <w:r w:rsidRPr="005037D0">
                    <w:rPr>
                      <w:rFonts w:cs="Calibri"/>
                      <w:b w:val="0"/>
                      <w:color w:val="000000"/>
                      <w:sz w:val="18"/>
                      <w:szCs w:val="18"/>
                    </w:rPr>
                    <w:t>9</w:t>
                  </w:r>
                </w:p>
              </w:tc>
              <w:tc>
                <w:tcPr>
                  <w:tcW w:w="2027" w:type="dxa"/>
                  <w:shd w:val="clear" w:color="auto" w:fill="auto"/>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-6.1</w:t>
                  </w:r>
                </w:p>
              </w:tc>
            </w:tr>
            <w:tr w:rsidR="009F0A25" w:rsidRPr="00553709" w:rsidTr="005037D0">
              <w:trPr>
                <w:trHeight w:val="384"/>
              </w:trPr>
              <w:tc>
                <w:tcPr>
                  <w:tcW w:w="2279" w:type="dxa"/>
                  <w:vMerge/>
                  <w:vAlign w:val="center"/>
                  <w:hideMark/>
                </w:tcPr>
                <w:p w:rsidR="009F0A25" w:rsidRPr="006A5644" w:rsidRDefault="009F0A25" w:rsidP="007730AA">
                  <w:pPr>
                    <w:spacing w:before="0"/>
                    <w:rPr>
                      <w:rFonts w:cs="Calibri"/>
                      <w:b w:val="0"/>
                      <w:bCs/>
                      <w:color w:val="000000"/>
                      <w:sz w:val="18"/>
                      <w:szCs w:val="18"/>
                    </w:rPr>
                  </w:pPr>
                </w:p>
              </w:tc>
              <w:tc>
                <w:tcPr>
                  <w:tcW w:w="2441" w:type="dxa"/>
                  <w:shd w:val="clear" w:color="auto" w:fill="auto"/>
                  <w:vAlign w:val="center"/>
                  <w:hideMark/>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2021-2023 ՄԺԾԾ</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-7.2</w:t>
                  </w:r>
                </w:p>
              </w:tc>
              <w:tc>
                <w:tcPr>
                  <w:tcW w:w="1685" w:type="dxa"/>
                  <w:shd w:val="clear" w:color="auto" w:fill="auto"/>
                  <w:noWrap/>
                  <w:hideMark/>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-9.7</w:t>
                  </w:r>
                </w:p>
              </w:tc>
              <w:tc>
                <w:tcPr>
                  <w:tcW w:w="2027" w:type="dxa"/>
                  <w:shd w:val="clear" w:color="auto" w:fill="auto"/>
                  <w:hideMark/>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-7.3</w:t>
                  </w:r>
                </w:p>
              </w:tc>
            </w:tr>
            <w:tr w:rsidR="009F0A25" w:rsidRPr="00553709" w:rsidTr="005037D0">
              <w:trPr>
                <w:trHeight w:val="384"/>
              </w:trPr>
              <w:tc>
                <w:tcPr>
                  <w:tcW w:w="2279" w:type="dxa"/>
                  <w:vMerge/>
                  <w:vAlign w:val="center"/>
                  <w:hideMark/>
                </w:tcPr>
                <w:p w:rsidR="009F0A25" w:rsidRPr="006A5644" w:rsidRDefault="009F0A25" w:rsidP="007730AA">
                  <w:pPr>
                    <w:spacing w:before="0"/>
                    <w:rPr>
                      <w:rFonts w:cs="Calibri"/>
                      <w:b w:val="0"/>
                      <w:bCs/>
                      <w:color w:val="000000"/>
                      <w:sz w:val="18"/>
                      <w:szCs w:val="18"/>
                    </w:rPr>
                  </w:pPr>
                </w:p>
              </w:tc>
              <w:tc>
                <w:tcPr>
                  <w:tcW w:w="2441" w:type="dxa"/>
                  <w:shd w:val="clear" w:color="auto" w:fill="auto"/>
                  <w:vAlign w:val="center"/>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2020 Պետական բյուջե</w:t>
                  </w:r>
                </w:p>
              </w:tc>
              <w:tc>
                <w:tcPr>
                  <w:tcW w:w="1375" w:type="dxa"/>
                </w:tcPr>
                <w:p w:rsidR="009F0A25" w:rsidRPr="00003D9B" w:rsidRDefault="009F0A25" w:rsidP="007730AA">
                  <w:pPr>
                    <w:spacing w:before="0"/>
                    <w:ind w:firstLine="0"/>
                    <w:jc w:val="center"/>
                    <w:rPr>
                      <w:rFonts w:cs="Calibri"/>
                      <w:b w:val="0"/>
                      <w:color w:val="000000"/>
                      <w:sz w:val="18"/>
                      <w:szCs w:val="18"/>
                      <w:lang w:val="hy-AM"/>
                    </w:rPr>
                  </w:pPr>
                  <w:r w:rsidRPr="005037D0">
                    <w:rPr>
                      <w:rFonts w:cs="Calibri"/>
                      <w:b w:val="0"/>
                      <w:color w:val="000000"/>
                      <w:sz w:val="18"/>
                      <w:szCs w:val="18"/>
                    </w:rPr>
                    <w:t>-7.</w:t>
                  </w:r>
                  <w:r w:rsidR="00003D9B">
                    <w:rPr>
                      <w:rFonts w:cs="Calibri"/>
                      <w:b w:val="0"/>
                      <w:color w:val="000000"/>
                      <w:sz w:val="18"/>
                      <w:szCs w:val="18"/>
                      <w:lang w:val="hy-AM"/>
                    </w:rPr>
                    <w:t>0</w:t>
                  </w:r>
                </w:p>
              </w:tc>
              <w:tc>
                <w:tcPr>
                  <w:tcW w:w="1685" w:type="dxa"/>
                  <w:shd w:val="clear" w:color="auto" w:fill="auto"/>
                  <w:noWrap/>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-6.0</w:t>
                  </w:r>
                </w:p>
              </w:tc>
              <w:tc>
                <w:tcPr>
                  <w:tcW w:w="2027" w:type="dxa"/>
                  <w:shd w:val="clear" w:color="auto" w:fill="auto"/>
                  <w:vAlign w:val="center"/>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w:t>
                  </w:r>
                </w:p>
              </w:tc>
            </w:tr>
          </w:tbl>
          <w:p w:rsidR="009F0A25" w:rsidRPr="005037D0" w:rsidRDefault="009F0A25" w:rsidP="007730AA">
            <w:pPr>
              <w:spacing w:before="0" w:after="0" w:line="276" w:lineRule="auto"/>
              <w:rPr>
                <w:rFonts w:eastAsia="Calibri"/>
                <w:b w:val="0"/>
                <w:sz w:val="18"/>
                <w:szCs w:val="18"/>
                <w:lang w:val="hy-AM"/>
              </w:rPr>
            </w:pPr>
            <w:r w:rsidRPr="005037D0">
              <w:rPr>
                <w:rFonts w:eastAsia="Calibri"/>
                <w:b w:val="0"/>
                <w:sz w:val="18"/>
                <w:szCs w:val="18"/>
              </w:rPr>
              <w:t xml:space="preserve">* </w:t>
            </w:r>
            <w:r w:rsidRPr="005037D0">
              <w:rPr>
                <w:rFonts w:cs="Calibri"/>
                <w:b w:val="0"/>
                <w:i/>
                <w:iCs/>
                <w:color w:val="000000"/>
                <w:sz w:val="18"/>
                <w:szCs w:val="18"/>
              </w:rPr>
              <w:t>2021-2023 ՄԺԾԾ</w:t>
            </w:r>
            <w:r w:rsidRPr="005037D0">
              <w:rPr>
                <w:rFonts w:cs="Calibri"/>
                <w:b w:val="0"/>
                <w:i/>
                <w:iCs/>
                <w:color w:val="000000"/>
                <w:sz w:val="18"/>
                <w:szCs w:val="18"/>
                <w:lang w:val="hy-AM"/>
              </w:rPr>
              <w:t xml:space="preserve"> և 2021 պետական բյուջեի</w:t>
            </w:r>
            <w:r w:rsidRPr="005037D0">
              <w:rPr>
                <w:rFonts w:cs="Calibri"/>
                <w:b w:val="0"/>
                <w:i/>
                <w:iCs/>
                <w:color w:val="000000"/>
                <w:sz w:val="18"/>
                <w:szCs w:val="18"/>
              </w:rPr>
              <w:t xml:space="preserve"> </w:t>
            </w:r>
            <w:r w:rsidRPr="005037D0">
              <w:rPr>
                <w:rFonts w:cs="Calibri"/>
                <w:b w:val="0"/>
                <w:i/>
                <w:iCs/>
                <w:color w:val="000000"/>
                <w:sz w:val="18"/>
                <w:szCs w:val="18"/>
                <w:lang w:val="hy-AM"/>
              </w:rPr>
              <w:t xml:space="preserve">համար </w:t>
            </w:r>
            <w:r w:rsidRPr="005037D0">
              <w:rPr>
                <w:rFonts w:cs="Calibri"/>
                <w:b w:val="0"/>
                <w:i/>
                <w:iCs/>
                <w:color w:val="000000"/>
                <w:sz w:val="18"/>
                <w:szCs w:val="18"/>
              </w:rPr>
              <w:t>2019</w:t>
            </w:r>
            <w:r w:rsidRPr="005037D0">
              <w:rPr>
                <w:rFonts w:cs="Calibri"/>
                <w:b w:val="0"/>
                <w:i/>
                <w:iCs/>
                <w:color w:val="000000"/>
                <w:sz w:val="18"/>
                <w:szCs w:val="18"/>
                <w:lang w:val="hy-AM"/>
              </w:rPr>
              <w:t xml:space="preserve">թ. ցուցանիշները փաստացի են </w:t>
            </w:r>
            <w:r w:rsidRPr="005037D0">
              <w:rPr>
                <w:rFonts w:eastAsia="Calibri"/>
                <w:b w:val="0"/>
                <w:lang w:val="hy-AM"/>
              </w:rPr>
              <w:t xml:space="preserve">  </w:t>
            </w:r>
          </w:p>
          <w:p w:rsidR="009F0A25" w:rsidRPr="005037D0" w:rsidRDefault="009F0A25" w:rsidP="007730AA">
            <w:pPr>
              <w:spacing w:before="0" w:after="0" w:line="276" w:lineRule="auto"/>
              <w:rPr>
                <w:rFonts w:eastAsia="Calibri"/>
                <w:b w:val="0"/>
                <w:sz w:val="18"/>
                <w:szCs w:val="18"/>
                <w:lang w:val="hy-AM"/>
              </w:rPr>
            </w:pPr>
            <w:r w:rsidRPr="005037D0">
              <w:rPr>
                <w:rFonts w:eastAsia="Calibri"/>
                <w:b w:val="0"/>
                <w:sz w:val="18"/>
                <w:szCs w:val="18"/>
                <w:lang w:val="hy-AM"/>
              </w:rPr>
              <w:t>Աղբյուրը ՝ ՀՀ ՖՆ կանխատեսումներ</w:t>
            </w:r>
          </w:p>
          <w:p w:rsidR="009F0A25" w:rsidRPr="00553709" w:rsidRDefault="009F0A25" w:rsidP="007730AA">
            <w:pPr>
              <w:spacing w:before="0" w:after="0" w:line="276" w:lineRule="auto"/>
              <w:ind w:hanging="824"/>
              <w:rPr>
                <w:rFonts w:eastAsia="GHEA Grapalat" w:cs="GHEA Grapalat"/>
                <w:lang w:val="hy-AM"/>
              </w:rPr>
            </w:pPr>
          </w:p>
        </w:tc>
      </w:tr>
    </w:tbl>
    <w:p w:rsidR="009F0A25" w:rsidRPr="00553709" w:rsidRDefault="009F0A25" w:rsidP="007730AA">
      <w:pPr>
        <w:spacing w:before="0"/>
        <w:rPr>
          <w:lang w:val="hy-AM"/>
        </w:rPr>
      </w:pPr>
    </w:p>
    <w:p w:rsidR="009F0A25" w:rsidRDefault="009F0A25" w:rsidP="007730AA">
      <w:pPr>
        <w:spacing w:before="0" w:line="259" w:lineRule="auto"/>
        <w:rPr>
          <w:b w:val="0"/>
          <w:bCs/>
          <w:color w:val="1F497D"/>
          <w:sz w:val="28"/>
          <w:szCs w:val="28"/>
        </w:rPr>
      </w:pPr>
    </w:p>
    <w:p w:rsidR="009F0A25" w:rsidRDefault="009F0A25" w:rsidP="007730AA">
      <w:pPr>
        <w:spacing w:before="0" w:line="259" w:lineRule="auto"/>
        <w:rPr>
          <w:b w:val="0"/>
          <w:bCs/>
          <w:color w:val="1F497D"/>
          <w:sz w:val="28"/>
          <w:szCs w:val="28"/>
        </w:rPr>
      </w:pPr>
    </w:p>
    <w:p w:rsidR="009F0A25" w:rsidRDefault="009F0A25" w:rsidP="007730AA">
      <w:pPr>
        <w:spacing w:before="0" w:line="259" w:lineRule="auto"/>
        <w:rPr>
          <w:b w:val="0"/>
          <w:bCs/>
          <w:color w:val="1F497D"/>
          <w:sz w:val="28"/>
          <w:szCs w:val="28"/>
        </w:rPr>
      </w:pPr>
    </w:p>
    <w:p w:rsidR="009F0A25" w:rsidRDefault="009F0A25" w:rsidP="007730AA">
      <w:pPr>
        <w:spacing w:before="0" w:line="259" w:lineRule="auto"/>
        <w:rPr>
          <w:b w:val="0"/>
          <w:bCs/>
          <w:color w:val="1F497D"/>
          <w:sz w:val="28"/>
          <w:szCs w:val="28"/>
        </w:rPr>
      </w:pPr>
    </w:p>
    <w:bookmarkEnd w:id="6"/>
    <w:p w:rsidR="009F0A25" w:rsidRDefault="009F0A25" w:rsidP="00F21B33">
      <w:pPr>
        <w:keepNext/>
        <w:keepLines/>
        <w:spacing w:before="0" w:line="276" w:lineRule="auto"/>
        <w:ind w:firstLine="0"/>
        <w:outlineLvl w:val="2"/>
        <w:rPr>
          <w:b w:val="0"/>
          <w:bCs/>
          <w:color w:val="1F497D"/>
          <w:sz w:val="28"/>
          <w:szCs w:val="28"/>
        </w:rPr>
      </w:pPr>
    </w:p>
    <w:sectPr w:rsidR="009F0A25" w:rsidSect="00B3034A">
      <w:footerReference w:type="default" r:id="rId52"/>
      <w:pgSz w:w="11906" w:h="16838" w:code="9"/>
      <w:pgMar w:top="1134" w:right="101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AB6" w:rsidRDefault="00484AB6" w:rsidP="00F52B25">
      <w:r>
        <w:separator/>
      </w:r>
    </w:p>
  </w:endnote>
  <w:endnote w:type="continuationSeparator" w:id="0">
    <w:p w:rsidR="00484AB6" w:rsidRDefault="00484AB6"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HEA Grapalat">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imes Armenian">
    <w:charset w:val="00"/>
    <w:family w:val="roman"/>
    <w:pitch w:val="variable"/>
    <w:sig w:usb0="00000003" w:usb1="00000000" w:usb2="00000000" w:usb3="00000000" w:csb0="00000001" w:csb1="00000000"/>
  </w:font>
  <w:font w:name="MS Reference Sans Serif">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LatArm">
    <w:charset w:val="00"/>
    <w:family w:val="auto"/>
    <w:pitch w:val="variable"/>
    <w:sig w:usb0="00000003" w:usb1="00000000" w:usb2="00000000" w:usb3="00000000" w:csb0="00000001" w:csb1="00000000"/>
  </w:font>
  <w:font w:name="Arial Black">
    <w:charset w:val="00"/>
    <w:family w:val="swiss"/>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Arial Armenian">
    <w:charset w:val="00"/>
    <w:family w:val="swiss"/>
    <w:pitch w:val="variable"/>
    <w:sig w:usb0="00000003" w:usb1="00000000" w:usb2="00000000" w:usb3="00000000" w:csb0="00000001" w:csb1="00000000"/>
  </w:font>
  <w:font w:name="Tahoma">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Verdana">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charset w:val="00"/>
    <w:family w:val="swiss"/>
    <w:pitch w:val="variable"/>
    <w:sig w:usb0="00000003" w:usb1="00000000" w:usb2="00000000" w:usb3="00000000" w:csb0="00000001" w:csb1="00000000"/>
  </w:font>
  <w:font w:name="Bookman Old Style">
    <w:charset w:val="00"/>
    <w:family w:val="roman"/>
    <w:pitch w:val="variable"/>
    <w:sig w:usb0="00000287" w:usb1="00000000" w:usb2="00000000" w:usb3="00000000" w:csb0="0000009F" w:csb1="00000000"/>
  </w:font>
  <w:font w:name="Gill San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Baltica">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GHEA Mariam">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charset w:val="00"/>
    <w:family w:val="swiss"/>
    <w:pitch w:val="variable"/>
    <w:sig w:usb0="E10022FF" w:usb1="C000E47F" w:usb2="00000029" w:usb3="00000000" w:csb0="000001DF" w:csb1="00000000"/>
  </w:font>
  <w:font w:name="Calibri Light">
    <w:charset w:val="00"/>
    <w:family w:val="swiss"/>
    <w:pitch w:val="variable"/>
    <w:sig w:usb0="A00002EF" w:usb1="4000207B" w:usb2="00000000" w:usb3="00000000" w:csb0="0000019F" w:csb1="00000000"/>
  </w:font>
  <w:font w:name="Consolas">
    <w:charset w:val="00"/>
    <w:family w:val="modern"/>
    <w:pitch w:val="fixed"/>
    <w:sig w:usb0="E10002FF" w:usb1="4000FCFF" w:usb2="00000009" w:usb3="00000000" w:csb0="0000019F" w:csb1="00000000"/>
  </w:font>
  <w:font w:name="Cambria Math">
    <w:panose1 w:val="00000000000000000000"/>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B99" w:rsidRPr="00560CEC" w:rsidRDefault="003A0B99">
    <w:pPr>
      <w:pStyle w:val="Footer"/>
      <w:jc w:val="center"/>
      <w:rPr>
        <w:sz w:val="18"/>
        <w:szCs w:val="18"/>
      </w:rPr>
    </w:pPr>
    <w:r w:rsidRPr="00560CEC">
      <w:rPr>
        <w:sz w:val="18"/>
        <w:szCs w:val="18"/>
      </w:rPr>
      <w:fldChar w:fldCharType="begin"/>
    </w:r>
    <w:r w:rsidRPr="00560CEC">
      <w:rPr>
        <w:sz w:val="18"/>
        <w:szCs w:val="18"/>
      </w:rPr>
      <w:instrText xml:space="preserve"> PAGE   \* MERGEFORMAT </w:instrText>
    </w:r>
    <w:r w:rsidRPr="00560CEC">
      <w:rPr>
        <w:sz w:val="18"/>
        <w:szCs w:val="18"/>
      </w:rPr>
      <w:fldChar w:fldCharType="separate"/>
    </w:r>
    <w:r w:rsidR="00133C5B">
      <w:rPr>
        <w:noProof/>
        <w:sz w:val="18"/>
        <w:szCs w:val="18"/>
      </w:rPr>
      <w:t>21</w:t>
    </w:r>
    <w:r w:rsidRPr="00560CEC">
      <w:rPr>
        <w:noProof/>
        <w:sz w:val="18"/>
        <w:szCs w:val="18"/>
      </w:rPr>
      <w:fldChar w:fldCharType="end"/>
    </w:r>
  </w:p>
  <w:p w:rsidR="003A0B99" w:rsidRDefault="003A0B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AB6" w:rsidRDefault="00484AB6" w:rsidP="00F52B25">
      <w:r>
        <w:separator/>
      </w:r>
    </w:p>
  </w:footnote>
  <w:footnote w:type="continuationSeparator" w:id="0">
    <w:p w:rsidR="00484AB6" w:rsidRDefault="00484AB6" w:rsidP="00F52B25">
      <w:r>
        <w:continuationSeparator/>
      </w:r>
    </w:p>
  </w:footnote>
  <w:footnote w:id="1">
    <w:p w:rsidR="003A0B99" w:rsidRPr="00500ADC" w:rsidRDefault="003A0B99" w:rsidP="00DE6C7D">
      <w:pPr>
        <w:pStyle w:val="FootnoteText"/>
      </w:pPr>
      <w:r w:rsidRPr="00500ADC">
        <w:rPr>
          <w:rStyle w:val="FootnoteReference"/>
        </w:rPr>
        <w:footnoteRef/>
      </w:r>
      <w:r w:rsidRPr="00DE6C7D">
        <w:t>Կապիտալ ներդրումներում ներառված չէ պաշարների փոփոխությունը, ներկայացված են միայն հիմնական միջոցներում կատարված կապիտալ ներդրումները, քանի որ 2019թ.-ից ՀՀ ՎԿ կողմից պաշարների փոփոխությունը հաշվառվում է որպես հաշվեկշռող գործոն կամ այլ կերպ՝ վիճակագրական սխալները ներառվում են դրա մեջ:</w:t>
      </w:r>
    </w:p>
  </w:footnote>
  <w:footnote w:id="2">
    <w:p w:rsidR="003A0B99" w:rsidRPr="00DE6C7D" w:rsidRDefault="003A0B99" w:rsidP="00DE6C7D">
      <w:pPr>
        <w:pStyle w:val="FootnoteText"/>
      </w:pPr>
      <w:r w:rsidRPr="00DE6C7D">
        <w:rPr>
          <w:rStyle w:val="FootnoteReference"/>
          <w:rFonts w:ascii="GHEA Grapalat" w:hAnsi="GHEA Grapalat"/>
          <w:sz w:val="16"/>
          <w:szCs w:val="16"/>
        </w:rPr>
        <w:footnoteRef/>
      </w:r>
      <w:r w:rsidRPr="00DE6C7D">
        <w:t xml:space="preserve"> ՀՀ երկրի ռիսկի հավելավճարը՝ կորոնավիրուսի առաջին ալիքի ազդեցության որոշակի կայունացումից հետո, սեպտեմբերի 28–ից սկսել է բարձրանալ՝ պայմանավորված Արցախյան պատերազմական գործողություններով:</w:t>
      </w:r>
    </w:p>
  </w:footnote>
  <w:footnote w:id="3">
    <w:p w:rsidR="003A0B99" w:rsidRPr="008411CC" w:rsidRDefault="003A0B99" w:rsidP="00DE6C7D">
      <w:pPr>
        <w:pStyle w:val="FootnoteText"/>
        <w:rPr>
          <w:i/>
        </w:rPr>
      </w:pPr>
      <w:r w:rsidRPr="00DE6C7D">
        <w:rPr>
          <w:rStyle w:val="FootnoteReference"/>
          <w:rFonts w:ascii="GHEA Grapalat" w:hAnsi="GHEA Grapalat"/>
          <w:sz w:val="16"/>
          <w:szCs w:val="16"/>
        </w:rPr>
        <w:footnoteRef/>
      </w:r>
      <w:r w:rsidRPr="00DE6C7D">
        <w:rPr>
          <w:lang w:val="hy-AM"/>
        </w:rPr>
        <w:t xml:space="preserve"> </w:t>
      </w:r>
      <w:r w:rsidRPr="00DE6C7D">
        <w:t>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w:t>
      </w:r>
      <w:r w:rsidRPr="008411CC">
        <w:rPr>
          <w:i/>
        </w:rPr>
        <w:t xml:space="preserve"> </w:t>
      </w:r>
    </w:p>
  </w:footnote>
  <w:footnote w:id="4">
    <w:p w:rsidR="003A0B99" w:rsidRPr="000E6B55" w:rsidRDefault="003A0B99" w:rsidP="00DE6C7D">
      <w:pPr>
        <w:pStyle w:val="FootnoteText"/>
        <w:rPr>
          <w:lang w:val="hy-AM"/>
        </w:rPr>
      </w:pPr>
      <w:r>
        <w:rPr>
          <w:rStyle w:val="FootnoteReference"/>
        </w:rPr>
        <w:footnoteRef/>
      </w:r>
      <w:r w:rsidRPr="008411CC">
        <w:rPr>
          <w:i/>
        </w:rPr>
        <w:t xml:space="preserve"> </w:t>
      </w:r>
      <w:r w:rsidRPr="008411CC">
        <w:rPr>
          <w:i/>
          <w:lang w:val="hy-AM"/>
        </w:rPr>
        <w:t xml:space="preserve">Աղբյուրը՝ </w:t>
      </w:r>
      <w:r w:rsidRPr="008411CC">
        <w:rPr>
          <w:i/>
        </w:rPr>
        <w:t>Fiscal Monitor: Policies for the Recovery: October 2020.</w:t>
      </w:r>
      <w:r w:rsidRPr="000E6B55">
        <w:t xml:space="preserve"> </w:t>
      </w:r>
      <w:hyperlink r:id="rId1" w:history="1">
        <w:r w:rsidRPr="000E6B55">
          <w:rPr>
            <w:color w:val="0000FF"/>
            <w:u w:val="single"/>
          </w:rPr>
          <w:t>https://www.imf.org/en/Publications/FM/Issues/2020/09/30/october-2020-fiscal-monitor</w:t>
        </w:r>
      </w:hyperlink>
      <w:r w:rsidRPr="000E6B55">
        <w:t>:</w:t>
      </w:r>
      <w:r w:rsidRPr="004F66C2">
        <w:rPr>
          <w:rFonts w:ascii="Times New Roman" w:hAnsi="Times New Roman"/>
          <w:sz w:val="24"/>
          <w:szCs w:val="24"/>
        </w:rPr>
        <w:t xml:space="preserve"> </w:t>
      </w:r>
      <w:r w:rsidRPr="004F66C2">
        <w:rPr>
          <w:rFonts w:ascii="Times New Roman" w:hAnsi="Times New Roman"/>
          <w:sz w:val="24"/>
          <w:szCs w:val="24"/>
          <w:lang w:val="hy-AM"/>
        </w:rPr>
        <w:t xml:space="preserve"> </w:t>
      </w:r>
    </w:p>
  </w:footnote>
  <w:footnote w:id="5">
    <w:p w:rsidR="003A0B99" w:rsidRPr="009206BE" w:rsidRDefault="003A0B99" w:rsidP="00DE6C7D">
      <w:pPr>
        <w:pStyle w:val="FootnoteText"/>
        <w:rPr>
          <w:lang w:val="hy-AM"/>
        </w:rPr>
      </w:pPr>
      <w:r w:rsidRPr="000E6B55">
        <w:rPr>
          <w:rStyle w:val="FootnoteReference"/>
          <w:sz w:val="18"/>
          <w:szCs w:val="18"/>
        </w:rPr>
        <w:footnoteRef/>
      </w:r>
      <w:r w:rsidRPr="009206BE">
        <w:rPr>
          <w:lang w:val="hy-AM"/>
        </w:rPr>
        <w:t>ՏԱՑ-ի աճին ճյուղերի նպաստումները ՀՀ ֆինանսների նախարարության գնահատականներն են: Գյուղատնտեսության ցուցանիշը հաշվարկներում ներկայացված չէ,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6">
    <w:p w:rsidR="003A0B99" w:rsidRPr="009206BE" w:rsidRDefault="003A0B99" w:rsidP="00DE6C7D">
      <w:pPr>
        <w:pStyle w:val="FootnoteText"/>
        <w:rPr>
          <w:lang w:val="hy-AM"/>
        </w:rPr>
      </w:pPr>
      <w:r>
        <w:rPr>
          <w:rStyle w:val="FootnoteReference"/>
        </w:rPr>
        <w:footnoteRef/>
      </w:r>
      <w:r w:rsidRPr="009206BE">
        <w:rPr>
          <w:lang w:val="hy-AM"/>
        </w:rPr>
        <w:t xml:space="preserve"> 2020թ. ՀՀ ՎԿ կողմից աշխատանքի շուկայի վիճակագրության վերանայված մեթոդաբանության համաձայն աշխատանքի շուկայի ցուցանիշները հաշվարկվում են ոչ թե առկա, այլ մշտական բնակչության թվի հիման վրա: </w:t>
      </w:r>
    </w:p>
  </w:footnote>
  <w:footnote w:id="7">
    <w:p w:rsidR="003A0B99" w:rsidRPr="009206BE" w:rsidRDefault="003A0B99" w:rsidP="00DE6C7D">
      <w:pPr>
        <w:pStyle w:val="FootnoteText"/>
        <w:rPr>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երրորդ եռամսյակում ծառայությունների արտահանման նվազումը գնահատվում է՝ 77.4%, իսկ կուտակային՝ 56%: </w:t>
      </w:r>
    </w:p>
  </w:footnote>
  <w:footnote w:id="8">
    <w:p w:rsidR="003A0B99" w:rsidRPr="009206BE" w:rsidRDefault="003A0B99" w:rsidP="00DE6C7D">
      <w:pPr>
        <w:pStyle w:val="FootnoteText"/>
        <w:rPr>
          <w:rFonts w:eastAsia="Calibri" w:cs="Sylfaen"/>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երրորդ եռամսյակում ծառայությունների ներմուծման նվազումը գնահատվում է՝ 77.5%, իսկ կուտակային՝ 59.6%: </w:t>
      </w:r>
    </w:p>
    <w:p w:rsidR="003A0B99" w:rsidRPr="009206BE" w:rsidRDefault="003A0B99" w:rsidP="00DE6C7D">
      <w:pPr>
        <w:pStyle w:val="FootnoteText"/>
        <w:rPr>
          <w:lang w:val="hy-AM"/>
        </w:rPr>
      </w:pPr>
    </w:p>
  </w:footnote>
  <w:footnote w:id="9">
    <w:p w:rsidR="003A0B99" w:rsidRPr="009206BE" w:rsidRDefault="003A0B99" w:rsidP="00DE6C7D">
      <w:pPr>
        <w:pStyle w:val="FootnoteText"/>
        <w:rPr>
          <w:lang w:val="hy-AM"/>
        </w:rPr>
      </w:pPr>
      <w:r>
        <w:rPr>
          <w:rStyle w:val="FootnoteReference"/>
        </w:rPr>
        <w:footnoteRef/>
      </w:r>
      <w:r w:rsidRPr="009206BE">
        <w:rPr>
          <w:lang w:val="hy-AM"/>
        </w:rPr>
        <w:t xml:space="preserve"> </w:t>
      </w:r>
      <w:r w:rsidRPr="009206BE">
        <w:rPr>
          <w:i/>
          <w:lang w:val="hy-AM"/>
        </w:rPr>
        <w:t>Տե՛ս Ֆինանսական կայունության հաշեվտվություն, 2020/1, ՀՀ ԿԲ</w:t>
      </w:r>
      <w:r w:rsidRPr="009206BE">
        <w:rPr>
          <w:lang w:val="hy-AM"/>
        </w:rPr>
        <w:t xml:space="preserve">, </w:t>
      </w:r>
      <w:hyperlink r:id="rId2" w:history="1">
        <w:r w:rsidRPr="000E6B55">
          <w:rPr>
            <w:rStyle w:val="Hyperlink"/>
            <w:lang w:val="hy-AM"/>
          </w:rPr>
          <w:t>https://www.cba.am/AM/pperiodicals/Stability%20report_I_20.pdf</w:t>
        </w:r>
      </w:hyperlink>
      <w:r w:rsidRPr="009206BE">
        <w:rPr>
          <w:lang w:val="hy-AM"/>
        </w:rPr>
        <w:t xml:space="preserve">։ </w:t>
      </w:r>
    </w:p>
  </w:footnote>
  <w:footnote w:id="10">
    <w:p w:rsidR="003A0B99" w:rsidRPr="00DE6C7D" w:rsidRDefault="003A0B99" w:rsidP="004E6953">
      <w:pPr>
        <w:pBdr>
          <w:top w:val="nil"/>
          <w:left w:val="nil"/>
          <w:bottom w:val="nil"/>
          <w:right w:val="nil"/>
          <w:between w:val="nil"/>
        </w:pBdr>
        <w:spacing w:line="240" w:lineRule="auto"/>
        <w:ind w:firstLine="0"/>
        <w:rPr>
          <w:rFonts w:eastAsia="Merriweather" w:cs="Merriweather"/>
          <w:b w:val="0"/>
          <w:color w:val="000000"/>
          <w:sz w:val="16"/>
          <w:szCs w:val="16"/>
          <w:lang w:val="hy-AM"/>
        </w:rPr>
      </w:pPr>
      <w:r w:rsidRPr="00DE6C7D">
        <w:rPr>
          <w:rStyle w:val="FootnoteReference"/>
          <w:rFonts w:ascii="GHEA Grapalat" w:hAnsi="GHEA Grapalat"/>
          <w:b w:val="0"/>
          <w:sz w:val="16"/>
          <w:szCs w:val="16"/>
        </w:rPr>
        <w:footnoteRef/>
      </w:r>
      <w:r w:rsidRPr="00DE6C7D">
        <w:rPr>
          <w:b w:val="0"/>
          <w:color w:val="000000"/>
          <w:sz w:val="16"/>
          <w:szCs w:val="16"/>
          <w:lang w:val="hy-AM"/>
        </w:rPr>
        <w:t xml:space="preserve"> </w:t>
      </w:r>
      <w:r w:rsidRPr="00DE6C7D">
        <w:rPr>
          <w:rFonts w:eastAsia="GHEA Grapalat" w:cs="GHEA Grapalat"/>
          <w:b w:val="0"/>
          <w:i/>
          <w:color w:val="000000"/>
          <w:sz w:val="16"/>
          <w:szCs w:val="16"/>
          <w:lang w:val="hy-AM"/>
        </w:rPr>
        <w:t>ՀՀ ֆինանսների նախարարության հարկաբյուջետային քաղաքականության դինամիկ ստոխաստիկ ընդհանուր հավասարակշռության մոդելը մշակվել է 2018-2020թթ. ընթացքում՝ ԱՄՀ կողմից տրամադրված տեխնիկական աջակցության շրջանակներում, ավելի մանրամասն տես Ներդիր 2.-ում:</w:t>
      </w:r>
    </w:p>
  </w:footnote>
  <w:footnote w:id="11">
    <w:p w:rsidR="003A0B99" w:rsidRPr="009206BE" w:rsidRDefault="003A0B99" w:rsidP="00DE6C7D">
      <w:pPr>
        <w:pStyle w:val="FootnoteText"/>
        <w:rPr>
          <w:sz w:val="18"/>
          <w:szCs w:val="18"/>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2021 թ.</w:t>
      </w:r>
      <w:r w:rsidRPr="009206BE">
        <w:rPr>
          <w:lang w:val="hy-AM"/>
        </w:rPr>
        <w:t xml:space="preserve"> </w:t>
      </w:r>
      <w:r w:rsidRPr="009206BE">
        <w:rPr>
          <w:rFonts w:eastAsia="GHEA Grapalat"/>
          <w:lang w:val="hy-AM"/>
        </w:rPr>
        <w:t>պետական բյուջեի հիմքում դրվող մակրոշրջանակի սկզբնական կանխատեսումներն իրականացվել են օգոստոս ամսին:</w:t>
      </w:r>
    </w:p>
  </w:footnote>
  <w:footnote w:id="12">
    <w:p w:rsidR="003A0B99" w:rsidRPr="009206BE" w:rsidRDefault="003A0B99" w:rsidP="00DE6C7D">
      <w:pPr>
        <w:pStyle w:val="FootnoteText"/>
        <w:rPr>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ՀՀ գործընկեր երկրների տնտեսական աճերի 2020 և 2021 թթ. ԱՄՀ կողմից հոկտեմբեր ամսվա կանխատեսումները և նախորդ կանխատեսումների հետ համեմատականը ներկայացված են Աղյուսակ 1.2.-ում</w:t>
      </w:r>
    </w:p>
  </w:footnote>
  <w:footnote w:id="13">
    <w:p w:rsidR="003A0B99" w:rsidRPr="009206BE" w:rsidRDefault="003A0B99" w:rsidP="00DE6C7D">
      <w:pPr>
        <w:pStyle w:val="FootnoteText"/>
        <w:rPr>
          <w:rFonts w:eastAsia="GHEA Grapalat"/>
          <w:sz w:val="18"/>
          <w:szCs w:val="18"/>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Առավել մանրամասն ներկայացված է Ներդիր 3-ում։</w:t>
      </w:r>
    </w:p>
  </w:footnote>
  <w:footnote w:id="14">
    <w:p w:rsidR="003A0B99" w:rsidRPr="009206BE" w:rsidRDefault="003A0B99" w:rsidP="00DE6C7D">
      <w:pPr>
        <w:pStyle w:val="FootnoteText"/>
        <w:rPr>
          <w:lang w:val="hy-AM"/>
        </w:rPr>
      </w:pPr>
      <w:r w:rsidRPr="00DE6C7D">
        <w:rPr>
          <w:rStyle w:val="FootnoteReference"/>
          <w:rFonts w:ascii="GHEA Grapalat" w:hAnsi="GHEA Grapalat"/>
          <w:sz w:val="16"/>
          <w:szCs w:val="16"/>
        </w:rPr>
        <w:footnoteRef/>
      </w:r>
      <w:r w:rsidRPr="009206BE">
        <w:rPr>
          <w:lang w:val="hy-AM"/>
        </w:rPr>
        <w:t xml:space="preserve"> «Այլընտրանքային» սցենարը կառուցվել է 2021-2023 ՄԺԾԾ գործընթացի ժամանակ, որը ենթադրում էր հիմնական սցենարի համեմատ արտաքին և ներքին ավելի ուժգին և երկարատև բացասական շոկերի դրսևորումներ</w:t>
      </w:r>
    </w:p>
  </w:footnote>
  <w:footnote w:id="15">
    <w:p w:rsidR="003A0B99" w:rsidRPr="009206BE" w:rsidRDefault="003A0B99" w:rsidP="00DE6C7D">
      <w:pPr>
        <w:pStyle w:val="FootnoteText"/>
        <w:rPr>
          <w:rFonts w:eastAsia="GHEA Grapalat"/>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 xml:space="preserve">Սկզբնական գնահատումներով  ներքին շոկերը  հանգեցնում էին  ՀՆԱ-ի 3-3.5% կորստի, սակայն վերջին զարգացումներով պայմանավորված ազդեցությունը գնհատվել է ավելի խորը՝ շուրջ 6.7%: </w:t>
      </w:r>
    </w:p>
  </w:footnote>
  <w:footnote w:id="16">
    <w:p w:rsidR="003A0B99" w:rsidRPr="009206BE" w:rsidRDefault="003A0B99" w:rsidP="00DE6C7D">
      <w:pPr>
        <w:pStyle w:val="FootnoteText"/>
        <w:rPr>
          <w:rFonts w:eastAsia="GHEA Grapalat"/>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ԱՄՀ կանխատեսւոմներով, արտաքին պահանջարկը սկզբնական կանխատեսումներում օգտագործված գնահատականի համեմատ 2%-ային կետով վերանայվել է  դրական ուղղությամբ՝  իր դրական նպաստումն ունենալով ՀՀ տնտեսական աճի գնահատականի վրա:</w:t>
      </w:r>
    </w:p>
  </w:footnote>
  <w:footnote w:id="17">
    <w:p w:rsidR="003A0B99" w:rsidRPr="009206BE" w:rsidRDefault="003A0B99" w:rsidP="00DE6C7D">
      <w:pPr>
        <w:pStyle w:val="FootnoteText"/>
        <w:rPr>
          <w:rFonts w:eastAsia="GHEA Grapalat"/>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Պատերազմական գործողություններով պայմանավորված Սեպտեմբերի 28-ից ՀՀ երկրի ռիսկի հավելավճարը սկսել է բարձրանալ (2019 թ. հունվար- 2020 թ. նոյեմբեր  ժամանակահատվածի հետագիծը՝ տե՛ս Գծապատկեր 1.6.-ում), արդյունքում ռիսկ պրեմիայի շոկի գնահատատականը սկզբնական կանխատեսումների համեմատ վերանայվել է 0.3%-ային կետով:</w:t>
      </w:r>
    </w:p>
  </w:footnote>
  <w:footnote w:id="18">
    <w:p w:rsidR="003A0B99" w:rsidRPr="009206BE" w:rsidRDefault="003A0B99" w:rsidP="00DE6C7D">
      <w:pPr>
        <w:pStyle w:val="FootnoteText"/>
        <w:rPr>
          <w:lang w:val="hy-AM"/>
        </w:rPr>
      </w:pPr>
      <w:r w:rsidRPr="00DE6C7D">
        <w:rPr>
          <w:rStyle w:val="FootnoteReference"/>
          <w:rFonts w:ascii="GHEA Grapalat" w:hAnsi="GHEA Grapalat"/>
          <w:sz w:val="16"/>
          <w:szCs w:val="16"/>
        </w:rPr>
        <w:footnoteRef/>
      </w:r>
      <w:r w:rsidRPr="009206BE">
        <w:rPr>
          <w:lang w:val="hy-AM"/>
        </w:rPr>
        <w:t xml:space="preserve"> 215.0 մլրդ դրամն ունի հետևյալ կառուցվածքը. 150 մլրդ դրամ՝ սոցիալ-տնտեսական միջոցառումների փաթեթների գծով ծախսեր, 65 մլրդ դրամ՝ շահութահարկի կանխավճարների համակարգի վերանայման և տրամադրված հարկային արձակուրդի արդյունքում չստացված հարկային եկամուտներ:</w:t>
      </w:r>
    </w:p>
  </w:footnote>
  <w:footnote w:id="19">
    <w:p w:rsidR="003A0B99" w:rsidRPr="00DE6C7D" w:rsidRDefault="003A0B99" w:rsidP="00CF2B2C">
      <w:pPr>
        <w:spacing w:line="240" w:lineRule="auto"/>
        <w:ind w:firstLine="0"/>
        <w:rPr>
          <w:i/>
          <w:sz w:val="16"/>
          <w:szCs w:val="16"/>
          <w:lang w:val="hy-AM"/>
        </w:rPr>
      </w:pPr>
      <w:r w:rsidRPr="00DE6C7D">
        <w:rPr>
          <w:sz w:val="16"/>
          <w:szCs w:val="16"/>
          <w:vertAlign w:val="superscript"/>
          <w:lang w:val="hy-AM"/>
        </w:rPr>
        <w:footnoteRef/>
      </w:r>
      <w:r w:rsidRPr="00DE6C7D">
        <w:rPr>
          <w:sz w:val="16"/>
          <w:szCs w:val="16"/>
          <w:vertAlign w:val="superscript"/>
          <w:lang w:val="hy-AM"/>
        </w:rPr>
        <w:t xml:space="preserve"> </w:t>
      </w:r>
      <w:r w:rsidRPr="00DE6C7D">
        <w:rPr>
          <w:b w:val="0"/>
          <w:i/>
          <w:sz w:val="16"/>
          <w:szCs w:val="16"/>
          <w:lang w:val="hy-AM"/>
        </w:rPr>
        <w:t>Աղյուսակի 1-ին սյունը իրենից ներկայացնում է տնտեսական աճի հնարավոր միջա</w:t>
      </w:r>
      <w:r w:rsidRPr="00DE6C7D">
        <w:rPr>
          <w:b w:val="0"/>
          <w:i/>
          <w:sz w:val="16"/>
          <w:szCs w:val="16"/>
          <w:lang w:val="hy-AM"/>
        </w:rPr>
        <w:softHyphen/>
        <w:t>կայքերը, իսկ 2-ից 5-րդ սյուները` համապատասխան միջակայքերում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70%-ը, այսինքն` հավանականությունը, որ տնտեսական աճը կգտնվի -2%-ից 6%  միջակայքում, կազմում է մոտ 70%: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AC5A72"/>
    <w:lvl w:ilvl="0">
      <w:start w:val="1"/>
      <w:numFmt w:val="decimal"/>
      <w:pStyle w:val="ListNumber"/>
      <w:lvlText w:val="%1."/>
      <w:lvlJc w:val="left"/>
      <w:pPr>
        <w:tabs>
          <w:tab w:val="num" w:pos="540"/>
        </w:tabs>
        <w:ind w:left="540" w:hanging="360"/>
      </w:pPr>
    </w:lvl>
  </w:abstractNum>
  <w:abstractNum w:abstractNumId="2" w15:restartNumberingAfterBreak="0">
    <w:nsid w:val="00A14C5E"/>
    <w:multiLevelType w:val="hybridMultilevel"/>
    <w:tmpl w:val="7968EC74"/>
    <w:lvl w:ilvl="0" w:tplc="5FAE02DE">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00B71C3D"/>
    <w:multiLevelType w:val="hybridMultilevel"/>
    <w:tmpl w:val="867E2ADA"/>
    <w:lvl w:ilvl="0" w:tplc="C56688CE">
      <w:start w:val="1"/>
      <w:numFmt w:val="bullet"/>
      <w:lvlText w:val="-"/>
      <w:lvlJc w:val="left"/>
      <w:pPr>
        <w:ind w:left="1170" w:hanging="360"/>
      </w:pPr>
      <w:rPr>
        <w:rFonts w:ascii="Calibri" w:eastAsia="Calibri" w:hAnsi="Calibri"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3494692"/>
    <w:multiLevelType w:val="hybridMultilevel"/>
    <w:tmpl w:val="A1E2F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BB4C40"/>
    <w:multiLevelType w:val="hybridMultilevel"/>
    <w:tmpl w:val="CA96681A"/>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45AF4"/>
    <w:multiLevelType w:val="hybridMultilevel"/>
    <w:tmpl w:val="476C7736"/>
    <w:lvl w:ilvl="0" w:tplc="03589ECA">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084C7D3A"/>
    <w:multiLevelType w:val="multilevel"/>
    <w:tmpl w:val="1B94823C"/>
    <w:lvl w:ilvl="0">
      <w:start w:val="1"/>
      <w:numFmt w:val="decimal"/>
      <w:lvlText w:val="%1."/>
      <w:lvlJc w:val="left"/>
      <w:pPr>
        <w:ind w:left="720" w:hanging="360"/>
      </w:pPr>
      <w:rPr>
        <w:rFonts w:cs="Sylfaen"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536" w:hanging="2520"/>
      </w:pPr>
      <w:rPr>
        <w:rFonts w:hint="default"/>
      </w:rPr>
    </w:lvl>
  </w:abstractNum>
  <w:abstractNum w:abstractNumId="9" w15:restartNumberingAfterBreak="0">
    <w:nsid w:val="09A402E7"/>
    <w:multiLevelType w:val="hybridMultilevel"/>
    <w:tmpl w:val="FCC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89690A"/>
    <w:multiLevelType w:val="hybridMultilevel"/>
    <w:tmpl w:val="53BE3A02"/>
    <w:lvl w:ilvl="0" w:tplc="04090011">
      <w:start w:val="1"/>
      <w:numFmt w:val="decimal"/>
      <w:lvlText w:val="%1)"/>
      <w:lvlJc w:val="left"/>
      <w:pPr>
        <w:ind w:left="1069" w:hanging="360"/>
      </w:pPr>
      <w:rPr>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B237955"/>
    <w:multiLevelType w:val="hybridMultilevel"/>
    <w:tmpl w:val="2DF8032C"/>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ED22CD"/>
    <w:multiLevelType w:val="multilevel"/>
    <w:tmpl w:val="C77EBEC8"/>
    <w:lvl w:ilvl="0">
      <w:start w:val="1"/>
      <w:numFmt w:val="decimal"/>
      <w:lvlText w:val="´²ÄÆÜ %1."/>
      <w:lvlJc w:val="left"/>
      <w:pPr>
        <w:tabs>
          <w:tab w:val="num" w:pos="1531"/>
        </w:tabs>
        <w:ind w:left="1531" w:hanging="1531"/>
      </w:pPr>
      <w:rPr>
        <w:rFonts w:hint="default"/>
      </w:rPr>
    </w:lvl>
    <w:lvl w:ilvl="1">
      <w:start w:val="1"/>
      <w:numFmt w:val="decimal"/>
      <w:lvlRestart w:val="0"/>
      <w:lvlText w:val="¶ÈàôÊ %2."/>
      <w:lvlJc w:val="left"/>
      <w:pPr>
        <w:tabs>
          <w:tab w:val="num" w:pos="1440"/>
        </w:tabs>
        <w:ind w:left="737" w:hanging="737"/>
      </w:pPr>
      <w:rPr>
        <w:rFonts w:hint="default"/>
      </w:rPr>
    </w:lvl>
    <w:lvl w:ilvl="2">
      <w:start w:val="1"/>
      <w:numFmt w:val="decimal"/>
      <w:lvlText w:val="%2.%3."/>
      <w:lvlJc w:val="left"/>
      <w:pPr>
        <w:tabs>
          <w:tab w:val="num" w:pos="737"/>
        </w:tabs>
        <w:ind w:left="737" w:hanging="73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2.%3.%4.%5."/>
      <w:lvlJc w:val="left"/>
      <w:pPr>
        <w:tabs>
          <w:tab w:val="num" w:pos="907"/>
        </w:tabs>
        <w:ind w:left="907" w:hanging="907"/>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EF45B06"/>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2B08AC"/>
    <w:multiLevelType w:val="hybridMultilevel"/>
    <w:tmpl w:val="9E582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9E7A5A"/>
    <w:multiLevelType w:val="singleLevel"/>
    <w:tmpl w:val="4EDA947C"/>
    <w:lvl w:ilvl="0">
      <w:start w:val="1"/>
      <w:numFmt w:val="decimal"/>
      <w:pStyle w:val="a"/>
      <w:lvlText w:val="%1."/>
      <w:lvlJc w:val="left"/>
      <w:pPr>
        <w:tabs>
          <w:tab w:val="num" w:pos="360"/>
        </w:tabs>
        <w:ind w:left="360" w:hanging="360"/>
      </w:pPr>
      <w:rPr>
        <w:rFonts w:hint="default"/>
      </w:rPr>
    </w:lvl>
  </w:abstractNum>
  <w:abstractNum w:abstractNumId="16"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871CA6"/>
    <w:multiLevelType w:val="hybridMultilevel"/>
    <w:tmpl w:val="884E997A"/>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6F572A"/>
    <w:multiLevelType w:val="hybridMultilevel"/>
    <w:tmpl w:val="6C4C41B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120D3E"/>
    <w:multiLevelType w:val="hybridMultilevel"/>
    <w:tmpl w:val="721E700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0" w15:restartNumberingAfterBreak="0">
    <w:nsid w:val="22F9677B"/>
    <w:multiLevelType w:val="hybridMultilevel"/>
    <w:tmpl w:val="5FC0DC7E"/>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D7D34"/>
    <w:multiLevelType w:val="hybridMultilevel"/>
    <w:tmpl w:val="F16EC7E6"/>
    <w:lvl w:ilvl="0" w:tplc="B2E0EA00">
      <w:start w:val="1"/>
      <w:numFmt w:val="bullet"/>
      <w:lvlText w:val="-"/>
      <w:lvlJc w:val="left"/>
      <w:pPr>
        <w:ind w:left="360" w:hanging="360"/>
      </w:pPr>
      <w:rPr>
        <w:rFonts w:ascii="Calibri" w:eastAsia="Calibri" w:hAnsi="Calibri" w:cs="Times New Roman" w:hint="default"/>
        <w:lang w:val="hy-AM"/>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5C660CE"/>
    <w:multiLevelType w:val="hybridMultilevel"/>
    <w:tmpl w:val="1D92EB60"/>
    <w:lvl w:ilvl="0" w:tplc="C56688CE">
      <w:start w:val="1"/>
      <w:numFmt w:val="bullet"/>
      <w:lvlText w:val="-"/>
      <w:lvlJc w:val="left"/>
      <w:pPr>
        <w:ind w:left="1170" w:hanging="360"/>
      </w:pPr>
      <w:rPr>
        <w:rFonts w:ascii="Calibri" w:eastAsia="Calibri" w:hAnsi="Calibri" w:cs="Times New Roman"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3" w15:restartNumberingAfterBreak="0">
    <w:nsid w:val="26526458"/>
    <w:multiLevelType w:val="hybridMultilevel"/>
    <w:tmpl w:val="52029D9E"/>
    <w:lvl w:ilvl="0" w:tplc="0409000D">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24" w15:restartNumberingAfterBreak="0">
    <w:nsid w:val="2917017C"/>
    <w:multiLevelType w:val="hybridMultilevel"/>
    <w:tmpl w:val="6318ECA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6" w15:restartNumberingAfterBreak="0">
    <w:nsid w:val="2CCF2A16"/>
    <w:multiLevelType w:val="hybridMultilevel"/>
    <w:tmpl w:val="ADC03A8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6F153C"/>
    <w:multiLevelType w:val="hybridMultilevel"/>
    <w:tmpl w:val="C8E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9C515E"/>
    <w:multiLevelType w:val="hybridMultilevel"/>
    <w:tmpl w:val="ACA02C26"/>
    <w:lvl w:ilvl="0" w:tplc="C56688CE">
      <w:start w:val="1"/>
      <w:numFmt w:val="bullet"/>
      <w:lvlText w:val="-"/>
      <w:lvlJc w:val="left"/>
      <w:pPr>
        <w:ind w:left="928"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2235AC"/>
    <w:multiLevelType w:val="hybridMultilevel"/>
    <w:tmpl w:val="4F4A4EE6"/>
    <w:lvl w:ilvl="0" w:tplc="04090001">
      <w:start w:val="1"/>
      <w:numFmt w:val="bullet"/>
      <w:lvlText w:val=""/>
      <w:lvlJc w:val="left"/>
      <w:pPr>
        <w:ind w:left="1440" w:hanging="360"/>
      </w:pPr>
      <w:rPr>
        <w:rFonts w:ascii="Symbol" w:hAnsi="Symbol" w:hint="default"/>
      </w:rPr>
    </w:lvl>
    <w:lvl w:ilvl="1" w:tplc="4FEEEB46">
      <w:start w:val="1"/>
      <w:numFmt w:val="bullet"/>
      <w:lvlText w:val="-"/>
      <w:lvlJc w:val="left"/>
      <w:pPr>
        <w:ind w:left="2160" w:hanging="360"/>
      </w:pPr>
      <w:rPr>
        <w:rFonts w:ascii="MS Reference Sans Serif" w:hAnsi="MS Reference Sans Serif"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5757B3E"/>
    <w:multiLevelType w:val="hybridMultilevel"/>
    <w:tmpl w:val="69764F6A"/>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E94A6B48" w:tentative="1">
      <w:start w:val="1"/>
      <w:numFmt w:val="bullet"/>
      <w:lvlText w:val="•"/>
      <w:lvlJc w:val="left"/>
      <w:pPr>
        <w:tabs>
          <w:tab w:val="num" w:pos="2160"/>
        </w:tabs>
        <w:ind w:left="2160" w:hanging="360"/>
      </w:pPr>
      <w:rPr>
        <w:rFonts w:ascii="Arial" w:hAnsi="Arial" w:hint="default"/>
      </w:rPr>
    </w:lvl>
    <w:lvl w:ilvl="3" w:tplc="288CD880" w:tentative="1">
      <w:start w:val="1"/>
      <w:numFmt w:val="bullet"/>
      <w:lvlText w:val="•"/>
      <w:lvlJc w:val="left"/>
      <w:pPr>
        <w:tabs>
          <w:tab w:val="num" w:pos="2880"/>
        </w:tabs>
        <w:ind w:left="2880" w:hanging="360"/>
      </w:pPr>
      <w:rPr>
        <w:rFonts w:ascii="Arial" w:hAnsi="Arial" w:hint="default"/>
      </w:rPr>
    </w:lvl>
    <w:lvl w:ilvl="4" w:tplc="305203F2" w:tentative="1">
      <w:start w:val="1"/>
      <w:numFmt w:val="bullet"/>
      <w:lvlText w:val="•"/>
      <w:lvlJc w:val="left"/>
      <w:pPr>
        <w:tabs>
          <w:tab w:val="num" w:pos="3600"/>
        </w:tabs>
        <w:ind w:left="3600" w:hanging="360"/>
      </w:pPr>
      <w:rPr>
        <w:rFonts w:ascii="Arial" w:hAnsi="Arial" w:hint="default"/>
      </w:rPr>
    </w:lvl>
    <w:lvl w:ilvl="5" w:tplc="D5C217C6" w:tentative="1">
      <w:start w:val="1"/>
      <w:numFmt w:val="bullet"/>
      <w:lvlText w:val="•"/>
      <w:lvlJc w:val="left"/>
      <w:pPr>
        <w:tabs>
          <w:tab w:val="num" w:pos="4320"/>
        </w:tabs>
        <w:ind w:left="4320" w:hanging="360"/>
      </w:pPr>
      <w:rPr>
        <w:rFonts w:ascii="Arial" w:hAnsi="Arial" w:hint="default"/>
      </w:rPr>
    </w:lvl>
    <w:lvl w:ilvl="6" w:tplc="74BCD5D8" w:tentative="1">
      <w:start w:val="1"/>
      <w:numFmt w:val="bullet"/>
      <w:lvlText w:val="•"/>
      <w:lvlJc w:val="left"/>
      <w:pPr>
        <w:tabs>
          <w:tab w:val="num" w:pos="5040"/>
        </w:tabs>
        <w:ind w:left="5040" w:hanging="360"/>
      </w:pPr>
      <w:rPr>
        <w:rFonts w:ascii="Arial" w:hAnsi="Arial" w:hint="default"/>
      </w:rPr>
    </w:lvl>
    <w:lvl w:ilvl="7" w:tplc="670823B8" w:tentative="1">
      <w:start w:val="1"/>
      <w:numFmt w:val="bullet"/>
      <w:lvlText w:val="•"/>
      <w:lvlJc w:val="left"/>
      <w:pPr>
        <w:tabs>
          <w:tab w:val="num" w:pos="5760"/>
        </w:tabs>
        <w:ind w:left="5760" w:hanging="360"/>
      </w:pPr>
      <w:rPr>
        <w:rFonts w:ascii="Arial" w:hAnsi="Arial" w:hint="default"/>
      </w:rPr>
    </w:lvl>
    <w:lvl w:ilvl="8" w:tplc="C80E3D0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61208CF"/>
    <w:multiLevelType w:val="hybridMultilevel"/>
    <w:tmpl w:val="49443026"/>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9D3C64"/>
    <w:multiLevelType w:val="hybridMultilevel"/>
    <w:tmpl w:val="08A85506"/>
    <w:lvl w:ilvl="0" w:tplc="B2E0EA00">
      <w:start w:val="1"/>
      <w:numFmt w:val="bullet"/>
      <w:lvlText w:val="-"/>
      <w:lvlJc w:val="left"/>
      <w:pPr>
        <w:ind w:left="720" w:hanging="360"/>
      </w:pPr>
      <w:rPr>
        <w:rFonts w:ascii="Calibri" w:eastAsia="Calibri" w:hAnsi="Calibri" w:cs="Times New Roman" w:hint="default"/>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3C461B8D"/>
    <w:multiLevelType w:val="hybridMultilevel"/>
    <w:tmpl w:val="2F7C06BE"/>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721D99"/>
    <w:multiLevelType w:val="multilevel"/>
    <w:tmpl w:val="19F8AC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15:restartNumberingAfterBreak="0">
    <w:nsid w:val="3E272D1A"/>
    <w:multiLevelType w:val="hybridMultilevel"/>
    <w:tmpl w:val="EA94F14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76784F"/>
    <w:multiLevelType w:val="hybridMultilevel"/>
    <w:tmpl w:val="983CD254"/>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0" w15:restartNumberingAfterBreak="0">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930964"/>
    <w:multiLevelType w:val="hybridMultilevel"/>
    <w:tmpl w:val="C2AE092E"/>
    <w:lvl w:ilvl="0" w:tplc="C56688CE">
      <w:start w:val="1"/>
      <w:numFmt w:val="bullet"/>
      <w:lvlText w:val="-"/>
      <w:lvlJc w:val="left"/>
      <w:pPr>
        <w:ind w:left="1287" w:hanging="360"/>
      </w:pPr>
      <w:rPr>
        <w:rFonts w:ascii="Calibri" w:eastAsia="Calibri"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4C4A7A6F"/>
    <w:multiLevelType w:val="hybridMultilevel"/>
    <w:tmpl w:val="7B0851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360596"/>
    <w:multiLevelType w:val="hybridMultilevel"/>
    <w:tmpl w:val="71F2C140"/>
    <w:lvl w:ilvl="0" w:tplc="2898D622">
      <w:start w:val="1"/>
      <w:numFmt w:val="decimal"/>
      <w:lvlText w:val="%1."/>
      <w:lvlJc w:val="left"/>
      <w:pPr>
        <w:ind w:left="931" w:hanging="360"/>
      </w:pPr>
      <w:rPr>
        <w:rFonts w:hint="default"/>
      </w:rPr>
    </w:lvl>
    <w:lvl w:ilvl="1" w:tplc="04090019" w:tentative="1">
      <w:start w:val="1"/>
      <w:numFmt w:val="lowerLetter"/>
      <w:lvlText w:val="%2."/>
      <w:lvlJc w:val="left"/>
      <w:pPr>
        <w:ind w:left="1651" w:hanging="360"/>
      </w:pPr>
    </w:lvl>
    <w:lvl w:ilvl="2" w:tplc="0409001B" w:tentative="1">
      <w:start w:val="1"/>
      <w:numFmt w:val="lowerRoman"/>
      <w:lvlText w:val="%3."/>
      <w:lvlJc w:val="right"/>
      <w:pPr>
        <w:ind w:left="2371" w:hanging="180"/>
      </w:pPr>
    </w:lvl>
    <w:lvl w:ilvl="3" w:tplc="0409000F" w:tentative="1">
      <w:start w:val="1"/>
      <w:numFmt w:val="decimal"/>
      <w:lvlText w:val="%4."/>
      <w:lvlJc w:val="left"/>
      <w:pPr>
        <w:ind w:left="3091" w:hanging="360"/>
      </w:pPr>
    </w:lvl>
    <w:lvl w:ilvl="4" w:tplc="04090019" w:tentative="1">
      <w:start w:val="1"/>
      <w:numFmt w:val="lowerLetter"/>
      <w:lvlText w:val="%5."/>
      <w:lvlJc w:val="left"/>
      <w:pPr>
        <w:ind w:left="3811" w:hanging="360"/>
      </w:pPr>
    </w:lvl>
    <w:lvl w:ilvl="5" w:tplc="0409001B" w:tentative="1">
      <w:start w:val="1"/>
      <w:numFmt w:val="lowerRoman"/>
      <w:lvlText w:val="%6."/>
      <w:lvlJc w:val="right"/>
      <w:pPr>
        <w:ind w:left="4531" w:hanging="180"/>
      </w:pPr>
    </w:lvl>
    <w:lvl w:ilvl="6" w:tplc="0409000F" w:tentative="1">
      <w:start w:val="1"/>
      <w:numFmt w:val="decimal"/>
      <w:lvlText w:val="%7."/>
      <w:lvlJc w:val="left"/>
      <w:pPr>
        <w:ind w:left="5251" w:hanging="360"/>
      </w:pPr>
    </w:lvl>
    <w:lvl w:ilvl="7" w:tplc="04090019" w:tentative="1">
      <w:start w:val="1"/>
      <w:numFmt w:val="lowerLetter"/>
      <w:lvlText w:val="%8."/>
      <w:lvlJc w:val="left"/>
      <w:pPr>
        <w:ind w:left="5971" w:hanging="360"/>
      </w:pPr>
    </w:lvl>
    <w:lvl w:ilvl="8" w:tplc="0409001B" w:tentative="1">
      <w:start w:val="1"/>
      <w:numFmt w:val="lowerRoman"/>
      <w:lvlText w:val="%9."/>
      <w:lvlJc w:val="right"/>
      <w:pPr>
        <w:ind w:left="6691" w:hanging="180"/>
      </w:pPr>
    </w:lvl>
  </w:abstractNum>
  <w:abstractNum w:abstractNumId="45"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512410D6"/>
    <w:multiLevelType w:val="hybridMultilevel"/>
    <w:tmpl w:val="3020B012"/>
    <w:lvl w:ilvl="0" w:tplc="B2E0EA00">
      <w:start w:val="1"/>
      <w:numFmt w:val="bullet"/>
      <w:lvlText w:val="-"/>
      <w:lvlJc w:val="left"/>
      <w:pPr>
        <w:ind w:left="720" w:hanging="360"/>
      </w:pPr>
      <w:rPr>
        <w:rFonts w:ascii="Calibri" w:eastAsia="Calibri" w:hAnsi="Calibri" w:cs="Times New Roman" w:hint="default"/>
        <w:lang w:val="hy-AM"/>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6FF29FC"/>
    <w:multiLevelType w:val="hybridMultilevel"/>
    <w:tmpl w:val="A98041B6"/>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A7635A"/>
    <w:multiLevelType w:val="hybridMultilevel"/>
    <w:tmpl w:val="631C8B9E"/>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C3A38"/>
    <w:multiLevelType w:val="hybridMultilevel"/>
    <w:tmpl w:val="5CFE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904267E"/>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957624"/>
    <w:multiLevelType w:val="hybridMultilevel"/>
    <w:tmpl w:val="28022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A761E34"/>
    <w:multiLevelType w:val="hybridMultilevel"/>
    <w:tmpl w:val="03C02330"/>
    <w:lvl w:ilvl="0" w:tplc="49D6164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59" w15:restartNumberingAfterBreak="0">
    <w:nsid w:val="5E92419D"/>
    <w:multiLevelType w:val="hybridMultilevel"/>
    <w:tmpl w:val="D0D895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F413B2"/>
    <w:multiLevelType w:val="hybridMultilevel"/>
    <w:tmpl w:val="6CFA2BAE"/>
    <w:lvl w:ilvl="0" w:tplc="0409000D">
      <w:start w:val="1"/>
      <w:numFmt w:val="bullet"/>
      <w:lvlText w:val=""/>
      <w:lvlJc w:val="left"/>
      <w:pPr>
        <w:tabs>
          <w:tab w:val="num" w:pos="1080"/>
        </w:tabs>
        <w:ind w:left="1080" w:hanging="360"/>
      </w:pPr>
      <w:rPr>
        <w:rFonts w:ascii="Wingdings" w:hAnsi="Wingdings" w:hint="default"/>
      </w:rPr>
    </w:lvl>
    <w:lvl w:ilvl="1" w:tplc="7DC8E6C6">
      <w:start w:val="1"/>
      <w:numFmt w:val="bullet"/>
      <w:lvlText w:val="•"/>
      <w:lvlJc w:val="left"/>
      <w:pPr>
        <w:tabs>
          <w:tab w:val="num" w:pos="1800"/>
        </w:tabs>
        <w:ind w:left="1800" w:hanging="360"/>
      </w:pPr>
      <w:rPr>
        <w:rFonts w:ascii="Arial" w:hAnsi="Arial" w:hint="default"/>
      </w:rPr>
    </w:lvl>
    <w:lvl w:ilvl="2" w:tplc="B8DEA9A4" w:tentative="1">
      <w:start w:val="1"/>
      <w:numFmt w:val="bullet"/>
      <w:lvlText w:val="•"/>
      <w:lvlJc w:val="left"/>
      <w:pPr>
        <w:tabs>
          <w:tab w:val="num" w:pos="2520"/>
        </w:tabs>
        <w:ind w:left="2520" w:hanging="360"/>
      </w:pPr>
      <w:rPr>
        <w:rFonts w:ascii="Arial" w:hAnsi="Arial" w:hint="default"/>
      </w:rPr>
    </w:lvl>
    <w:lvl w:ilvl="3" w:tplc="8B0CF5AE" w:tentative="1">
      <w:start w:val="1"/>
      <w:numFmt w:val="bullet"/>
      <w:lvlText w:val="•"/>
      <w:lvlJc w:val="left"/>
      <w:pPr>
        <w:tabs>
          <w:tab w:val="num" w:pos="3240"/>
        </w:tabs>
        <w:ind w:left="3240" w:hanging="360"/>
      </w:pPr>
      <w:rPr>
        <w:rFonts w:ascii="Arial" w:hAnsi="Arial" w:hint="default"/>
      </w:rPr>
    </w:lvl>
    <w:lvl w:ilvl="4" w:tplc="CB40DD5A" w:tentative="1">
      <w:start w:val="1"/>
      <w:numFmt w:val="bullet"/>
      <w:lvlText w:val="•"/>
      <w:lvlJc w:val="left"/>
      <w:pPr>
        <w:tabs>
          <w:tab w:val="num" w:pos="3960"/>
        </w:tabs>
        <w:ind w:left="3960" w:hanging="360"/>
      </w:pPr>
      <w:rPr>
        <w:rFonts w:ascii="Arial" w:hAnsi="Arial" w:hint="default"/>
      </w:rPr>
    </w:lvl>
    <w:lvl w:ilvl="5" w:tplc="88DE4802" w:tentative="1">
      <w:start w:val="1"/>
      <w:numFmt w:val="bullet"/>
      <w:lvlText w:val="•"/>
      <w:lvlJc w:val="left"/>
      <w:pPr>
        <w:tabs>
          <w:tab w:val="num" w:pos="4680"/>
        </w:tabs>
        <w:ind w:left="4680" w:hanging="360"/>
      </w:pPr>
      <w:rPr>
        <w:rFonts w:ascii="Arial" w:hAnsi="Arial" w:hint="default"/>
      </w:rPr>
    </w:lvl>
    <w:lvl w:ilvl="6" w:tplc="DDB292CE" w:tentative="1">
      <w:start w:val="1"/>
      <w:numFmt w:val="bullet"/>
      <w:lvlText w:val="•"/>
      <w:lvlJc w:val="left"/>
      <w:pPr>
        <w:tabs>
          <w:tab w:val="num" w:pos="5400"/>
        </w:tabs>
        <w:ind w:left="5400" w:hanging="360"/>
      </w:pPr>
      <w:rPr>
        <w:rFonts w:ascii="Arial" w:hAnsi="Arial" w:hint="default"/>
      </w:rPr>
    </w:lvl>
    <w:lvl w:ilvl="7" w:tplc="8F46015A" w:tentative="1">
      <w:start w:val="1"/>
      <w:numFmt w:val="bullet"/>
      <w:lvlText w:val="•"/>
      <w:lvlJc w:val="left"/>
      <w:pPr>
        <w:tabs>
          <w:tab w:val="num" w:pos="6120"/>
        </w:tabs>
        <w:ind w:left="6120" w:hanging="360"/>
      </w:pPr>
      <w:rPr>
        <w:rFonts w:ascii="Arial" w:hAnsi="Arial" w:hint="default"/>
      </w:rPr>
    </w:lvl>
    <w:lvl w:ilvl="8" w:tplc="21AE8A96" w:tentative="1">
      <w:start w:val="1"/>
      <w:numFmt w:val="bullet"/>
      <w:lvlText w:val="•"/>
      <w:lvlJc w:val="left"/>
      <w:pPr>
        <w:tabs>
          <w:tab w:val="num" w:pos="6840"/>
        </w:tabs>
        <w:ind w:left="6840" w:hanging="360"/>
      </w:pPr>
      <w:rPr>
        <w:rFonts w:ascii="Arial" w:hAnsi="Arial" w:hint="default"/>
      </w:rPr>
    </w:lvl>
  </w:abstractNum>
  <w:abstractNum w:abstractNumId="61" w15:restartNumberingAfterBreak="0">
    <w:nsid w:val="5F7C6FDB"/>
    <w:multiLevelType w:val="hybridMultilevel"/>
    <w:tmpl w:val="39C6AF84"/>
    <w:lvl w:ilvl="0" w:tplc="04090001">
      <w:start w:val="1"/>
      <w:numFmt w:val="decimal"/>
      <w:lvlText w:val="%1."/>
      <w:lvlJc w:val="left"/>
      <w:pPr>
        <w:tabs>
          <w:tab w:val="num" w:pos="0"/>
        </w:tabs>
        <w:ind w:left="0" w:firstLine="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2" w15:restartNumberingAfterBreak="0">
    <w:nsid w:val="626336ED"/>
    <w:multiLevelType w:val="hybridMultilevel"/>
    <w:tmpl w:val="BED46D1E"/>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3412DC"/>
    <w:multiLevelType w:val="hybridMultilevel"/>
    <w:tmpl w:val="7152C2E0"/>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6" w15:restartNumberingAfterBreak="0">
    <w:nsid w:val="67E16A43"/>
    <w:multiLevelType w:val="hybridMultilevel"/>
    <w:tmpl w:val="A1BAD684"/>
    <w:lvl w:ilvl="0" w:tplc="F6EA2F80">
      <w:numFmt w:val="bullet"/>
      <w:lvlText w:val="-"/>
      <w:lvlJc w:val="left"/>
      <w:pPr>
        <w:ind w:left="927" w:hanging="360"/>
      </w:pPr>
      <w:rPr>
        <w:rFonts w:ascii="GHEA Grapalat" w:eastAsia="Times New Roman" w:hAnsi="GHEA Grapalat"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7"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9EC513E"/>
    <w:multiLevelType w:val="hybridMultilevel"/>
    <w:tmpl w:val="F3220BE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8E1A17"/>
    <w:multiLevelType w:val="hybridMultilevel"/>
    <w:tmpl w:val="2CD6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D56531F"/>
    <w:multiLevelType w:val="hybridMultilevel"/>
    <w:tmpl w:val="23362A6A"/>
    <w:lvl w:ilvl="0" w:tplc="C56688CE">
      <w:start w:val="1"/>
      <w:numFmt w:val="bullet"/>
      <w:lvlText w:val="-"/>
      <w:lvlJc w:val="left"/>
      <w:pPr>
        <w:ind w:left="1170" w:hanging="360"/>
      </w:pPr>
      <w:rPr>
        <w:rFonts w:ascii="Calibri" w:eastAsia="Calibri" w:hAnsi="Calibri" w:cs="Times New Roman"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72"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E75BA7"/>
    <w:multiLevelType w:val="hybridMultilevel"/>
    <w:tmpl w:val="BA2EFF2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A856C3"/>
    <w:multiLevelType w:val="hybridMultilevel"/>
    <w:tmpl w:val="763E87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535035"/>
    <w:multiLevelType w:val="hybridMultilevel"/>
    <w:tmpl w:val="8C4CE21E"/>
    <w:lvl w:ilvl="0" w:tplc="B2E0EA00">
      <w:start w:val="1"/>
      <w:numFmt w:val="bullet"/>
      <w:lvlText w:val="-"/>
      <w:lvlJc w:val="left"/>
      <w:pPr>
        <w:ind w:left="1170" w:hanging="360"/>
      </w:pPr>
      <w:rPr>
        <w:rFonts w:ascii="Calibri" w:eastAsia="Calibri" w:hAnsi="Calibri" w:cs="Times New Roman" w:hint="default"/>
        <w:lang w:val="hy-AM"/>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6"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40671C"/>
    <w:multiLevelType w:val="hybridMultilevel"/>
    <w:tmpl w:val="E80839B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A863FC"/>
    <w:multiLevelType w:val="hybridMultilevel"/>
    <w:tmpl w:val="EFBCA88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2"/>
  </w:num>
  <w:num w:numId="3">
    <w:abstractNumId w:val="76"/>
  </w:num>
  <w:num w:numId="4">
    <w:abstractNumId w:val="70"/>
  </w:num>
  <w:num w:numId="5">
    <w:abstractNumId w:val="57"/>
  </w:num>
  <w:num w:numId="6">
    <w:abstractNumId w:val="53"/>
  </w:num>
  <w:num w:numId="7">
    <w:abstractNumId w:val="48"/>
  </w:num>
  <w:num w:numId="8">
    <w:abstractNumId w:val="6"/>
  </w:num>
  <w:num w:numId="9">
    <w:abstractNumId w:val="1"/>
  </w:num>
  <w:num w:numId="10">
    <w:abstractNumId w:val="58"/>
  </w:num>
  <w:num w:numId="11">
    <w:abstractNumId w:val="39"/>
  </w:num>
  <w:num w:numId="12">
    <w:abstractNumId w:val="67"/>
  </w:num>
  <w:num w:numId="13">
    <w:abstractNumId w:val="45"/>
  </w:num>
  <w:num w:numId="14">
    <w:abstractNumId w:val="40"/>
  </w:num>
  <w:num w:numId="15">
    <w:abstractNumId w:val="16"/>
  </w:num>
  <w:num w:numId="16">
    <w:abstractNumId w:val="23"/>
  </w:num>
  <w:num w:numId="17">
    <w:abstractNumId w:val="65"/>
  </w:num>
  <w:num w:numId="18">
    <w:abstractNumId w:val="46"/>
  </w:num>
  <w:num w:numId="19">
    <w:abstractNumId w:val="44"/>
  </w:num>
  <w:num w:numId="20">
    <w:abstractNumId w:val="36"/>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7"/>
  </w:num>
  <w:num w:numId="24">
    <w:abstractNumId w:val="4"/>
  </w:num>
  <w:num w:numId="25">
    <w:abstractNumId w:val="63"/>
  </w:num>
  <w:num w:numId="26">
    <w:abstractNumId w:val="37"/>
  </w:num>
  <w:num w:numId="27">
    <w:abstractNumId w:val="17"/>
  </w:num>
  <w:num w:numId="28">
    <w:abstractNumId w:val="11"/>
  </w:num>
  <w:num w:numId="29">
    <w:abstractNumId w:val="38"/>
  </w:num>
  <w:num w:numId="30">
    <w:abstractNumId w:val="68"/>
  </w:num>
  <w:num w:numId="31">
    <w:abstractNumId w:val="24"/>
  </w:num>
  <w:num w:numId="32">
    <w:abstractNumId w:val="75"/>
  </w:num>
  <w:num w:numId="33">
    <w:abstractNumId w:val="14"/>
  </w:num>
  <w:num w:numId="34">
    <w:abstractNumId w:val="32"/>
  </w:num>
  <w:num w:numId="35">
    <w:abstractNumId w:val="20"/>
  </w:num>
  <w:num w:numId="36">
    <w:abstractNumId w:val="59"/>
  </w:num>
  <w:num w:numId="37">
    <w:abstractNumId w:val="73"/>
  </w:num>
  <w:num w:numId="38">
    <w:abstractNumId w:val="18"/>
  </w:num>
  <w:num w:numId="39">
    <w:abstractNumId w:val="41"/>
  </w:num>
  <w:num w:numId="40">
    <w:abstractNumId w:val="42"/>
  </w:num>
  <w:num w:numId="41">
    <w:abstractNumId w:val="77"/>
  </w:num>
  <w:num w:numId="42">
    <w:abstractNumId w:val="5"/>
  </w:num>
  <w:num w:numId="43">
    <w:abstractNumId w:val="50"/>
  </w:num>
  <w:num w:numId="44">
    <w:abstractNumId w:val="62"/>
  </w:num>
  <w:num w:numId="45">
    <w:abstractNumId w:val="29"/>
  </w:num>
  <w:num w:numId="46">
    <w:abstractNumId w:val="3"/>
  </w:num>
  <w:num w:numId="47">
    <w:abstractNumId w:val="33"/>
  </w:num>
  <w:num w:numId="48">
    <w:abstractNumId w:val="47"/>
  </w:num>
  <w:num w:numId="49">
    <w:abstractNumId w:val="22"/>
  </w:num>
  <w:num w:numId="50">
    <w:abstractNumId w:val="78"/>
  </w:num>
  <w:num w:numId="51">
    <w:abstractNumId w:val="21"/>
  </w:num>
  <w:num w:numId="52">
    <w:abstractNumId w:val="66"/>
  </w:num>
  <w:num w:numId="53">
    <w:abstractNumId w:val="2"/>
  </w:num>
  <w:num w:numId="54">
    <w:abstractNumId w:val="64"/>
  </w:num>
  <w:num w:numId="55">
    <w:abstractNumId w:val="31"/>
  </w:num>
  <w:num w:numId="56">
    <w:abstractNumId w:val="60"/>
  </w:num>
  <w:num w:numId="57">
    <w:abstractNumId w:val="19"/>
  </w:num>
  <w:num w:numId="58">
    <w:abstractNumId w:val="43"/>
  </w:num>
  <w:num w:numId="59">
    <w:abstractNumId w:val="8"/>
  </w:num>
  <w:num w:numId="60">
    <w:abstractNumId w:val="7"/>
  </w:num>
  <w:num w:numId="61">
    <w:abstractNumId w:val="15"/>
  </w:num>
  <w:num w:numId="62">
    <w:abstractNumId w:val="10"/>
  </w:num>
  <w:num w:numId="63">
    <w:abstractNumId w:val="54"/>
  </w:num>
  <w:num w:numId="64">
    <w:abstractNumId w:val="35"/>
  </w:num>
  <w:num w:numId="65">
    <w:abstractNumId w:val="55"/>
  </w:num>
  <w:num w:numId="66">
    <w:abstractNumId w:val="56"/>
  </w:num>
  <w:num w:numId="67">
    <w:abstractNumId w:val="13"/>
  </w:num>
  <w:num w:numId="68">
    <w:abstractNumId w:val="74"/>
  </w:num>
  <w:num w:numId="69">
    <w:abstractNumId w:val="9"/>
  </w:num>
  <w:num w:numId="70">
    <w:abstractNumId w:val="51"/>
  </w:num>
  <w:num w:numId="71">
    <w:abstractNumId w:val="28"/>
  </w:num>
  <w:num w:numId="72">
    <w:abstractNumId w:val="30"/>
  </w:num>
  <w:num w:numId="73">
    <w:abstractNumId w:val="52"/>
  </w:num>
  <w:num w:numId="74">
    <w:abstractNumId w:val="49"/>
  </w:num>
  <w:num w:numId="75">
    <w:abstractNumId w:val="69"/>
  </w:num>
  <w:num w:numId="76">
    <w:abstractNumId w:val="12"/>
  </w:num>
  <w:num w:numId="77">
    <w:abstractNumId w:val="61"/>
  </w:num>
  <w:num w:numId="78">
    <w:abstractNumId w:val="25"/>
  </w:num>
  <w:num w:numId="79">
    <w:abstractNumId w:val="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EB0"/>
    <w:rsid w:val="00002163"/>
    <w:rsid w:val="00002289"/>
    <w:rsid w:val="00002BFC"/>
    <w:rsid w:val="000030DA"/>
    <w:rsid w:val="00003327"/>
    <w:rsid w:val="00003D9B"/>
    <w:rsid w:val="000045D9"/>
    <w:rsid w:val="00004807"/>
    <w:rsid w:val="000048AC"/>
    <w:rsid w:val="00004A4C"/>
    <w:rsid w:val="00004B36"/>
    <w:rsid w:val="00004B4A"/>
    <w:rsid w:val="000056C3"/>
    <w:rsid w:val="00005BEA"/>
    <w:rsid w:val="00006265"/>
    <w:rsid w:val="000068F4"/>
    <w:rsid w:val="00006BCE"/>
    <w:rsid w:val="00006FF5"/>
    <w:rsid w:val="0000757E"/>
    <w:rsid w:val="000076AD"/>
    <w:rsid w:val="00007A08"/>
    <w:rsid w:val="00007BB6"/>
    <w:rsid w:val="000102B4"/>
    <w:rsid w:val="00010660"/>
    <w:rsid w:val="000108DE"/>
    <w:rsid w:val="0001133C"/>
    <w:rsid w:val="00011747"/>
    <w:rsid w:val="00011E49"/>
    <w:rsid w:val="00012290"/>
    <w:rsid w:val="000123D5"/>
    <w:rsid w:val="0001311A"/>
    <w:rsid w:val="0001324E"/>
    <w:rsid w:val="00013809"/>
    <w:rsid w:val="000139F0"/>
    <w:rsid w:val="00013F46"/>
    <w:rsid w:val="000144D6"/>
    <w:rsid w:val="000147A7"/>
    <w:rsid w:val="000148FC"/>
    <w:rsid w:val="00014A35"/>
    <w:rsid w:val="00014FD2"/>
    <w:rsid w:val="00015B69"/>
    <w:rsid w:val="00015BFA"/>
    <w:rsid w:val="0001623D"/>
    <w:rsid w:val="000163F7"/>
    <w:rsid w:val="000169D1"/>
    <w:rsid w:val="00016AEC"/>
    <w:rsid w:val="000173AD"/>
    <w:rsid w:val="0002016C"/>
    <w:rsid w:val="00020693"/>
    <w:rsid w:val="00020CD6"/>
    <w:rsid w:val="00020E3C"/>
    <w:rsid w:val="0002109A"/>
    <w:rsid w:val="00021391"/>
    <w:rsid w:val="000213D2"/>
    <w:rsid w:val="0002170C"/>
    <w:rsid w:val="00023171"/>
    <w:rsid w:val="00023246"/>
    <w:rsid w:val="0002358C"/>
    <w:rsid w:val="0002364A"/>
    <w:rsid w:val="00023799"/>
    <w:rsid w:val="00023911"/>
    <w:rsid w:val="000243EB"/>
    <w:rsid w:val="00024F24"/>
    <w:rsid w:val="0002572A"/>
    <w:rsid w:val="000257D7"/>
    <w:rsid w:val="00025BE2"/>
    <w:rsid w:val="00025DF2"/>
    <w:rsid w:val="00025E82"/>
    <w:rsid w:val="000266F4"/>
    <w:rsid w:val="00026AFA"/>
    <w:rsid w:val="000271C2"/>
    <w:rsid w:val="00030424"/>
    <w:rsid w:val="00030DB1"/>
    <w:rsid w:val="0003153D"/>
    <w:rsid w:val="00031D3A"/>
    <w:rsid w:val="000321E8"/>
    <w:rsid w:val="000322A5"/>
    <w:rsid w:val="00032581"/>
    <w:rsid w:val="00032B9B"/>
    <w:rsid w:val="00033370"/>
    <w:rsid w:val="00033572"/>
    <w:rsid w:val="00033984"/>
    <w:rsid w:val="00033C8B"/>
    <w:rsid w:val="00033D44"/>
    <w:rsid w:val="0003413E"/>
    <w:rsid w:val="00034178"/>
    <w:rsid w:val="000346B3"/>
    <w:rsid w:val="000347CE"/>
    <w:rsid w:val="000347E3"/>
    <w:rsid w:val="00034A9D"/>
    <w:rsid w:val="0003558C"/>
    <w:rsid w:val="0003612A"/>
    <w:rsid w:val="00036E13"/>
    <w:rsid w:val="000371D5"/>
    <w:rsid w:val="000372BA"/>
    <w:rsid w:val="00037AB5"/>
    <w:rsid w:val="00037AFC"/>
    <w:rsid w:val="00037B1F"/>
    <w:rsid w:val="00037D17"/>
    <w:rsid w:val="00037F8A"/>
    <w:rsid w:val="00040371"/>
    <w:rsid w:val="000410F9"/>
    <w:rsid w:val="000414CA"/>
    <w:rsid w:val="000414CC"/>
    <w:rsid w:val="00042787"/>
    <w:rsid w:val="000427F7"/>
    <w:rsid w:val="00042B2E"/>
    <w:rsid w:val="00042CD9"/>
    <w:rsid w:val="00043388"/>
    <w:rsid w:val="00043421"/>
    <w:rsid w:val="000434B1"/>
    <w:rsid w:val="0004480B"/>
    <w:rsid w:val="00045E3A"/>
    <w:rsid w:val="0004603A"/>
    <w:rsid w:val="0004655D"/>
    <w:rsid w:val="000466B1"/>
    <w:rsid w:val="00046959"/>
    <w:rsid w:val="000473D4"/>
    <w:rsid w:val="00047B46"/>
    <w:rsid w:val="00047C7F"/>
    <w:rsid w:val="000500D2"/>
    <w:rsid w:val="000501A7"/>
    <w:rsid w:val="00050EFF"/>
    <w:rsid w:val="000515D9"/>
    <w:rsid w:val="000516CC"/>
    <w:rsid w:val="0005179C"/>
    <w:rsid w:val="00052380"/>
    <w:rsid w:val="00053116"/>
    <w:rsid w:val="00053709"/>
    <w:rsid w:val="0005404C"/>
    <w:rsid w:val="000540D6"/>
    <w:rsid w:val="0005461A"/>
    <w:rsid w:val="00055F53"/>
    <w:rsid w:val="00056009"/>
    <w:rsid w:val="00056182"/>
    <w:rsid w:val="00056866"/>
    <w:rsid w:val="000572A2"/>
    <w:rsid w:val="000573ED"/>
    <w:rsid w:val="00057632"/>
    <w:rsid w:val="000601EE"/>
    <w:rsid w:val="00060470"/>
    <w:rsid w:val="0006050F"/>
    <w:rsid w:val="00061422"/>
    <w:rsid w:val="000616C1"/>
    <w:rsid w:val="0006181E"/>
    <w:rsid w:val="0006190C"/>
    <w:rsid w:val="00061BFA"/>
    <w:rsid w:val="00061E00"/>
    <w:rsid w:val="00061EB6"/>
    <w:rsid w:val="000621D1"/>
    <w:rsid w:val="00063142"/>
    <w:rsid w:val="00063485"/>
    <w:rsid w:val="00063F7A"/>
    <w:rsid w:val="000648E7"/>
    <w:rsid w:val="000652C0"/>
    <w:rsid w:val="000656F0"/>
    <w:rsid w:val="00065E90"/>
    <w:rsid w:val="00066B40"/>
    <w:rsid w:val="0006727C"/>
    <w:rsid w:val="0006757C"/>
    <w:rsid w:val="000707D9"/>
    <w:rsid w:val="00070CAE"/>
    <w:rsid w:val="00070FC3"/>
    <w:rsid w:val="0007137A"/>
    <w:rsid w:val="0007188C"/>
    <w:rsid w:val="00071C2A"/>
    <w:rsid w:val="000725F0"/>
    <w:rsid w:val="00072BEF"/>
    <w:rsid w:val="00072C98"/>
    <w:rsid w:val="00073A85"/>
    <w:rsid w:val="00075040"/>
    <w:rsid w:val="000750BE"/>
    <w:rsid w:val="00075431"/>
    <w:rsid w:val="000761B0"/>
    <w:rsid w:val="0007665D"/>
    <w:rsid w:val="0007672E"/>
    <w:rsid w:val="00076CE9"/>
    <w:rsid w:val="00076FEA"/>
    <w:rsid w:val="000771B3"/>
    <w:rsid w:val="000776D9"/>
    <w:rsid w:val="000777B6"/>
    <w:rsid w:val="000777E1"/>
    <w:rsid w:val="00080951"/>
    <w:rsid w:val="000813B9"/>
    <w:rsid w:val="000822AA"/>
    <w:rsid w:val="00083F38"/>
    <w:rsid w:val="00083F9C"/>
    <w:rsid w:val="00084A46"/>
    <w:rsid w:val="00085490"/>
    <w:rsid w:val="00085A0D"/>
    <w:rsid w:val="00085C56"/>
    <w:rsid w:val="00085D43"/>
    <w:rsid w:val="000864E5"/>
    <w:rsid w:val="00086994"/>
    <w:rsid w:val="00086B99"/>
    <w:rsid w:val="00086E52"/>
    <w:rsid w:val="00086F85"/>
    <w:rsid w:val="000873BC"/>
    <w:rsid w:val="00087A4B"/>
    <w:rsid w:val="000901E7"/>
    <w:rsid w:val="000902F4"/>
    <w:rsid w:val="000904DB"/>
    <w:rsid w:val="00090937"/>
    <w:rsid w:val="00090E74"/>
    <w:rsid w:val="00091448"/>
    <w:rsid w:val="000915B0"/>
    <w:rsid w:val="00091F97"/>
    <w:rsid w:val="00092701"/>
    <w:rsid w:val="000930EC"/>
    <w:rsid w:val="00093193"/>
    <w:rsid w:val="0009342F"/>
    <w:rsid w:val="00093B3A"/>
    <w:rsid w:val="00095686"/>
    <w:rsid w:val="00095699"/>
    <w:rsid w:val="000956EC"/>
    <w:rsid w:val="00095F7E"/>
    <w:rsid w:val="00096AEA"/>
    <w:rsid w:val="000A0FD9"/>
    <w:rsid w:val="000A10A8"/>
    <w:rsid w:val="000A16DA"/>
    <w:rsid w:val="000A1ACB"/>
    <w:rsid w:val="000A24F1"/>
    <w:rsid w:val="000A2F61"/>
    <w:rsid w:val="000A311D"/>
    <w:rsid w:val="000A40F8"/>
    <w:rsid w:val="000A452F"/>
    <w:rsid w:val="000A4CA2"/>
    <w:rsid w:val="000A4ED8"/>
    <w:rsid w:val="000A590C"/>
    <w:rsid w:val="000A5D25"/>
    <w:rsid w:val="000A5F92"/>
    <w:rsid w:val="000A601C"/>
    <w:rsid w:val="000A61AD"/>
    <w:rsid w:val="000A6BA3"/>
    <w:rsid w:val="000A724B"/>
    <w:rsid w:val="000A7435"/>
    <w:rsid w:val="000A7B14"/>
    <w:rsid w:val="000B0278"/>
    <w:rsid w:val="000B0329"/>
    <w:rsid w:val="000B03B5"/>
    <w:rsid w:val="000B0C32"/>
    <w:rsid w:val="000B0FAC"/>
    <w:rsid w:val="000B158C"/>
    <w:rsid w:val="000B25DD"/>
    <w:rsid w:val="000B289D"/>
    <w:rsid w:val="000B3179"/>
    <w:rsid w:val="000B32C2"/>
    <w:rsid w:val="000B3300"/>
    <w:rsid w:val="000B4BCE"/>
    <w:rsid w:val="000B509C"/>
    <w:rsid w:val="000B52C3"/>
    <w:rsid w:val="000B58F0"/>
    <w:rsid w:val="000B5DB4"/>
    <w:rsid w:val="000B63EA"/>
    <w:rsid w:val="000B6441"/>
    <w:rsid w:val="000B65F1"/>
    <w:rsid w:val="000C0823"/>
    <w:rsid w:val="000C192F"/>
    <w:rsid w:val="000C2585"/>
    <w:rsid w:val="000C2B0B"/>
    <w:rsid w:val="000C2B15"/>
    <w:rsid w:val="000C2E00"/>
    <w:rsid w:val="000C2FAA"/>
    <w:rsid w:val="000C41A9"/>
    <w:rsid w:val="000C4318"/>
    <w:rsid w:val="000C45CA"/>
    <w:rsid w:val="000C4759"/>
    <w:rsid w:val="000C48F0"/>
    <w:rsid w:val="000C4DD5"/>
    <w:rsid w:val="000C52B6"/>
    <w:rsid w:val="000C59A3"/>
    <w:rsid w:val="000C5B3C"/>
    <w:rsid w:val="000C6882"/>
    <w:rsid w:val="000C6AA3"/>
    <w:rsid w:val="000C6B4C"/>
    <w:rsid w:val="000C6C6A"/>
    <w:rsid w:val="000C6F33"/>
    <w:rsid w:val="000C70BB"/>
    <w:rsid w:val="000C7250"/>
    <w:rsid w:val="000C75CA"/>
    <w:rsid w:val="000D0270"/>
    <w:rsid w:val="000D0B4B"/>
    <w:rsid w:val="000D0D59"/>
    <w:rsid w:val="000D1829"/>
    <w:rsid w:val="000D18CE"/>
    <w:rsid w:val="000D1CA7"/>
    <w:rsid w:val="000D2248"/>
    <w:rsid w:val="000D242E"/>
    <w:rsid w:val="000D289E"/>
    <w:rsid w:val="000D36C9"/>
    <w:rsid w:val="000D3DE3"/>
    <w:rsid w:val="000D427D"/>
    <w:rsid w:val="000D4925"/>
    <w:rsid w:val="000D4B3C"/>
    <w:rsid w:val="000D529E"/>
    <w:rsid w:val="000D57AF"/>
    <w:rsid w:val="000D57C2"/>
    <w:rsid w:val="000D6082"/>
    <w:rsid w:val="000D6631"/>
    <w:rsid w:val="000D6650"/>
    <w:rsid w:val="000D6A06"/>
    <w:rsid w:val="000E01FF"/>
    <w:rsid w:val="000E047D"/>
    <w:rsid w:val="000E11D7"/>
    <w:rsid w:val="000E124F"/>
    <w:rsid w:val="000E1796"/>
    <w:rsid w:val="000E1ACF"/>
    <w:rsid w:val="000E1B09"/>
    <w:rsid w:val="000E266A"/>
    <w:rsid w:val="000E2AFD"/>
    <w:rsid w:val="000E2C2E"/>
    <w:rsid w:val="000E2C52"/>
    <w:rsid w:val="000E2D3F"/>
    <w:rsid w:val="000E3398"/>
    <w:rsid w:val="000E364E"/>
    <w:rsid w:val="000E42B3"/>
    <w:rsid w:val="000E4FB1"/>
    <w:rsid w:val="000E5840"/>
    <w:rsid w:val="000E5B74"/>
    <w:rsid w:val="000E61BB"/>
    <w:rsid w:val="000E628B"/>
    <w:rsid w:val="000E65CF"/>
    <w:rsid w:val="000E6666"/>
    <w:rsid w:val="000E742F"/>
    <w:rsid w:val="000E74D0"/>
    <w:rsid w:val="000E7B84"/>
    <w:rsid w:val="000E7C99"/>
    <w:rsid w:val="000E7C9B"/>
    <w:rsid w:val="000F0E34"/>
    <w:rsid w:val="000F11D1"/>
    <w:rsid w:val="000F1571"/>
    <w:rsid w:val="000F16EF"/>
    <w:rsid w:val="000F170B"/>
    <w:rsid w:val="000F18AB"/>
    <w:rsid w:val="000F1B14"/>
    <w:rsid w:val="000F261B"/>
    <w:rsid w:val="000F279F"/>
    <w:rsid w:val="000F2EC9"/>
    <w:rsid w:val="000F2EF7"/>
    <w:rsid w:val="000F30ED"/>
    <w:rsid w:val="000F35D3"/>
    <w:rsid w:val="000F38D0"/>
    <w:rsid w:val="000F449D"/>
    <w:rsid w:val="000F4657"/>
    <w:rsid w:val="000F509C"/>
    <w:rsid w:val="000F5235"/>
    <w:rsid w:val="000F5883"/>
    <w:rsid w:val="000F5B01"/>
    <w:rsid w:val="000F61C2"/>
    <w:rsid w:val="000F64C4"/>
    <w:rsid w:val="000F6825"/>
    <w:rsid w:val="000F6D3E"/>
    <w:rsid w:val="000F6D9A"/>
    <w:rsid w:val="000F6FF9"/>
    <w:rsid w:val="000F70B6"/>
    <w:rsid w:val="000F719C"/>
    <w:rsid w:val="000F7200"/>
    <w:rsid w:val="000F7976"/>
    <w:rsid w:val="000F7DDA"/>
    <w:rsid w:val="001008FA"/>
    <w:rsid w:val="00100A6A"/>
    <w:rsid w:val="00100C82"/>
    <w:rsid w:val="001012CC"/>
    <w:rsid w:val="00101E4C"/>
    <w:rsid w:val="00101E68"/>
    <w:rsid w:val="00102199"/>
    <w:rsid w:val="0010284D"/>
    <w:rsid w:val="00102CDE"/>
    <w:rsid w:val="00103791"/>
    <w:rsid w:val="0010468C"/>
    <w:rsid w:val="001048A0"/>
    <w:rsid w:val="00105401"/>
    <w:rsid w:val="00105608"/>
    <w:rsid w:val="0010572B"/>
    <w:rsid w:val="00105BD3"/>
    <w:rsid w:val="00105D71"/>
    <w:rsid w:val="0010649A"/>
    <w:rsid w:val="00106992"/>
    <w:rsid w:val="00106B70"/>
    <w:rsid w:val="00106C90"/>
    <w:rsid w:val="00107185"/>
    <w:rsid w:val="001071BD"/>
    <w:rsid w:val="001075C3"/>
    <w:rsid w:val="00107D3A"/>
    <w:rsid w:val="001103B6"/>
    <w:rsid w:val="00110C45"/>
    <w:rsid w:val="00110CA3"/>
    <w:rsid w:val="00111284"/>
    <w:rsid w:val="001112F4"/>
    <w:rsid w:val="00111420"/>
    <w:rsid w:val="00111D6D"/>
    <w:rsid w:val="00111DD9"/>
    <w:rsid w:val="00112578"/>
    <w:rsid w:val="001127C9"/>
    <w:rsid w:val="00112D7E"/>
    <w:rsid w:val="00112FFA"/>
    <w:rsid w:val="00113925"/>
    <w:rsid w:val="00113982"/>
    <w:rsid w:val="00114D7E"/>
    <w:rsid w:val="0011549E"/>
    <w:rsid w:val="0011558E"/>
    <w:rsid w:val="00115637"/>
    <w:rsid w:val="00115664"/>
    <w:rsid w:val="00115728"/>
    <w:rsid w:val="001159DC"/>
    <w:rsid w:val="00115AFA"/>
    <w:rsid w:val="00115E01"/>
    <w:rsid w:val="00116136"/>
    <w:rsid w:val="00116524"/>
    <w:rsid w:val="0011656D"/>
    <w:rsid w:val="0011689D"/>
    <w:rsid w:val="00116E97"/>
    <w:rsid w:val="00117380"/>
    <w:rsid w:val="001203B6"/>
    <w:rsid w:val="00120BC8"/>
    <w:rsid w:val="00120F10"/>
    <w:rsid w:val="00121268"/>
    <w:rsid w:val="0012288D"/>
    <w:rsid w:val="001233BD"/>
    <w:rsid w:val="0012366A"/>
    <w:rsid w:val="00123F2C"/>
    <w:rsid w:val="00124431"/>
    <w:rsid w:val="00124894"/>
    <w:rsid w:val="00124D7E"/>
    <w:rsid w:val="00124FAE"/>
    <w:rsid w:val="0012581D"/>
    <w:rsid w:val="001259BD"/>
    <w:rsid w:val="0012607D"/>
    <w:rsid w:val="0012680E"/>
    <w:rsid w:val="0012683B"/>
    <w:rsid w:val="00126929"/>
    <w:rsid w:val="00127BFD"/>
    <w:rsid w:val="00130070"/>
    <w:rsid w:val="00130243"/>
    <w:rsid w:val="0013106F"/>
    <w:rsid w:val="001311F4"/>
    <w:rsid w:val="00131BF9"/>
    <w:rsid w:val="00131E98"/>
    <w:rsid w:val="00132111"/>
    <w:rsid w:val="0013281A"/>
    <w:rsid w:val="00132EB6"/>
    <w:rsid w:val="001336E7"/>
    <w:rsid w:val="00133B15"/>
    <w:rsid w:val="00133C5B"/>
    <w:rsid w:val="00133E5A"/>
    <w:rsid w:val="00134360"/>
    <w:rsid w:val="00134A7A"/>
    <w:rsid w:val="00134AC3"/>
    <w:rsid w:val="00135663"/>
    <w:rsid w:val="00135A72"/>
    <w:rsid w:val="00135FF8"/>
    <w:rsid w:val="001367AD"/>
    <w:rsid w:val="00136A0B"/>
    <w:rsid w:val="00136A8C"/>
    <w:rsid w:val="00136E24"/>
    <w:rsid w:val="0013717F"/>
    <w:rsid w:val="001378BB"/>
    <w:rsid w:val="00137B5C"/>
    <w:rsid w:val="00140251"/>
    <w:rsid w:val="00141785"/>
    <w:rsid w:val="001429A5"/>
    <w:rsid w:val="00142AC3"/>
    <w:rsid w:val="0014388D"/>
    <w:rsid w:val="00143F46"/>
    <w:rsid w:val="0014478B"/>
    <w:rsid w:val="00145A8A"/>
    <w:rsid w:val="00145BAD"/>
    <w:rsid w:val="00145D78"/>
    <w:rsid w:val="00146920"/>
    <w:rsid w:val="00147119"/>
    <w:rsid w:val="001473BB"/>
    <w:rsid w:val="00150088"/>
    <w:rsid w:val="00150740"/>
    <w:rsid w:val="0015105B"/>
    <w:rsid w:val="00151218"/>
    <w:rsid w:val="001514D2"/>
    <w:rsid w:val="00152838"/>
    <w:rsid w:val="00152974"/>
    <w:rsid w:val="00152A51"/>
    <w:rsid w:val="00152A78"/>
    <w:rsid w:val="0015327B"/>
    <w:rsid w:val="00153334"/>
    <w:rsid w:val="0015392B"/>
    <w:rsid w:val="00153EE6"/>
    <w:rsid w:val="00154F3D"/>
    <w:rsid w:val="00155004"/>
    <w:rsid w:val="00155302"/>
    <w:rsid w:val="001554FA"/>
    <w:rsid w:val="00155864"/>
    <w:rsid w:val="00155BC3"/>
    <w:rsid w:val="00155C9D"/>
    <w:rsid w:val="00156327"/>
    <w:rsid w:val="00156B66"/>
    <w:rsid w:val="00156C26"/>
    <w:rsid w:val="00161D5E"/>
    <w:rsid w:val="00162306"/>
    <w:rsid w:val="0016274B"/>
    <w:rsid w:val="00162A72"/>
    <w:rsid w:val="00162C29"/>
    <w:rsid w:val="00162C8B"/>
    <w:rsid w:val="00162D6A"/>
    <w:rsid w:val="00162F8D"/>
    <w:rsid w:val="00163034"/>
    <w:rsid w:val="0016318A"/>
    <w:rsid w:val="00163CE1"/>
    <w:rsid w:val="00163ECF"/>
    <w:rsid w:val="00163FF4"/>
    <w:rsid w:val="00165198"/>
    <w:rsid w:val="00166272"/>
    <w:rsid w:val="00166379"/>
    <w:rsid w:val="001664B1"/>
    <w:rsid w:val="00167130"/>
    <w:rsid w:val="001672A7"/>
    <w:rsid w:val="00167E80"/>
    <w:rsid w:val="00167FD2"/>
    <w:rsid w:val="00170230"/>
    <w:rsid w:val="00170619"/>
    <w:rsid w:val="001706DF"/>
    <w:rsid w:val="001713E8"/>
    <w:rsid w:val="00171BF7"/>
    <w:rsid w:val="001721D8"/>
    <w:rsid w:val="00172338"/>
    <w:rsid w:val="001725C5"/>
    <w:rsid w:val="00172871"/>
    <w:rsid w:val="00172E4B"/>
    <w:rsid w:val="001731BB"/>
    <w:rsid w:val="00173D07"/>
    <w:rsid w:val="00173DCF"/>
    <w:rsid w:val="001752DE"/>
    <w:rsid w:val="00175819"/>
    <w:rsid w:val="00175E2C"/>
    <w:rsid w:val="001764EE"/>
    <w:rsid w:val="00176541"/>
    <w:rsid w:val="00177AC5"/>
    <w:rsid w:val="00177B99"/>
    <w:rsid w:val="00177C2A"/>
    <w:rsid w:val="001800E1"/>
    <w:rsid w:val="001802CC"/>
    <w:rsid w:val="00180703"/>
    <w:rsid w:val="0018094E"/>
    <w:rsid w:val="001820D2"/>
    <w:rsid w:val="001825BF"/>
    <w:rsid w:val="00182F20"/>
    <w:rsid w:val="0018345B"/>
    <w:rsid w:val="00183CF8"/>
    <w:rsid w:val="00184B53"/>
    <w:rsid w:val="00184D37"/>
    <w:rsid w:val="00184D71"/>
    <w:rsid w:val="00184E2A"/>
    <w:rsid w:val="00184E41"/>
    <w:rsid w:val="0018604C"/>
    <w:rsid w:val="001865AB"/>
    <w:rsid w:val="0018689C"/>
    <w:rsid w:val="00186AD7"/>
    <w:rsid w:val="001878B0"/>
    <w:rsid w:val="00190476"/>
    <w:rsid w:val="00190624"/>
    <w:rsid w:val="00190889"/>
    <w:rsid w:val="001914CE"/>
    <w:rsid w:val="00191748"/>
    <w:rsid w:val="001923CD"/>
    <w:rsid w:val="001928AC"/>
    <w:rsid w:val="00193290"/>
    <w:rsid w:val="001939B2"/>
    <w:rsid w:val="00193EFF"/>
    <w:rsid w:val="001945B5"/>
    <w:rsid w:val="001945DE"/>
    <w:rsid w:val="00194EA6"/>
    <w:rsid w:val="00195BE3"/>
    <w:rsid w:val="00195EE4"/>
    <w:rsid w:val="001960C3"/>
    <w:rsid w:val="001964C0"/>
    <w:rsid w:val="00196F75"/>
    <w:rsid w:val="00197081"/>
    <w:rsid w:val="001971B9"/>
    <w:rsid w:val="0019732E"/>
    <w:rsid w:val="001A0083"/>
    <w:rsid w:val="001A0815"/>
    <w:rsid w:val="001A0BDA"/>
    <w:rsid w:val="001A0BE7"/>
    <w:rsid w:val="001A0C44"/>
    <w:rsid w:val="001A1138"/>
    <w:rsid w:val="001A1210"/>
    <w:rsid w:val="001A1527"/>
    <w:rsid w:val="001A21D2"/>
    <w:rsid w:val="001A22B8"/>
    <w:rsid w:val="001A34F3"/>
    <w:rsid w:val="001A3676"/>
    <w:rsid w:val="001A3784"/>
    <w:rsid w:val="001A3916"/>
    <w:rsid w:val="001A3C83"/>
    <w:rsid w:val="001A3CF8"/>
    <w:rsid w:val="001A48CC"/>
    <w:rsid w:val="001A4D8E"/>
    <w:rsid w:val="001A4DD3"/>
    <w:rsid w:val="001A5273"/>
    <w:rsid w:val="001A54EF"/>
    <w:rsid w:val="001A5CD0"/>
    <w:rsid w:val="001A6E7C"/>
    <w:rsid w:val="001B011D"/>
    <w:rsid w:val="001B0A03"/>
    <w:rsid w:val="001B0FCA"/>
    <w:rsid w:val="001B1137"/>
    <w:rsid w:val="001B130B"/>
    <w:rsid w:val="001B2074"/>
    <w:rsid w:val="001B22F8"/>
    <w:rsid w:val="001B35E5"/>
    <w:rsid w:val="001B3E1F"/>
    <w:rsid w:val="001B3E36"/>
    <w:rsid w:val="001B40CA"/>
    <w:rsid w:val="001B445D"/>
    <w:rsid w:val="001B485B"/>
    <w:rsid w:val="001B4A6D"/>
    <w:rsid w:val="001B514B"/>
    <w:rsid w:val="001B68C9"/>
    <w:rsid w:val="001B7564"/>
    <w:rsid w:val="001B7B6C"/>
    <w:rsid w:val="001B7BB2"/>
    <w:rsid w:val="001B7E49"/>
    <w:rsid w:val="001C02EC"/>
    <w:rsid w:val="001C0583"/>
    <w:rsid w:val="001C066F"/>
    <w:rsid w:val="001C0A3C"/>
    <w:rsid w:val="001C0C59"/>
    <w:rsid w:val="001C1854"/>
    <w:rsid w:val="001C1CD8"/>
    <w:rsid w:val="001C2610"/>
    <w:rsid w:val="001C30A7"/>
    <w:rsid w:val="001C46DF"/>
    <w:rsid w:val="001C56C9"/>
    <w:rsid w:val="001C643D"/>
    <w:rsid w:val="001C65EE"/>
    <w:rsid w:val="001C66FD"/>
    <w:rsid w:val="001C6822"/>
    <w:rsid w:val="001C6A30"/>
    <w:rsid w:val="001C6FFB"/>
    <w:rsid w:val="001C7A69"/>
    <w:rsid w:val="001C7BEE"/>
    <w:rsid w:val="001C7F64"/>
    <w:rsid w:val="001C7F6A"/>
    <w:rsid w:val="001D0B65"/>
    <w:rsid w:val="001D11EB"/>
    <w:rsid w:val="001D1B6B"/>
    <w:rsid w:val="001D1EC6"/>
    <w:rsid w:val="001D1F2F"/>
    <w:rsid w:val="001D2554"/>
    <w:rsid w:val="001D26FC"/>
    <w:rsid w:val="001D299A"/>
    <w:rsid w:val="001D2A28"/>
    <w:rsid w:val="001D2D6A"/>
    <w:rsid w:val="001D35B8"/>
    <w:rsid w:val="001D3BA8"/>
    <w:rsid w:val="001D3CEB"/>
    <w:rsid w:val="001D4B96"/>
    <w:rsid w:val="001D4CC8"/>
    <w:rsid w:val="001D5638"/>
    <w:rsid w:val="001D5698"/>
    <w:rsid w:val="001D6154"/>
    <w:rsid w:val="001D7BC1"/>
    <w:rsid w:val="001D7E5B"/>
    <w:rsid w:val="001E0582"/>
    <w:rsid w:val="001E0D08"/>
    <w:rsid w:val="001E17A2"/>
    <w:rsid w:val="001E1C18"/>
    <w:rsid w:val="001E249B"/>
    <w:rsid w:val="001E2D33"/>
    <w:rsid w:val="001E2DAC"/>
    <w:rsid w:val="001E2F32"/>
    <w:rsid w:val="001E3307"/>
    <w:rsid w:val="001E3572"/>
    <w:rsid w:val="001E3933"/>
    <w:rsid w:val="001E428B"/>
    <w:rsid w:val="001E4584"/>
    <w:rsid w:val="001E4745"/>
    <w:rsid w:val="001E4747"/>
    <w:rsid w:val="001E4BCE"/>
    <w:rsid w:val="001E4C35"/>
    <w:rsid w:val="001E54B9"/>
    <w:rsid w:val="001E5B24"/>
    <w:rsid w:val="001E6956"/>
    <w:rsid w:val="001E6978"/>
    <w:rsid w:val="001E7613"/>
    <w:rsid w:val="001E7D5A"/>
    <w:rsid w:val="001F02B2"/>
    <w:rsid w:val="001F0332"/>
    <w:rsid w:val="001F0A7F"/>
    <w:rsid w:val="001F12F7"/>
    <w:rsid w:val="001F1356"/>
    <w:rsid w:val="001F198C"/>
    <w:rsid w:val="001F1A6F"/>
    <w:rsid w:val="001F212F"/>
    <w:rsid w:val="001F2781"/>
    <w:rsid w:val="001F2D2D"/>
    <w:rsid w:val="001F32BC"/>
    <w:rsid w:val="001F386C"/>
    <w:rsid w:val="001F40A8"/>
    <w:rsid w:val="001F5277"/>
    <w:rsid w:val="001F5923"/>
    <w:rsid w:val="001F627F"/>
    <w:rsid w:val="001F6AE9"/>
    <w:rsid w:val="001F6B1D"/>
    <w:rsid w:val="001F6C95"/>
    <w:rsid w:val="001F7090"/>
    <w:rsid w:val="001F7173"/>
    <w:rsid w:val="001F771B"/>
    <w:rsid w:val="002007E2"/>
    <w:rsid w:val="0020092B"/>
    <w:rsid w:val="002009B4"/>
    <w:rsid w:val="00200DEF"/>
    <w:rsid w:val="00200E0C"/>
    <w:rsid w:val="00201B66"/>
    <w:rsid w:val="002020DC"/>
    <w:rsid w:val="002025BB"/>
    <w:rsid w:val="002026A8"/>
    <w:rsid w:val="00203537"/>
    <w:rsid w:val="002042F1"/>
    <w:rsid w:val="002045FB"/>
    <w:rsid w:val="002048F4"/>
    <w:rsid w:val="002049F3"/>
    <w:rsid w:val="00204C2B"/>
    <w:rsid w:val="00204CF7"/>
    <w:rsid w:val="0020537B"/>
    <w:rsid w:val="002055B2"/>
    <w:rsid w:val="002059ED"/>
    <w:rsid w:val="0020651E"/>
    <w:rsid w:val="00206921"/>
    <w:rsid w:val="0020706B"/>
    <w:rsid w:val="00207220"/>
    <w:rsid w:val="002074FA"/>
    <w:rsid w:val="00207CD2"/>
    <w:rsid w:val="0021089F"/>
    <w:rsid w:val="00210CBB"/>
    <w:rsid w:val="00210D02"/>
    <w:rsid w:val="00210EBE"/>
    <w:rsid w:val="0021126A"/>
    <w:rsid w:val="00211B71"/>
    <w:rsid w:val="0021231F"/>
    <w:rsid w:val="00212BDE"/>
    <w:rsid w:val="00212C86"/>
    <w:rsid w:val="002137ED"/>
    <w:rsid w:val="00213A81"/>
    <w:rsid w:val="002146B8"/>
    <w:rsid w:val="002156E6"/>
    <w:rsid w:val="00215B44"/>
    <w:rsid w:val="002163FE"/>
    <w:rsid w:val="002169B7"/>
    <w:rsid w:val="00216D23"/>
    <w:rsid w:val="0021758F"/>
    <w:rsid w:val="0021770F"/>
    <w:rsid w:val="00217A73"/>
    <w:rsid w:val="00217BEE"/>
    <w:rsid w:val="002202FE"/>
    <w:rsid w:val="0022080F"/>
    <w:rsid w:val="00221B73"/>
    <w:rsid w:val="0022284E"/>
    <w:rsid w:val="0022365C"/>
    <w:rsid w:val="00223B83"/>
    <w:rsid w:val="0022425C"/>
    <w:rsid w:val="00224384"/>
    <w:rsid w:val="002244D1"/>
    <w:rsid w:val="00224509"/>
    <w:rsid w:val="00226230"/>
    <w:rsid w:val="0022631D"/>
    <w:rsid w:val="00226F26"/>
    <w:rsid w:val="00227F1C"/>
    <w:rsid w:val="002304F9"/>
    <w:rsid w:val="00230713"/>
    <w:rsid w:val="002307B8"/>
    <w:rsid w:val="00231265"/>
    <w:rsid w:val="00231A27"/>
    <w:rsid w:val="00232D75"/>
    <w:rsid w:val="00232DA0"/>
    <w:rsid w:val="00232EAF"/>
    <w:rsid w:val="002338DE"/>
    <w:rsid w:val="0023395F"/>
    <w:rsid w:val="002339ED"/>
    <w:rsid w:val="00233CAE"/>
    <w:rsid w:val="002347BC"/>
    <w:rsid w:val="002349F5"/>
    <w:rsid w:val="00234C84"/>
    <w:rsid w:val="00234CE7"/>
    <w:rsid w:val="0023511B"/>
    <w:rsid w:val="0023516A"/>
    <w:rsid w:val="002355DE"/>
    <w:rsid w:val="00235A12"/>
    <w:rsid w:val="00236B20"/>
    <w:rsid w:val="00236CD8"/>
    <w:rsid w:val="002374F3"/>
    <w:rsid w:val="00237570"/>
    <w:rsid w:val="002379EF"/>
    <w:rsid w:val="0024006C"/>
    <w:rsid w:val="0024045A"/>
    <w:rsid w:val="00240582"/>
    <w:rsid w:val="00241306"/>
    <w:rsid w:val="00241D37"/>
    <w:rsid w:val="00241D6C"/>
    <w:rsid w:val="00241D78"/>
    <w:rsid w:val="00242117"/>
    <w:rsid w:val="002439DF"/>
    <w:rsid w:val="00243A0B"/>
    <w:rsid w:val="00243D2C"/>
    <w:rsid w:val="00244760"/>
    <w:rsid w:val="0024496F"/>
    <w:rsid w:val="00244B02"/>
    <w:rsid w:val="00244CD1"/>
    <w:rsid w:val="00244EBE"/>
    <w:rsid w:val="00244FB6"/>
    <w:rsid w:val="00245027"/>
    <w:rsid w:val="002464FE"/>
    <w:rsid w:val="00246EFE"/>
    <w:rsid w:val="00247119"/>
    <w:rsid w:val="002471CB"/>
    <w:rsid w:val="002476A0"/>
    <w:rsid w:val="00247907"/>
    <w:rsid w:val="00247BF5"/>
    <w:rsid w:val="00247CE1"/>
    <w:rsid w:val="00250404"/>
    <w:rsid w:val="002506B6"/>
    <w:rsid w:val="00251048"/>
    <w:rsid w:val="002510B9"/>
    <w:rsid w:val="002519E6"/>
    <w:rsid w:val="00252070"/>
    <w:rsid w:val="002525C6"/>
    <w:rsid w:val="00254A25"/>
    <w:rsid w:val="00254F7C"/>
    <w:rsid w:val="00255904"/>
    <w:rsid w:val="00257149"/>
    <w:rsid w:val="002576F3"/>
    <w:rsid w:val="0025796E"/>
    <w:rsid w:val="00257B95"/>
    <w:rsid w:val="002602E3"/>
    <w:rsid w:val="00260C8B"/>
    <w:rsid w:val="00260CB4"/>
    <w:rsid w:val="00260EB6"/>
    <w:rsid w:val="002620C0"/>
    <w:rsid w:val="0026235D"/>
    <w:rsid w:val="00262870"/>
    <w:rsid w:val="002629E3"/>
    <w:rsid w:val="00262CA8"/>
    <w:rsid w:val="002634E1"/>
    <w:rsid w:val="0026369B"/>
    <w:rsid w:val="00263AA1"/>
    <w:rsid w:val="00263EE6"/>
    <w:rsid w:val="002641BD"/>
    <w:rsid w:val="0026439D"/>
    <w:rsid w:val="00264B73"/>
    <w:rsid w:val="00264F54"/>
    <w:rsid w:val="0026503C"/>
    <w:rsid w:val="00265FDD"/>
    <w:rsid w:val="00266B3B"/>
    <w:rsid w:val="00266FDF"/>
    <w:rsid w:val="00267029"/>
    <w:rsid w:val="002672FE"/>
    <w:rsid w:val="002707C1"/>
    <w:rsid w:val="00270883"/>
    <w:rsid w:val="00271180"/>
    <w:rsid w:val="00271612"/>
    <w:rsid w:val="00271763"/>
    <w:rsid w:val="00271978"/>
    <w:rsid w:val="00271C83"/>
    <w:rsid w:val="002724FD"/>
    <w:rsid w:val="002727C9"/>
    <w:rsid w:val="00272F2F"/>
    <w:rsid w:val="0027509E"/>
    <w:rsid w:val="00275406"/>
    <w:rsid w:val="0027542D"/>
    <w:rsid w:val="00275669"/>
    <w:rsid w:val="00275722"/>
    <w:rsid w:val="00275883"/>
    <w:rsid w:val="00275A2B"/>
    <w:rsid w:val="00275AEB"/>
    <w:rsid w:val="0027623A"/>
    <w:rsid w:val="00276825"/>
    <w:rsid w:val="00276C1D"/>
    <w:rsid w:val="0027710C"/>
    <w:rsid w:val="0027712E"/>
    <w:rsid w:val="002771A4"/>
    <w:rsid w:val="00277648"/>
    <w:rsid w:val="00277C56"/>
    <w:rsid w:val="00280C7D"/>
    <w:rsid w:val="00280E50"/>
    <w:rsid w:val="00281618"/>
    <w:rsid w:val="00281A5D"/>
    <w:rsid w:val="00281C00"/>
    <w:rsid w:val="00281F1C"/>
    <w:rsid w:val="00281F68"/>
    <w:rsid w:val="0028254F"/>
    <w:rsid w:val="00282BB4"/>
    <w:rsid w:val="00282BED"/>
    <w:rsid w:val="002833BE"/>
    <w:rsid w:val="00283590"/>
    <w:rsid w:val="00284395"/>
    <w:rsid w:val="00284C38"/>
    <w:rsid w:val="0028559A"/>
    <w:rsid w:val="00285C87"/>
    <w:rsid w:val="00285DBC"/>
    <w:rsid w:val="00285EB5"/>
    <w:rsid w:val="0028679A"/>
    <w:rsid w:val="00290A99"/>
    <w:rsid w:val="00290C75"/>
    <w:rsid w:val="0029179A"/>
    <w:rsid w:val="002918E2"/>
    <w:rsid w:val="00291C2D"/>
    <w:rsid w:val="00291D7C"/>
    <w:rsid w:val="00291F83"/>
    <w:rsid w:val="002926EC"/>
    <w:rsid w:val="00292E7F"/>
    <w:rsid w:val="00292F5A"/>
    <w:rsid w:val="002933EF"/>
    <w:rsid w:val="0029352A"/>
    <w:rsid w:val="00293FAC"/>
    <w:rsid w:val="00294E1B"/>
    <w:rsid w:val="00294FB3"/>
    <w:rsid w:val="002953B5"/>
    <w:rsid w:val="002958DC"/>
    <w:rsid w:val="0029630E"/>
    <w:rsid w:val="00296448"/>
    <w:rsid w:val="00296883"/>
    <w:rsid w:val="00296C42"/>
    <w:rsid w:val="00296CDB"/>
    <w:rsid w:val="002970A8"/>
    <w:rsid w:val="002977B8"/>
    <w:rsid w:val="002979B9"/>
    <w:rsid w:val="00297F7D"/>
    <w:rsid w:val="002A0374"/>
    <w:rsid w:val="002A0608"/>
    <w:rsid w:val="002A0E28"/>
    <w:rsid w:val="002A0F20"/>
    <w:rsid w:val="002A1C7B"/>
    <w:rsid w:val="002A201B"/>
    <w:rsid w:val="002A2B64"/>
    <w:rsid w:val="002A303B"/>
    <w:rsid w:val="002A38A0"/>
    <w:rsid w:val="002A38EB"/>
    <w:rsid w:val="002A3A23"/>
    <w:rsid w:val="002A3E77"/>
    <w:rsid w:val="002A42C6"/>
    <w:rsid w:val="002A42FD"/>
    <w:rsid w:val="002A4390"/>
    <w:rsid w:val="002A47A5"/>
    <w:rsid w:val="002A4B5D"/>
    <w:rsid w:val="002A51A9"/>
    <w:rsid w:val="002A545D"/>
    <w:rsid w:val="002A54DA"/>
    <w:rsid w:val="002A5B7D"/>
    <w:rsid w:val="002A5C84"/>
    <w:rsid w:val="002A716C"/>
    <w:rsid w:val="002B0592"/>
    <w:rsid w:val="002B0EF3"/>
    <w:rsid w:val="002B10FF"/>
    <w:rsid w:val="002B1926"/>
    <w:rsid w:val="002B20F1"/>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61C3"/>
    <w:rsid w:val="002B69CB"/>
    <w:rsid w:val="002B6EAC"/>
    <w:rsid w:val="002B76E7"/>
    <w:rsid w:val="002C0A36"/>
    <w:rsid w:val="002C0E1B"/>
    <w:rsid w:val="002C1464"/>
    <w:rsid w:val="002C18AA"/>
    <w:rsid w:val="002C22B2"/>
    <w:rsid w:val="002C3EE1"/>
    <w:rsid w:val="002C3FE0"/>
    <w:rsid w:val="002C4B85"/>
    <w:rsid w:val="002C6C9A"/>
    <w:rsid w:val="002C6E46"/>
    <w:rsid w:val="002C7ACC"/>
    <w:rsid w:val="002C7C54"/>
    <w:rsid w:val="002C7D52"/>
    <w:rsid w:val="002D0458"/>
    <w:rsid w:val="002D0583"/>
    <w:rsid w:val="002D06BB"/>
    <w:rsid w:val="002D0DA8"/>
    <w:rsid w:val="002D1349"/>
    <w:rsid w:val="002D1A70"/>
    <w:rsid w:val="002D1D77"/>
    <w:rsid w:val="002D2B7C"/>
    <w:rsid w:val="002D2E75"/>
    <w:rsid w:val="002D3584"/>
    <w:rsid w:val="002D3E49"/>
    <w:rsid w:val="002D4587"/>
    <w:rsid w:val="002D4E9C"/>
    <w:rsid w:val="002D52AD"/>
    <w:rsid w:val="002D5518"/>
    <w:rsid w:val="002D68A2"/>
    <w:rsid w:val="002D6F9A"/>
    <w:rsid w:val="002D70C9"/>
    <w:rsid w:val="002D7116"/>
    <w:rsid w:val="002D7273"/>
    <w:rsid w:val="002D7AC1"/>
    <w:rsid w:val="002D7FB2"/>
    <w:rsid w:val="002E039C"/>
    <w:rsid w:val="002E17DC"/>
    <w:rsid w:val="002E1E40"/>
    <w:rsid w:val="002E2273"/>
    <w:rsid w:val="002E280F"/>
    <w:rsid w:val="002E290B"/>
    <w:rsid w:val="002E31C8"/>
    <w:rsid w:val="002E341E"/>
    <w:rsid w:val="002E4191"/>
    <w:rsid w:val="002E45DF"/>
    <w:rsid w:val="002E4CFF"/>
    <w:rsid w:val="002E4F68"/>
    <w:rsid w:val="002E585F"/>
    <w:rsid w:val="002E5F08"/>
    <w:rsid w:val="002E6064"/>
    <w:rsid w:val="002E614C"/>
    <w:rsid w:val="002E63E2"/>
    <w:rsid w:val="002E6724"/>
    <w:rsid w:val="002E6DBA"/>
    <w:rsid w:val="002E6EC3"/>
    <w:rsid w:val="002E7089"/>
    <w:rsid w:val="002E780F"/>
    <w:rsid w:val="002E7CC8"/>
    <w:rsid w:val="002E7F7A"/>
    <w:rsid w:val="002F01B8"/>
    <w:rsid w:val="002F0339"/>
    <w:rsid w:val="002F08B0"/>
    <w:rsid w:val="002F11FE"/>
    <w:rsid w:val="002F17C7"/>
    <w:rsid w:val="002F193A"/>
    <w:rsid w:val="002F2965"/>
    <w:rsid w:val="002F2D4B"/>
    <w:rsid w:val="002F2ED2"/>
    <w:rsid w:val="002F3176"/>
    <w:rsid w:val="002F35FE"/>
    <w:rsid w:val="002F3EAE"/>
    <w:rsid w:val="002F3F31"/>
    <w:rsid w:val="002F45D3"/>
    <w:rsid w:val="002F4B29"/>
    <w:rsid w:val="002F4C1A"/>
    <w:rsid w:val="002F5141"/>
    <w:rsid w:val="002F5A0A"/>
    <w:rsid w:val="002F5E26"/>
    <w:rsid w:val="002F61CD"/>
    <w:rsid w:val="002F64B3"/>
    <w:rsid w:val="002F68EE"/>
    <w:rsid w:val="002F6F66"/>
    <w:rsid w:val="002F744B"/>
    <w:rsid w:val="002F74BB"/>
    <w:rsid w:val="002F78C0"/>
    <w:rsid w:val="003002B1"/>
    <w:rsid w:val="00300CD7"/>
    <w:rsid w:val="00300E0F"/>
    <w:rsid w:val="0030166F"/>
    <w:rsid w:val="0030213D"/>
    <w:rsid w:val="00302494"/>
    <w:rsid w:val="00303162"/>
    <w:rsid w:val="003038D3"/>
    <w:rsid w:val="00303C44"/>
    <w:rsid w:val="0030413B"/>
    <w:rsid w:val="003041A4"/>
    <w:rsid w:val="003043A1"/>
    <w:rsid w:val="0030457C"/>
    <w:rsid w:val="00304C08"/>
    <w:rsid w:val="00305006"/>
    <w:rsid w:val="00305248"/>
    <w:rsid w:val="00305787"/>
    <w:rsid w:val="0030587D"/>
    <w:rsid w:val="00305C19"/>
    <w:rsid w:val="003061D2"/>
    <w:rsid w:val="00307B4B"/>
    <w:rsid w:val="00307EBF"/>
    <w:rsid w:val="0031023D"/>
    <w:rsid w:val="003104AF"/>
    <w:rsid w:val="00310925"/>
    <w:rsid w:val="00310A7E"/>
    <w:rsid w:val="00311C8E"/>
    <w:rsid w:val="00311F2E"/>
    <w:rsid w:val="003129C7"/>
    <w:rsid w:val="0031319D"/>
    <w:rsid w:val="00313428"/>
    <w:rsid w:val="0031369C"/>
    <w:rsid w:val="00313921"/>
    <w:rsid w:val="00313D9B"/>
    <w:rsid w:val="00314D94"/>
    <w:rsid w:val="00314EF0"/>
    <w:rsid w:val="00314F13"/>
    <w:rsid w:val="0031578D"/>
    <w:rsid w:val="00315E9D"/>
    <w:rsid w:val="003160DE"/>
    <w:rsid w:val="00316C53"/>
    <w:rsid w:val="0031707E"/>
    <w:rsid w:val="003200A0"/>
    <w:rsid w:val="0032024F"/>
    <w:rsid w:val="0032034F"/>
    <w:rsid w:val="003205FD"/>
    <w:rsid w:val="003208FC"/>
    <w:rsid w:val="003209E0"/>
    <w:rsid w:val="00321190"/>
    <w:rsid w:val="00321830"/>
    <w:rsid w:val="00322803"/>
    <w:rsid w:val="003235BC"/>
    <w:rsid w:val="00323B0A"/>
    <w:rsid w:val="00324357"/>
    <w:rsid w:val="0032485F"/>
    <w:rsid w:val="003249B0"/>
    <w:rsid w:val="00325307"/>
    <w:rsid w:val="00325B4C"/>
    <w:rsid w:val="003278EA"/>
    <w:rsid w:val="00327B25"/>
    <w:rsid w:val="00330669"/>
    <w:rsid w:val="0033079D"/>
    <w:rsid w:val="003309FF"/>
    <w:rsid w:val="003318D4"/>
    <w:rsid w:val="00331F4F"/>
    <w:rsid w:val="00331FAD"/>
    <w:rsid w:val="0033204F"/>
    <w:rsid w:val="003327BC"/>
    <w:rsid w:val="003328FD"/>
    <w:rsid w:val="00332988"/>
    <w:rsid w:val="0033347E"/>
    <w:rsid w:val="00333A1E"/>
    <w:rsid w:val="00333A3B"/>
    <w:rsid w:val="00333A4A"/>
    <w:rsid w:val="00333B4B"/>
    <w:rsid w:val="003342DF"/>
    <w:rsid w:val="00334BDD"/>
    <w:rsid w:val="00334CC3"/>
    <w:rsid w:val="00335E0E"/>
    <w:rsid w:val="00335FB8"/>
    <w:rsid w:val="00335FBB"/>
    <w:rsid w:val="00335FEC"/>
    <w:rsid w:val="00336326"/>
    <w:rsid w:val="0033683F"/>
    <w:rsid w:val="00336BCB"/>
    <w:rsid w:val="00336DC9"/>
    <w:rsid w:val="00336FA9"/>
    <w:rsid w:val="00337CA7"/>
    <w:rsid w:val="00340B52"/>
    <w:rsid w:val="00341847"/>
    <w:rsid w:val="00341DA4"/>
    <w:rsid w:val="00342243"/>
    <w:rsid w:val="003428DE"/>
    <w:rsid w:val="0034298C"/>
    <w:rsid w:val="00342E7D"/>
    <w:rsid w:val="00343776"/>
    <w:rsid w:val="00343A16"/>
    <w:rsid w:val="00343ABB"/>
    <w:rsid w:val="003443E1"/>
    <w:rsid w:val="00344506"/>
    <w:rsid w:val="00344A66"/>
    <w:rsid w:val="00344AA3"/>
    <w:rsid w:val="00344F81"/>
    <w:rsid w:val="003454FB"/>
    <w:rsid w:val="00347E96"/>
    <w:rsid w:val="003507A7"/>
    <w:rsid w:val="00350A76"/>
    <w:rsid w:val="00351448"/>
    <w:rsid w:val="003519C7"/>
    <w:rsid w:val="00351A9F"/>
    <w:rsid w:val="00352D46"/>
    <w:rsid w:val="003538BD"/>
    <w:rsid w:val="00353E92"/>
    <w:rsid w:val="00353F48"/>
    <w:rsid w:val="003540E0"/>
    <w:rsid w:val="003544A2"/>
    <w:rsid w:val="00355AE7"/>
    <w:rsid w:val="00356099"/>
    <w:rsid w:val="00356541"/>
    <w:rsid w:val="0035664C"/>
    <w:rsid w:val="003574DA"/>
    <w:rsid w:val="00357704"/>
    <w:rsid w:val="00357788"/>
    <w:rsid w:val="00357AA7"/>
    <w:rsid w:val="00357AB9"/>
    <w:rsid w:val="003604D4"/>
    <w:rsid w:val="00360620"/>
    <w:rsid w:val="00360809"/>
    <w:rsid w:val="0036103F"/>
    <w:rsid w:val="00361264"/>
    <w:rsid w:val="00361F62"/>
    <w:rsid w:val="00362158"/>
    <w:rsid w:val="00362383"/>
    <w:rsid w:val="00363133"/>
    <w:rsid w:val="0036350D"/>
    <w:rsid w:val="0036381A"/>
    <w:rsid w:val="00363C5C"/>
    <w:rsid w:val="00364E15"/>
    <w:rsid w:val="003653C2"/>
    <w:rsid w:val="0036582A"/>
    <w:rsid w:val="003659A3"/>
    <w:rsid w:val="00366262"/>
    <w:rsid w:val="0036683A"/>
    <w:rsid w:val="00366B0D"/>
    <w:rsid w:val="0036732D"/>
    <w:rsid w:val="00367FEB"/>
    <w:rsid w:val="00370552"/>
    <w:rsid w:val="003717D9"/>
    <w:rsid w:val="0037191B"/>
    <w:rsid w:val="00371E8C"/>
    <w:rsid w:val="00371FDB"/>
    <w:rsid w:val="00372280"/>
    <w:rsid w:val="003724EE"/>
    <w:rsid w:val="00372DA0"/>
    <w:rsid w:val="00372F27"/>
    <w:rsid w:val="00372F5A"/>
    <w:rsid w:val="00373550"/>
    <w:rsid w:val="00373751"/>
    <w:rsid w:val="00373EA1"/>
    <w:rsid w:val="00374210"/>
    <w:rsid w:val="003749CF"/>
    <w:rsid w:val="00374E17"/>
    <w:rsid w:val="00374F50"/>
    <w:rsid w:val="003752EA"/>
    <w:rsid w:val="00375597"/>
    <w:rsid w:val="003756C3"/>
    <w:rsid w:val="003758BB"/>
    <w:rsid w:val="00375A5E"/>
    <w:rsid w:val="00375AF5"/>
    <w:rsid w:val="00376058"/>
    <w:rsid w:val="0037727D"/>
    <w:rsid w:val="0038034F"/>
    <w:rsid w:val="003804DB"/>
    <w:rsid w:val="00380B2E"/>
    <w:rsid w:val="00381A98"/>
    <w:rsid w:val="00381AB9"/>
    <w:rsid w:val="00381D19"/>
    <w:rsid w:val="00381DE4"/>
    <w:rsid w:val="00382355"/>
    <w:rsid w:val="003824B8"/>
    <w:rsid w:val="00382D52"/>
    <w:rsid w:val="00382FB8"/>
    <w:rsid w:val="0038337B"/>
    <w:rsid w:val="003840A2"/>
    <w:rsid w:val="00384CEB"/>
    <w:rsid w:val="00384E5E"/>
    <w:rsid w:val="00384EC5"/>
    <w:rsid w:val="00385583"/>
    <w:rsid w:val="00386697"/>
    <w:rsid w:val="00386C26"/>
    <w:rsid w:val="00386E0F"/>
    <w:rsid w:val="003871F7"/>
    <w:rsid w:val="00387B4C"/>
    <w:rsid w:val="00387E06"/>
    <w:rsid w:val="0039003E"/>
    <w:rsid w:val="0039021F"/>
    <w:rsid w:val="00390705"/>
    <w:rsid w:val="00390A1C"/>
    <w:rsid w:val="00390BDA"/>
    <w:rsid w:val="00390E26"/>
    <w:rsid w:val="00390EEC"/>
    <w:rsid w:val="0039140F"/>
    <w:rsid w:val="003918F4"/>
    <w:rsid w:val="00391ED2"/>
    <w:rsid w:val="00391FEB"/>
    <w:rsid w:val="003922B0"/>
    <w:rsid w:val="0039268F"/>
    <w:rsid w:val="0039361C"/>
    <w:rsid w:val="00393C67"/>
    <w:rsid w:val="0039408F"/>
    <w:rsid w:val="00394290"/>
    <w:rsid w:val="003947A5"/>
    <w:rsid w:val="00394D57"/>
    <w:rsid w:val="00395C24"/>
    <w:rsid w:val="00395CC5"/>
    <w:rsid w:val="00395EE2"/>
    <w:rsid w:val="00396D6B"/>
    <w:rsid w:val="00396DE3"/>
    <w:rsid w:val="003974ED"/>
    <w:rsid w:val="00397C50"/>
    <w:rsid w:val="00397C8A"/>
    <w:rsid w:val="00397D39"/>
    <w:rsid w:val="003A080A"/>
    <w:rsid w:val="003A0B99"/>
    <w:rsid w:val="003A199A"/>
    <w:rsid w:val="003A2F0B"/>
    <w:rsid w:val="003A35A4"/>
    <w:rsid w:val="003A35A6"/>
    <w:rsid w:val="003A375C"/>
    <w:rsid w:val="003A3C3D"/>
    <w:rsid w:val="003A49EB"/>
    <w:rsid w:val="003A4C67"/>
    <w:rsid w:val="003A5721"/>
    <w:rsid w:val="003A596B"/>
    <w:rsid w:val="003A5A6F"/>
    <w:rsid w:val="003A5B54"/>
    <w:rsid w:val="003A5D07"/>
    <w:rsid w:val="003A6909"/>
    <w:rsid w:val="003B14BD"/>
    <w:rsid w:val="003B16C9"/>
    <w:rsid w:val="003B2428"/>
    <w:rsid w:val="003B24C0"/>
    <w:rsid w:val="003B27F0"/>
    <w:rsid w:val="003B2B20"/>
    <w:rsid w:val="003B2DB7"/>
    <w:rsid w:val="003B302B"/>
    <w:rsid w:val="003B33DD"/>
    <w:rsid w:val="003B3630"/>
    <w:rsid w:val="003B3730"/>
    <w:rsid w:val="003B3775"/>
    <w:rsid w:val="003B3EC4"/>
    <w:rsid w:val="003B415F"/>
    <w:rsid w:val="003B4252"/>
    <w:rsid w:val="003B4395"/>
    <w:rsid w:val="003B47B1"/>
    <w:rsid w:val="003B4A44"/>
    <w:rsid w:val="003B4AED"/>
    <w:rsid w:val="003B4E58"/>
    <w:rsid w:val="003B5F66"/>
    <w:rsid w:val="003B6641"/>
    <w:rsid w:val="003B66C2"/>
    <w:rsid w:val="003B69B3"/>
    <w:rsid w:val="003B6CFA"/>
    <w:rsid w:val="003B72C4"/>
    <w:rsid w:val="003C0BC9"/>
    <w:rsid w:val="003C0C22"/>
    <w:rsid w:val="003C0C2C"/>
    <w:rsid w:val="003C0E20"/>
    <w:rsid w:val="003C1268"/>
    <w:rsid w:val="003C189A"/>
    <w:rsid w:val="003C1950"/>
    <w:rsid w:val="003C199E"/>
    <w:rsid w:val="003C1BBA"/>
    <w:rsid w:val="003C1DC3"/>
    <w:rsid w:val="003C1E75"/>
    <w:rsid w:val="003C278D"/>
    <w:rsid w:val="003C3333"/>
    <w:rsid w:val="003C38A3"/>
    <w:rsid w:val="003C3925"/>
    <w:rsid w:val="003C3DBF"/>
    <w:rsid w:val="003C46BB"/>
    <w:rsid w:val="003C4847"/>
    <w:rsid w:val="003C4AD3"/>
    <w:rsid w:val="003C4BB9"/>
    <w:rsid w:val="003C4C31"/>
    <w:rsid w:val="003C4DE1"/>
    <w:rsid w:val="003C60C0"/>
    <w:rsid w:val="003C631A"/>
    <w:rsid w:val="003C6949"/>
    <w:rsid w:val="003C6A92"/>
    <w:rsid w:val="003C6D47"/>
    <w:rsid w:val="003C6DD6"/>
    <w:rsid w:val="003C7317"/>
    <w:rsid w:val="003C7A10"/>
    <w:rsid w:val="003C7FCA"/>
    <w:rsid w:val="003D0018"/>
    <w:rsid w:val="003D00DF"/>
    <w:rsid w:val="003D0C28"/>
    <w:rsid w:val="003D21E2"/>
    <w:rsid w:val="003D2564"/>
    <w:rsid w:val="003D2A00"/>
    <w:rsid w:val="003D2CDF"/>
    <w:rsid w:val="003D30F9"/>
    <w:rsid w:val="003D3195"/>
    <w:rsid w:val="003D3317"/>
    <w:rsid w:val="003D3B96"/>
    <w:rsid w:val="003D3C19"/>
    <w:rsid w:val="003D3C8B"/>
    <w:rsid w:val="003D422A"/>
    <w:rsid w:val="003D4B03"/>
    <w:rsid w:val="003D53C4"/>
    <w:rsid w:val="003D54C3"/>
    <w:rsid w:val="003D5661"/>
    <w:rsid w:val="003D5936"/>
    <w:rsid w:val="003D5B03"/>
    <w:rsid w:val="003D6EC7"/>
    <w:rsid w:val="003D719D"/>
    <w:rsid w:val="003D771F"/>
    <w:rsid w:val="003D7EBA"/>
    <w:rsid w:val="003E00FA"/>
    <w:rsid w:val="003E0895"/>
    <w:rsid w:val="003E0C40"/>
    <w:rsid w:val="003E0F13"/>
    <w:rsid w:val="003E10B9"/>
    <w:rsid w:val="003E22A2"/>
    <w:rsid w:val="003E2AAB"/>
    <w:rsid w:val="003E2BC2"/>
    <w:rsid w:val="003E32B2"/>
    <w:rsid w:val="003E36D0"/>
    <w:rsid w:val="003E3953"/>
    <w:rsid w:val="003E44D0"/>
    <w:rsid w:val="003E47F8"/>
    <w:rsid w:val="003E5798"/>
    <w:rsid w:val="003E613E"/>
    <w:rsid w:val="003E64F3"/>
    <w:rsid w:val="003E6818"/>
    <w:rsid w:val="003E71C9"/>
    <w:rsid w:val="003E7504"/>
    <w:rsid w:val="003E7664"/>
    <w:rsid w:val="003E7979"/>
    <w:rsid w:val="003E7A03"/>
    <w:rsid w:val="003E7D1A"/>
    <w:rsid w:val="003E7D5A"/>
    <w:rsid w:val="003E7FA5"/>
    <w:rsid w:val="003F04B8"/>
    <w:rsid w:val="003F0BCE"/>
    <w:rsid w:val="003F0D60"/>
    <w:rsid w:val="003F1E13"/>
    <w:rsid w:val="003F1E88"/>
    <w:rsid w:val="003F23A3"/>
    <w:rsid w:val="003F31B5"/>
    <w:rsid w:val="003F379E"/>
    <w:rsid w:val="003F3E0E"/>
    <w:rsid w:val="003F3FBB"/>
    <w:rsid w:val="003F4F19"/>
    <w:rsid w:val="003F52FE"/>
    <w:rsid w:val="003F5960"/>
    <w:rsid w:val="003F626A"/>
    <w:rsid w:val="003F68A9"/>
    <w:rsid w:val="003F6933"/>
    <w:rsid w:val="003F6F3A"/>
    <w:rsid w:val="003F74AC"/>
    <w:rsid w:val="003F7A75"/>
    <w:rsid w:val="003F7B9B"/>
    <w:rsid w:val="0040039A"/>
    <w:rsid w:val="00401468"/>
    <w:rsid w:val="0040162F"/>
    <w:rsid w:val="0040195E"/>
    <w:rsid w:val="00401A79"/>
    <w:rsid w:val="00402144"/>
    <w:rsid w:val="00402570"/>
    <w:rsid w:val="00402B76"/>
    <w:rsid w:val="00402D19"/>
    <w:rsid w:val="004030A5"/>
    <w:rsid w:val="004032DF"/>
    <w:rsid w:val="00403BB0"/>
    <w:rsid w:val="00403CBB"/>
    <w:rsid w:val="00404097"/>
    <w:rsid w:val="00404363"/>
    <w:rsid w:val="00404444"/>
    <w:rsid w:val="00404810"/>
    <w:rsid w:val="004048E3"/>
    <w:rsid w:val="00404BE6"/>
    <w:rsid w:val="00404C34"/>
    <w:rsid w:val="004051EE"/>
    <w:rsid w:val="004052C6"/>
    <w:rsid w:val="0040599D"/>
    <w:rsid w:val="004059F9"/>
    <w:rsid w:val="00405AAE"/>
    <w:rsid w:val="004061ED"/>
    <w:rsid w:val="00406820"/>
    <w:rsid w:val="00407119"/>
    <w:rsid w:val="00407D31"/>
    <w:rsid w:val="00410240"/>
    <w:rsid w:val="0041048F"/>
    <w:rsid w:val="00411131"/>
    <w:rsid w:val="004114AA"/>
    <w:rsid w:val="004118EA"/>
    <w:rsid w:val="00411C8F"/>
    <w:rsid w:val="00411FA9"/>
    <w:rsid w:val="00412142"/>
    <w:rsid w:val="0041224E"/>
    <w:rsid w:val="0041269A"/>
    <w:rsid w:val="00412D40"/>
    <w:rsid w:val="00412DCC"/>
    <w:rsid w:val="004134C9"/>
    <w:rsid w:val="004136C8"/>
    <w:rsid w:val="004138DA"/>
    <w:rsid w:val="00413BA6"/>
    <w:rsid w:val="00413BC4"/>
    <w:rsid w:val="00414B25"/>
    <w:rsid w:val="00414E79"/>
    <w:rsid w:val="004157D2"/>
    <w:rsid w:val="004161F0"/>
    <w:rsid w:val="004163F2"/>
    <w:rsid w:val="004167BE"/>
    <w:rsid w:val="00417679"/>
    <w:rsid w:val="00417890"/>
    <w:rsid w:val="00417C2C"/>
    <w:rsid w:val="00417EA9"/>
    <w:rsid w:val="00420245"/>
    <w:rsid w:val="0042053E"/>
    <w:rsid w:val="00421163"/>
    <w:rsid w:val="004211E6"/>
    <w:rsid w:val="00421C4F"/>
    <w:rsid w:val="00421E69"/>
    <w:rsid w:val="00422097"/>
    <w:rsid w:val="00422191"/>
    <w:rsid w:val="00422E02"/>
    <w:rsid w:val="00423D07"/>
    <w:rsid w:val="00423DAC"/>
    <w:rsid w:val="00424A4B"/>
    <w:rsid w:val="004258E1"/>
    <w:rsid w:val="00425E64"/>
    <w:rsid w:val="00425ED8"/>
    <w:rsid w:val="00426B9F"/>
    <w:rsid w:val="00426ECB"/>
    <w:rsid w:val="004275DF"/>
    <w:rsid w:val="004306DE"/>
    <w:rsid w:val="00430B82"/>
    <w:rsid w:val="00430D4B"/>
    <w:rsid w:val="00430DF7"/>
    <w:rsid w:val="004314FC"/>
    <w:rsid w:val="00431A86"/>
    <w:rsid w:val="00431C18"/>
    <w:rsid w:val="00431E7A"/>
    <w:rsid w:val="00432192"/>
    <w:rsid w:val="0043233E"/>
    <w:rsid w:val="00432515"/>
    <w:rsid w:val="004326A1"/>
    <w:rsid w:val="00432865"/>
    <w:rsid w:val="00432AD3"/>
    <w:rsid w:val="00432B9D"/>
    <w:rsid w:val="004336E5"/>
    <w:rsid w:val="004340D4"/>
    <w:rsid w:val="00434536"/>
    <w:rsid w:val="00434F34"/>
    <w:rsid w:val="0043500B"/>
    <w:rsid w:val="004358D9"/>
    <w:rsid w:val="00435EEF"/>
    <w:rsid w:val="00435F53"/>
    <w:rsid w:val="00436047"/>
    <w:rsid w:val="004362B6"/>
    <w:rsid w:val="0043632A"/>
    <w:rsid w:val="004363A2"/>
    <w:rsid w:val="0043661E"/>
    <w:rsid w:val="00436CA8"/>
    <w:rsid w:val="00436F1F"/>
    <w:rsid w:val="004376A1"/>
    <w:rsid w:val="004376BE"/>
    <w:rsid w:val="0043793A"/>
    <w:rsid w:val="00437B66"/>
    <w:rsid w:val="00440511"/>
    <w:rsid w:val="0044060F"/>
    <w:rsid w:val="004408AD"/>
    <w:rsid w:val="00440944"/>
    <w:rsid w:val="0044097E"/>
    <w:rsid w:val="0044183D"/>
    <w:rsid w:val="004418F2"/>
    <w:rsid w:val="004418F7"/>
    <w:rsid w:val="00441D5C"/>
    <w:rsid w:val="00441E62"/>
    <w:rsid w:val="004420EA"/>
    <w:rsid w:val="004422A9"/>
    <w:rsid w:val="0044269C"/>
    <w:rsid w:val="004429E8"/>
    <w:rsid w:val="00442C1C"/>
    <w:rsid w:val="00443014"/>
    <w:rsid w:val="00443450"/>
    <w:rsid w:val="004436C9"/>
    <w:rsid w:val="0044376F"/>
    <w:rsid w:val="0044444B"/>
    <w:rsid w:val="004444B3"/>
    <w:rsid w:val="00444576"/>
    <w:rsid w:val="0044463F"/>
    <w:rsid w:val="004448D2"/>
    <w:rsid w:val="00445B94"/>
    <w:rsid w:val="00445C1F"/>
    <w:rsid w:val="00445CAD"/>
    <w:rsid w:val="00445E66"/>
    <w:rsid w:val="00445EFC"/>
    <w:rsid w:val="0044789A"/>
    <w:rsid w:val="00447FE3"/>
    <w:rsid w:val="0045069B"/>
    <w:rsid w:val="004507E8"/>
    <w:rsid w:val="00450A2B"/>
    <w:rsid w:val="00451422"/>
    <w:rsid w:val="00451EAC"/>
    <w:rsid w:val="00452B68"/>
    <w:rsid w:val="00452F95"/>
    <w:rsid w:val="0045330D"/>
    <w:rsid w:val="004534BE"/>
    <w:rsid w:val="0045383B"/>
    <w:rsid w:val="00453A6A"/>
    <w:rsid w:val="00453AB0"/>
    <w:rsid w:val="00453C96"/>
    <w:rsid w:val="00453EB9"/>
    <w:rsid w:val="00454241"/>
    <w:rsid w:val="004549D0"/>
    <w:rsid w:val="004550D6"/>
    <w:rsid w:val="00455842"/>
    <w:rsid w:val="00455A19"/>
    <w:rsid w:val="00456A5C"/>
    <w:rsid w:val="00457531"/>
    <w:rsid w:val="00457711"/>
    <w:rsid w:val="004579A5"/>
    <w:rsid w:val="004606BD"/>
    <w:rsid w:val="00460ADC"/>
    <w:rsid w:val="00460D7A"/>
    <w:rsid w:val="00460E4A"/>
    <w:rsid w:val="00461345"/>
    <w:rsid w:val="00461390"/>
    <w:rsid w:val="004614A8"/>
    <w:rsid w:val="00461A55"/>
    <w:rsid w:val="004621C9"/>
    <w:rsid w:val="00462B40"/>
    <w:rsid w:val="00462FA0"/>
    <w:rsid w:val="004630AC"/>
    <w:rsid w:val="004637DE"/>
    <w:rsid w:val="004638ED"/>
    <w:rsid w:val="00463BE2"/>
    <w:rsid w:val="00463C97"/>
    <w:rsid w:val="004640FF"/>
    <w:rsid w:val="004647A2"/>
    <w:rsid w:val="00464B7E"/>
    <w:rsid w:val="004653BD"/>
    <w:rsid w:val="00465430"/>
    <w:rsid w:val="00465A67"/>
    <w:rsid w:val="00465ED9"/>
    <w:rsid w:val="00466DB3"/>
    <w:rsid w:val="00467026"/>
    <w:rsid w:val="00467762"/>
    <w:rsid w:val="00467ECF"/>
    <w:rsid w:val="004700B1"/>
    <w:rsid w:val="004707F0"/>
    <w:rsid w:val="00470EE5"/>
    <w:rsid w:val="0047142C"/>
    <w:rsid w:val="0047188F"/>
    <w:rsid w:val="00471BB8"/>
    <w:rsid w:val="00471FD6"/>
    <w:rsid w:val="00472162"/>
    <w:rsid w:val="0047224A"/>
    <w:rsid w:val="004722D9"/>
    <w:rsid w:val="00472C29"/>
    <w:rsid w:val="00472C7F"/>
    <w:rsid w:val="00473302"/>
    <w:rsid w:val="00473393"/>
    <w:rsid w:val="004735F4"/>
    <w:rsid w:val="004739F9"/>
    <w:rsid w:val="004742FE"/>
    <w:rsid w:val="00474D12"/>
    <w:rsid w:val="00474E61"/>
    <w:rsid w:val="004755C9"/>
    <w:rsid w:val="004755D4"/>
    <w:rsid w:val="00475958"/>
    <w:rsid w:val="004764C5"/>
    <w:rsid w:val="00476E7B"/>
    <w:rsid w:val="0047727E"/>
    <w:rsid w:val="004774CD"/>
    <w:rsid w:val="00477888"/>
    <w:rsid w:val="004779EC"/>
    <w:rsid w:val="00477AFD"/>
    <w:rsid w:val="004801A7"/>
    <w:rsid w:val="00480290"/>
    <w:rsid w:val="00480417"/>
    <w:rsid w:val="00481211"/>
    <w:rsid w:val="00481A34"/>
    <w:rsid w:val="00482141"/>
    <w:rsid w:val="004825C0"/>
    <w:rsid w:val="0048299A"/>
    <w:rsid w:val="004832ED"/>
    <w:rsid w:val="0048330F"/>
    <w:rsid w:val="0048339B"/>
    <w:rsid w:val="00484748"/>
    <w:rsid w:val="00484846"/>
    <w:rsid w:val="00484AB6"/>
    <w:rsid w:val="00485C0B"/>
    <w:rsid w:val="00486393"/>
    <w:rsid w:val="0048676D"/>
    <w:rsid w:val="00486E49"/>
    <w:rsid w:val="0048751D"/>
    <w:rsid w:val="00487E7A"/>
    <w:rsid w:val="004900E7"/>
    <w:rsid w:val="00490754"/>
    <w:rsid w:val="0049081D"/>
    <w:rsid w:val="00490CE1"/>
    <w:rsid w:val="0049126B"/>
    <w:rsid w:val="004919AD"/>
    <w:rsid w:val="004919DD"/>
    <w:rsid w:val="00491D48"/>
    <w:rsid w:val="004920AC"/>
    <w:rsid w:val="004926B4"/>
    <w:rsid w:val="00492A92"/>
    <w:rsid w:val="00492F8A"/>
    <w:rsid w:val="004933C8"/>
    <w:rsid w:val="00493A6C"/>
    <w:rsid w:val="00493A7B"/>
    <w:rsid w:val="00493AC0"/>
    <w:rsid w:val="00493B7E"/>
    <w:rsid w:val="00493D53"/>
    <w:rsid w:val="004943BE"/>
    <w:rsid w:val="00494A58"/>
    <w:rsid w:val="00494AAB"/>
    <w:rsid w:val="004968C6"/>
    <w:rsid w:val="004970E3"/>
    <w:rsid w:val="00497681"/>
    <w:rsid w:val="0049797D"/>
    <w:rsid w:val="00497A64"/>
    <w:rsid w:val="00497FD4"/>
    <w:rsid w:val="004A00B9"/>
    <w:rsid w:val="004A0939"/>
    <w:rsid w:val="004A1484"/>
    <w:rsid w:val="004A2024"/>
    <w:rsid w:val="004A2026"/>
    <w:rsid w:val="004A214D"/>
    <w:rsid w:val="004A2450"/>
    <w:rsid w:val="004A2783"/>
    <w:rsid w:val="004A28DC"/>
    <w:rsid w:val="004A2DBF"/>
    <w:rsid w:val="004A33C7"/>
    <w:rsid w:val="004A3509"/>
    <w:rsid w:val="004A359D"/>
    <w:rsid w:val="004A3D19"/>
    <w:rsid w:val="004A4189"/>
    <w:rsid w:val="004A51C4"/>
    <w:rsid w:val="004A534C"/>
    <w:rsid w:val="004A53E8"/>
    <w:rsid w:val="004A566C"/>
    <w:rsid w:val="004A585E"/>
    <w:rsid w:val="004A62FC"/>
    <w:rsid w:val="004A6960"/>
    <w:rsid w:val="004A6F35"/>
    <w:rsid w:val="004A7264"/>
    <w:rsid w:val="004A727C"/>
    <w:rsid w:val="004A7529"/>
    <w:rsid w:val="004B072C"/>
    <w:rsid w:val="004B081A"/>
    <w:rsid w:val="004B0E71"/>
    <w:rsid w:val="004B16C6"/>
    <w:rsid w:val="004B1B68"/>
    <w:rsid w:val="004B237E"/>
    <w:rsid w:val="004B2417"/>
    <w:rsid w:val="004B2A3A"/>
    <w:rsid w:val="004B32D6"/>
    <w:rsid w:val="004B3A6E"/>
    <w:rsid w:val="004B432B"/>
    <w:rsid w:val="004B44E2"/>
    <w:rsid w:val="004B4F9E"/>
    <w:rsid w:val="004B5546"/>
    <w:rsid w:val="004B579A"/>
    <w:rsid w:val="004B5FEE"/>
    <w:rsid w:val="004B65F1"/>
    <w:rsid w:val="004B6791"/>
    <w:rsid w:val="004B6C25"/>
    <w:rsid w:val="004B6E1A"/>
    <w:rsid w:val="004B7738"/>
    <w:rsid w:val="004B7A45"/>
    <w:rsid w:val="004B7DE5"/>
    <w:rsid w:val="004C09EF"/>
    <w:rsid w:val="004C1034"/>
    <w:rsid w:val="004C1094"/>
    <w:rsid w:val="004C1114"/>
    <w:rsid w:val="004C12B2"/>
    <w:rsid w:val="004C1A06"/>
    <w:rsid w:val="004C23B0"/>
    <w:rsid w:val="004C2438"/>
    <w:rsid w:val="004C2863"/>
    <w:rsid w:val="004C30A5"/>
    <w:rsid w:val="004C3558"/>
    <w:rsid w:val="004C36E3"/>
    <w:rsid w:val="004C403A"/>
    <w:rsid w:val="004C4043"/>
    <w:rsid w:val="004C4095"/>
    <w:rsid w:val="004C5196"/>
    <w:rsid w:val="004C534C"/>
    <w:rsid w:val="004C5626"/>
    <w:rsid w:val="004C5659"/>
    <w:rsid w:val="004C58DB"/>
    <w:rsid w:val="004C5996"/>
    <w:rsid w:val="004C5B06"/>
    <w:rsid w:val="004C5E8C"/>
    <w:rsid w:val="004C6710"/>
    <w:rsid w:val="004C69BB"/>
    <w:rsid w:val="004C6A24"/>
    <w:rsid w:val="004C6CA4"/>
    <w:rsid w:val="004C7C45"/>
    <w:rsid w:val="004D0346"/>
    <w:rsid w:val="004D035B"/>
    <w:rsid w:val="004D052A"/>
    <w:rsid w:val="004D0D36"/>
    <w:rsid w:val="004D2181"/>
    <w:rsid w:val="004D2CB0"/>
    <w:rsid w:val="004D3861"/>
    <w:rsid w:val="004D3D48"/>
    <w:rsid w:val="004D3FAC"/>
    <w:rsid w:val="004D4019"/>
    <w:rsid w:val="004D4146"/>
    <w:rsid w:val="004D41E3"/>
    <w:rsid w:val="004D443B"/>
    <w:rsid w:val="004D44EA"/>
    <w:rsid w:val="004D4627"/>
    <w:rsid w:val="004D49AF"/>
    <w:rsid w:val="004D4C68"/>
    <w:rsid w:val="004D4E66"/>
    <w:rsid w:val="004D4EF8"/>
    <w:rsid w:val="004D50CA"/>
    <w:rsid w:val="004D52D1"/>
    <w:rsid w:val="004D58A0"/>
    <w:rsid w:val="004D58E3"/>
    <w:rsid w:val="004D640B"/>
    <w:rsid w:val="004D6BCD"/>
    <w:rsid w:val="004D6DBE"/>
    <w:rsid w:val="004D6E4C"/>
    <w:rsid w:val="004D72A9"/>
    <w:rsid w:val="004D739D"/>
    <w:rsid w:val="004D74E6"/>
    <w:rsid w:val="004D7F68"/>
    <w:rsid w:val="004E056E"/>
    <w:rsid w:val="004E0BC5"/>
    <w:rsid w:val="004E0CFA"/>
    <w:rsid w:val="004E1048"/>
    <w:rsid w:val="004E126C"/>
    <w:rsid w:val="004E12E8"/>
    <w:rsid w:val="004E12F9"/>
    <w:rsid w:val="004E19A1"/>
    <w:rsid w:val="004E19E0"/>
    <w:rsid w:val="004E24A6"/>
    <w:rsid w:val="004E25DA"/>
    <w:rsid w:val="004E3188"/>
    <w:rsid w:val="004E3204"/>
    <w:rsid w:val="004E4E65"/>
    <w:rsid w:val="004E6953"/>
    <w:rsid w:val="004E69F8"/>
    <w:rsid w:val="004E7012"/>
    <w:rsid w:val="004E7591"/>
    <w:rsid w:val="004E7662"/>
    <w:rsid w:val="004E77CB"/>
    <w:rsid w:val="004E7950"/>
    <w:rsid w:val="004E7C08"/>
    <w:rsid w:val="004E7CE1"/>
    <w:rsid w:val="004F016A"/>
    <w:rsid w:val="004F0188"/>
    <w:rsid w:val="004F0254"/>
    <w:rsid w:val="004F0434"/>
    <w:rsid w:val="004F0682"/>
    <w:rsid w:val="004F0CE9"/>
    <w:rsid w:val="004F0D32"/>
    <w:rsid w:val="004F0DBC"/>
    <w:rsid w:val="004F1565"/>
    <w:rsid w:val="004F2BC1"/>
    <w:rsid w:val="004F2C5D"/>
    <w:rsid w:val="004F3439"/>
    <w:rsid w:val="004F498C"/>
    <w:rsid w:val="004F4AF7"/>
    <w:rsid w:val="004F610E"/>
    <w:rsid w:val="004F6948"/>
    <w:rsid w:val="004F6CFF"/>
    <w:rsid w:val="004F7C4B"/>
    <w:rsid w:val="004F7D69"/>
    <w:rsid w:val="004F7EC2"/>
    <w:rsid w:val="00500235"/>
    <w:rsid w:val="00501610"/>
    <w:rsid w:val="005019E8"/>
    <w:rsid w:val="00501DD2"/>
    <w:rsid w:val="005021E9"/>
    <w:rsid w:val="0050235D"/>
    <w:rsid w:val="005023A7"/>
    <w:rsid w:val="00502473"/>
    <w:rsid w:val="0050291B"/>
    <w:rsid w:val="00502A79"/>
    <w:rsid w:val="00502F47"/>
    <w:rsid w:val="005037D0"/>
    <w:rsid w:val="00503918"/>
    <w:rsid w:val="00503A4A"/>
    <w:rsid w:val="00504637"/>
    <w:rsid w:val="0050471B"/>
    <w:rsid w:val="00504ACD"/>
    <w:rsid w:val="00504B62"/>
    <w:rsid w:val="005052A4"/>
    <w:rsid w:val="00505318"/>
    <w:rsid w:val="0050551C"/>
    <w:rsid w:val="0050552E"/>
    <w:rsid w:val="0050568C"/>
    <w:rsid w:val="00505E86"/>
    <w:rsid w:val="00506A15"/>
    <w:rsid w:val="00506A60"/>
    <w:rsid w:val="00506B6F"/>
    <w:rsid w:val="00506E52"/>
    <w:rsid w:val="00507259"/>
    <w:rsid w:val="0050770B"/>
    <w:rsid w:val="00507E44"/>
    <w:rsid w:val="00507EFE"/>
    <w:rsid w:val="0051077F"/>
    <w:rsid w:val="005109E1"/>
    <w:rsid w:val="00510F37"/>
    <w:rsid w:val="005110DE"/>
    <w:rsid w:val="00511180"/>
    <w:rsid w:val="00512631"/>
    <w:rsid w:val="00512AC7"/>
    <w:rsid w:val="00512ED2"/>
    <w:rsid w:val="00513314"/>
    <w:rsid w:val="00513DF0"/>
    <w:rsid w:val="00513F63"/>
    <w:rsid w:val="00514349"/>
    <w:rsid w:val="0051438E"/>
    <w:rsid w:val="00514786"/>
    <w:rsid w:val="005147F8"/>
    <w:rsid w:val="0051486C"/>
    <w:rsid w:val="00514E94"/>
    <w:rsid w:val="005150E5"/>
    <w:rsid w:val="0051518B"/>
    <w:rsid w:val="005157E1"/>
    <w:rsid w:val="00515D44"/>
    <w:rsid w:val="00515EFD"/>
    <w:rsid w:val="00516973"/>
    <w:rsid w:val="00517C75"/>
    <w:rsid w:val="00517DAC"/>
    <w:rsid w:val="00517E1B"/>
    <w:rsid w:val="005206A7"/>
    <w:rsid w:val="005208E3"/>
    <w:rsid w:val="005219A5"/>
    <w:rsid w:val="0052254A"/>
    <w:rsid w:val="0052294F"/>
    <w:rsid w:val="005232B8"/>
    <w:rsid w:val="00523612"/>
    <w:rsid w:val="005243F7"/>
    <w:rsid w:val="00525032"/>
    <w:rsid w:val="00525709"/>
    <w:rsid w:val="00525CE5"/>
    <w:rsid w:val="005262A8"/>
    <w:rsid w:val="00526375"/>
    <w:rsid w:val="00526612"/>
    <w:rsid w:val="0052698F"/>
    <w:rsid w:val="00526A4E"/>
    <w:rsid w:val="00526FB3"/>
    <w:rsid w:val="0052721C"/>
    <w:rsid w:val="005276F4"/>
    <w:rsid w:val="00527726"/>
    <w:rsid w:val="00530721"/>
    <w:rsid w:val="005309C4"/>
    <w:rsid w:val="00530C8D"/>
    <w:rsid w:val="0053124E"/>
    <w:rsid w:val="0053165C"/>
    <w:rsid w:val="00531762"/>
    <w:rsid w:val="00531D4A"/>
    <w:rsid w:val="00531F0B"/>
    <w:rsid w:val="00532FED"/>
    <w:rsid w:val="00533654"/>
    <w:rsid w:val="00533B40"/>
    <w:rsid w:val="00533EF2"/>
    <w:rsid w:val="0053431A"/>
    <w:rsid w:val="00534A50"/>
    <w:rsid w:val="00534DB3"/>
    <w:rsid w:val="00535686"/>
    <w:rsid w:val="00535EF3"/>
    <w:rsid w:val="0053628D"/>
    <w:rsid w:val="00536510"/>
    <w:rsid w:val="00537842"/>
    <w:rsid w:val="00537A1A"/>
    <w:rsid w:val="00537A9E"/>
    <w:rsid w:val="00540156"/>
    <w:rsid w:val="005402C0"/>
    <w:rsid w:val="00540D28"/>
    <w:rsid w:val="00540DAA"/>
    <w:rsid w:val="005423C6"/>
    <w:rsid w:val="00542A77"/>
    <w:rsid w:val="00542A9F"/>
    <w:rsid w:val="00543451"/>
    <w:rsid w:val="0054382C"/>
    <w:rsid w:val="005441B4"/>
    <w:rsid w:val="00545BB0"/>
    <w:rsid w:val="00546D02"/>
    <w:rsid w:val="00547180"/>
    <w:rsid w:val="00547295"/>
    <w:rsid w:val="005472AB"/>
    <w:rsid w:val="005474E7"/>
    <w:rsid w:val="00547542"/>
    <w:rsid w:val="005476C4"/>
    <w:rsid w:val="00547D41"/>
    <w:rsid w:val="0055078E"/>
    <w:rsid w:val="00550AE7"/>
    <w:rsid w:val="00550F48"/>
    <w:rsid w:val="005514DD"/>
    <w:rsid w:val="00551865"/>
    <w:rsid w:val="00551BF5"/>
    <w:rsid w:val="00552024"/>
    <w:rsid w:val="00552631"/>
    <w:rsid w:val="0055409D"/>
    <w:rsid w:val="00554212"/>
    <w:rsid w:val="0055441B"/>
    <w:rsid w:val="00554B46"/>
    <w:rsid w:val="00554FBE"/>
    <w:rsid w:val="00555EC9"/>
    <w:rsid w:val="0055617A"/>
    <w:rsid w:val="00556D8C"/>
    <w:rsid w:val="005572BF"/>
    <w:rsid w:val="00557891"/>
    <w:rsid w:val="005578F9"/>
    <w:rsid w:val="00557C19"/>
    <w:rsid w:val="00560279"/>
    <w:rsid w:val="00560A31"/>
    <w:rsid w:val="00560CEC"/>
    <w:rsid w:val="005612F5"/>
    <w:rsid w:val="00561DBE"/>
    <w:rsid w:val="00562EE7"/>
    <w:rsid w:val="00562F9D"/>
    <w:rsid w:val="0056361F"/>
    <w:rsid w:val="005639DF"/>
    <w:rsid w:val="00563B19"/>
    <w:rsid w:val="00563D38"/>
    <w:rsid w:val="00563D76"/>
    <w:rsid w:val="0056518E"/>
    <w:rsid w:val="00565264"/>
    <w:rsid w:val="00565647"/>
    <w:rsid w:val="00565DF7"/>
    <w:rsid w:val="005661AC"/>
    <w:rsid w:val="00566252"/>
    <w:rsid w:val="00566315"/>
    <w:rsid w:val="00566BBB"/>
    <w:rsid w:val="00566D75"/>
    <w:rsid w:val="00567617"/>
    <w:rsid w:val="00567A7B"/>
    <w:rsid w:val="00567B89"/>
    <w:rsid w:val="00570A47"/>
    <w:rsid w:val="00570FD1"/>
    <w:rsid w:val="005712C6"/>
    <w:rsid w:val="005715B3"/>
    <w:rsid w:val="00571CB5"/>
    <w:rsid w:val="00572622"/>
    <w:rsid w:val="005727DD"/>
    <w:rsid w:val="00572B79"/>
    <w:rsid w:val="005733B2"/>
    <w:rsid w:val="0057451B"/>
    <w:rsid w:val="00574924"/>
    <w:rsid w:val="00574DD5"/>
    <w:rsid w:val="00575273"/>
    <w:rsid w:val="00575405"/>
    <w:rsid w:val="00575E30"/>
    <w:rsid w:val="00575E9E"/>
    <w:rsid w:val="005769C1"/>
    <w:rsid w:val="00576F04"/>
    <w:rsid w:val="0057746C"/>
    <w:rsid w:val="00577484"/>
    <w:rsid w:val="00577AF6"/>
    <w:rsid w:val="00577C5A"/>
    <w:rsid w:val="00577CFA"/>
    <w:rsid w:val="00580974"/>
    <w:rsid w:val="00581BBE"/>
    <w:rsid w:val="00581F74"/>
    <w:rsid w:val="005822F4"/>
    <w:rsid w:val="00582ADE"/>
    <w:rsid w:val="00582DEF"/>
    <w:rsid w:val="0058318B"/>
    <w:rsid w:val="005837A4"/>
    <w:rsid w:val="00583904"/>
    <w:rsid w:val="00583948"/>
    <w:rsid w:val="00583C6E"/>
    <w:rsid w:val="005841BD"/>
    <w:rsid w:val="0058422F"/>
    <w:rsid w:val="0058479D"/>
    <w:rsid w:val="00584A0F"/>
    <w:rsid w:val="00585EAA"/>
    <w:rsid w:val="00590241"/>
    <w:rsid w:val="00590AC8"/>
    <w:rsid w:val="005911B8"/>
    <w:rsid w:val="00593E06"/>
    <w:rsid w:val="005957A4"/>
    <w:rsid w:val="00596E66"/>
    <w:rsid w:val="0059701B"/>
    <w:rsid w:val="005970A6"/>
    <w:rsid w:val="00597F50"/>
    <w:rsid w:val="005A07E3"/>
    <w:rsid w:val="005A09C3"/>
    <w:rsid w:val="005A0F58"/>
    <w:rsid w:val="005A15E2"/>
    <w:rsid w:val="005A16FC"/>
    <w:rsid w:val="005A1EBC"/>
    <w:rsid w:val="005A209E"/>
    <w:rsid w:val="005A2924"/>
    <w:rsid w:val="005A3A83"/>
    <w:rsid w:val="005A3F8B"/>
    <w:rsid w:val="005A528C"/>
    <w:rsid w:val="005A59D0"/>
    <w:rsid w:val="005A5B77"/>
    <w:rsid w:val="005A5C22"/>
    <w:rsid w:val="005A5FF0"/>
    <w:rsid w:val="005A63D5"/>
    <w:rsid w:val="005A696B"/>
    <w:rsid w:val="005A6CD4"/>
    <w:rsid w:val="005A6EB5"/>
    <w:rsid w:val="005A7525"/>
    <w:rsid w:val="005A7A0B"/>
    <w:rsid w:val="005A7A6B"/>
    <w:rsid w:val="005A7E7A"/>
    <w:rsid w:val="005B0795"/>
    <w:rsid w:val="005B28C4"/>
    <w:rsid w:val="005B2DF9"/>
    <w:rsid w:val="005B3419"/>
    <w:rsid w:val="005B3497"/>
    <w:rsid w:val="005B3526"/>
    <w:rsid w:val="005B3D57"/>
    <w:rsid w:val="005B41B3"/>
    <w:rsid w:val="005B4DA3"/>
    <w:rsid w:val="005B556E"/>
    <w:rsid w:val="005B5803"/>
    <w:rsid w:val="005B5891"/>
    <w:rsid w:val="005B58DF"/>
    <w:rsid w:val="005B6323"/>
    <w:rsid w:val="005B63D0"/>
    <w:rsid w:val="005B656E"/>
    <w:rsid w:val="005B7050"/>
    <w:rsid w:val="005B73F7"/>
    <w:rsid w:val="005B7858"/>
    <w:rsid w:val="005B7C71"/>
    <w:rsid w:val="005B7D8E"/>
    <w:rsid w:val="005C0624"/>
    <w:rsid w:val="005C06FA"/>
    <w:rsid w:val="005C0D9A"/>
    <w:rsid w:val="005C173E"/>
    <w:rsid w:val="005C1B9C"/>
    <w:rsid w:val="005C2181"/>
    <w:rsid w:val="005C29C5"/>
    <w:rsid w:val="005C35A0"/>
    <w:rsid w:val="005C35AB"/>
    <w:rsid w:val="005C3F9E"/>
    <w:rsid w:val="005C4A7F"/>
    <w:rsid w:val="005C4EBE"/>
    <w:rsid w:val="005C506A"/>
    <w:rsid w:val="005C5099"/>
    <w:rsid w:val="005C50BE"/>
    <w:rsid w:val="005C5161"/>
    <w:rsid w:val="005C54B9"/>
    <w:rsid w:val="005C5576"/>
    <w:rsid w:val="005C559F"/>
    <w:rsid w:val="005C5A01"/>
    <w:rsid w:val="005C5EB6"/>
    <w:rsid w:val="005C624A"/>
    <w:rsid w:val="005C6E1E"/>
    <w:rsid w:val="005C6E75"/>
    <w:rsid w:val="005C724A"/>
    <w:rsid w:val="005C783F"/>
    <w:rsid w:val="005D0528"/>
    <w:rsid w:val="005D09ED"/>
    <w:rsid w:val="005D0B42"/>
    <w:rsid w:val="005D14BE"/>
    <w:rsid w:val="005D1508"/>
    <w:rsid w:val="005D164E"/>
    <w:rsid w:val="005D17B1"/>
    <w:rsid w:val="005D1B61"/>
    <w:rsid w:val="005D1E5A"/>
    <w:rsid w:val="005D2424"/>
    <w:rsid w:val="005D2546"/>
    <w:rsid w:val="005D2C25"/>
    <w:rsid w:val="005D2C99"/>
    <w:rsid w:val="005D311D"/>
    <w:rsid w:val="005D36B1"/>
    <w:rsid w:val="005D3EF4"/>
    <w:rsid w:val="005D422E"/>
    <w:rsid w:val="005D4CA2"/>
    <w:rsid w:val="005D58AC"/>
    <w:rsid w:val="005D65E4"/>
    <w:rsid w:val="005D6B52"/>
    <w:rsid w:val="005D70C0"/>
    <w:rsid w:val="005D7740"/>
    <w:rsid w:val="005D7939"/>
    <w:rsid w:val="005E02D0"/>
    <w:rsid w:val="005E051D"/>
    <w:rsid w:val="005E0D97"/>
    <w:rsid w:val="005E0F9E"/>
    <w:rsid w:val="005E2632"/>
    <w:rsid w:val="005E2A8C"/>
    <w:rsid w:val="005E2CC5"/>
    <w:rsid w:val="005E3065"/>
    <w:rsid w:val="005E322A"/>
    <w:rsid w:val="005E37D6"/>
    <w:rsid w:val="005E4042"/>
    <w:rsid w:val="005E40B4"/>
    <w:rsid w:val="005E4527"/>
    <w:rsid w:val="005E4659"/>
    <w:rsid w:val="005E5AD4"/>
    <w:rsid w:val="005E5E48"/>
    <w:rsid w:val="005E735C"/>
    <w:rsid w:val="005E79EF"/>
    <w:rsid w:val="005F01C0"/>
    <w:rsid w:val="005F03EE"/>
    <w:rsid w:val="005F0686"/>
    <w:rsid w:val="005F093D"/>
    <w:rsid w:val="005F097F"/>
    <w:rsid w:val="005F0E55"/>
    <w:rsid w:val="005F13DB"/>
    <w:rsid w:val="005F26E8"/>
    <w:rsid w:val="005F279D"/>
    <w:rsid w:val="005F3915"/>
    <w:rsid w:val="005F3DAE"/>
    <w:rsid w:val="005F3F20"/>
    <w:rsid w:val="005F3FEB"/>
    <w:rsid w:val="005F464E"/>
    <w:rsid w:val="005F48F3"/>
    <w:rsid w:val="005F4AA6"/>
    <w:rsid w:val="005F4B76"/>
    <w:rsid w:val="005F514B"/>
    <w:rsid w:val="005F5C4A"/>
    <w:rsid w:val="005F6468"/>
    <w:rsid w:val="005F65A4"/>
    <w:rsid w:val="005F6C4D"/>
    <w:rsid w:val="005F77C2"/>
    <w:rsid w:val="00600646"/>
    <w:rsid w:val="00600728"/>
    <w:rsid w:val="0060079E"/>
    <w:rsid w:val="00600A34"/>
    <w:rsid w:val="00600AEB"/>
    <w:rsid w:val="00601307"/>
    <w:rsid w:val="0060175E"/>
    <w:rsid w:val="006019EF"/>
    <w:rsid w:val="00601F0F"/>
    <w:rsid w:val="00602D31"/>
    <w:rsid w:val="00602E9B"/>
    <w:rsid w:val="00603257"/>
    <w:rsid w:val="00604538"/>
    <w:rsid w:val="0060458C"/>
    <w:rsid w:val="0060525A"/>
    <w:rsid w:val="0060619A"/>
    <w:rsid w:val="00606720"/>
    <w:rsid w:val="00606DEB"/>
    <w:rsid w:val="006070D6"/>
    <w:rsid w:val="0060746B"/>
    <w:rsid w:val="006103C2"/>
    <w:rsid w:val="006109AA"/>
    <w:rsid w:val="00610A16"/>
    <w:rsid w:val="00610DAE"/>
    <w:rsid w:val="0061113D"/>
    <w:rsid w:val="006114B9"/>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839"/>
    <w:rsid w:val="00620A79"/>
    <w:rsid w:val="00620B5C"/>
    <w:rsid w:val="00620CC5"/>
    <w:rsid w:val="00620D0D"/>
    <w:rsid w:val="00621031"/>
    <w:rsid w:val="00621BA8"/>
    <w:rsid w:val="00621CB4"/>
    <w:rsid w:val="00621E3F"/>
    <w:rsid w:val="006230E3"/>
    <w:rsid w:val="0062380E"/>
    <w:rsid w:val="006238DA"/>
    <w:rsid w:val="00623AA7"/>
    <w:rsid w:val="006243DC"/>
    <w:rsid w:val="00624FB7"/>
    <w:rsid w:val="0062522F"/>
    <w:rsid w:val="00626976"/>
    <w:rsid w:val="00626D9F"/>
    <w:rsid w:val="0062762A"/>
    <w:rsid w:val="0062793A"/>
    <w:rsid w:val="00627ADA"/>
    <w:rsid w:val="00627DFA"/>
    <w:rsid w:val="00627E79"/>
    <w:rsid w:val="00630DB3"/>
    <w:rsid w:val="00631A2B"/>
    <w:rsid w:val="00632A05"/>
    <w:rsid w:val="00632A9E"/>
    <w:rsid w:val="00632E76"/>
    <w:rsid w:val="00633169"/>
    <w:rsid w:val="0063330E"/>
    <w:rsid w:val="0063338D"/>
    <w:rsid w:val="00634110"/>
    <w:rsid w:val="0063412F"/>
    <w:rsid w:val="006344C3"/>
    <w:rsid w:val="0063455B"/>
    <w:rsid w:val="0063485D"/>
    <w:rsid w:val="00634F4B"/>
    <w:rsid w:val="006350AA"/>
    <w:rsid w:val="006350AC"/>
    <w:rsid w:val="006358FA"/>
    <w:rsid w:val="006359B2"/>
    <w:rsid w:val="00635DE8"/>
    <w:rsid w:val="00636166"/>
    <w:rsid w:val="00636AB7"/>
    <w:rsid w:val="006378E5"/>
    <w:rsid w:val="00637E0B"/>
    <w:rsid w:val="00640206"/>
    <w:rsid w:val="0064037A"/>
    <w:rsid w:val="00640470"/>
    <w:rsid w:val="006427FF"/>
    <w:rsid w:val="0064311C"/>
    <w:rsid w:val="00643149"/>
    <w:rsid w:val="006431AC"/>
    <w:rsid w:val="00643778"/>
    <w:rsid w:val="00643CD4"/>
    <w:rsid w:val="006440B1"/>
    <w:rsid w:val="0064418F"/>
    <w:rsid w:val="00644B7D"/>
    <w:rsid w:val="0064516E"/>
    <w:rsid w:val="00645243"/>
    <w:rsid w:val="006452D8"/>
    <w:rsid w:val="0064555C"/>
    <w:rsid w:val="00646472"/>
    <w:rsid w:val="0064687E"/>
    <w:rsid w:val="00646BCB"/>
    <w:rsid w:val="00646C65"/>
    <w:rsid w:val="006471C9"/>
    <w:rsid w:val="006475E9"/>
    <w:rsid w:val="00647B32"/>
    <w:rsid w:val="00647B60"/>
    <w:rsid w:val="00650B4A"/>
    <w:rsid w:val="0065176A"/>
    <w:rsid w:val="006521F0"/>
    <w:rsid w:val="00652479"/>
    <w:rsid w:val="00652AF4"/>
    <w:rsid w:val="006533BE"/>
    <w:rsid w:val="0065352B"/>
    <w:rsid w:val="00653872"/>
    <w:rsid w:val="00653FAC"/>
    <w:rsid w:val="0065459A"/>
    <w:rsid w:val="0065527C"/>
    <w:rsid w:val="00655948"/>
    <w:rsid w:val="00655DC5"/>
    <w:rsid w:val="00656094"/>
    <w:rsid w:val="006571C2"/>
    <w:rsid w:val="00657D18"/>
    <w:rsid w:val="00657DAE"/>
    <w:rsid w:val="00657E14"/>
    <w:rsid w:val="00657F47"/>
    <w:rsid w:val="00660B21"/>
    <w:rsid w:val="00660EEA"/>
    <w:rsid w:val="006616DF"/>
    <w:rsid w:val="00661ADA"/>
    <w:rsid w:val="00661FE1"/>
    <w:rsid w:val="006622A5"/>
    <w:rsid w:val="0066271B"/>
    <w:rsid w:val="00663041"/>
    <w:rsid w:val="006633B4"/>
    <w:rsid w:val="006637B8"/>
    <w:rsid w:val="006637BA"/>
    <w:rsid w:val="006637C2"/>
    <w:rsid w:val="006639F8"/>
    <w:rsid w:val="00663FA5"/>
    <w:rsid w:val="00664516"/>
    <w:rsid w:val="00664744"/>
    <w:rsid w:val="00665103"/>
    <w:rsid w:val="0066632F"/>
    <w:rsid w:val="006665E1"/>
    <w:rsid w:val="00666765"/>
    <w:rsid w:val="006667C0"/>
    <w:rsid w:val="00667224"/>
    <w:rsid w:val="0066725E"/>
    <w:rsid w:val="00667613"/>
    <w:rsid w:val="006679A6"/>
    <w:rsid w:val="00670662"/>
    <w:rsid w:val="00670812"/>
    <w:rsid w:val="00670D18"/>
    <w:rsid w:val="00671681"/>
    <w:rsid w:val="00671693"/>
    <w:rsid w:val="00671925"/>
    <w:rsid w:val="00671949"/>
    <w:rsid w:val="00671DB7"/>
    <w:rsid w:val="006722CE"/>
    <w:rsid w:val="00672326"/>
    <w:rsid w:val="00672606"/>
    <w:rsid w:val="00672C77"/>
    <w:rsid w:val="00672F2F"/>
    <w:rsid w:val="006732C8"/>
    <w:rsid w:val="006735B4"/>
    <w:rsid w:val="00673CBF"/>
    <w:rsid w:val="00673E75"/>
    <w:rsid w:val="00674003"/>
    <w:rsid w:val="0067501D"/>
    <w:rsid w:val="006756A5"/>
    <w:rsid w:val="00675BCC"/>
    <w:rsid w:val="00675E5A"/>
    <w:rsid w:val="00675F16"/>
    <w:rsid w:val="006767A0"/>
    <w:rsid w:val="006767AE"/>
    <w:rsid w:val="006769EE"/>
    <w:rsid w:val="00676B39"/>
    <w:rsid w:val="006778BE"/>
    <w:rsid w:val="00677C2F"/>
    <w:rsid w:val="00680C30"/>
    <w:rsid w:val="00680C86"/>
    <w:rsid w:val="0068125A"/>
    <w:rsid w:val="00681773"/>
    <w:rsid w:val="00681A26"/>
    <w:rsid w:val="00681B4C"/>
    <w:rsid w:val="00681D39"/>
    <w:rsid w:val="00681E45"/>
    <w:rsid w:val="00681E80"/>
    <w:rsid w:val="00682053"/>
    <w:rsid w:val="00682085"/>
    <w:rsid w:val="006825E7"/>
    <w:rsid w:val="00682849"/>
    <w:rsid w:val="00682BCC"/>
    <w:rsid w:val="006832A7"/>
    <w:rsid w:val="0068341F"/>
    <w:rsid w:val="00683BE0"/>
    <w:rsid w:val="00683FD6"/>
    <w:rsid w:val="00685627"/>
    <w:rsid w:val="00685EA8"/>
    <w:rsid w:val="0068712A"/>
    <w:rsid w:val="0068712E"/>
    <w:rsid w:val="006879AA"/>
    <w:rsid w:val="00687A30"/>
    <w:rsid w:val="00687A9B"/>
    <w:rsid w:val="00690E64"/>
    <w:rsid w:val="006915EE"/>
    <w:rsid w:val="00691AFE"/>
    <w:rsid w:val="00692D2D"/>
    <w:rsid w:val="0069396C"/>
    <w:rsid w:val="00693BFC"/>
    <w:rsid w:val="00693C8C"/>
    <w:rsid w:val="00694073"/>
    <w:rsid w:val="00694574"/>
    <w:rsid w:val="0069533F"/>
    <w:rsid w:val="00695720"/>
    <w:rsid w:val="006957C0"/>
    <w:rsid w:val="00695F48"/>
    <w:rsid w:val="00696158"/>
    <w:rsid w:val="00696AF0"/>
    <w:rsid w:val="006972F0"/>
    <w:rsid w:val="00697391"/>
    <w:rsid w:val="00697BF5"/>
    <w:rsid w:val="006A0096"/>
    <w:rsid w:val="006A066A"/>
    <w:rsid w:val="006A0680"/>
    <w:rsid w:val="006A07AF"/>
    <w:rsid w:val="006A0BDD"/>
    <w:rsid w:val="006A11E8"/>
    <w:rsid w:val="006A12EE"/>
    <w:rsid w:val="006A1A48"/>
    <w:rsid w:val="006A1D0E"/>
    <w:rsid w:val="006A2386"/>
    <w:rsid w:val="006A240F"/>
    <w:rsid w:val="006A25D8"/>
    <w:rsid w:val="006A296B"/>
    <w:rsid w:val="006A2A91"/>
    <w:rsid w:val="006A2C19"/>
    <w:rsid w:val="006A2F3A"/>
    <w:rsid w:val="006A3483"/>
    <w:rsid w:val="006A37D4"/>
    <w:rsid w:val="006A387E"/>
    <w:rsid w:val="006A3F6B"/>
    <w:rsid w:val="006A4078"/>
    <w:rsid w:val="006A5267"/>
    <w:rsid w:val="006A5790"/>
    <w:rsid w:val="006A5D34"/>
    <w:rsid w:val="006A5DB5"/>
    <w:rsid w:val="006A5E3E"/>
    <w:rsid w:val="006A635C"/>
    <w:rsid w:val="006A63D8"/>
    <w:rsid w:val="006A6553"/>
    <w:rsid w:val="006A6D57"/>
    <w:rsid w:val="006A6EEA"/>
    <w:rsid w:val="006A6F7F"/>
    <w:rsid w:val="006A7542"/>
    <w:rsid w:val="006A7AFC"/>
    <w:rsid w:val="006B010C"/>
    <w:rsid w:val="006B05A7"/>
    <w:rsid w:val="006B0ABA"/>
    <w:rsid w:val="006B0FA8"/>
    <w:rsid w:val="006B1281"/>
    <w:rsid w:val="006B1401"/>
    <w:rsid w:val="006B144A"/>
    <w:rsid w:val="006B167B"/>
    <w:rsid w:val="006B1A86"/>
    <w:rsid w:val="006B28BF"/>
    <w:rsid w:val="006B28FB"/>
    <w:rsid w:val="006B2B74"/>
    <w:rsid w:val="006B3118"/>
    <w:rsid w:val="006B3A3F"/>
    <w:rsid w:val="006B4D30"/>
    <w:rsid w:val="006B52F0"/>
    <w:rsid w:val="006B58E0"/>
    <w:rsid w:val="006B599B"/>
    <w:rsid w:val="006B5C04"/>
    <w:rsid w:val="006B63E2"/>
    <w:rsid w:val="006B753A"/>
    <w:rsid w:val="006C03C2"/>
    <w:rsid w:val="006C0999"/>
    <w:rsid w:val="006C1529"/>
    <w:rsid w:val="006C160C"/>
    <w:rsid w:val="006C1623"/>
    <w:rsid w:val="006C2DA2"/>
    <w:rsid w:val="006C2E87"/>
    <w:rsid w:val="006C3768"/>
    <w:rsid w:val="006C479D"/>
    <w:rsid w:val="006C57FE"/>
    <w:rsid w:val="006C58E9"/>
    <w:rsid w:val="006C599D"/>
    <w:rsid w:val="006C5FEF"/>
    <w:rsid w:val="006C6231"/>
    <w:rsid w:val="006C72C7"/>
    <w:rsid w:val="006C7760"/>
    <w:rsid w:val="006C7C18"/>
    <w:rsid w:val="006C7F21"/>
    <w:rsid w:val="006D0522"/>
    <w:rsid w:val="006D05C4"/>
    <w:rsid w:val="006D0AD8"/>
    <w:rsid w:val="006D0B83"/>
    <w:rsid w:val="006D1361"/>
    <w:rsid w:val="006D19B4"/>
    <w:rsid w:val="006D21E4"/>
    <w:rsid w:val="006D29A2"/>
    <w:rsid w:val="006D2B5B"/>
    <w:rsid w:val="006D2BCF"/>
    <w:rsid w:val="006D389E"/>
    <w:rsid w:val="006D3A10"/>
    <w:rsid w:val="006D3F3C"/>
    <w:rsid w:val="006D4037"/>
    <w:rsid w:val="006D48F8"/>
    <w:rsid w:val="006D4B9A"/>
    <w:rsid w:val="006D4E4D"/>
    <w:rsid w:val="006D52BA"/>
    <w:rsid w:val="006D5842"/>
    <w:rsid w:val="006D5D0F"/>
    <w:rsid w:val="006D67FA"/>
    <w:rsid w:val="006D6F04"/>
    <w:rsid w:val="006D7230"/>
    <w:rsid w:val="006D7583"/>
    <w:rsid w:val="006D76DC"/>
    <w:rsid w:val="006E01A4"/>
    <w:rsid w:val="006E038E"/>
    <w:rsid w:val="006E0B4E"/>
    <w:rsid w:val="006E12CF"/>
    <w:rsid w:val="006E18E1"/>
    <w:rsid w:val="006E205A"/>
    <w:rsid w:val="006E210A"/>
    <w:rsid w:val="006E2163"/>
    <w:rsid w:val="006E264D"/>
    <w:rsid w:val="006E28FE"/>
    <w:rsid w:val="006E2925"/>
    <w:rsid w:val="006E2AAA"/>
    <w:rsid w:val="006E2BDC"/>
    <w:rsid w:val="006E2C05"/>
    <w:rsid w:val="006E2F94"/>
    <w:rsid w:val="006E377B"/>
    <w:rsid w:val="006E3D20"/>
    <w:rsid w:val="006E3D34"/>
    <w:rsid w:val="006E4405"/>
    <w:rsid w:val="006E5492"/>
    <w:rsid w:val="006E5509"/>
    <w:rsid w:val="006E613A"/>
    <w:rsid w:val="006E6208"/>
    <w:rsid w:val="006E6C03"/>
    <w:rsid w:val="006E7CE6"/>
    <w:rsid w:val="006F06C4"/>
    <w:rsid w:val="006F08BF"/>
    <w:rsid w:val="006F0ABF"/>
    <w:rsid w:val="006F1495"/>
    <w:rsid w:val="006F16AF"/>
    <w:rsid w:val="006F28BB"/>
    <w:rsid w:val="006F3019"/>
    <w:rsid w:val="006F329C"/>
    <w:rsid w:val="006F3A8B"/>
    <w:rsid w:val="006F3E3D"/>
    <w:rsid w:val="006F406E"/>
    <w:rsid w:val="006F4095"/>
    <w:rsid w:val="006F4500"/>
    <w:rsid w:val="006F4644"/>
    <w:rsid w:val="006F4DC8"/>
    <w:rsid w:val="006F504A"/>
    <w:rsid w:val="006F5687"/>
    <w:rsid w:val="006F5F49"/>
    <w:rsid w:val="006F629C"/>
    <w:rsid w:val="006F6704"/>
    <w:rsid w:val="006F6AE3"/>
    <w:rsid w:val="006F7165"/>
    <w:rsid w:val="006F7634"/>
    <w:rsid w:val="006F7653"/>
    <w:rsid w:val="006F7CDD"/>
    <w:rsid w:val="007000F7"/>
    <w:rsid w:val="007003E4"/>
    <w:rsid w:val="00700614"/>
    <w:rsid w:val="00701411"/>
    <w:rsid w:val="007023E1"/>
    <w:rsid w:val="0070408C"/>
    <w:rsid w:val="007042D1"/>
    <w:rsid w:val="00704A5E"/>
    <w:rsid w:val="00704B94"/>
    <w:rsid w:val="007051E9"/>
    <w:rsid w:val="00705506"/>
    <w:rsid w:val="007076C6"/>
    <w:rsid w:val="007101A4"/>
    <w:rsid w:val="007104A2"/>
    <w:rsid w:val="0071069C"/>
    <w:rsid w:val="00711282"/>
    <w:rsid w:val="00711840"/>
    <w:rsid w:val="00711A5C"/>
    <w:rsid w:val="00711B3B"/>
    <w:rsid w:val="00711F60"/>
    <w:rsid w:val="00712B79"/>
    <w:rsid w:val="007134FA"/>
    <w:rsid w:val="0071360F"/>
    <w:rsid w:val="00714067"/>
    <w:rsid w:val="0071407D"/>
    <w:rsid w:val="00714AA9"/>
    <w:rsid w:val="00714E72"/>
    <w:rsid w:val="007159FC"/>
    <w:rsid w:val="00715A2F"/>
    <w:rsid w:val="00715B3E"/>
    <w:rsid w:val="00715E66"/>
    <w:rsid w:val="00717387"/>
    <w:rsid w:val="00717AB0"/>
    <w:rsid w:val="00717AB2"/>
    <w:rsid w:val="00717B43"/>
    <w:rsid w:val="00717D05"/>
    <w:rsid w:val="00717DE8"/>
    <w:rsid w:val="00717EA1"/>
    <w:rsid w:val="00717EAC"/>
    <w:rsid w:val="007204A7"/>
    <w:rsid w:val="00720A58"/>
    <w:rsid w:val="00720A86"/>
    <w:rsid w:val="00720C36"/>
    <w:rsid w:val="00720E2C"/>
    <w:rsid w:val="00721910"/>
    <w:rsid w:val="00722FC7"/>
    <w:rsid w:val="0072364C"/>
    <w:rsid w:val="007236E8"/>
    <w:rsid w:val="00724307"/>
    <w:rsid w:val="0072438B"/>
    <w:rsid w:val="00724408"/>
    <w:rsid w:val="007249E2"/>
    <w:rsid w:val="00724AD2"/>
    <w:rsid w:val="00724BBF"/>
    <w:rsid w:val="0072688D"/>
    <w:rsid w:val="00726895"/>
    <w:rsid w:val="0072775A"/>
    <w:rsid w:val="00727810"/>
    <w:rsid w:val="00727A31"/>
    <w:rsid w:val="0073080F"/>
    <w:rsid w:val="00730B04"/>
    <w:rsid w:val="00730C5A"/>
    <w:rsid w:val="00730CB7"/>
    <w:rsid w:val="00730CE1"/>
    <w:rsid w:val="007315A1"/>
    <w:rsid w:val="00731F45"/>
    <w:rsid w:val="00732003"/>
    <w:rsid w:val="0073204E"/>
    <w:rsid w:val="00734224"/>
    <w:rsid w:val="00734596"/>
    <w:rsid w:val="0073509B"/>
    <w:rsid w:val="0073597E"/>
    <w:rsid w:val="00735DDA"/>
    <w:rsid w:val="00736D0A"/>
    <w:rsid w:val="00737172"/>
    <w:rsid w:val="007373BD"/>
    <w:rsid w:val="0073783B"/>
    <w:rsid w:val="00737A9E"/>
    <w:rsid w:val="00740685"/>
    <w:rsid w:val="00740706"/>
    <w:rsid w:val="00740BCB"/>
    <w:rsid w:val="00740D0C"/>
    <w:rsid w:val="00740FEF"/>
    <w:rsid w:val="00741123"/>
    <w:rsid w:val="00741A86"/>
    <w:rsid w:val="00742042"/>
    <w:rsid w:val="00742100"/>
    <w:rsid w:val="007425B1"/>
    <w:rsid w:val="0074278E"/>
    <w:rsid w:val="00742B40"/>
    <w:rsid w:val="00742C07"/>
    <w:rsid w:val="00743527"/>
    <w:rsid w:val="007440BE"/>
    <w:rsid w:val="007449E1"/>
    <w:rsid w:val="00745222"/>
    <w:rsid w:val="007452F8"/>
    <w:rsid w:val="00746597"/>
    <w:rsid w:val="007468DB"/>
    <w:rsid w:val="00746E07"/>
    <w:rsid w:val="00746F98"/>
    <w:rsid w:val="00746F9F"/>
    <w:rsid w:val="007476C5"/>
    <w:rsid w:val="00747958"/>
    <w:rsid w:val="0075062E"/>
    <w:rsid w:val="0075101B"/>
    <w:rsid w:val="0075145A"/>
    <w:rsid w:val="00751A80"/>
    <w:rsid w:val="00751A8B"/>
    <w:rsid w:val="0075265B"/>
    <w:rsid w:val="00752669"/>
    <w:rsid w:val="00753144"/>
    <w:rsid w:val="00753A7F"/>
    <w:rsid w:val="00753AE0"/>
    <w:rsid w:val="007545A4"/>
    <w:rsid w:val="007546B8"/>
    <w:rsid w:val="00755057"/>
    <w:rsid w:val="00756D8F"/>
    <w:rsid w:val="00756E46"/>
    <w:rsid w:val="007570A8"/>
    <w:rsid w:val="007574F9"/>
    <w:rsid w:val="00757FBA"/>
    <w:rsid w:val="00760526"/>
    <w:rsid w:val="0076089F"/>
    <w:rsid w:val="007620DE"/>
    <w:rsid w:val="0076257B"/>
    <w:rsid w:val="0076264F"/>
    <w:rsid w:val="00762EFA"/>
    <w:rsid w:val="0076388B"/>
    <w:rsid w:val="00763AAA"/>
    <w:rsid w:val="00763B5F"/>
    <w:rsid w:val="00763F6C"/>
    <w:rsid w:val="00763FD0"/>
    <w:rsid w:val="00764DB5"/>
    <w:rsid w:val="007656C9"/>
    <w:rsid w:val="007656F6"/>
    <w:rsid w:val="0076574E"/>
    <w:rsid w:val="007657DA"/>
    <w:rsid w:val="00765E34"/>
    <w:rsid w:val="007660E4"/>
    <w:rsid w:val="007662FE"/>
    <w:rsid w:val="00766551"/>
    <w:rsid w:val="0076670F"/>
    <w:rsid w:val="00767C12"/>
    <w:rsid w:val="007701BF"/>
    <w:rsid w:val="0077040C"/>
    <w:rsid w:val="007705D1"/>
    <w:rsid w:val="00771734"/>
    <w:rsid w:val="0077275D"/>
    <w:rsid w:val="007728D3"/>
    <w:rsid w:val="00772DCD"/>
    <w:rsid w:val="00772E1D"/>
    <w:rsid w:val="007730AA"/>
    <w:rsid w:val="0077327B"/>
    <w:rsid w:val="0077345C"/>
    <w:rsid w:val="00773D5E"/>
    <w:rsid w:val="00773F1D"/>
    <w:rsid w:val="00774781"/>
    <w:rsid w:val="007749D1"/>
    <w:rsid w:val="00775330"/>
    <w:rsid w:val="007753E1"/>
    <w:rsid w:val="007762E3"/>
    <w:rsid w:val="007762E5"/>
    <w:rsid w:val="00776560"/>
    <w:rsid w:val="0077672E"/>
    <w:rsid w:val="0077683C"/>
    <w:rsid w:val="00776CD8"/>
    <w:rsid w:val="00776CF0"/>
    <w:rsid w:val="00776D17"/>
    <w:rsid w:val="00777AB7"/>
    <w:rsid w:val="00780369"/>
    <w:rsid w:val="007805F6"/>
    <w:rsid w:val="0078078C"/>
    <w:rsid w:val="0078139C"/>
    <w:rsid w:val="007814FE"/>
    <w:rsid w:val="007836B0"/>
    <w:rsid w:val="00783E29"/>
    <w:rsid w:val="00783F5A"/>
    <w:rsid w:val="00784802"/>
    <w:rsid w:val="0078530B"/>
    <w:rsid w:val="00785394"/>
    <w:rsid w:val="00785686"/>
    <w:rsid w:val="00785828"/>
    <w:rsid w:val="00785ABE"/>
    <w:rsid w:val="00785C42"/>
    <w:rsid w:val="00785E93"/>
    <w:rsid w:val="0078695B"/>
    <w:rsid w:val="0078718A"/>
    <w:rsid w:val="00787739"/>
    <w:rsid w:val="00787BD8"/>
    <w:rsid w:val="0079061F"/>
    <w:rsid w:val="00790F21"/>
    <w:rsid w:val="00790F49"/>
    <w:rsid w:val="00790FBA"/>
    <w:rsid w:val="00791D3F"/>
    <w:rsid w:val="00791E4C"/>
    <w:rsid w:val="00792095"/>
    <w:rsid w:val="007921A2"/>
    <w:rsid w:val="00792EB5"/>
    <w:rsid w:val="00793099"/>
    <w:rsid w:val="007938F6"/>
    <w:rsid w:val="00793F7A"/>
    <w:rsid w:val="0079404B"/>
    <w:rsid w:val="007943E3"/>
    <w:rsid w:val="00794C65"/>
    <w:rsid w:val="00795525"/>
    <w:rsid w:val="00795714"/>
    <w:rsid w:val="00795AC1"/>
    <w:rsid w:val="007973F8"/>
    <w:rsid w:val="007A0019"/>
    <w:rsid w:val="007A07A1"/>
    <w:rsid w:val="007A0DCD"/>
    <w:rsid w:val="007A1459"/>
    <w:rsid w:val="007A1E81"/>
    <w:rsid w:val="007A2206"/>
    <w:rsid w:val="007A3991"/>
    <w:rsid w:val="007A3B72"/>
    <w:rsid w:val="007A4136"/>
    <w:rsid w:val="007A41DF"/>
    <w:rsid w:val="007A4281"/>
    <w:rsid w:val="007A46BD"/>
    <w:rsid w:val="007A4EC3"/>
    <w:rsid w:val="007A5371"/>
    <w:rsid w:val="007A5392"/>
    <w:rsid w:val="007A5C0C"/>
    <w:rsid w:val="007A5F0F"/>
    <w:rsid w:val="007A6021"/>
    <w:rsid w:val="007A64FD"/>
    <w:rsid w:val="007A6688"/>
    <w:rsid w:val="007A68B6"/>
    <w:rsid w:val="007A6D55"/>
    <w:rsid w:val="007A7599"/>
    <w:rsid w:val="007A7E47"/>
    <w:rsid w:val="007B0182"/>
    <w:rsid w:val="007B0235"/>
    <w:rsid w:val="007B0B14"/>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0D"/>
    <w:rsid w:val="007B581C"/>
    <w:rsid w:val="007B5A07"/>
    <w:rsid w:val="007B5BF4"/>
    <w:rsid w:val="007B61DC"/>
    <w:rsid w:val="007B636A"/>
    <w:rsid w:val="007B70A7"/>
    <w:rsid w:val="007B7C28"/>
    <w:rsid w:val="007B7C71"/>
    <w:rsid w:val="007C01B0"/>
    <w:rsid w:val="007C02ED"/>
    <w:rsid w:val="007C063B"/>
    <w:rsid w:val="007C08AC"/>
    <w:rsid w:val="007C097D"/>
    <w:rsid w:val="007C0C35"/>
    <w:rsid w:val="007C1037"/>
    <w:rsid w:val="007C14F4"/>
    <w:rsid w:val="007C1530"/>
    <w:rsid w:val="007C1B96"/>
    <w:rsid w:val="007C29D3"/>
    <w:rsid w:val="007C2D2A"/>
    <w:rsid w:val="007C3743"/>
    <w:rsid w:val="007C3751"/>
    <w:rsid w:val="007C48F6"/>
    <w:rsid w:val="007C4D41"/>
    <w:rsid w:val="007C4E2F"/>
    <w:rsid w:val="007C52D9"/>
    <w:rsid w:val="007C58A5"/>
    <w:rsid w:val="007C5BDD"/>
    <w:rsid w:val="007C5F65"/>
    <w:rsid w:val="007C60A9"/>
    <w:rsid w:val="007C6268"/>
    <w:rsid w:val="007C650D"/>
    <w:rsid w:val="007C6A2A"/>
    <w:rsid w:val="007C6CB5"/>
    <w:rsid w:val="007C6E53"/>
    <w:rsid w:val="007C70C7"/>
    <w:rsid w:val="007C7EB2"/>
    <w:rsid w:val="007C7FD0"/>
    <w:rsid w:val="007D11AF"/>
    <w:rsid w:val="007D163B"/>
    <w:rsid w:val="007D16E6"/>
    <w:rsid w:val="007D1801"/>
    <w:rsid w:val="007D1B9F"/>
    <w:rsid w:val="007D1ED6"/>
    <w:rsid w:val="007D2196"/>
    <w:rsid w:val="007D2ACE"/>
    <w:rsid w:val="007D2D79"/>
    <w:rsid w:val="007D3C0A"/>
    <w:rsid w:val="007D49B4"/>
    <w:rsid w:val="007D54AB"/>
    <w:rsid w:val="007D596C"/>
    <w:rsid w:val="007D5EAE"/>
    <w:rsid w:val="007D6BB5"/>
    <w:rsid w:val="007D7298"/>
    <w:rsid w:val="007D7966"/>
    <w:rsid w:val="007E0441"/>
    <w:rsid w:val="007E047B"/>
    <w:rsid w:val="007E0866"/>
    <w:rsid w:val="007E0A41"/>
    <w:rsid w:val="007E1361"/>
    <w:rsid w:val="007E1821"/>
    <w:rsid w:val="007E18DB"/>
    <w:rsid w:val="007E1AA5"/>
    <w:rsid w:val="007E258D"/>
    <w:rsid w:val="007E26CB"/>
    <w:rsid w:val="007E2B43"/>
    <w:rsid w:val="007E3549"/>
    <w:rsid w:val="007E3E4E"/>
    <w:rsid w:val="007E430F"/>
    <w:rsid w:val="007E4719"/>
    <w:rsid w:val="007E474B"/>
    <w:rsid w:val="007E4800"/>
    <w:rsid w:val="007E4A53"/>
    <w:rsid w:val="007E4C6D"/>
    <w:rsid w:val="007E4E83"/>
    <w:rsid w:val="007E51A4"/>
    <w:rsid w:val="007E6284"/>
    <w:rsid w:val="007E680E"/>
    <w:rsid w:val="007E6D3A"/>
    <w:rsid w:val="007E6DD0"/>
    <w:rsid w:val="007E742D"/>
    <w:rsid w:val="007E790B"/>
    <w:rsid w:val="007E7951"/>
    <w:rsid w:val="007F0683"/>
    <w:rsid w:val="007F13D5"/>
    <w:rsid w:val="007F1942"/>
    <w:rsid w:val="007F1A4A"/>
    <w:rsid w:val="007F1AEE"/>
    <w:rsid w:val="007F21D5"/>
    <w:rsid w:val="007F2ED2"/>
    <w:rsid w:val="007F31AF"/>
    <w:rsid w:val="007F48F3"/>
    <w:rsid w:val="007F4DBC"/>
    <w:rsid w:val="007F5120"/>
    <w:rsid w:val="007F51C7"/>
    <w:rsid w:val="007F564E"/>
    <w:rsid w:val="007F6A4C"/>
    <w:rsid w:val="007F6B6E"/>
    <w:rsid w:val="007F7CEB"/>
    <w:rsid w:val="0080082C"/>
    <w:rsid w:val="00800940"/>
    <w:rsid w:val="00800C86"/>
    <w:rsid w:val="0080106A"/>
    <w:rsid w:val="00801F9D"/>
    <w:rsid w:val="00802285"/>
    <w:rsid w:val="008024DE"/>
    <w:rsid w:val="00802B1C"/>
    <w:rsid w:val="00802FB1"/>
    <w:rsid w:val="008035AD"/>
    <w:rsid w:val="00804794"/>
    <w:rsid w:val="0080498D"/>
    <w:rsid w:val="00804B35"/>
    <w:rsid w:val="00804BEB"/>
    <w:rsid w:val="0080500E"/>
    <w:rsid w:val="00805E5C"/>
    <w:rsid w:val="00805FF2"/>
    <w:rsid w:val="0080619A"/>
    <w:rsid w:val="008071C6"/>
    <w:rsid w:val="00807C06"/>
    <w:rsid w:val="00807C5C"/>
    <w:rsid w:val="0081028B"/>
    <w:rsid w:val="008109F9"/>
    <w:rsid w:val="0081142F"/>
    <w:rsid w:val="008114DD"/>
    <w:rsid w:val="00811B8D"/>
    <w:rsid w:val="00812173"/>
    <w:rsid w:val="008121B5"/>
    <w:rsid w:val="0081237B"/>
    <w:rsid w:val="008127F0"/>
    <w:rsid w:val="0081296F"/>
    <w:rsid w:val="00813328"/>
    <w:rsid w:val="00813C80"/>
    <w:rsid w:val="00813F88"/>
    <w:rsid w:val="00813FE7"/>
    <w:rsid w:val="008146A8"/>
    <w:rsid w:val="00814C55"/>
    <w:rsid w:val="00814DC3"/>
    <w:rsid w:val="008153EA"/>
    <w:rsid w:val="008156B6"/>
    <w:rsid w:val="00815858"/>
    <w:rsid w:val="00816DAF"/>
    <w:rsid w:val="00817472"/>
    <w:rsid w:val="00817CE6"/>
    <w:rsid w:val="008203EE"/>
    <w:rsid w:val="00820FBE"/>
    <w:rsid w:val="00821455"/>
    <w:rsid w:val="00821BC6"/>
    <w:rsid w:val="00822075"/>
    <w:rsid w:val="0082274E"/>
    <w:rsid w:val="00823002"/>
    <w:rsid w:val="008239DE"/>
    <w:rsid w:val="00823AD6"/>
    <w:rsid w:val="00823D17"/>
    <w:rsid w:val="00823DD2"/>
    <w:rsid w:val="00824525"/>
    <w:rsid w:val="008248A6"/>
    <w:rsid w:val="00824A8D"/>
    <w:rsid w:val="00824F16"/>
    <w:rsid w:val="008256F5"/>
    <w:rsid w:val="008258C8"/>
    <w:rsid w:val="00826134"/>
    <w:rsid w:val="00826CF4"/>
    <w:rsid w:val="00827355"/>
    <w:rsid w:val="0082786F"/>
    <w:rsid w:val="00827BF2"/>
    <w:rsid w:val="008300B3"/>
    <w:rsid w:val="00830614"/>
    <w:rsid w:val="00830814"/>
    <w:rsid w:val="00830AF7"/>
    <w:rsid w:val="0083141D"/>
    <w:rsid w:val="008322BF"/>
    <w:rsid w:val="00832409"/>
    <w:rsid w:val="00832856"/>
    <w:rsid w:val="00832F28"/>
    <w:rsid w:val="0083330F"/>
    <w:rsid w:val="008335F7"/>
    <w:rsid w:val="00833919"/>
    <w:rsid w:val="00833A5A"/>
    <w:rsid w:val="00833B06"/>
    <w:rsid w:val="008341AC"/>
    <w:rsid w:val="00834823"/>
    <w:rsid w:val="00834C4A"/>
    <w:rsid w:val="00835200"/>
    <w:rsid w:val="00835569"/>
    <w:rsid w:val="00835653"/>
    <w:rsid w:val="00835F50"/>
    <w:rsid w:val="00836530"/>
    <w:rsid w:val="008368EB"/>
    <w:rsid w:val="00836A58"/>
    <w:rsid w:val="00836B0B"/>
    <w:rsid w:val="00836C0B"/>
    <w:rsid w:val="00837650"/>
    <w:rsid w:val="008378CA"/>
    <w:rsid w:val="0084046F"/>
    <w:rsid w:val="00840543"/>
    <w:rsid w:val="008408B0"/>
    <w:rsid w:val="00840BB3"/>
    <w:rsid w:val="008411F9"/>
    <w:rsid w:val="008414EE"/>
    <w:rsid w:val="008417C0"/>
    <w:rsid w:val="00841A02"/>
    <w:rsid w:val="00841CB0"/>
    <w:rsid w:val="008423A3"/>
    <w:rsid w:val="00842511"/>
    <w:rsid w:val="00842607"/>
    <w:rsid w:val="00842772"/>
    <w:rsid w:val="00842A26"/>
    <w:rsid w:val="00842D01"/>
    <w:rsid w:val="00842DD9"/>
    <w:rsid w:val="00843EB9"/>
    <w:rsid w:val="00844D80"/>
    <w:rsid w:val="00845960"/>
    <w:rsid w:val="00845A09"/>
    <w:rsid w:val="00845FD8"/>
    <w:rsid w:val="0084681D"/>
    <w:rsid w:val="00846A30"/>
    <w:rsid w:val="00847165"/>
    <w:rsid w:val="0084731A"/>
    <w:rsid w:val="0084738C"/>
    <w:rsid w:val="00847AC9"/>
    <w:rsid w:val="00847BA2"/>
    <w:rsid w:val="00847CDC"/>
    <w:rsid w:val="00847E66"/>
    <w:rsid w:val="00847EE3"/>
    <w:rsid w:val="008512B6"/>
    <w:rsid w:val="008527E7"/>
    <w:rsid w:val="008535A3"/>
    <w:rsid w:val="008537AB"/>
    <w:rsid w:val="00853C56"/>
    <w:rsid w:val="0085469B"/>
    <w:rsid w:val="00854DDE"/>
    <w:rsid w:val="00855195"/>
    <w:rsid w:val="0085621A"/>
    <w:rsid w:val="008563A7"/>
    <w:rsid w:val="008564FF"/>
    <w:rsid w:val="008565BD"/>
    <w:rsid w:val="00856CC6"/>
    <w:rsid w:val="00857ED6"/>
    <w:rsid w:val="008608D1"/>
    <w:rsid w:val="00860C3D"/>
    <w:rsid w:val="00860FEA"/>
    <w:rsid w:val="00861C57"/>
    <w:rsid w:val="00861CA3"/>
    <w:rsid w:val="00862FDF"/>
    <w:rsid w:val="008632BD"/>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72B7"/>
    <w:rsid w:val="00870AA1"/>
    <w:rsid w:val="00871FE2"/>
    <w:rsid w:val="0087270A"/>
    <w:rsid w:val="0087273A"/>
    <w:rsid w:val="00873CC8"/>
    <w:rsid w:val="00875831"/>
    <w:rsid w:val="0087609C"/>
    <w:rsid w:val="008760D2"/>
    <w:rsid w:val="00876979"/>
    <w:rsid w:val="00880392"/>
    <w:rsid w:val="00880EC4"/>
    <w:rsid w:val="00881527"/>
    <w:rsid w:val="00881647"/>
    <w:rsid w:val="00881C5B"/>
    <w:rsid w:val="0088232E"/>
    <w:rsid w:val="00882881"/>
    <w:rsid w:val="00882A67"/>
    <w:rsid w:val="00883A33"/>
    <w:rsid w:val="00883CD9"/>
    <w:rsid w:val="00883E93"/>
    <w:rsid w:val="00884385"/>
    <w:rsid w:val="00884B98"/>
    <w:rsid w:val="00884D97"/>
    <w:rsid w:val="00885240"/>
    <w:rsid w:val="00885973"/>
    <w:rsid w:val="00885B84"/>
    <w:rsid w:val="00886106"/>
    <w:rsid w:val="00887C7A"/>
    <w:rsid w:val="00887FCA"/>
    <w:rsid w:val="00890221"/>
    <w:rsid w:val="00890388"/>
    <w:rsid w:val="00891392"/>
    <w:rsid w:val="008915C6"/>
    <w:rsid w:val="00891833"/>
    <w:rsid w:val="008922B1"/>
    <w:rsid w:val="0089267E"/>
    <w:rsid w:val="00892AE2"/>
    <w:rsid w:val="00892B40"/>
    <w:rsid w:val="0089348C"/>
    <w:rsid w:val="0089475A"/>
    <w:rsid w:val="00894AB7"/>
    <w:rsid w:val="00894B93"/>
    <w:rsid w:val="00894C62"/>
    <w:rsid w:val="00894D5F"/>
    <w:rsid w:val="008964EE"/>
    <w:rsid w:val="0089656A"/>
    <w:rsid w:val="00896B5B"/>
    <w:rsid w:val="0089754F"/>
    <w:rsid w:val="008A0341"/>
    <w:rsid w:val="008A06B1"/>
    <w:rsid w:val="008A07C4"/>
    <w:rsid w:val="008A0E09"/>
    <w:rsid w:val="008A1339"/>
    <w:rsid w:val="008A211B"/>
    <w:rsid w:val="008A23F0"/>
    <w:rsid w:val="008A2988"/>
    <w:rsid w:val="008A2AE7"/>
    <w:rsid w:val="008A2E2C"/>
    <w:rsid w:val="008A2FF2"/>
    <w:rsid w:val="008A37BD"/>
    <w:rsid w:val="008A3E66"/>
    <w:rsid w:val="008A4438"/>
    <w:rsid w:val="008A5267"/>
    <w:rsid w:val="008A5A95"/>
    <w:rsid w:val="008A5B38"/>
    <w:rsid w:val="008A6057"/>
    <w:rsid w:val="008A7228"/>
    <w:rsid w:val="008A7648"/>
    <w:rsid w:val="008A76EA"/>
    <w:rsid w:val="008A77D6"/>
    <w:rsid w:val="008A7B29"/>
    <w:rsid w:val="008A7CBB"/>
    <w:rsid w:val="008A7D45"/>
    <w:rsid w:val="008B0A2F"/>
    <w:rsid w:val="008B1219"/>
    <w:rsid w:val="008B127E"/>
    <w:rsid w:val="008B2130"/>
    <w:rsid w:val="008B2220"/>
    <w:rsid w:val="008B2C7A"/>
    <w:rsid w:val="008B3208"/>
    <w:rsid w:val="008B4293"/>
    <w:rsid w:val="008B4A69"/>
    <w:rsid w:val="008B4CA4"/>
    <w:rsid w:val="008B4CD5"/>
    <w:rsid w:val="008B5551"/>
    <w:rsid w:val="008B5706"/>
    <w:rsid w:val="008B5F4E"/>
    <w:rsid w:val="008B602D"/>
    <w:rsid w:val="008B6825"/>
    <w:rsid w:val="008B6852"/>
    <w:rsid w:val="008B6B3C"/>
    <w:rsid w:val="008B70C2"/>
    <w:rsid w:val="008B71CE"/>
    <w:rsid w:val="008B76F4"/>
    <w:rsid w:val="008B7909"/>
    <w:rsid w:val="008B7F6E"/>
    <w:rsid w:val="008C00B8"/>
    <w:rsid w:val="008C06A1"/>
    <w:rsid w:val="008C0AE3"/>
    <w:rsid w:val="008C148A"/>
    <w:rsid w:val="008C1789"/>
    <w:rsid w:val="008C1AFB"/>
    <w:rsid w:val="008C1D97"/>
    <w:rsid w:val="008C22B4"/>
    <w:rsid w:val="008C2B58"/>
    <w:rsid w:val="008C2BAD"/>
    <w:rsid w:val="008C313A"/>
    <w:rsid w:val="008C31B9"/>
    <w:rsid w:val="008C350B"/>
    <w:rsid w:val="008C485C"/>
    <w:rsid w:val="008C4BE7"/>
    <w:rsid w:val="008C62F3"/>
    <w:rsid w:val="008C66B0"/>
    <w:rsid w:val="008C6A4B"/>
    <w:rsid w:val="008C6BC8"/>
    <w:rsid w:val="008C6BF5"/>
    <w:rsid w:val="008C6CFD"/>
    <w:rsid w:val="008C79A3"/>
    <w:rsid w:val="008C7AFD"/>
    <w:rsid w:val="008C7C10"/>
    <w:rsid w:val="008C7D55"/>
    <w:rsid w:val="008C7F97"/>
    <w:rsid w:val="008D0165"/>
    <w:rsid w:val="008D0686"/>
    <w:rsid w:val="008D1671"/>
    <w:rsid w:val="008D1CCC"/>
    <w:rsid w:val="008D1DDF"/>
    <w:rsid w:val="008D246B"/>
    <w:rsid w:val="008D2DDA"/>
    <w:rsid w:val="008D3FA9"/>
    <w:rsid w:val="008D419D"/>
    <w:rsid w:val="008D4430"/>
    <w:rsid w:val="008D4850"/>
    <w:rsid w:val="008D56AD"/>
    <w:rsid w:val="008D5F16"/>
    <w:rsid w:val="008D6780"/>
    <w:rsid w:val="008D6AED"/>
    <w:rsid w:val="008D782E"/>
    <w:rsid w:val="008D79DD"/>
    <w:rsid w:val="008E01B6"/>
    <w:rsid w:val="008E0BCD"/>
    <w:rsid w:val="008E0C5F"/>
    <w:rsid w:val="008E1700"/>
    <w:rsid w:val="008E19C3"/>
    <w:rsid w:val="008E1DB9"/>
    <w:rsid w:val="008E2381"/>
    <w:rsid w:val="008E24C4"/>
    <w:rsid w:val="008E2D96"/>
    <w:rsid w:val="008E349A"/>
    <w:rsid w:val="008E3CEB"/>
    <w:rsid w:val="008E3DEF"/>
    <w:rsid w:val="008E459B"/>
    <w:rsid w:val="008E483E"/>
    <w:rsid w:val="008E4885"/>
    <w:rsid w:val="008E50BF"/>
    <w:rsid w:val="008E54BF"/>
    <w:rsid w:val="008F0EEF"/>
    <w:rsid w:val="008F0FCF"/>
    <w:rsid w:val="008F105D"/>
    <w:rsid w:val="008F17CE"/>
    <w:rsid w:val="008F1944"/>
    <w:rsid w:val="008F1B14"/>
    <w:rsid w:val="008F33A3"/>
    <w:rsid w:val="008F33D0"/>
    <w:rsid w:val="008F37A1"/>
    <w:rsid w:val="008F38A2"/>
    <w:rsid w:val="008F3987"/>
    <w:rsid w:val="008F3AE2"/>
    <w:rsid w:val="008F3BCA"/>
    <w:rsid w:val="008F4181"/>
    <w:rsid w:val="008F4A8F"/>
    <w:rsid w:val="008F4B75"/>
    <w:rsid w:val="008F4E0A"/>
    <w:rsid w:val="008F5072"/>
    <w:rsid w:val="008F52AF"/>
    <w:rsid w:val="008F5D62"/>
    <w:rsid w:val="008F6527"/>
    <w:rsid w:val="008F68E4"/>
    <w:rsid w:val="008F68FC"/>
    <w:rsid w:val="008F6C12"/>
    <w:rsid w:val="008F6D96"/>
    <w:rsid w:val="008F6E78"/>
    <w:rsid w:val="008F7233"/>
    <w:rsid w:val="008F72B5"/>
    <w:rsid w:val="008F7A9E"/>
    <w:rsid w:val="008F7B23"/>
    <w:rsid w:val="008F7BD5"/>
    <w:rsid w:val="008F7CD1"/>
    <w:rsid w:val="00900636"/>
    <w:rsid w:val="00900998"/>
    <w:rsid w:val="00900D17"/>
    <w:rsid w:val="00900D6B"/>
    <w:rsid w:val="009011D1"/>
    <w:rsid w:val="00902204"/>
    <w:rsid w:val="0090295F"/>
    <w:rsid w:val="00902FAF"/>
    <w:rsid w:val="009032E3"/>
    <w:rsid w:val="009034A9"/>
    <w:rsid w:val="00903723"/>
    <w:rsid w:val="00904689"/>
    <w:rsid w:val="009046D9"/>
    <w:rsid w:val="00905EF6"/>
    <w:rsid w:val="00906151"/>
    <w:rsid w:val="009061B5"/>
    <w:rsid w:val="00906743"/>
    <w:rsid w:val="00906EEE"/>
    <w:rsid w:val="00906FFE"/>
    <w:rsid w:val="009070BD"/>
    <w:rsid w:val="009075D3"/>
    <w:rsid w:val="00907E98"/>
    <w:rsid w:val="0091099D"/>
    <w:rsid w:val="00910FF6"/>
    <w:rsid w:val="0091173A"/>
    <w:rsid w:val="00911AE3"/>
    <w:rsid w:val="00912182"/>
    <w:rsid w:val="0091227A"/>
    <w:rsid w:val="009122D6"/>
    <w:rsid w:val="00913571"/>
    <w:rsid w:val="00913660"/>
    <w:rsid w:val="00914620"/>
    <w:rsid w:val="00915151"/>
    <w:rsid w:val="0091541C"/>
    <w:rsid w:val="009156EA"/>
    <w:rsid w:val="00915AF0"/>
    <w:rsid w:val="00915E88"/>
    <w:rsid w:val="00916037"/>
    <w:rsid w:val="009170A9"/>
    <w:rsid w:val="0091725B"/>
    <w:rsid w:val="0091765A"/>
    <w:rsid w:val="00917B21"/>
    <w:rsid w:val="00917E2B"/>
    <w:rsid w:val="009206BE"/>
    <w:rsid w:val="00920DE9"/>
    <w:rsid w:val="00921443"/>
    <w:rsid w:val="009214FB"/>
    <w:rsid w:val="009215EC"/>
    <w:rsid w:val="0092168E"/>
    <w:rsid w:val="00921CC1"/>
    <w:rsid w:val="00921F05"/>
    <w:rsid w:val="00922479"/>
    <w:rsid w:val="009224A8"/>
    <w:rsid w:val="00922CF5"/>
    <w:rsid w:val="00923016"/>
    <w:rsid w:val="00923073"/>
    <w:rsid w:val="00923096"/>
    <w:rsid w:val="0092339A"/>
    <w:rsid w:val="0092342F"/>
    <w:rsid w:val="00923481"/>
    <w:rsid w:val="00923D07"/>
    <w:rsid w:val="00923F9C"/>
    <w:rsid w:val="00924E27"/>
    <w:rsid w:val="0092509F"/>
    <w:rsid w:val="009251DF"/>
    <w:rsid w:val="009252F3"/>
    <w:rsid w:val="009255DF"/>
    <w:rsid w:val="00925642"/>
    <w:rsid w:val="00925FDB"/>
    <w:rsid w:val="0092655B"/>
    <w:rsid w:val="0092745C"/>
    <w:rsid w:val="009302D8"/>
    <w:rsid w:val="00930860"/>
    <w:rsid w:val="00930BB2"/>
    <w:rsid w:val="00930DDE"/>
    <w:rsid w:val="0093148B"/>
    <w:rsid w:val="00931D14"/>
    <w:rsid w:val="00932158"/>
    <w:rsid w:val="00932A00"/>
    <w:rsid w:val="00932F48"/>
    <w:rsid w:val="00933049"/>
    <w:rsid w:val="00933216"/>
    <w:rsid w:val="009332DE"/>
    <w:rsid w:val="0093331A"/>
    <w:rsid w:val="009333E9"/>
    <w:rsid w:val="00933E8C"/>
    <w:rsid w:val="00934125"/>
    <w:rsid w:val="00934442"/>
    <w:rsid w:val="00934695"/>
    <w:rsid w:val="009347BF"/>
    <w:rsid w:val="00934880"/>
    <w:rsid w:val="00934CDC"/>
    <w:rsid w:val="00934F82"/>
    <w:rsid w:val="0093559E"/>
    <w:rsid w:val="00935D35"/>
    <w:rsid w:val="0093631F"/>
    <w:rsid w:val="0093658F"/>
    <w:rsid w:val="0093728A"/>
    <w:rsid w:val="009375FB"/>
    <w:rsid w:val="00937C75"/>
    <w:rsid w:val="00940241"/>
    <w:rsid w:val="0094025C"/>
    <w:rsid w:val="00940CDE"/>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AAA"/>
    <w:rsid w:val="0094620E"/>
    <w:rsid w:val="00946942"/>
    <w:rsid w:val="00946CF6"/>
    <w:rsid w:val="0094725D"/>
    <w:rsid w:val="00947406"/>
    <w:rsid w:val="009475C0"/>
    <w:rsid w:val="00947974"/>
    <w:rsid w:val="009501AD"/>
    <w:rsid w:val="009506DE"/>
    <w:rsid w:val="009509D2"/>
    <w:rsid w:val="00950E9A"/>
    <w:rsid w:val="009512F7"/>
    <w:rsid w:val="00951376"/>
    <w:rsid w:val="00951EB3"/>
    <w:rsid w:val="00952539"/>
    <w:rsid w:val="009526B6"/>
    <w:rsid w:val="00952A01"/>
    <w:rsid w:val="00952B32"/>
    <w:rsid w:val="00953496"/>
    <w:rsid w:val="00954656"/>
    <w:rsid w:val="009548A4"/>
    <w:rsid w:val="00954983"/>
    <w:rsid w:val="00954B84"/>
    <w:rsid w:val="00954DA7"/>
    <w:rsid w:val="0095510F"/>
    <w:rsid w:val="00955483"/>
    <w:rsid w:val="0095550E"/>
    <w:rsid w:val="00955562"/>
    <w:rsid w:val="009559BF"/>
    <w:rsid w:val="00955B7C"/>
    <w:rsid w:val="009560E4"/>
    <w:rsid w:val="00957BB3"/>
    <w:rsid w:val="00957FD7"/>
    <w:rsid w:val="00960451"/>
    <w:rsid w:val="00960B32"/>
    <w:rsid w:val="00961127"/>
    <w:rsid w:val="00961150"/>
    <w:rsid w:val="0096122A"/>
    <w:rsid w:val="0096133D"/>
    <w:rsid w:val="00961432"/>
    <w:rsid w:val="00961602"/>
    <w:rsid w:val="009617FB"/>
    <w:rsid w:val="00961B35"/>
    <w:rsid w:val="00961CAE"/>
    <w:rsid w:val="00962EEE"/>
    <w:rsid w:val="00963088"/>
    <w:rsid w:val="00963592"/>
    <w:rsid w:val="00963E9E"/>
    <w:rsid w:val="00963EB8"/>
    <w:rsid w:val="0096443A"/>
    <w:rsid w:val="00964659"/>
    <w:rsid w:val="00964C55"/>
    <w:rsid w:val="009652C7"/>
    <w:rsid w:val="009654D4"/>
    <w:rsid w:val="00965856"/>
    <w:rsid w:val="00966F0A"/>
    <w:rsid w:val="009672D0"/>
    <w:rsid w:val="00967355"/>
    <w:rsid w:val="00967C37"/>
    <w:rsid w:val="00967C99"/>
    <w:rsid w:val="00967D81"/>
    <w:rsid w:val="00967F2D"/>
    <w:rsid w:val="009700A0"/>
    <w:rsid w:val="009703E6"/>
    <w:rsid w:val="00970D80"/>
    <w:rsid w:val="00970DA1"/>
    <w:rsid w:val="009712D0"/>
    <w:rsid w:val="00971861"/>
    <w:rsid w:val="0097199E"/>
    <w:rsid w:val="00971A2C"/>
    <w:rsid w:val="00971EB0"/>
    <w:rsid w:val="00971EBA"/>
    <w:rsid w:val="00971F88"/>
    <w:rsid w:val="0097236C"/>
    <w:rsid w:val="009723D3"/>
    <w:rsid w:val="0097270C"/>
    <w:rsid w:val="00972B5E"/>
    <w:rsid w:val="009732A0"/>
    <w:rsid w:val="00973455"/>
    <w:rsid w:val="00974663"/>
    <w:rsid w:val="00975273"/>
    <w:rsid w:val="00975502"/>
    <w:rsid w:val="00975ABC"/>
    <w:rsid w:val="00975BC0"/>
    <w:rsid w:val="0097606C"/>
    <w:rsid w:val="0097666A"/>
    <w:rsid w:val="00976687"/>
    <w:rsid w:val="00976DEF"/>
    <w:rsid w:val="0097780A"/>
    <w:rsid w:val="00977AD2"/>
    <w:rsid w:val="009801F0"/>
    <w:rsid w:val="0098023C"/>
    <w:rsid w:val="00980A02"/>
    <w:rsid w:val="00980A17"/>
    <w:rsid w:val="00980AC8"/>
    <w:rsid w:val="00980E93"/>
    <w:rsid w:val="009810B1"/>
    <w:rsid w:val="00981662"/>
    <w:rsid w:val="0098295D"/>
    <w:rsid w:val="0098296D"/>
    <w:rsid w:val="009838A3"/>
    <w:rsid w:val="009841E9"/>
    <w:rsid w:val="00984426"/>
    <w:rsid w:val="009847B2"/>
    <w:rsid w:val="00985221"/>
    <w:rsid w:val="00985CDD"/>
    <w:rsid w:val="00985CEF"/>
    <w:rsid w:val="009861FD"/>
    <w:rsid w:val="00986C9A"/>
    <w:rsid w:val="00986CAA"/>
    <w:rsid w:val="00986ECB"/>
    <w:rsid w:val="00987A1B"/>
    <w:rsid w:val="00987AF5"/>
    <w:rsid w:val="00987E02"/>
    <w:rsid w:val="009904FB"/>
    <w:rsid w:val="0099111E"/>
    <w:rsid w:val="00992669"/>
    <w:rsid w:val="0099275E"/>
    <w:rsid w:val="009928D2"/>
    <w:rsid w:val="00992BDA"/>
    <w:rsid w:val="009934A5"/>
    <w:rsid w:val="00993526"/>
    <w:rsid w:val="00993753"/>
    <w:rsid w:val="009937EF"/>
    <w:rsid w:val="00993AED"/>
    <w:rsid w:val="00993CB9"/>
    <w:rsid w:val="00994399"/>
    <w:rsid w:val="009953B3"/>
    <w:rsid w:val="0099569A"/>
    <w:rsid w:val="009958F0"/>
    <w:rsid w:val="00995CDC"/>
    <w:rsid w:val="00995F9F"/>
    <w:rsid w:val="009962DD"/>
    <w:rsid w:val="009966B8"/>
    <w:rsid w:val="00997154"/>
    <w:rsid w:val="009971D9"/>
    <w:rsid w:val="009975BE"/>
    <w:rsid w:val="009A0832"/>
    <w:rsid w:val="009A0A80"/>
    <w:rsid w:val="009A1A32"/>
    <w:rsid w:val="009A27A2"/>
    <w:rsid w:val="009A2A0D"/>
    <w:rsid w:val="009A37DB"/>
    <w:rsid w:val="009A3A8C"/>
    <w:rsid w:val="009A3C6A"/>
    <w:rsid w:val="009A405F"/>
    <w:rsid w:val="009A4518"/>
    <w:rsid w:val="009A456B"/>
    <w:rsid w:val="009A4756"/>
    <w:rsid w:val="009A490B"/>
    <w:rsid w:val="009A4D05"/>
    <w:rsid w:val="009A5777"/>
    <w:rsid w:val="009A5E17"/>
    <w:rsid w:val="009A68FD"/>
    <w:rsid w:val="009A6929"/>
    <w:rsid w:val="009A6B43"/>
    <w:rsid w:val="009A6B45"/>
    <w:rsid w:val="009A72E4"/>
    <w:rsid w:val="009A7B1E"/>
    <w:rsid w:val="009B02D8"/>
    <w:rsid w:val="009B128F"/>
    <w:rsid w:val="009B13A8"/>
    <w:rsid w:val="009B1523"/>
    <w:rsid w:val="009B1EA8"/>
    <w:rsid w:val="009B23B6"/>
    <w:rsid w:val="009B2791"/>
    <w:rsid w:val="009B29EC"/>
    <w:rsid w:val="009B2A8A"/>
    <w:rsid w:val="009B2F15"/>
    <w:rsid w:val="009B35E6"/>
    <w:rsid w:val="009B363A"/>
    <w:rsid w:val="009B3F20"/>
    <w:rsid w:val="009B459D"/>
    <w:rsid w:val="009B4A8F"/>
    <w:rsid w:val="009B5A21"/>
    <w:rsid w:val="009B5E00"/>
    <w:rsid w:val="009B5EAD"/>
    <w:rsid w:val="009B63FF"/>
    <w:rsid w:val="009B67F2"/>
    <w:rsid w:val="009B6BFD"/>
    <w:rsid w:val="009B6D68"/>
    <w:rsid w:val="009B6F24"/>
    <w:rsid w:val="009B7194"/>
    <w:rsid w:val="009B72CB"/>
    <w:rsid w:val="009B733F"/>
    <w:rsid w:val="009B773C"/>
    <w:rsid w:val="009B7839"/>
    <w:rsid w:val="009B7868"/>
    <w:rsid w:val="009B7F1B"/>
    <w:rsid w:val="009C08BE"/>
    <w:rsid w:val="009C12ED"/>
    <w:rsid w:val="009C1495"/>
    <w:rsid w:val="009C1900"/>
    <w:rsid w:val="009C1B75"/>
    <w:rsid w:val="009C1BFA"/>
    <w:rsid w:val="009C1C1A"/>
    <w:rsid w:val="009C1D34"/>
    <w:rsid w:val="009C2097"/>
    <w:rsid w:val="009C218A"/>
    <w:rsid w:val="009C2FC3"/>
    <w:rsid w:val="009C3259"/>
    <w:rsid w:val="009C3EA0"/>
    <w:rsid w:val="009C3EC4"/>
    <w:rsid w:val="009C4480"/>
    <w:rsid w:val="009C45C0"/>
    <w:rsid w:val="009C46EE"/>
    <w:rsid w:val="009C497D"/>
    <w:rsid w:val="009C4CF3"/>
    <w:rsid w:val="009C4D45"/>
    <w:rsid w:val="009C520F"/>
    <w:rsid w:val="009C5D2A"/>
    <w:rsid w:val="009C5F26"/>
    <w:rsid w:val="009C60C8"/>
    <w:rsid w:val="009C6D3D"/>
    <w:rsid w:val="009C7050"/>
    <w:rsid w:val="009C72D3"/>
    <w:rsid w:val="009D0058"/>
    <w:rsid w:val="009D00D1"/>
    <w:rsid w:val="009D0AB0"/>
    <w:rsid w:val="009D0B24"/>
    <w:rsid w:val="009D0DA8"/>
    <w:rsid w:val="009D1463"/>
    <w:rsid w:val="009D14B7"/>
    <w:rsid w:val="009D263C"/>
    <w:rsid w:val="009D2753"/>
    <w:rsid w:val="009D2872"/>
    <w:rsid w:val="009D2BE9"/>
    <w:rsid w:val="009D2C0A"/>
    <w:rsid w:val="009D2D2E"/>
    <w:rsid w:val="009D400F"/>
    <w:rsid w:val="009D4092"/>
    <w:rsid w:val="009D4204"/>
    <w:rsid w:val="009D4487"/>
    <w:rsid w:val="009D4595"/>
    <w:rsid w:val="009D46AA"/>
    <w:rsid w:val="009D490E"/>
    <w:rsid w:val="009D4D88"/>
    <w:rsid w:val="009D50C6"/>
    <w:rsid w:val="009D573D"/>
    <w:rsid w:val="009D587C"/>
    <w:rsid w:val="009D5C88"/>
    <w:rsid w:val="009D60F8"/>
    <w:rsid w:val="009D61DE"/>
    <w:rsid w:val="009D62C0"/>
    <w:rsid w:val="009D6A9A"/>
    <w:rsid w:val="009D7203"/>
    <w:rsid w:val="009D72B4"/>
    <w:rsid w:val="009D74C7"/>
    <w:rsid w:val="009E0655"/>
    <w:rsid w:val="009E0DDC"/>
    <w:rsid w:val="009E1D8D"/>
    <w:rsid w:val="009E2C78"/>
    <w:rsid w:val="009E2D24"/>
    <w:rsid w:val="009E3156"/>
    <w:rsid w:val="009E3E27"/>
    <w:rsid w:val="009E3F29"/>
    <w:rsid w:val="009E433C"/>
    <w:rsid w:val="009E4C0F"/>
    <w:rsid w:val="009E59AA"/>
    <w:rsid w:val="009E6BBC"/>
    <w:rsid w:val="009E6DF4"/>
    <w:rsid w:val="009E6FC2"/>
    <w:rsid w:val="009E706B"/>
    <w:rsid w:val="009E760B"/>
    <w:rsid w:val="009E77EC"/>
    <w:rsid w:val="009E7EB9"/>
    <w:rsid w:val="009F028C"/>
    <w:rsid w:val="009F04C0"/>
    <w:rsid w:val="009F0A25"/>
    <w:rsid w:val="009F0B00"/>
    <w:rsid w:val="009F1047"/>
    <w:rsid w:val="009F264D"/>
    <w:rsid w:val="009F2792"/>
    <w:rsid w:val="009F2C44"/>
    <w:rsid w:val="009F3152"/>
    <w:rsid w:val="009F346F"/>
    <w:rsid w:val="009F3C47"/>
    <w:rsid w:val="009F3F57"/>
    <w:rsid w:val="009F402A"/>
    <w:rsid w:val="009F4121"/>
    <w:rsid w:val="009F4194"/>
    <w:rsid w:val="009F44CC"/>
    <w:rsid w:val="009F4A0C"/>
    <w:rsid w:val="009F5579"/>
    <w:rsid w:val="009F5BDC"/>
    <w:rsid w:val="009F6ED5"/>
    <w:rsid w:val="00A00023"/>
    <w:rsid w:val="00A00029"/>
    <w:rsid w:val="00A004F9"/>
    <w:rsid w:val="00A009B6"/>
    <w:rsid w:val="00A00B8B"/>
    <w:rsid w:val="00A00D66"/>
    <w:rsid w:val="00A01170"/>
    <w:rsid w:val="00A012AA"/>
    <w:rsid w:val="00A01559"/>
    <w:rsid w:val="00A02036"/>
    <w:rsid w:val="00A02F03"/>
    <w:rsid w:val="00A031CA"/>
    <w:rsid w:val="00A036E1"/>
    <w:rsid w:val="00A038BB"/>
    <w:rsid w:val="00A03DB5"/>
    <w:rsid w:val="00A03FB4"/>
    <w:rsid w:val="00A04517"/>
    <w:rsid w:val="00A049A1"/>
    <w:rsid w:val="00A04A43"/>
    <w:rsid w:val="00A0529B"/>
    <w:rsid w:val="00A055A8"/>
    <w:rsid w:val="00A066BB"/>
    <w:rsid w:val="00A069CC"/>
    <w:rsid w:val="00A069E1"/>
    <w:rsid w:val="00A06AA9"/>
    <w:rsid w:val="00A06DB4"/>
    <w:rsid w:val="00A06DD6"/>
    <w:rsid w:val="00A07444"/>
    <w:rsid w:val="00A07DE4"/>
    <w:rsid w:val="00A10BCD"/>
    <w:rsid w:val="00A1115D"/>
    <w:rsid w:val="00A1134E"/>
    <w:rsid w:val="00A1190C"/>
    <w:rsid w:val="00A11D7D"/>
    <w:rsid w:val="00A11E36"/>
    <w:rsid w:val="00A13018"/>
    <w:rsid w:val="00A13033"/>
    <w:rsid w:val="00A138C7"/>
    <w:rsid w:val="00A13BC6"/>
    <w:rsid w:val="00A13CE6"/>
    <w:rsid w:val="00A14621"/>
    <w:rsid w:val="00A14B5B"/>
    <w:rsid w:val="00A15448"/>
    <w:rsid w:val="00A162FE"/>
    <w:rsid w:val="00A16426"/>
    <w:rsid w:val="00A16623"/>
    <w:rsid w:val="00A175B5"/>
    <w:rsid w:val="00A17D19"/>
    <w:rsid w:val="00A204F1"/>
    <w:rsid w:val="00A2113F"/>
    <w:rsid w:val="00A21ED7"/>
    <w:rsid w:val="00A22793"/>
    <w:rsid w:val="00A23DD4"/>
    <w:rsid w:val="00A242F7"/>
    <w:rsid w:val="00A2436E"/>
    <w:rsid w:val="00A24573"/>
    <w:rsid w:val="00A245DC"/>
    <w:rsid w:val="00A2480A"/>
    <w:rsid w:val="00A2491B"/>
    <w:rsid w:val="00A2507B"/>
    <w:rsid w:val="00A25FD1"/>
    <w:rsid w:val="00A261F1"/>
    <w:rsid w:val="00A263C8"/>
    <w:rsid w:val="00A2658D"/>
    <w:rsid w:val="00A267C2"/>
    <w:rsid w:val="00A272A4"/>
    <w:rsid w:val="00A2746C"/>
    <w:rsid w:val="00A27C01"/>
    <w:rsid w:val="00A30679"/>
    <w:rsid w:val="00A30B27"/>
    <w:rsid w:val="00A30D6C"/>
    <w:rsid w:val="00A317DB"/>
    <w:rsid w:val="00A32610"/>
    <w:rsid w:val="00A32B20"/>
    <w:rsid w:val="00A33004"/>
    <w:rsid w:val="00A3309A"/>
    <w:rsid w:val="00A33969"/>
    <w:rsid w:val="00A33BAF"/>
    <w:rsid w:val="00A34375"/>
    <w:rsid w:val="00A344BF"/>
    <w:rsid w:val="00A35286"/>
    <w:rsid w:val="00A35740"/>
    <w:rsid w:val="00A3581B"/>
    <w:rsid w:val="00A35C30"/>
    <w:rsid w:val="00A36274"/>
    <w:rsid w:val="00A3690C"/>
    <w:rsid w:val="00A3708B"/>
    <w:rsid w:val="00A377A2"/>
    <w:rsid w:val="00A37D08"/>
    <w:rsid w:val="00A37F7C"/>
    <w:rsid w:val="00A40708"/>
    <w:rsid w:val="00A40AFF"/>
    <w:rsid w:val="00A41621"/>
    <w:rsid w:val="00A419BF"/>
    <w:rsid w:val="00A41A2D"/>
    <w:rsid w:val="00A41A44"/>
    <w:rsid w:val="00A41AB4"/>
    <w:rsid w:val="00A41C76"/>
    <w:rsid w:val="00A42330"/>
    <w:rsid w:val="00A42590"/>
    <w:rsid w:val="00A4292A"/>
    <w:rsid w:val="00A42D8A"/>
    <w:rsid w:val="00A444A6"/>
    <w:rsid w:val="00A44806"/>
    <w:rsid w:val="00A449F1"/>
    <w:rsid w:val="00A44D18"/>
    <w:rsid w:val="00A44DC8"/>
    <w:rsid w:val="00A45317"/>
    <w:rsid w:val="00A45BD7"/>
    <w:rsid w:val="00A45C1C"/>
    <w:rsid w:val="00A4600C"/>
    <w:rsid w:val="00A46817"/>
    <w:rsid w:val="00A46D13"/>
    <w:rsid w:val="00A472C9"/>
    <w:rsid w:val="00A503EB"/>
    <w:rsid w:val="00A50534"/>
    <w:rsid w:val="00A50CA2"/>
    <w:rsid w:val="00A50F0A"/>
    <w:rsid w:val="00A51152"/>
    <w:rsid w:val="00A51476"/>
    <w:rsid w:val="00A5199F"/>
    <w:rsid w:val="00A51A2F"/>
    <w:rsid w:val="00A525A6"/>
    <w:rsid w:val="00A5266F"/>
    <w:rsid w:val="00A528A6"/>
    <w:rsid w:val="00A52E20"/>
    <w:rsid w:val="00A52FCB"/>
    <w:rsid w:val="00A53A91"/>
    <w:rsid w:val="00A54189"/>
    <w:rsid w:val="00A54798"/>
    <w:rsid w:val="00A54DCE"/>
    <w:rsid w:val="00A5526B"/>
    <w:rsid w:val="00A5536B"/>
    <w:rsid w:val="00A5580E"/>
    <w:rsid w:val="00A56052"/>
    <w:rsid w:val="00A56250"/>
    <w:rsid w:val="00A5654A"/>
    <w:rsid w:val="00A5739F"/>
    <w:rsid w:val="00A57893"/>
    <w:rsid w:val="00A60B0A"/>
    <w:rsid w:val="00A6149F"/>
    <w:rsid w:val="00A63177"/>
    <w:rsid w:val="00A632EB"/>
    <w:rsid w:val="00A639E8"/>
    <w:rsid w:val="00A639F0"/>
    <w:rsid w:val="00A641F2"/>
    <w:rsid w:val="00A64F33"/>
    <w:rsid w:val="00A65186"/>
    <w:rsid w:val="00A655E1"/>
    <w:rsid w:val="00A656C7"/>
    <w:rsid w:val="00A656D1"/>
    <w:rsid w:val="00A6581D"/>
    <w:rsid w:val="00A65A36"/>
    <w:rsid w:val="00A65BC2"/>
    <w:rsid w:val="00A6600A"/>
    <w:rsid w:val="00A662AD"/>
    <w:rsid w:val="00A6641C"/>
    <w:rsid w:val="00A666B1"/>
    <w:rsid w:val="00A66DFC"/>
    <w:rsid w:val="00A67293"/>
    <w:rsid w:val="00A673AC"/>
    <w:rsid w:val="00A6761D"/>
    <w:rsid w:val="00A67B58"/>
    <w:rsid w:val="00A71C23"/>
    <w:rsid w:val="00A727C8"/>
    <w:rsid w:val="00A73EDC"/>
    <w:rsid w:val="00A74227"/>
    <w:rsid w:val="00A74AE1"/>
    <w:rsid w:val="00A74CAA"/>
    <w:rsid w:val="00A752A7"/>
    <w:rsid w:val="00A764E5"/>
    <w:rsid w:val="00A76A17"/>
    <w:rsid w:val="00A76D56"/>
    <w:rsid w:val="00A77529"/>
    <w:rsid w:val="00A81025"/>
    <w:rsid w:val="00A816D0"/>
    <w:rsid w:val="00A819EA"/>
    <w:rsid w:val="00A81D68"/>
    <w:rsid w:val="00A82659"/>
    <w:rsid w:val="00A826BC"/>
    <w:rsid w:val="00A82A6A"/>
    <w:rsid w:val="00A82AC5"/>
    <w:rsid w:val="00A82F7A"/>
    <w:rsid w:val="00A8339A"/>
    <w:rsid w:val="00A83410"/>
    <w:rsid w:val="00A836A5"/>
    <w:rsid w:val="00A836D7"/>
    <w:rsid w:val="00A83B03"/>
    <w:rsid w:val="00A83B3B"/>
    <w:rsid w:val="00A84783"/>
    <w:rsid w:val="00A84A8B"/>
    <w:rsid w:val="00A852DA"/>
    <w:rsid w:val="00A856B5"/>
    <w:rsid w:val="00A85BA2"/>
    <w:rsid w:val="00A85D35"/>
    <w:rsid w:val="00A862E8"/>
    <w:rsid w:val="00A867D3"/>
    <w:rsid w:val="00A87076"/>
    <w:rsid w:val="00A87251"/>
    <w:rsid w:val="00A87DEE"/>
    <w:rsid w:val="00A90844"/>
    <w:rsid w:val="00A908F8"/>
    <w:rsid w:val="00A908F9"/>
    <w:rsid w:val="00A9118C"/>
    <w:rsid w:val="00A913A2"/>
    <w:rsid w:val="00A913AB"/>
    <w:rsid w:val="00A9164D"/>
    <w:rsid w:val="00A91AAF"/>
    <w:rsid w:val="00A92244"/>
    <w:rsid w:val="00A922CA"/>
    <w:rsid w:val="00A922D3"/>
    <w:rsid w:val="00A92DF0"/>
    <w:rsid w:val="00A93483"/>
    <w:rsid w:val="00A93735"/>
    <w:rsid w:val="00A93A6C"/>
    <w:rsid w:val="00A94210"/>
    <w:rsid w:val="00A94AEF"/>
    <w:rsid w:val="00A94EB1"/>
    <w:rsid w:val="00A95C6F"/>
    <w:rsid w:val="00A95E22"/>
    <w:rsid w:val="00A96785"/>
    <w:rsid w:val="00A967A9"/>
    <w:rsid w:val="00A96A2C"/>
    <w:rsid w:val="00A97763"/>
    <w:rsid w:val="00A97E8D"/>
    <w:rsid w:val="00AA0599"/>
    <w:rsid w:val="00AA077D"/>
    <w:rsid w:val="00AA07E2"/>
    <w:rsid w:val="00AA090E"/>
    <w:rsid w:val="00AA0B44"/>
    <w:rsid w:val="00AA1753"/>
    <w:rsid w:val="00AA1993"/>
    <w:rsid w:val="00AA2052"/>
    <w:rsid w:val="00AA23AA"/>
    <w:rsid w:val="00AA2588"/>
    <w:rsid w:val="00AA26A7"/>
    <w:rsid w:val="00AA2B00"/>
    <w:rsid w:val="00AA2B34"/>
    <w:rsid w:val="00AA2BAF"/>
    <w:rsid w:val="00AA2E57"/>
    <w:rsid w:val="00AA38ED"/>
    <w:rsid w:val="00AA419A"/>
    <w:rsid w:val="00AA433A"/>
    <w:rsid w:val="00AA4872"/>
    <w:rsid w:val="00AA6019"/>
    <w:rsid w:val="00AA625A"/>
    <w:rsid w:val="00AA68C2"/>
    <w:rsid w:val="00AA6E3F"/>
    <w:rsid w:val="00AA77C8"/>
    <w:rsid w:val="00AA785B"/>
    <w:rsid w:val="00AB1172"/>
    <w:rsid w:val="00AB1891"/>
    <w:rsid w:val="00AB23B9"/>
    <w:rsid w:val="00AB2466"/>
    <w:rsid w:val="00AB361E"/>
    <w:rsid w:val="00AB372F"/>
    <w:rsid w:val="00AB3B01"/>
    <w:rsid w:val="00AB3EFB"/>
    <w:rsid w:val="00AB4436"/>
    <w:rsid w:val="00AB4CC1"/>
    <w:rsid w:val="00AB56B7"/>
    <w:rsid w:val="00AB5979"/>
    <w:rsid w:val="00AB5E25"/>
    <w:rsid w:val="00AB5FC2"/>
    <w:rsid w:val="00AB630D"/>
    <w:rsid w:val="00AB6C54"/>
    <w:rsid w:val="00AB6F54"/>
    <w:rsid w:val="00AB745D"/>
    <w:rsid w:val="00AB7ADF"/>
    <w:rsid w:val="00AC03F8"/>
    <w:rsid w:val="00AC0979"/>
    <w:rsid w:val="00AC1088"/>
    <w:rsid w:val="00AC1662"/>
    <w:rsid w:val="00AC17A6"/>
    <w:rsid w:val="00AC27DD"/>
    <w:rsid w:val="00AC3643"/>
    <w:rsid w:val="00AC39ED"/>
    <w:rsid w:val="00AC3BAD"/>
    <w:rsid w:val="00AC3DC2"/>
    <w:rsid w:val="00AC3DD1"/>
    <w:rsid w:val="00AC43F6"/>
    <w:rsid w:val="00AC4592"/>
    <w:rsid w:val="00AC52D5"/>
    <w:rsid w:val="00AC655E"/>
    <w:rsid w:val="00AC6B2F"/>
    <w:rsid w:val="00AC709D"/>
    <w:rsid w:val="00AC711F"/>
    <w:rsid w:val="00AC72B1"/>
    <w:rsid w:val="00AD03E5"/>
    <w:rsid w:val="00AD12D7"/>
    <w:rsid w:val="00AD172E"/>
    <w:rsid w:val="00AD174B"/>
    <w:rsid w:val="00AD1B1A"/>
    <w:rsid w:val="00AD22F7"/>
    <w:rsid w:val="00AD27CB"/>
    <w:rsid w:val="00AD3826"/>
    <w:rsid w:val="00AD3A99"/>
    <w:rsid w:val="00AD50B5"/>
    <w:rsid w:val="00AD54BA"/>
    <w:rsid w:val="00AD5C12"/>
    <w:rsid w:val="00AD5F3C"/>
    <w:rsid w:val="00AD653F"/>
    <w:rsid w:val="00AD6AD0"/>
    <w:rsid w:val="00AD6B28"/>
    <w:rsid w:val="00AD6B9C"/>
    <w:rsid w:val="00AD6C5F"/>
    <w:rsid w:val="00AD7078"/>
    <w:rsid w:val="00AD76C0"/>
    <w:rsid w:val="00AE066D"/>
    <w:rsid w:val="00AE088E"/>
    <w:rsid w:val="00AE0E3F"/>
    <w:rsid w:val="00AE0E75"/>
    <w:rsid w:val="00AE0F80"/>
    <w:rsid w:val="00AE0F94"/>
    <w:rsid w:val="00AE1193"/>
    <w:rsid w:val="00AE1295"/>
    <w:rsid w:val="00AE1F37"/>
    <w:rsid w:val="00AE2194"/>
    <w:rsid w:val="00AE232F"/>
    <w:rsid w:val="00AE267F"/>
    <w:rsid w:val="00AE2CFA"/>
    <w:rsid w:val="00AE328D"/>
    <w:rsid w:val="00AE32B2"/>
    <w:rsid w:val="00AE371A"/>
    <w:rsid w:val="00AE460D"/>
    <w:rsid w:val="00AE5CC7"/>
    <w:rsid w:val="00AE5E7A"/>
    <w:rsid w:val="00AE6718"/>
    <w:rsid w:val="00AE6930"/>
    <w:rsid w:val="00AE6A84"/>
    <w:rsid w:val="00AE6DE4"/>
    <w:rsid w:val="00AE7CFE"/>
    <w:rsid w:val="00AF017D"/>
    <w:rsid w:val="00AF0AB5"/>
    <w:rsid w:val="00AF11C9"/>
    <w:rsid w:val="00AF1ACE"/>
    <w:rsid w:val="00AF1F75"/>
    <w:rsid w:val="00AF2421"/>
    <w:rsid w:val="00AF2436"/>
    <w:rsid w:val="00AF2807"/>
    <w:rsid w:val="00AF2A37"/>
    <w:rsid w:val="00AF3659"/>
    <w:rsid w:val="00AF3DE8"/>
    <w:rsid w:val="00AF457A"/>
    <w:rsid w:val="00AF4847"/>
    <w:rsid w:val="00AF53E8"/>
    <w:rsid w:val="00AF5815"/>
    <w:rsid w:val="00AF5C5A"/>
    <w:rsid w:val="00AF6C04"/>
    <w:rsid w:val="00AF6C8F"/>
    <w:rsid w:val="00AF6E26"/>
    <w:rsid w:val="00AF6FF3"/>
    <w:rsid w:val="00AF7161"/>
    <w:rsid w:val="00AF74D3"/>
    <w:rsid w:val="00AF7855"/>
    <w:rsid w:val="00AF7BBF"/>
    <w:rsid w:val="00AF7D1F"/>
    <w:rsid w:val="00B0034E"/>
    <w:rsid w:val="00B00C58"/>
    <w:rsid w:val="00B00CFF"/>
    <w:rsid w:val="00B00D53"/>
    <w:rsid w:val="00B011F6"/>
    <w:rsid w:val="00B01999"/>
    <w:rsid w:val="00B01F87"/>
    <w:rsid w:val="00B02883"/>
    <w:rsid w:val="00B028FD"/>
    <w:rsid w:val="00B02F74"/>
    <w:rsid w:val="00B03419"/>
    <w:rsid w:val="00B0356C"/>
    <w:rsid w:val="00B03A6A"/>
    <w:rsid w:val="00B04425"/>
    <w:rsid w:val="00B04CD3"/>
    <w:rsid w:val="00B05181"/>
    <w:rsid w:val="00B051FD"/>
    <w:rsid w:val="00B058EA"/>
    <w:rsid w:val="00B05BC3"/>
    <w:rsid w:val="00B0631A"/>
    <w:rsid w:val="00B06BF8"/>
    <w:rsid w:val="00B06CE7"/>
    <w:rsid w:val="00B075C4"/>
    <w:rsid w:val="00B07A6F"/>
    <w:rsid w:val="00B10B41"/>
    <w:rsid w:val="00B10C7C"/>
    <w:rsid w:val="00B1109A"/>
    <w:rsid w:val="00B111A8"/>
    <w:rsid w:val="00B114A1"/>
    <w:rsid w:val="00B11621"/>
    <w:rsid w:val="00B11A4F"/>
    <w:rsid w:val="00B12D62"/>
    <w:rsid w:val="00B138C5"/>
    <w:rsid w:val="00B13F83"/>
    <w:rsid w:val="00B13FAA"/>
    <w:rsid w:val="00B14935"/>
    <w:rsid w:val="00B1531E"/>
    <w:rsid w:val="00B16699"/>
    <w:rsid w:val="00B166D8"/>
    <w:rsid w:val="00B16AD2"/>
    <w:rsid w:val="00B172BB"/>
    <w:rsid w:val="00B17571"/>
    <w:rsid w:val="00B175D8"/>
    <w:rsid w:val="00B177D1"/>
    <w:rsid w:val="00B17E7A"/>
    <w:rsid w:val="00B2026F"/>
    <w:rsid w:val="00B206AB"/>
    <w:rsid w:val="00B20840"/>
    <w:rsid w:val="00B215A4"/>
    <w:rsid w:val="00B21A6B"/>
    <w:rsid w:val="00B21D6A"/>
    <w:rsid w:val="00B22754"/>
    <w:rsid w:val="00B22816"/>
    <w:rsid w:val="00B229A6"/>
    <w:rsid w:val="00B22B64"/>
    <w:rsid w:val="00B22BAC"/>
    <w:rsid w:val="00B22BD3"/>
    <w:rsid w:val="00B22FB9"/>
    <w:rsid w:val="00B2368C"/>
    <w:rsid w:val="00B23DB6"/>
    <w:rsid w:val="00B240CB"/>
    <w:rsid w:val="00B246D1"/>
    <w:rsid w:val="00B24C87"/>
    <w:rsid w:val="00B25205"/>
    <w:rsid w:val="00B25604"/>
    <w:rsid w:val="00B25652"/>
    <w:rsid w:val="00B26764"/>
    <w:rsid w:val="00B26CC4"/>
    <w:rsid w:val="00B27712"/>
    <w:rsid w:val="00B3034A"/>
    <w:rsid w:val="00B30581"/>
    <w:rsid w:val="00B30C66"/>
    <w:rsid w:val="00B31101"/>
    <w:rsid w:val="00B31142"/>
    <w:rsid w:val="00B3251E"/>
    <w:rsid w:val="00B32789"/>
    <w:rsid w:val="00B330BE"/>
    <w:rsid w:val="00B33238"/>
    <w:rsid w:val="00B348F0"/>
    <w:rsid w:val="00B35127"/>
    <w:rsid w:val="00B35E53"/>
    <w:rsid w:val="00B35E57"/>
    <w:rsid w:val="00B35F62"/>
    <w:rsid w:val="00B36947"/>
    <w:rsid w:val="00B36A46"/>
    <w:rsid w:val="00B3738B"/>
    <w:rsid w:val="00B37C20"/>
    <w:rsid w:val="00B37FA5"/>
    <w:rsid w:val="00B37FAD"/>
    <w:rsid w:val="00B40225"/>
    <w:rsid w:val="00B405D2"/>
    <w:rsid w:val="00B4141B"/>
    <w:rsid w:val="00B41BB3"/>
    <w:rsid w:val="00B41E45"/>
    <w:rsid w:val="00B41E67"/>
    <w:rsid w:val="00B42DEE"/>
    <w:rsid w:val="00B43084"/>
    <w:rsid w:val="00B447CC"/>
    <w:rsid w:val="00B44ABE"/>
    <w:rsid w:val="00B44F76"/>
    <w:rsid w:val="00B45765"/>
    <w:rsid w:val="00B45C05"/>
    <w:rsid w:val="00B462C1"/>
    <w:rsid w:val="00B46AEC"/>
    <w:rsid w:val="00B46BF0"/>
    <w:rsid w:val="00B47495"/>
    <w:rsid w:val="00B479F3"/>
    <w:rsid w:val="00B501B6"/>
    <w:rsid w:val="00B50D92"/>
    <w:rsid w:val="00B50EC7"/>
    <w:rsid w:val="00B50F0D"/>
    <w:rsid w:val="00B52188"/>
    <w:rsid w:val="00B5229C"/>
    <w:rsid w:val="00B5255A"/>
    <w:rsid w:val="00B52802"/>
    <w:rsid w:val="00B53048"/>
    <w:rsid w:val="00B5372F"/>
    <w:rsid w:val="00B53B08"/>
    <w:rsid w:val="00B53F63"/>
    <w:rsid w:val="00B53F71"/>
    <w:rsid w:val="00B541B4"/>
    <w:rsid w:val="00B546A3"/>
    <w:rsid w:val="00B54E6D"/>
    <w:rsid w:val="00B54EE1"/>
    <w:rsid w:val="00B551F8"/>
    <w:rsid w:val="00B556EC"/>
    <w:rsid w:val="00B56E55"/>
    <w:rsid w:val="00B5740E"/>
    <w:rsid w:val="00B57FF3"/>
    <w:rsid w:val="00B6007E"/>
    <w:rsid w:val="00B60358"/>
    <w:rsid w:val="00B6056F"/>
    <w:rsid w:val="00B60669"/>
    <w:rsid w:val="00B60F35"/>
    <w:rsid w:val="00B614CE"/>
    <w:rsid w:val="00B61A4D"/>
    <w:rsid w:val="00B61D7D"/>
    <w:rsid w:val="00B61F40"/>
    <w:rsid w:val="00B61F90"/>
    <w:rsid w:val="00B62AB0"/>
    <w:rsid w:val="00B62E01"/>
    <w:rsid w:val="00B63629"/>
    <w:rsid w:val="00B63B9D"/>
    <w:rsid w:val="00B63F78"/>
    <w:rsid w:val="00B63FFD"/>
    <w:rsid w:val="00B6431A"/>
    <w:rsid w:val="00B646D6"/>
    <w:rsid w:val="00B64746"/>
    <w:rsid w:val="00B648C2"/>
    <w:rsid w:val="00B6634F"/>
    <w:rsid w:val="00B66381"/>
    <w:rsid w:val="00B669C7"/>
    <w:rsid w:val="00B67569"/>
    <w:rsid w:val="00B70184"/>
    <w:rsid w:val="00B70211"/>
    <w:rsid w:val="00B718AF"/>
    <w:rsid w:val="00B71C6F"/>
    <w:rsid w:val="00B71EAD"/>
    <w:rsid w:val="00B7271E"/>
    <w:rsid w:val="00B73769"/>
    <w:rsid w:val="00B74E8C"/>
    <w:rsid w:val="00B75018"/>
    <w:rsid w:val="00B752BE"/>
    <w:rsid w:val="00B7536A"/>
    <w:rsid w:val="00B75622"/>
    <w:rsid w:val="00B75A37"/>
    <w:rsid w:val="00B7601B"/>
    <w:rsid w:val="00B7698A"/>
    <w:rsid w:val="00B76F30"/>
    <w:rsid w:val="00B7715F"/>
    <w:rsid w:val="00B778E9"/>
    <w:rsid w:val="00B77F2D"/>
    <w:rsid w:val="00B80152"/>
    <w:rsid w:val="00B801F2"/>
    <w:rsid w:val="00B8062C"/>
    <w:rsid w:val="00B81AF6"/>
    <w:rsid w:val="00B81D11"/>
    <w:rsid w:val="00B81D44"/>
    <w:rsid w:val="00B81E6B"/>
    <w:rsid w:val="00B82023"/>
    <w:rsid w:val="00B82791"/>
    <w:rsid w:val="00B8279F"/>
    <w:rsid w:val="00B8295E"/>
    <w:rsid w:val="00B829DD"/>
    <w:rsid w:val="00B829EB"/>
    <w:rsid w:val="00B82B0C"/>
    <w:rsid w:val="00B82D71"/>
    <w:rsid w:val="00B82D7F"/>
    <w:rsid w:val="00B84182"/>
    <w:rsid w:val="00B842DB"/>
    <w:rsid w:val="00B84434"/>
    <w:rsid w:val="00B84A5C"/>
    <w:rsid w:val="00B84B4D"/>
    <w:rsid w:val="00B84BAA"/>
    <w:rsid w:val="00B84C50"/>
    <w:rsid w:val="00B85005"/>
    <w:rsid w:val="00B857F9"/>
    <w:rsid w:val="00B85980"/>
    <w:rsid w:val="00B85E0F"/>
    <w:rsid w:val="00B86237"/>
    <w:rsid w:val="00B86962"/>
    <w:rsid w:val="00B86D4C"/>
    <w:rsid w:val="00B86D85"/>
    <w:rsid w:val="00B86DEA"/>
    <w:rsid w:val="00B8792F"/>
    <w:rsid w:val="00B87C85"/>
    <w:rsid w:val="00B87E40"/>
    <w:rsid w:val="00B902B2"/>
    <w:rsid w:val="00B91157"/>
    <w:rsid w:val="00B91451"/>
    <w:rsid w:val="00B91846"/>
    <w:rsid w:val="00B929E8"/>
    <w:rsid w:val="00B92F8C"/>
    <w:rsid w:val="00B93384"/>
    <w:rsid w:val="00B93AC5"/>
    <w:rsid w:val="00B93BD3"/>
    <w:rsid w:val="00B93D88"/>
    <w:rsid w:val="00B94180"/>
    <w:rsid w:val="00B94FC5"/>
    <w:rsid w:val="00B95116"/>
    <w:rsid w:val="00B95315"/>
    <w:rsid w:val="00B9545F"/>
    <w:rsid w:val="00B95A4A"/>
    <w:rsid w:val="00B95B44"/>
    <w:rsid w:val="00B95EB3"/>
    <w:rsid w:val="00B961B2"/>
    <w:rsid w:val="00B96607"/>
    <w:rsid w:val="00B9661D"/>
    <w:rsid w:val="00B96812"/>
    <w:rsid w:val="00B96E49"/>
    <w:rsid w:val="00B971C5"/>
    <w:rsid w:val="00B972DD"/>
    <w:rsid w:val="00B9798D"/>
    <w:rsid w:val="00B979C4"/>
    <w:rsid w:val="00B97A1F"/>
    <w:rsid w:val="00B97DE5"/>
    <w:rsid w:val="00BA09C3"/>
    <w:rsid w:val="00BA0D4D"/>
    <w:rsid w:val="00BA0EF3"/>
    <w:rsid w:val="00BA1041"/>
    <w:rsid w:val="00BA14F7"/>
    <w:rsid w:val="00BA2072"/>
    <w:rsid w:val="00BA21E8"/>
    <w:rsid w:val="00BA2216"/>
    <w:rsid w:val="00BA2D53"/>
    <w:rsid w:val="00BA2E96"/>
    <w:rsid w:val="00BA3327"/>
    <w:rsid w:val="00BA3B05"/>
    <w:rsid w:val="00BA572A"/>
    <w:rsid w:val="00BA5913"/>
    <w:rsid w:val="00BA62FE"/>
    <w:rsid w:val="00BA638A"/>
    <w:rsid w:val="00BA6B08"/>
    <w:rsid w:val="00BA6EF9"/>
    <w:rsid w:val="00BB06C4"/>
    <w:rsid w:val="00BB0C8F"/>
    <w:rsid w:val="00BB132E"/>
    <w:rsid w:val="00BB1F69"/>
    <w:rsid w:val="00BB24BE"/>
    <w:rsid w:val="00BB2677"/>
    <w:rsid w:val="00BB3044"/>
    <w:rsid w:val="00BB3382"/>
    <w:rsid w:val="00BB3729"/>
    <w:rsid w:val="00BB416E"/>
    <w:rsid w:val="00BB4651"/>
    <w:rsid w:val="00BB46B9"/>
    <w:rsid w:val="00BB489E"/>
    <w:rsid w:val="00BB5156"/>
    <w:rsid w:val="00BB575F"/>
    <w:rsid w:val="00BB57CD"/>
    <w:rsid w:val="00BB6667"/>
    <w:rsid w:val="00BB6A69"/>
    <w:rsid w:val="00BB6CFB"/>
    <w:rsid w:val="00BB7550"/>
    <w:rsid w:val="00BC021E"/>
    <w:rsid w:val="00BC089B"/>
    <w:rsid w:val="00BC0A80"/>
    <w:rsid w:val="00BC167A"/>
    <w:rsid w:val="00BC1730"/>
    <w:rsid w:val="00BC1C38"/>
    <w:rsid w:val="00BC1D0C"/>
    <w:rsid w:val="00BC2447"/>
    <w:rsid w:val="00BC245A"/>
    <w:rsid w:val="00BC2EAF"/>
    <w:rsid w:val="00BC2EF8"/>
    <w:rsid w:val="00BC4AA7"/>
    <w:rsid w:val="00BC5583"/>
    <w:rsid w:val="00BC55D6"/>
    <w:rsid w:val="00BC565E"/>
    <w:rsid w:val="00BC574F"/>
    <w:rsid w:val="00BC5928"/>
    <w:rsid w:val="00BC5FA6"/>
    <w:rsid w:val="00BC6063"/>
    <w:rsid w:val="00BC6297"/>
    <w:rsid w:val="00BC63C0"/>
    <w:rsid w:val="00BC6520"/>
    <w:rsid w:val="00BC770C"/>
    <w:rsid w:val="00BC7F00"/>
    <w:rsid w:val="00BD00A9"/>
    <w:rsid w:val="00BD032A"/>
    <w:rsid w:val="00BD043A"/>
    <w:rsid w:val="00BD0C63"/>
    <w:rsid w:val="00BD11E2"/>
    <w:rsid w:val="00BD127E"/>
    <w:rsid w:val="00BD14F5"/>
    <w:rsid w:val="00BD1E44"/>
    <w:rsid w:val="00BD2453"/>
    <w:rsid w:val="00BD3813"/>
    <w:rsid w:val="00BD3D19"/>
    <w:rsid w:val="00BD3F6A"/>
    <w:rsid w:val="00BD41F9"/>
    <w:rsid w:val="00BD4619"/>
    <w:rsid w:val="00BD4E26"/>
    <w:rsid w:val="00BD68B1"/>
    <w:rsid w:val="00BD6999"/>
    <w:rsid w:val="00BD69B1"/>
    <w:rsid w:val="00BD6F7E"/>
    <w:rsid w:val="00BD781E"/>
    <w:rsid w:val="00BD7AA2"/>
    <w:rsid w:val="00BE0873"/>
    <w:rsid w:val="00BE0F97"/>
    <w:rsid w:val="00BE0FAD"/>
    <w:rsid w:val="00BE142B"/>
    <w:rsid w:val="00BE150C"/>
    <w:rsid w:val="00BE18E5"/>
    <w:rsid w:val="00BE1CF6"/>
    <w:rsid w:val="00BE2941"/>
    <w:rsid w:val="00BE2A84"/>
    <w:rsid w:val="00BE34C6"/>
    <w:rsid w:val="00BE35F8"/>
    <w:rsid w:val="00BE3819"/>
    <w:rsid w:val="00BE3AAF"/>
    <w:rsid w:val="00BE3F05"/>
    <w:rsid w:val="00BE41B4"/>
    <w:rsid w:val="00BE45D6"/>
    <w:rsid w:val="00BE54B7"/>
    <w:rsid w:val="00BE58AD"/>
    <w:rsid w:val="00BE6664"/>
    <w:rsid w:val="00BE6C44"/>
    <w:rsid w:val="00BE6EE2"/>
    <w:rsid w:val="00BE7F7D"/>
    <w:rsid w:val="00BF0429"/>
    <w:rsid w:val="00BF08B1"/>
    <w:rsid w:val="00BF1163"/>
    <w:rsid w:val="00BF139B"/>
    <w:rsid w:val="00BF18C1"/>
    <w:rsid w:val="00BF1E0A"/>
    <w:rsid w:val="00BF2292"/>
    <w:rsid w:val="00BF2605"/>
    <w:rsid w:val="00BF27E2"/>
    <w:rsid w:val="00BF28A5"/>
    <w:rsid w:val="00BF28E1"/>
    <w:rsid w:val="00BF2934"/>
    <w:rsid w:val="00BF2D25"/>
    <w:rsid w:val="00BF2E2B"/>
    <w:rsid w:val="00BF3049"/>
    <w:rsid w:val="00BF3209"/>
    <w:rsid w:val="00BF3AB7"/>
    <w:rsid w:val="00BF4115"/>
    <w:rsid w:val="00BF4744"/>
    <w:rsid w:val="00BF47A0"/>
    <w:rsid w:val="00BF4AC0"/>
    <w:rsid w:val="00BF4BA1"/>
    <w:rsid w:val="00BF4DB8"/>
    <w:rsid w:val="00BF59AC"/>
    <w:rsid w:val="00BF5CE6"/>
    <w:rsid w:val="00BF5D96"/>
    <w:rsid w:val="00BF5F2D"/>
    <w:rsid w:val="00BF65D2"/>
    <w:rsid w:val="00BF6715"/>
    <w:rsid w:val="00BF6802"/>
    <w:rsid w:val="00BF6994"/>
    <w:rsid w:val="00BF769B"/>
    <w:rsid w:val="00BF7827"/>
    <w:rsid w:val="00BF7BB5"/>
    <w:rsid w:val="00BF7C8D"/>
    <w:rsid w:val="00BF7CB6"/>
    <w:rsid w:val="00BF7D25"/>
    <w:rsid w:val="00C00653"/>
    <w:rsid w:val="00C01447"/>
    <w:rsid w:val="00C014EA"/>
    <w:rsid w:val="00C0169F"/>
    <w:rsid w:val="00C01E75"/>
    <w:rsid w:val="00C023A8"/>
    <w:rsid w:val="00C02919"/>
    <w:rsid w:val="00C02E28"/>
    <w:rsid w:val="00C02F60"/>
    <w:rsid w:val="00C0312F"/>
    <w:rsid w:val="00C03648"/>
    <w:rsid w:val="00C03734"/>
    <w:rsid w:val="00C04498"/>
    <w:rsid w:val="00C04708"/>
    <w:rsid w:val="00C04F42"/>
    <w:rsid w:val="00C05295"/>
    <w:rsid w:val="00C05929"/>
    <w:rsid w:val="00C0596F"/>
    <w:rsid w:val="00C05C20"/>
    <w:rsid w:val="00C05F96"/>
    <w:rsid w:val="00C06FFE"/>
    <w:rsid w:val="00C071F6"/>
    <w:rsid w:val="00C079F2"/>
    <w:rsid w:val="00C07AEA"/>
    <w:rsid w:val="00C10199"/>
    <w:rsid w:val="00C107FA"/>
    <w:rsid w:val="00C10939"/>
    <w:rsid w:val="00C10AA6"/>
    <w:rsid w:val="00C10BC6"/>
    <w:rsid w:val="00C11061"/>
    <w:rsid w:val="00C11424"/>
    <w:rsid w:val="00C11EC3"/>
    <w:rsid w:val="00C120C5"/>
    <w:rsid w:val="00C122D3"/>
    <w:rsid w:val="00C12CB6"/>
    <w:rsid w:val="00C12D58"/>
    <w:rsid w:val="00C134D4"/>
    <w:rsid w:val="00C13762"/>
    <w:rsid w:val="00C1389D"/>
    <w:rsid w:val="00C138A8"/>
    <w:rsid w:val="00C13B9A"/>
    <w:rsid w:val="00C1414E"/>
    <w:rsid w:val="00C1562E"/>
    <w:rsid w:val="00C157EE"/>
    <w:rsid w:val="00C163DB"/>
    <w:rsid w:val="00C1673D"/>
    <w:rsid w:val="00C1684C"/>
    <w:rsid w:val="00C17325"/>
    <w:rsid w:val="00C1734D"/>
    <w:rsid w:val="00C175A0"/>
    <w:rsid w:val="00C17D83"/>
    <w:rsid w:val="00C20D3F"/>
    <w:rsid w:val="00C20FA5"/>
    <w:rsid w:val="00C2158E"/>
    <w:rsid w:val="00C2182C"/>
    <w:rsid w:val="00C21ECF"/>
    <w:rsid w:val="00C22455"/>
    <w:rsid w:val="00C2298D"/>
    <w:rsid w:val="00C22A7D"/>
    <w:rsid w:val="00C22F49"/>
    <w:rsid w:val="00C23030"/>
    <w:rsid w:val="00C232FB"/>
    <w:rsid w:val="00C23561"/>
    <w:rsid w:val="00C23B19"/>
    <w:rsid w:val="00C23CB4"/>
    <w:rsid w:val="00C24549"/>
    <w:rsid w:val="00C24628"/>
    <w:rsid w:val="00C24BA2"/>
    <w:rsid w:val="00C253FE"/>
    <w:rsid w:val="00C25448"/>
    <w:rsid w:val="00C25807"/>
    <w:rsid w:val="00C25808"/>
    <w:rsid w:val="00C25C42"/>
    <w:rsid w:val="00C25FC9"/>
    <w:rsid w:val="00C2622D"/>
    <w:rsid w:val="00C2670C"/>
    <w:rsid w:val="00C26C03"/>
    <w:rsid w:val="00C2714B"/>
    <w:rsid w:val="00C27459"/>
    <w:rsid w:val="00C2752D"/>
    <w:rsid w:val="00C27FC1"/>
    <w:rsid w:val="00C300DF"/>
    <w:rsid w:val="00C301C8"/>
    <w:rsid w:val="00C30D1E"/>
    <w:rsid w:val="00C3178A"/>
    <w:rsid w:val="00C317A5"/>
    <w:rsid w:val="00C325CE"/>
    <w:rsid w:val="00C32759"/>
    <w:rsid w:val="00C328F0"/>
    <w:rsid w:val="00C32D2F"/>
    <w:rsid w:val="00C333D1"/>
    <w:rsid w:val="00C3343D"/>
    <w:rsid w:val="00C3358E"/>
    <w:rsid w:val="00C34503"/>
    <w:rsid w:val="00C346AA"/>
    <w:rsid w:val="00C3480F"/>
    <w:rsid w:val="00C34895"/>
    <w:rsid w:val="00C34A99"/>
    <w:rsid w:val="00C34EE6"/>
    <w:rsid w:val="00C36B49"/>
    <w:rsid w:val="00C36F1B"/>
    <w:rsid w:val="00C3777C"/>
    <w:rsid w:val="00C377C1"/>
    <w:rsid w:val="00C406F1"/>
    <w:rsid w:val="00C4096A"/>
    <w:rsid w:val="00C409D6"/>
    <w:rsid w:val="00C40E0F"/>
    <w:rsid w:val="00C40E19"/>
    <w:rsid w:val="00C40F0D"/>
    <w:rsid w:val="00C4102F"/>
    <w:rsid w:val="00C41D0C"/>
    <w:rsid w:val="00C41EFA"/>
    <w:rsid w:val="00C428BA"/>
    <w:rsid w:val="00C42D34"/>
    <w:rsid w:val="00C43537"/>
    <w:rsid w:val="00C4409E"/>
    <w:rsid w:val="00C4471B"/>
    <w:rsid w:val="00C44B16"/>
    <w:rsid w:val="00C4529E"/>
    <w:rsid w:val="00C4552E"/>
    <w:rsid w:val="00C45753"/>
    <w:rsid w:val="00C457B5"/>
    <w:rsid w:val="00C4641F"/>
    <w:rsid w:val="00C46AFA"/>
    <w:rsid w:val="00C476FB"/>
    <w:rsid w:val="00C503D3"/>
    <w:rsid w:val="00C5058D"/>
    <w:rsid w:val="00C50779"/>
    <w:rsid w:val="00C51185"/>
    <w:rsid w:val="00C51D87"/>
    <w:rsid w:val="00C51F43"/>
    <w:rsid w:val="00C51FCC"/>
    <w:rsid w:val="00C5237D"/>
    <w:rsid w:val="00C52445"/>
    <w:rsid w:val="00C5252C"/>
    <w:rsid w:val="00C526FE"/>
    <w:rsid w:val="00C52D6C"/>
    <w:rsid w:val="00C52E31"/>
    <w:rsid w:val="00C53A7A"/>
    <w:rsid w:val="00C53E84"/>
    <w:rsid w:val="00C53FEE"/>
    <w:rsid w:val="00C54ADF"/>
    <w:rsid w:val="00C54EB2"/>
    <w:rsid w:val="00C55640"/>
    <w:rsid w:val="00C55818"/>
    <w:rsid w:val="00C55EAC"/>
    <w:rsid w:val="00C56BA5"/>
    <w:rsid w:val="00C57359"/>
    <w:rsid w:val="00C57C1C"/>
    <w:rsid w:val="00C57CAF"/>
    <w:rsid w:val="00C57D7B"/>
    <w:rsid w:val="00C57EAE"/>
    <w:rsid w:val="00C6068A"/>
    <w:rsid w:val="00C60787"/>
    <w:rsid w:val="00C616B6"/>
    <w:rsid w:val="00C61CD8"/>
    <w:rsid w:val="00C625BA"/>
    <w:rsid w:val="00C62629"/>
    <w:rsid w:val="00C6276C"/>
    <w:rsid w:val="00C62EBB"/>
    <w:rsid w:val="00C63015"/>
    <w:rsid w:val="00C63155"/>
    <w:rsid w:val="00C634ED"/>
    <w:rsid w:val="00C635B3"/>
    <w:rsid w:val="00C639DE"/>
    <w:rsid w:val="00C63B4F"/>
    <w:rsid w:val="00C63DB1"/>
    <w:rsid w:val="00C6417C"/>
    <w:rsid w:val="00C64493"/>
    <w:rsid w:val="00C6546A"/>
    <w:rsid w:val="00C65795"/>
    <w:rsid w:val="00C65A09"/>
    <w:rsid w:val="00C65DC2"/>
    <w:rsid w:val="00C670C6"/>
    <w:rsid w:val="00C67C18"/>
    <w:rsid w:val="00C67F1C"/>
    <w:rsid w:val="00C70EE4"/>
    <w:rsid w:val="00C711DB"/>
    <w:rsid w:val="00C71352"/>
    <w:rsid w:val="00C71640"/>
    <w:rsid w:val="00C719CB"/>
    <w:rsid w:val="00C71AE2"/>
    <w:rsid w:val="00C71DB9"/>
    <w:rsid w:val="00C72F2F"/>
    <w:rsid w:val="00C7312D"/>
    <w:rsid w:val="00C735CA"/>
    <w:rsid w:val="00C73E2F"/>
    <w:rsid w:val="00C74B45"/>
    <w:rsid w:val="00C74D8B"/>
    <w:rsid w:val="00C75108"/>
    <w:rsid w:val="00C7531B"/>
    <w:rsid w:val="00C75370"/>
    <w:rsid w:val="00C7540A"/>
    <w:rsid w:val="00C76420"/>
    <w:rsid w:val="00C767CE"/>
    <w:rsid w:val="00C76814"/>
    <w:rsid w:val="00C769AF"/>
    <w:rsid w:val="00C76AEB"/>
    <w:rsid w:val="00C76BF0"/>
    <w:rsid w:val="00C76D91"/>
    <w:rsid w:val="00C7711A"/>
    <w:rsid w:val="00C77580"/>
    <w:rsid w:val="00C80233"/>
    <w:rsid w:val="00C8038C"/>
    <w:rsid w:val="00C816BA"/>
    <w:rsid w:val="00C81924"/>
    <w:rsid w:val="00C823FC"/>
    <w:rsid w:val="00C82E6E"/>
    <w:rsid w:val="00C831BC"/>
    <w:rsid w:val="00C833B8"/>
    <w:rsid w:val="00C83E44"/>
    <w:rsid w:val="00C83FAD"/>
    <w:rsid w:val="00C8407D"/>
    <w:rsid w:val="00C8488C"/>
    <w:rsid w:val="00C848A9"/>
    <w:rsid w:val="00C85125"/>
    <w:rsid w:val="00C85997"/>
    <w:rsid w:val="00C85B13"/>
    <w:rsid w:val="00C85B7F"/>
    <w:rsid w:val="00C85F10"/>
    <w:rsid w:val="00C8647F"/>
    <w:rsid w:val="00C86AD7"/>
    <w:rsid w:val="00C871DD"/>
    <w:rsid w:val="00C87BE8"/>
    <w:rsid w:val="00C87CB2"/>
    <w:rsid w:val="00C87DB9"/>
    <w:rsid w:val="00C906F6"/>
    <w:rsid w:val="00C90E2E"/>
    <w:rsid w:val="00C910F1"/>
    <w:rsid w:val="00C92220"/>
    <w:rsid w:val="00C92F7D"/>
    <w:rsid w:val="00C93040"/>
    <w:rsid w:val="00C932FB"/>
    <w:rsid w:val="00C93BE4"/>
    <w:rsid w:val="00C93E79"/>
    <w:rsid w:val="00C9440D"/>
    <w:rsid w:val="00C947B2"/>
    <w:rsid w:val="00C95245"/>
    <w:rsid w:val="00C954F8"/>
    <w:rsid w:val="00C95916"/>
    <w:rsid w:val="00C9600C"/>
    <w:rsid w:val="00C96057"/>
    <w:rsid w:val="00C9631A"/>
    <w:rsid w:val="00C9743C"/>
    <w:rsid w:val="00C976DC"/>
    <w:rsid w:val="00C97DA9"/>
    <w:rsid w:val="00CA0781"/>
    <w:rsid w:val="00CA07B7"/>
    <w:rsid w:val="00CA0C81"/>
    <w:rsid w:val="00CA0FE9"/>
    <w:rsid w:val="00CA1032"/>
    <w:rsid w:val="00CA1FB8"/>
    <w:rsid w:val="00CA207C"/>
    <w:rsid w:val="00CA2133"/>
    <w:rsid w:val="00CA215C"/>
    <w:rsid w:val="00CA21F0"/>
    <w:rsid w:val="00CA24DF"/>
    <w:rsid w:val="00CA2643"/>
    <w:rsid w:val="00CA368D"/>
    <w:rsid w:val="00CA3B63"/>
    <w:rsid w:val="00CA3CD0"/>
    <w:rsid w:val="00CA42A2"/>
    <w:rsid w:val="00CA4424"/>
    <w:rsid w:val="00CA4646"/>
    <w:rsid w:val="00CA4697"/>
    <w:rsid w:val="00CA4BC1"/>
    <w:rsid w:val="00CA5ADB"/>
    <w:rsid w:val="00CA5CAB"/>
    <w:rsid w:val="00CA606A"/>
    <w:rsid w:val="00CA663D"/>
    <w:rsid w:val="00CA7901"/>
    <w:rsid w:val="00CA7A6D"/>
    <w:rsid w:val="00CB03E0"/>
    <w:rsid w:val="00CB05DA"/>
    <w:rsid w:val="00CB0797"/>
    <w:rsid w:val="00CB09BF"/>
    <w:rsid w:val="00CB0D6C"/>
    <w:rsid w:val="00CB1C52"/>
    <w:rsid w:val="00CB203F"/>
    <w:rsid w:val="00CB221C"/>
    <w:rsid w:val="00CB261E"/>
    <w:rsid w:val="00CB2A62"/>
    <w:rsid w:val="00CB3DB9"/>
    <w:rsid w:val="00CB4288"/>
    <w:rsid w:val="00CB42AE"/>
    <w:rsid w:val="00CB432B"/>
    <w:rsid w:val="00CB47D8"/>
    <w:rsid w:val="00CB64F0"/>
    <w:rsid w:val="00CB6CBD"/>
    <w:rsid w:val="00CB76EC"/>
    <w:rsid w:val="00CB7EE3"/>
    <w:rsid w:val="00CB7F37"/>
    <w:rsid w:val="00CC061F"/>
    <w:rsid w:val="00CC0825"/>
    <w:rsid w:val="00CC12BE"/>
    <w:rsid w:val="00CC15D2"/>
    <w:rsid w:val="00CC1D7B"/>
    <w:rsid w:val="00CC1EF6"/>
    <w:rsid w:val="00CC22F7"/>
    <w:rsid w:val="00CC3F0E"/>
    <w:rsid w:val="00CC3F93"/>
    <w:rsid w:val="00CC4B4F"/>
    <w:rsid w:val="00CC5045"/>
    <w:rsid w:val="00CC526B"/>
    <w:rsid w:val="00CC5373"/>
    <w:rsid w:val="00CC67CE"/>
    <w:rsid w:val="00CC69DA"/>
    <w:rsid w:val="00CC6F9F"/>
    <w:rsid w:val="00CC749F"/>
    <w:rsid w:val="00CC7EDC"/>
    <w:rsid w:val="00CD073B"/>
    <w:rsid w:val="00CD08C0"/>
    <w:rsid w:val="00CD098E"/>
    <w:rsid w:val="00CD0A92"/>
    <w:rsid w:val="00CD0E1B"/>
    <w:rsid w:val="00CD0F32"/>
    <w:rsid w:val="00CD10C2"/>
    <w:rsid w:val="00CD1403"/>
    <w:rsid w:val="00CD1469"/>
    <w:rsid w:val="00CD1847"/>
    <w:rsid w:val="00CD1BA0"/>
    <w:rsid w:val="00CD2463"/>
    <w:rsid w:val="00CD2C79"/>
    <w:rsid w:val="00CD4256"/>
    <w:rsid w:val="00CD4A51"/>
    <w:rsid w:val="00CD4F7C"/>
    <w:rsid w:val="00CD51B8"/>
    <w:rsid w:val="00CD52D4"/>
    <w:rsid w:val="00CD5BFB"/>
    <w:rsid w:val="00CD6921"/>
    <w:rsid w:val="00CD7119"/>
    <w:rsid w:val="00CD7463"/>
    <w:rsid w:val="00CD76A7"/>
    <w:rsid w:val="00CD7817"/>
    <w:rsid w:val="00CD789D"/>
    <w:rsid w:val="00CD7D53"/>
    <w:rsid w:val="00CD7DE8"/>
    <w:rsid w:val="00CE07D2"/>
    <w:rsid w:val="00CE0B5D"/>
    <w:rsid w:val="00CE0B78"/>
    <w:rsid w:val="00CE0C54"/>
    <w:rsid w:val="00CE0E00"/>
    <w:rsid w:val="00CE1547"/>
    <w:rsid w:val="00CE1696"/>
    <w:rsid w:val="00CE1BF0"/>
    <w:rsid w:val="00CE213C"/>
    <w:rsid w:val="00CE30E9"/>
    <w:rsid w:val="00CE3275"/>
    <w:rsid w:val="00CE39AD"/>
    <w:rsid w:val="00CE3A84"/>
    <w:rsid w:val="00CE3CC7"/>
    <w:rsid w:val="00CE3D09"/>
    <w:rsid w:val="00CE400D"/>
    <w:rsid w:val="00CE4716"/>
    <w:rsid w:val="00CE471B"/>
    <w:rsid w:val="00CE51FF"/>
    <w:rsid w:val="00CE6285"/>
    <w:rsid w:val="00CE662E"/>
    <w:rsid w:val="00CE6B66"/>
    <w:rsid w:val="00CE6CA9"/>
    <w:rsid w:val="00CE75C8"/>
    <w:rsid w:val="00CF00A7"/>
    <w:rsid w:val="00CF00F7"/>
    <w:rsid w:val="00CF03C3"/>
    <w:rsid w:val="00CF0AE9"/>
    <w:rsid w:val="00CF0CF1"/>
    <w:rsid w:val="00CF0E00"/>
    <w:rsid w:val="00CF14E4"/>
    <w:rsid w:val="00CF16FA"/>
    <w:rsid w:val="00CF2524"/>
    <w:rsid w:val="00CF2B2C"/>
    <w:rsid w:val="00CF2FF1"/>
    <w:rsid w:val="00CF33DE"/>
    <w:rsid w:val="00CF3B3B"/>
    <w:rsid w:val="00CF3C7B"/>
    <w:rsid w:val="00CF3C99"/>
    <w:rsid w:val="00CF428A"/>
    <w:rsid w:val="00CF4F6C"/>
    <w:rsid w:val="00CF5C91"/>
    <w:rsid w:val="00CF5CF2"/>
    <w:rsid w:val="00CF6299"/>
    <w:rsid w:val="00CF70D8"/>
    <w:rsid w:val="00CF7470"/>
    <w:rsid w:val="00CF7820"/>
    <w:rsid w:val="00CF7AB4"/>
    <w:rsid w:val="00D0021B"/>
    <w:rsid w:val="00D004B1"/>
    <w:rsid w:val="00D008DD"/>
    <w:rsid w:val="00D011E8"/>
    <w:rsid w:val="00D01228"/>
    <w:rsid w:val="00D0142B"/>
    <w:rsid w:val="00D0243C"/>
    <w:rsid w:val="00D02A2D"/>
    <w:rsid w:val="00D02C3E"/>
    <w:rsid w:val="00D02D71"/>
    <w:rsid w:val="00D032F5"/>
    <w:rsid w:val="00D038BD"/>
    <w:rsid w:val="00D03B29"/>
    <w:rsid w:val="00D03C63"/>
    <w:rsid w:val="00D041AA"/>
    <w:rsid w:val="00D04636"/>
    <w:rsid w:val="00D04A24"/>
    <w:rsid w:val="00D04AFF"/>
    <w:rsid w:val="00D04F3F"/>
    <w:rsid w:val="00D05401"/>
    <w:rsid w:val="00D0543E"/>
    <w:rsid w:val="00D0654E"/>
    <w:rsid w:val="00D06AD5"/>
    <w:rsid w:val="00D07E61"/>
    <w:rsid w:val="00D1025D"/>
    <w:rsid w:val="00D1132E"/>
    <w:rsid w:val="00D119B9"/>
    <w:rsid w:val="00D11CCF"/>
    <w:rsid w:val="00D11E79"/>
    <w:rsid w:val="00D1298F"/>
    <w:rsid w:val="00D132CA"/>
    <w:rsid w:val="00D13F38"/>
    <w:rsid w:val="00D140A4"/>
    <w:rsid w:val="00D15094"/>
    <w:rsid w:val="00D158C9"/>
    <w:rsid w:val="00D15930"/>
    <w:rsid w:val="00D15E0D"/>
    <w:rsid w:val="00D16050"/>
    <w:rsid w:val="00D1643E"/>
    <w:rsid w:val="00D16564"/>
    <w:rsid w:val="00D16945"/>
    <w:rsid w:val="00D16DC2"/>
    <w:rsid w:val="00D172CB"/>
    <w:rsid w:val="00D17ACE"/>
    <w:rsid w:val="00D17B85"/>
    <w:rsid w:val="00D21544"/>
    <w:rsid w:val="00D21BE3"/>
    <w:rsid w:val="00D21FF1"/>
    <w:rsid w:val="00D2267B"/>
    <w:rsid w:val="00D226D1"/>
    <w:rsid w:val="00D227C6"/>
    <w:rsid w:val="00D22F1F"/>
    <w:rsid w:val="00D23031"/>
    <w:rsid w:val="00D233C3"/>
    <w:rsid w:val="00D237C1"/>
    <w:rsid w:val="00D2426A"/>
    <w:rsid w:val="00D250A6"/>
    <w:rsid w:val="00D2512D"/>
    <w:rsid w:val="00D252CA"/>
    <w:rsid w:val="00D25594"/>
    <w:rsid w:val="00D258B3"/>
    <w:rsid w:val="00D25BFD"/>
    <w:rsid w:val="00D25E73"/>
    <w:rsid w:val="00D25FE8"/>
    <w:rsid w:val="00D269EA"/>
    <w:rsid w:val="00D26B13"/>
    <w:rsid w:val="00D274C1"/>
    <w:rsid w:val="00D30B30"/>
    <w:rsid w:val="00D3136A"/>
    <w:rsid w:val="00D31C45"/>
    <w:rsid w:val="00D31ECB"/>
    <w:rsid w:val="00D3287D"/>
    <w:rsid w:val="00D32A03"/>
    <w:rsid w:val="00D337FF"/>
    <w:rsid w:val="00D3396E"/>
    <w:rsid w:val="00D33ACF"/>
    <w:rsid w:val="00D33B44"/>
    <w:rsid w:val="00D33BA6"/>
    <w:rsid w:val="00D33C70"/>
    <w:rsid w:val="00D33CD3"/>
    <w:rsid w:val="00D33F3B"/>
    <w:rsid w:val="00D34226"/>
    <w:rsid w:val="00D34892"/>
    <w:rsid w:val="00D34CA7"/>
    <w:rsid w:val="00D34CF7"/>
    <w:rsid w:val="00D356C9"/>
    <w:rsid w:val="00D35DB7"/>
    <w:rsid w:val="00D362DA"/>
    <w:rsid w:val="00D367E0"/>
    <w:rsid w:val="00D36F4D"/>
    <w:rsid w:val="00D3744B"/>
    <w:rsid w:val="00D379EC"/>
    <w:rsid w:val="00D37BA0"/>
    <w:rsid w:val="00D4076C"/>
    <w:rsid w:val="00D4089E"/>
    <w:rsid w:val="00D40B93"/>
    <w:rsid w:val="00D40DB0"/>
    <w:rsid w:val="00D4109F"/>
    <w:rsid w:val="00D41C5E"/>
    <w:rsid w:val="00D42444"/>
    <w:rsid w:val="00D426D3"/>
    <w:rsid w:val="00D428F7"/>
    <w:rsid w:val="00D42BD9"/>
    <w:rsid w:val="00D4327D"/>
    <w:rsid w:val="00D43712"/>
    <w:rsid w:val="00D43892"/>
    <w:rsid w:val="00D43F6D"/>
    <w:rsid w:val="00D45DAB"/>
    <w:rsid w:val="00D45F3E"/>
    <w:rsid w:val="00D4645A"/>
    <w:rsid w:val="00D46462"/>
    <w:rsid w:val="00D46A87"/>
    <w:rsid w:val="00D46B1D"/>
    <w:rsid w:val="00D46ECE"/>
    <w:rsid w:val="00D47749"/>
    <w:rsid w:val="00D47B8E"/>
    <w:rsid w:val="00D47BDF"/>
    <w:rsid w:val="00D50C31"/>
    <w:rsid w:val="00D50DF4"/>
    <w:rsid w:val="00D51409"/>
    <w:rsid w:val="00D51A8D"/>
    <w:rsid w:val="00D522D2"/>
    <w:rsid w:val="00D5321C"/>
    <w:rsid w:val="00D53723"/>
    <w:rsid w:val="00D5376C"/>
    <w:rsid w:val="00D5389B"/>
    <w:rsid w:val="00D53C4F"/>
    <w:rsid w:val="00D5487B"/>
    <w:rsid w:val="00D5531B"/>
    <w:rsid w:val="00D557F6"/>
    <w:rsid w:val="00D55B8F"/>
    <w:rsid w:val="00D55F0C"/>
    <w:rsid w:val="00D561CD"/>
    <w:rsid w:val="00D5663D"/>
    <w:rsid w:val="00D5708C"/>
    <w:rsid w:val="00D57592"/>
    <w:rsid w:val="00D57F7B"/>
    <w:rsid w:val="00D6013E"/>
    <w:rsid w:val="00D603EA"/>
    <w:rsid w:val="00D60418"/>
    <w:rsid w:val="00D60693"/>
    <w:rsid w:val="00D60A95"/>
    <w:rsid w:val="00D6236A"/>
    <w:rsid w:val="00D62473"/>
    <w:rsid w:val="00D62BBA"/>
    <w:rsid w:val="00D6329B"/>
    <w:rsid w:val="00D6388A"/>
    <w:rsid w:val="00D64F14"/>
    <w:rsid w:val="00D657F1"/>
    <w:rsid w:val="00D659E0"/>
    <w:rsid w:val="00D66158"/>
    <w:rsid w:val="00D661E6"/>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D11"/>
    <w:rsid w:val="00D72022"/>
    <w:rsid w:val="00D7233A"/>
    <w:rsid w:val="00D72773"/>
    <w:rsid w:val="00D73ABB"/>
    <w:rsid w:val="00D73D18"/>
    <w:rsid w:val="00D73D77"/>
    <w:rsid w:val="00D73D7C"/>
    <w:rsid w:val="00D73DA9"/>
    <w:rsid w:val="00D73E43"/>
    <w:rsid w:val="00D73EDF"/>
    <w:rsid w:val="00D745F9"/>
    <w:rsid w:val="00D747F3"/>
    <w:rsid w:val="00D7483E"/>
    <w:rsid w:val="00D74DC6"/>
    <w:rsid w:val="00D7562B"/>
    <w:rsid w:val="00D75BB5"/>
    <w:rsid w:val="00D75E51"/>
    <w:rsid w:val="00D75F4D"/>
    <w:rsid w:val="00D760D7"/>
    <w:rsid w:val="00D761E5"/>
    <w:rsid w:val="00D7695B"/>
    <w:rsid w:val="00D76A63"/>
    <w:rsid w:val="00D76B30"/>
    <w:rsid w:val="00D76F61"/>
    <w:rsid w:val="00D771EC"/>
    <w:rsid w:val="00D772B6"/>
    <w:rsid w:val="00D7760C"/>
    <w:rsid w:val="00D77BD1"/>
    <w:rsid w:val="00D8100D"/>
    <w:rsid w:val="00D81589"/>
    <w:rsid w:val="00D815F5"/>
    <w:rsid w:val="00D8183F"/>
    <w:rsid w:val="00D81DDF"/>
    <w:rsid w:val="00D826A4"/>
    <w:rsid w:val="00D828A9"/>
    <w:rsid w:val="00D83985"/>
    <w:rsid w:val="00D84388"/>
    <w:rsid w:val="00D845CE"/>
    <w:rsid w:val="00D8461C"/>
    <w:rsid w:val="00D8483F"/>
    <w:rsid w:val="00D8565F"/>
    <w:rsid w:val="00D859F3"/>
    <w:rsid w:val="00D85BAA"/>
    <w:rsid w:val="00D85CA2"/>
    <w:rsid w:val="00D85CB6"/>
    <w:rsid w:val="00D86383"/>
    <w:rsid w:val="00D86F66"/>
    <w:rsid w:val="00D8708A"/>
    <w:rsid w:val="00D871C5"/>
    <w:rsid w:val="00D8769F"/>
    <w:rsid w:val="00D87DE9"/>
    <w:rsid w:val="00D907FB"/>
    <w:rsid w:val="00D90B11"/>
    <w:rsid w:val="00D90C9B"/>
    <w:rsid w:val="00D90CCA"/>
    <w:rsid w:val="00D9163C"/>
    <w:rsid w:val="00D91C62"/>
    <w:rsid w:val="00D92956"/>
    <w:rsid w:val="00D92F49"/>
    <w:rsid w:val="00D93400"/>
    <w:rsid w:val="00D93B54"/>
    <w:rsid w:val="00D94602"/>
    <w:rsid w:val="00D9486A"/>
    <w:rsid w:val="00D949CF"/>
    <w:rsid w:val="00D94D7A"/>
    <w:rsid w:val="00D95356"/>
    <w:rsid w:val="00D95366"/>
    <w:rsid w:val="00D956B2"/>
    <w:rsid w:val="00D95950"/>
    <w:rsid w:val="00D96CBB"/>
    <w:rsid w:val="00D96E41"/>
    <w:rsid w:val="00D97435"/>
    <w:rsid w:val="00D9795A"/>
    <w:rsid w:val="00D97ADC"/>
    <w:rsid w:val="00DA0A65"/>
    <w:rsid w:val="00DA1B75"/>
    <w:rsid w:val="00DA1BC6"/>
    <w:rsid w:val="00DA32AE"/>
    <w:rsid w:val="00DA34B4"/>
    <w:rsid w:val="00DA3913"/>
    <w:rsid w:val="00DA39DA"/>
    <w:rsid w:val="00DA3EA0"/>
    <w:rsid w:val="00DA52F2"/>
    <w:rsid w:val="00DA54A9"/>
    <w:rsid w:val="00DA587A"/>
    <w:rsid w:val="00DA58DE"/>
    <w:rsid w:val="00DA5DA5"/>
    <w:rsid w:val="00DA6EA2"/>
    <w:rsid w:val="00DA6FAF"/>
    <w:rsid w:val="00DA7209"/>
    <w:rsid w:val="00DA73ED"/>
    <w:rsid w:val="00DB0E6A"/>
    <w:rsid w:val="00DB0E70"/>
    <w:rsid w:val="00DB1083"/>
    <w:rsid w:val="00DB1411"/>
    <w:rsid w:val="00DB179A"/>
    <w:rsid w:val="00DB1BD4"/>
    <w:rsid w:val="00DB1D9B"/>
    <w:rsid w:val="00DB1FB2"/>
    <w:rsid w:val="00DB27B0"/>
    <w:rsid w:val="00DB2904"/>
    <w:rsid w:val="00DB2F94"/>
    <w:rsid w:val="00DB301C"/>
    <w:rsid w:val="00DB34BD"/>
    <w:rsid w:val="00DB4AEC"/>
    <w:rsid w:val="00DB4EA0"/>
    <w:rsid w:val="00DB53F0"/>
    <w:rsid w:val="00DB5B38"/>
    <w:rsid w:val="00DB5CDE"/>
    <w:rsid w:val="00DB6921"/>
    <w:rsid w:val="00DB69EB"/>
    <w:rsid w:val="00DB6A4E"/>
    <w:rsid w:val="00DB6BBD"/>
    <w:rsid w:val="00DB7543"/>
    <w:rsid w:val="00DB7621"/>
    <w:rsid w:val="00DB78B1"/>
    <w:rsid w:val="00DB7ADF"/>
    <w:rsid w:val="00DC05AA"/>
    <w:rsid w:val="00DC062F"/>
    <w:rsid w:val="00DC150F"/>
    <w:rsid w:val="00DC159C"/>
    <w:rsid w:val="00DC15AC"/>
    <w:rsid w:val="00DC2137"/>
    <w:rsid w:val="00DC2823"/>
    <w:rsid w:val="00DC2A8C"/>
    <w:rsid w:val="00DC2BE5"/>
    <w:rsid w:val="00DC2F62"/>
    <w:rsid w:val="00DC30C1"/>
    <w:rsid w:val="00DC312E"/>
    <w:rsid w:val="00DC3494"/>
    <w:rsid w:val="00DC3B87"/>
    <w:rsid w:val="00DC3F44"/>
    <w:rsid w:val="00DC5579"/>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B1"/>
    <w:rsid w:val="00DD3732"/>
    <w:rsid w:val="00DD421A"/>
    <w:rsid w:val="00DD427F"/>
    <w:rsid w:val="00DD43BD"/>
    <w:rsid w:val="00DD49E2"/>
    <w:rsid w:val="00DD49EF"/>
    <w:rsid w:val="00DD4D30"/>
    <w:rsid w:val="00DD51A8"/>
    <w:rsid w:val="00DD5781"/>
    <w:rsid w:val="00DD5CB1"/>
    <w:rsid w:val="00DD60A4"/>
    <w:rsid w:val="00DD63F2"/>
    <w:rsid w:val="00DD64A9"/>
    <w:rsid w:val="00DD6D02"/>
    <w:rsid w:val="00DD6D76"/>
    <w:rsid w:val="00DD7298"/>
    <w:rsid w:val="00DD7761"/>
    <w:rsid w:val="00DD780F"/>
    <w:rsid w:val="00DD7A0F"/>
    <w:rsid w:val="00DD7F34"/>
    <w:rsid w:val="00DE0633"/>
    <w:rsid w:val="00DE0A91"/>
    <w:rsid w:val="00DE0B5F"/>
    <w:rsid w:val="00DE0C5A"/>
    <w:rsid w:val="00DE1536"/>
    <w:rsid w:val="00DE1BBC"/>
    <w:rsid w:val="00DE1C3C"/>
    <w:rsid w:val="00DE1D01"/>
    <w:rsid w:val="00DE1D37"/>
    <w:rsid w:val="00DE2344"/>
    <w:rsid w:val="00DE2392"/>
    <w:rsid w:val="00DE2933"/>
    <w:rsid w:val="00DE2A11"/>
    <w:rsid w:val="00DE2FEC"/>
    <w:rsid w:val="00DE36EF"/>
    <w:rsid w:val="00DE3730"/>
    <w:rsid w:val="00DE3A5E"/>
    <w:rsid w:val="00DE4218"/>
    <w:rsid w:val="00DE4347"/>
    <w:rsid w:val="00DE44FB"/>
    <w:rsid w:val="00DE4521"/>
    <w:rsid w:val="00DE47A7"/>
    <w:rsid w:val="00DE47EC"/>
    <w:rsid w:val="00DE4889"/>
    <w:rsid w:val="00DE50DB"/>
    <w:rsid w:val="00DE5B9D"/>
    <w:rsid w:val="00DE6B15"/>
    <w:rsid w:val="00DE6C7D"/>
    <w:rsid w:val="00DE6F86"/>
    <w:rsid w:val="00DE76B2"/>
    <w:rsid w:val="00DE76C3"/>
    <w:rsid w:val="00DE79E8"/>
    <w:rsid w:val="00DF032F"/>
    <w:rsid w:val="00DF0A41"/>
    <w:rsid w:val="00DF106F"/>
    <w:rsid w:val="00DF2B94"/>
    <w:rsid w:val="00DF2C64"/>
    <w:rsid w:val="00DF3013"/>
    <w:rsid w:val="00DF3125"/>
    <w:rsid w:val="00DF3391"/>
    <w:rsid w:val="00DF3529"/>
    <w:rsid w:val="00DF3AE1"/>
    <w:rsid w:val="00DF3D3C"/>
    <w:rsid w:val="00DF4230"/>
    <w:rsid w:val="00DF450B"/>
    <w:rsid w:val="00DF4F1B"/>
    <w:rsid w:val="00DF5BE8"/>
    <w:rsid w:val="00DF5EBF"/>
    <w:rsid w:val="00DF6138"/>
    <w:rsid w:val="00DF6238"/>
    <w:rsid w:val="00DF631B"/>
    <w:rsid w:val="00DF63B4"/>
    <w:rsid w:val="00DF65A8"/>
    <w:rsid w:val="00DF66F7"/>
    <w:rsid w:val="00DF6BD9"/>
    <w:rsid w:val="00DF6C0C"/>
    <w:rsid w:val="00DF7348"/>
    <w:rsid w:val="00DF769F"/>
    <w:rsid w:val="00DF774F"/>
    <w:rsid w:val="00DF7A3A"/>
    <w:rsid w:val="00DF7EE9"/>
    <w:rsid w:val="00E0072F"/>
    <w:rsid w:val="00E00C35"/>
    <w:rsid w:val="00E00E21"/>
    <w:rsid w:val="00E01097"/>
    <w:rsid w:val="00E01353"/>
    <w:rsid w:val="00E01C6E"/>
    <w:rsid w:val="00E01E87"/>
    <w:rsid w:val="00E01F99"/>
    <w:rsid w:val="00E02121"/>
    <w:rsid w:val="00E02B52"/>
    <w:rsid w:val="00E03A4F"/>
    <w:rsid w:val="00E03DDF"/>
    <w:rsid w:val="00E042BA"/>
    <w:rsid w:val="00E05DD8"/>
    <w:rsid w:val="00E061C6"/>
    <w:rsid w:val="00E06AA5"/>
    <w:rsid w:val="00E06DF8"/>
    <w:rsid w:val="00E07312"/>
    <w:rsid w:val="00E1079A"/>
    <w:rsid w:val="00E10ADC"/>
    <w:rsid w:val="00E10C87"/>
    <w:rsid w:val="00E10F5E"/>
    <w:rsid w:val="00E1124E"/>
    <w:rsid w:val="00E11584"/>
    <w:rsid w:val="00E13682"/>
    <w:rsid w:val="00E14614"/>
    <w:rsid w:val="00E14C87"/>
    <w:rsid w:val="00E14D70"/>
    <w:rsid w:val="00E14DDE"/>
    <w:rsid w:val="00E14FEC"/>
    <w:rsid w:val="00E15797"/>
    <w:rsid w:val="00E160D6"/>
    <w:rsid w:val="00E16A4E"/>
    <w:rsid w:val="00E2034D"/>
    <w:rsid w:val="00E206A5"/>
    <w:rsid w:val="00E20F5B"/>
    <w:rsid w:val="00E2113A"/>
    <w:rsid w:val="00E21340"/>
    <w:rsid w:val="00E2180C"/>
    <w:rsid w:val="00E235F7"/>
    <w:rsid w:val="00E238AD"/>
    <w:rsid w:val="00E240C2"/>
    <w:rsid w:val="00E245E1"/>
    <w:rsid w:val="00E25101"/>
    <w:rsid w:val="00E25402"/>
    <w:rsid w:val="00E254BF"/>
    <w:rsid w:val="00E25591"/>
    <w:rsid w:val="00E25F6E"/>
    <w:rsid w:val="00E25F94"/>
    <w:rsid w:val="00E26C4F"/>
    <w:rsid w:val="00E26FF5"/>
    <w:rsid w:val="00E27341"/>
    <w:rsid w:val="00E273FA"/>
    <w:rsid w:val="00E27941"/>
    <w:rsid w:val="00E27F1D"/>
    <w:rsid w:val="00E30157"/>
    <w:rsid w:val="00E307F1"/>
    <w:rsid w:val="00E310AD"/>
    <w:rsid w:val="00E314D1"/>
    <w:rsid w:val="00E3192C"/>
    <w:rsid w:val="00E31E26"/>
    <w:rsid w:val="00E321ED"/>
    <w:rsid w:val="00E3291F"/>
    <w:rsid w:val="00E32950"/>
    <w:rsid w:val="00E3399D"/>
    <w:rsid w:val="00E34C7D"/>
    <w:rsid w:val="00E34E04"/>
    <w:rsid w:val="00E35474"/>
    <w:rsid w:val="00E36BD9"/>
    <w:rsid w:val="00E36C17"/>
    <w:rsid w:val="00E37014"/>
    <w:rsid w:val="00E37D33"/>
    <w:rsid w:val="00E4055F"/>
    <w:rsid w:val="00E40977"/>
    <w:rsid w:val="00E409E2"/>
    <w:rsid w:val="00E4110B"/>
    <w:rsid w:val="00E41629"/>
    <w:rsid w:val="00E42994"/>
    <w:rsid w:val="00E42A17"/>
    <w:rsid w:val="00E43196"/>
    <w:rsid w:val="00E437E5"/>
    <w:rsid w:val="00E44544"/>
    <w:rsid w:val="00E445D5"/>
    <w:rsid w:val="00E45A95"/>
    <w:rsid w:val="00E45B1F"/>
    <w:rsid w:val="00E46BF2"/>
    <w:rsid w:val="00E47000"/>
    <w:rsid w:val="00E471B5"/>
    <w:rsid w:val="00E472EB"/>
    <w:rsid w:val="00E47B23"/>
    <w:rsid w:val="00E47B31"/>
    <w:rsid w:val="00E47BAC"/>
    <w:rsid w:val="00E506DB"/>
    <w:rsid w:val="00E50C6D"/>
    <w:rsid w:val="00E513E7"/>
    <w:rsid w:val="00E525DE"/>
    <w:rsid w:val="00E52D4A"/>
    <w:rsid w:val="00E530DF"/>
    <w:rsid w:val="00E53F9E"/>
    <w:rsid w:val="00E543BC"/>
    <w:rsid w:val="00E54662"/>
    <w:rsid w:val="00E54EFC"/>
    <w:rsid w:val="00E552B2"/>
    <w:rsid w:val="00E5596C"/>
    <w:rsid w:val="00E564FD"/>
    <w:rsid w:val="00E56D57"/>
    <w:rsid w:val="00E56FFF"/>
    <w:rsid w:val="00E5792E"/>
    <w:rsid w:val="00E600B2"/>
    <w:rsid w:val="00E60486"/>
    <w:rsid w:val="00E6095D"/>
    <w:rsid w:val="00E60BDE"/>
    <w:rsid w:val="00E6116F"/>
    <w:rsid w:val="00E61789"/>
    <w:rsid w:val="00E61905"/>
    <w:rsid w:val="00E61D02"/>
    <w:rsid w:val="00E62150"/>
    <w:rsid w:val="00E624F5"/>
    <w:rsid w:val="00E626E8"/>
    <w:rsid w:val="00E631EE"/>
    <w:rsid w:val="00E63472"/>
    <w:rsid w:val="00E63988"/>
    <w:rsid w:val="00E63D97"/>
    <w:rsid w:val="00E63FF8"/>
    <w:rsid w:val="00E64051"/>
    <w:rsid w:val="00E64DF5"/>
    <w:rsid w:val="00E65AB8"/>
    <w:rsid w:val="00E65BE6"/>
    <w:rsid w:val="00E65CFF"/>
    <w:rsid w:val="00E6614B"/>
    <w:rsid w:val="00E66675"/>
    <w:rsid w:val="00E6684B"/>
    <w:rsid w:val="00E66928"/>
    <w:rsid w:val="00E66B09"/>
    <w:rsid w:val="00E67CF0"/>
    <w:rsid w:val="00E70622"/>
    <w:rsid w:val="00E70A1C"/>
    <w:rsid w:val="00E70DCC"/>
    <w:rsid w:val="00E70FE7"/>
    <w:rsid w:val="00E71684"/>
    <w:rsid w:val="00E7182F"/>
    <w:rsid w:val="00E71BB4"/>
    <w:rsid w:val="00E7255D"/>
    <w:rsid w:val="00E72F72"/>
    <w:rsid w:val="00E73B48"/>
    <w:rsid w:val="00E74295"/>
    <w:rsid w:val="00E743C8"/>
    <w:rsid w:val="00E74881"/>
    <w:rsid w:val="00E759BC"/>
    <w:rsid w:val="00E75A18"/>
    <w:rsid w:val="00E75DF3"/>
    <w:rsid w:val="00E76050"/>
    <w:rsid w:val="00E769C1"/>
    <w:rsid w:val="00E772CA"/>
    <w:rsid w:val="00E775F5"/>
    <w:rsid w:val="00E77B34"/>
    <w:rsid w:val="00E77BC0"/>
    <w:rsid w:val="00E77F99"/>
    <w:rsid w:val="00E80B31"/>
    <w:rsid w:val="00E8115B"/>
    <w:rsid w:val="00E8167C"/>
    <w:rsid w:val="00E81AEF"/>
    <w:rsid w:val="00E81B58"/>
    <w:rsid w:val="00E8282C"/>
    <w:rsid w:val="00E83359"/>
    <w:rsid w:val="00E839A5"/>
    <w:rsid w:val="00E83AA9"/>
    <w:rsid w:val="00E83FD8"/>
    <w:rsid w:val="00E845B3"/>
    <w:rsid w:val="00E84D99"/>
    <w:rsid w:val="00E84EFF"/>
    <w:rsid w:val="00E85441"/>
    <w:rsid w:val="00E85612"/>
    <w:rsid w:val="00E85963"/>
    <w:rsid w:val="00E85F5D"/>
    <w:rsid w:val="00E863AF"/>
    <w:rsid w:val="00E86707"/>
    <w:rsid w:val="00E87F7B"/>
    <w:rsid w:val="00E901B6"/>
    <w:rsid w:val="00E903B3"/>
    <w:rsid w:val="00E904D1"/>
    <w:rsid w:val="00E90956"/>
    <w:rsid w:val="00E90E02"/>
    <w:rsid w:val="00E91E42"/>
    <w:rsid w:val="00E91EC5"/>
    <w:rsid w:val="00E92054"/>
    <w:rsid w:val="00E92097"/>
    <w:rsid w:val="00E92111"/>
    <w:rsid w:val="00E92AB2"/>
    <w:rsid w:val="00E9387F"/>
    <w:rsid w:val="00E93F75"/>
    <w:rsid w:val="00E94049"/>
    <w:rsid w:val="00E9530A"/>
    <w:rsid w:val="00E961F1"/>
    <w:rsid w:val="00E972C7"/>
    <w:rsid w:val="00E97875"/>
    <w:rsid w:val="00E979BF"/>
    <w:rsid w:val="00EA058F"/>
    <w:rsid w:val="00EA066B"/>
    <w:rsid w:val="00EA08C6"/>
    <w:rsid w:val="00EA0A92"/>
    <w:rsid w:val="00EA0BFB"/>
    <w:rsid w:val="00EA0DE1"/>
    <w:rsid w:val="00EA1644"/>
    <w:rsid w:val="00EA17F9"/>
    <w:rsid w:val="00EA1A8B"/>
    <w:rsid w:val="00EA2106"/>
    <w:rsid w:val="00EA33A3"/>
    <w:rsid w:val="00EA3679"/>
    <w:rsid w:val="00EA4088"/>
    <w:rsid w:val="00EA447A"/>
    <w:rsid w:val="00EA468A"/>
    <w:rsid w:val="00EA4F83"/>
    <w:rsid w:val="00EA53A3"/>
    <w:rsid w:val="00EA62BB"/>
    <w:rsid w:val="00EA7842"/>
    <w:rsid w:val="00EA7A71"/>
    <w:rsid w:val="00EA7CC1"/>
    <w:rsid w:val="00EB0CC9"/>
    <w:rsid w:val="00EB1039"/>
    <w:rsid w:val="00EB1666"/>
    <w:rsid w:val="00EB1788"/>
    <w:rsid w:val="00EB1870"/>
    <w:rsid w:val="00EB1CA9"/>
    <w:rsid w:val="00EB3F91"/>
    <w:rsid w:val="00EB4352"/>
    <w:rsid w:val="00EB54E0"/>
    <w:rsid w:val="00EB5829"/>
    <w:rsid w:val="00EB6B08"/>
    <w:rsid w:val="00EB6D14"/>
    <w:rsid w:val="00EB6F6B"/>
    <w:rsid w:val="00EB73A3"/>
    <w:rsid w:val="00EB7423"/>
    <w:rsid w:val="00EB76F5"/>
    <w:rsid w:val="00EC0816"/>
    <w:rsid w:val="00EC094B"/>
    <w:rsid w:val="00EC0CD0"/>
    <w:rsid w:val="00EC1A4F"/>
    <w:rsid w:val="00EC2554"/>
    <w:rsid w:val="00EC2929"/>
    <w:rsid w:val="00EC2ACF"/>
    <w:rsid w:val="00EC2E68"/>
    <w:rsid w:val="00EC2FC2"/>
    <w:rsid w:val="00EC39B8"/>
    <w:rsid w:val="00EC4086"/>
    <w:rsid w:val="00EC56BC"/>
    <w:rsid w:val="00EC5D61"/>
    <w:rsid w:val="00EC5FB6"/>
    <w:rsid w:val="00EC626F"/>
    <w:rsid w:val="00EC64EA"/>
    <w:rsid w:val="00EC6AD0"/>
    <w:rsid w:val="00EC6C1C"/>
    <w:rsid w:val="00EC6DBF"/>
    <w:rsid w:val="00EC73EF"/>
    <w:rsid w:val="00EC74F9"/>
    <w:rsid w:val="00EC7900"/>
    <w:rsid w:val="00EC7F41"/>
    <w:rsid w:val="00ED0FEB"/>
    <w:rsid w:val="00ED1024"/>
    <w:rsid w:val="00ED2028"/>
    <w:rsid w:val="00ED2AFB"/>
    <w:rsid w:val="00ED2E47"/>
    <w:rsid w:val="00ED2E81"/>
    <w:rsid w:val="00ED2E9F"/>
    <w:rsid w:val="00ED3452"/>
    <w:rsid w:val="00ED395B"/>
    <w:rsid w:val="00ED3A60"/>
    <w:rsid w:val="00ED4175"/>
    <w:rsid w:val="00ED4252"/>
    <w:rsid w:val="00ED43E5"/>
    <w:rsid w:val="00ED454F"/>
    <w:rsid w:val="00ED4822"/>
    <w:rsid w:val="00ED4923"/>
    <w:rsid w:val="00ED537F"/>
    <w:rsid w:val="00ED56A7"/>
    <w:rsid w:val="00ED6AD3"/>
    <w:rsid w:val="00ED6C3A"/>
    <w:rsid w:val="00ED6E3D"/>
    <w:rsid w:val="00ED6F98"/>
    <w:rsid w:val="00ED785B"/>
    <w:rsid w:val="00ED7D7F"/>
    <w:rsid w:val="00EE081C"/>
    <w:rsid w:val="00EE0BEF"/>
    <w:rsid w:val="00EE1295"/>
    <w:rsid w:val="00EE26A0"/>
    <w:rsid w:val="00EE2921"/>
    <w:rsid w:val="00EE2F49"/>
    <w:rsid w:val="00EE2FA9"/>
    <w:rsid w:val="00EE303C"/>
    <w:rsid w:val="00EE30D1"/>
    <w:rsid w:val="00EE3383"/>
    <w:rsid w:val="00EE3876"/>
    <w:rsid w:val="00EE3B08"/>
    <w:rsid w:val="00EE408E"/>
    <w:rsid w:val="00EE4129"/>
    <w:rsid w:val="00EE442C"/>
    <w:rsid w:val="00EE46DD"/>
    <w:rsid w:val="00EE4903"/>
    <w:rsid w:val="00EE636E"/>
    <w:rsid w:val="00EE669F"/>
    <w:rsid w:val="00EE73C5"/>
    <w:rsid w:val="00EE7603"/>
    <w:rsid w:val="00EE766D"/>
    <w:rsid w:val="00EE7687"/>
    <w:rsid w:val="00EE78B4"/>
    <w:rsid w:val="00EF0B64"/>
    <w:rsid w:val="00EF1123"/>
    <w:rsid w:val="00EF192D"/>
    <w:rsid w:val="00EF2EC9"/>
    <w:rsid w:val="00EF3B8C"/>
    <w:rsid w:val="00EF40DC"/>
    <w:rsid w:val="00EF41E1"/>
    <w:rsid w:val="00EF4699"/>
    <w:rsid w:val="00EF5009"/>
    <w:rsid w:val="00EF58CF"/>
    <w:rsid w:val="00EF5C2F"/>
    <w:rsid w:val="00EF6421"/>
    <w:rsid w:val="00EF6605"/>
    <w:rsid w:val="00EF6C9F"/>
    <w:rsid w:val="00EF6F81"/>
    <w:rsid w:val="00EF7344"/>
    <w:rsid w:val="00EF7966"/>
    <w:rsid w:val="00EF7D24"/>
    <w:rsid w:val="00F001C2"/>
    <w:rsid w:val="00F002CC"/>
    <w:rsid w:val="00F00826"/>
    <w:rsid w:val="00F00EC4"/>
    <w:rsid w:val="00F018CD"/>
    <w:rsid w:val="00F0259A"/>
    <w:rsid w:val="00F02A08"/>
    <w:rsid w:val="00F02FC6"/>
    <w:rsid w:val="00F031E8"/>
    <w:rsid w:val="00F04010"/>
    <w:rsid w:val="00F04217"/>
    <w:rsid w:val="00F04289"/>
    <w:rsid w:val="00F051B6"/>
    <w:rsid w:val="00F05292"/>
    <w:rsid w:val="00F054E5"/>
    <w:rsid w:val="00F05CA0"/>
    <w:rsid w:val="00F0615A"/>
    <w:rsid w:val="00F06232"/>
    <w:rsid w:val="00F06371"/>
    <w:rsid w:val="00F06F73"/>
    <w:rsid w:val="00F0734C"/>
    <w:rsid w:val="00F076C1"/>
    <w:rsid w:val="00F07C7C"/>
    <w:rsid w:val="00F07FFE"/>
    <w:rsid w:val="00F10DD2"/>
    <w:rsid w:val="00F1114D"/>
    <w:rsid w:val="00F1150E"/>
    <w:rsid w:val="00F11607"/>
    <w:rsid w:val="00F11C0E"/>
    <w:rsid w:val="00F12538"/>
    <w:rsid w:val="00F12641"/>
    <w:rsid w:val="00F13D69"/>
    <w:rsid w:val="00F14033"/>
    <w:rsid w:val="00F1409B"/>
    <w:rsid w:val="00F147BF"/>
    <w:rsid w:val="00F14A8D"/>
    <w:rsid w:val="00F14F5A"/>
    <w:rsid w:val="00F151E5"/>
    <w:rsid w:val="00F15320"/>
    <w:rsid w:val="00F15439"/>
    <w:rsid w:val="00F1591D"/>
    <w:rsid w:val="00F15ECB"/>
    <w:rsid w:val="00F16145"/>
    <w:rsid w:val="00F1634E"/>
    <w:rsid w:val="00F16411"/>
    <w:rsid w:val="00F168AB"/>
    <w:rsid w:val="00F16A7E"/>
    <w:rsid w:val="00F16EC7"/>
    <w:rsid w:val="00F176D2"/>
    <w:rsid w:val="00F17FF8"/>
    <w:rsid w:val="00F2007B"/>
    <w:rsid w:val="00F205EF"/>
    <w:rsid w:val="00F207BD"/>
    <w:rsid w:val="00F215DD"/>
    <w:rsid w:val="00F21B33"/>
    <w:rsid w:val="00F21EC6"/>
    <w:rsid w:val="00F21F45"/>
    <w:rsid w:val="00F229D3"/>
    <w:rsid w:val="00F22FA5"/>
    <w:rsid w:val="00F2379C"/>
    <w:rsid w:val="00F23ED6"/>
    <w:rsid w:val="00F24A4D"/>
    <w:rsid w:val="00F24E32"/>
    <w:rsid w:val="00F25F35"/>
    <w:rsid w:val="00F263BD"/>
    <w:rsid w:val="00F271AF"/>
    <w:rsid w:val="00F2753A"/>
    <w:rsid w:val="00F304D5"/>
    <w:rsid w:val="00F31BCB"/>
    <w:rsid w:val="00F31E19"/>
    <w:rsid w:val="00F32067"/>
    <w:rsid w:val="00F321C5"/>
    <w:rsid w:val="00F32C46"/>
    <w:rsid w:val="00F33C36"/>
    <w:rsid w:val="00F342C1"/>
    <w:rsid w:val="00F34B05"/>
    <w:rsid w:val="00F34FEA"/>
    <w:rsid w:val="00F3543F"/>
    <w:rsid w:val="00F360B8"/>
    <w:rsid w:val="00F360D2"/>
    <w:rsid w:val="00F363B7"/>
    <w:rsid w:val="00F36708"/>
    <w:rsid w:val="00F3694E"/>
    <w:rsid w:val="00F37694"/>
    <w:rsid w:val="00F37A73"/>
    <w:rsid w:val="00F37D25"/>
    <w:rsid w:val="00F40041"/>
    <w:rsid w:val="00F40868"/>
    <w:rsid w:val="00F40CFE"/>
    <w:rsid w:val="00F40DCF"/>
    <w:rsid w:val="00F41887"/>
    <w:rsid w:val="00F41901"/>
    <w:rsid w:val="00F41A2F"/>
    <w:rsid w:val="00F42189"/>
    <w:rsid w:val="00F42305"/>
    <w:rsid w:val="00F425F9"/>
    <w:rsid w:val="00F429D6"/>
    <w:rsid w:val="00F432CC"/>
    <w:rsid w:val="00F43C84"/>
    <w:rsid w:val="00F4482A"/>
    <w:rsid w:val="00F451E7"/>
    <w:rsid w:val="00F454F7"/>
    <w:rsid w:val="00F45BC8"/>
    <w:rsid w:val="00F46255"/>
    <w:rsid w:val="00F46258"/>
    <w:rsid w:val="00F463D7"/>
    <w:rsid w:val="00F47346"/>
    <w:rsid w:val="00F473DA"/>
    <w:rsid w:val="00F478CB"/>
    <w:rsid w:val="00F50727"/>
    <w:rsid w:val="00F5074B"/>
    <w:rsid w:val="00F50FC2"/>
    <w:rsid w:val="00F523A4"/>
    <w:rsid w:val="00F52486"/>
    <w:rsid w:val="00F524A7"/>
    <w:rsid w:val="00F52733"/>
    <w:rsid w:val="00F52946"/>
    <w:rsid w:val="00F52A7C"/>
    <w:rsid w:val="00F52B25"/>
    <w:rsid w:val="00F544CA"/>
    <w:rsid w:val="00F54877"/>
    <w:rsid w:val="00F5497B"/>
    <w:rsid w:val="00F54B49"/>
    <w:rsid w:val="00F54D26"/>
    <w:rsid w:val="00F55323"/>
    <w:rsid w:val="00F55661"/>
    <w:rsid w:val="00F56787"/>
    <w:rsid w:val="00F56A92"/>
    <w:rsid w:val="00F56CD4"/>
    <w:rsid w:val="00F623E0"/>
    <w:rsid w:val="00F62592"/>
    <w:rsid w:val="00F62E1C"/>
    <w:rsid w:val="00F6368E"/>
    <w:rsid w:val="00F6389B"/>
    <w:rsid w:val="00F638C7"/>
    <w:rsid w:val="00F639F2"/>
    <w:rsid w:val="00F64EFE"/>
    <w:rsid w:val="00F656B2"/>
    <w:rsid w:val="00F65CE9"/>
    <w:rsid w:val="00F65F0C"/>
    <w:rsid w:val="00F65FA4"/>
    <w:rsid w:val="00F6645C"/>
    <w:rsid w:val="00F66461"/>
    <w:rsid w:val="00F66726"/>
    <w:rsid w:val="00F676B9"/>
    <w:rsid w:val="00F67D03"/>
    <w:rsid w:val="00F707F8"/>
    <w:rsid w:val="00F714FF"/>
    <w:rsid w:val="00F737AF"/>
    <w:rsid w:val="00F744E0"/>
    <w:rsid w:val="00F74596"/>
    <w:rsid w:val="00F745A9"/>
    <w:rsid w:val="00F74847"/>
    <w:rsid w:val="00F74CAE"/>
    <w:rsid w:val="00F758E0"/>
    <w:rsid w:val="00F768BF"/>
    <w:rsid w:val="00F76DF0"/>
    <w:rsid w:val="00F76E85"/>
    <w:rsid w:val="00F772D4"/>
    <w:rsid w:val="00F77CCE"/>
    <w:rsid w:val="00F80642"/>
    <w:rsid w:val="00F80C86"/>
    <w:rsid w:val="00F81082"/>
    <w:rsid w:val="00F8113B"/>
    <w:rsid w:val="00F816D9"/>
    <w:rsid w:val="00F817E3"/>
    <w:rsid w:val="00F81BB2"/>
    <w:rsid w:val="00F81F14"/>
    <w:rsid w:val="00F82562"/>
    <w:rsid w:val="00F82D0E"/>
    <w:rsid w:val="00F82D5B"/>
    <w:rsid w:val="00F834A1"/>
    <w:rsid w:val="00F838DA"/>
    <w:rsid w:val="00F8511F"/>
    <w:rsid w:val="00F85228"/>
    <w:rsid w:val="00F85A7D"/>
    <w:rsid w:val="00F85FF9"/>
    <w:rsid w:val="00F8646B"/>
    <w:rsid w:val="00F86670"/>
    <w:rsid w:val="00F869E4"/>
    <w:rsid w:val="00F870DB"/>
    <w:rsid w:val="00F874E9"/>
    <w:rsid w:val="00F87650"/>
    <w:rsid w:val="00F9035D"/>
    <w:rsid w:val="00F90B3C"/>
    <w:rsid w:val="00F90BF0"/>
    <w:rsid w:val="00F90F85"/>
    <w:rsid w:val="00F91617"/>
    <w:rsid w:val="00F916B7"/>
    <w:rsid w:val="00F919C4"/>
    <w:rsid w:val="00F91E5E"/>
    <w:rsid w:val="00F921FF"/>
    <w:rsid w:val="00F92715"/>
    <w:rsid w:val="00F92D91"/>
    <w:rsid w:val="00F930B4"/>
    <w:rsid w:val="00F936A8"/>
    <w:rsid w:val="00F939DE"/>
    <w:rsid w:val="00F9486A"/>
    <w:rsid w:val="00F949B9"/>
    <w:rsid w:val="00F94A9F"/>
    <w:rsid w:val="00F94B65"/>
    <w:rsid w:val="00F94DAE"/>
    <w:rsid w:val="00F94EE9"/>
    <w:rsid w:val="00F95010"/>
    <w:rsid w:val="00F95CAD"/>
    <w:rsid w:val="00F97581"/>
    <w:rsid w:val="00F9797A"/>
    <w:rsid w:val="00F97F39"/>
    <w:rsid w:val="00FA02DB"/>
    <w:rsid w:val="00FA099C"/>
    <w:rsid w:val="00FA0A6D"/>
    <w:rsid w:val="00FA0C2D"/>
    <w:rsid w:val="00FA0FC3"/>
    <w:rsid w:val="00FA10B9"/>
    <w:rsid w:val="00FA123B"/>
    <w:rsid w:val="00FA1720"/>
    <w:rsid w:val="00FA1ECA"/>
    <w:rsid w:val="00FA3134"/>
    <w:rsid w:val="00FA339D"/>
    <w:rsid w:val="00FA358A"/>
    <w:rsid w:val="00FA4271"/>
    <w:rsid w:val="00FA456F"/>
    <w:rsid w:val="00FA482C"/>
    <w:rsid w:val="00FA4983"/>
    <w:rsid w:val="00FA5E2C"/>
    <w:rsid w:val="00FA620D"/>
    <w:rsid w:val="00FA68AD"/>
    <w:rsid w:val="00FA69D0"/>
    <w:rsid w:val="00FA7BEF"/>
    <w:rsid w:val="00FB0142"/>
    <w:rsid w:val="00FB0289"/>
    <w:rsid w:val="00FB04F3"/>
    <w:rsid w:val="00FB0970"/>
    <w:rsid w:val="00FB0A7D"/>
    <w:rsid w:val="00FB1AF9"/>
    <w:rsid w:val="00FB2A7F"/>
    <w:rsid w:val="00FB2D62"/>
    <w:rsid w:val="00FB304E"/>
    <w:rsid w:val="00FB319A"/>
    <w:rsid w:val="00FB391A"/>
    <w:rsid w:val="00FB3CBB"/>
    <w:rsid w:val="00FB4119"/>
    <w:rsid w:val="00FB44C8"/>
    <w:rsid w:val="00FB4520"/>
    <w:rsid w:val="00FB4640"/>
    <w:rsid w:val="00FB4B92"/>
    <w:rsid w:val="00FB4F68"/>
    <w:rsid w:val="00FB509F"/>
    <w:rsid w:val="00FB5620"/>
    <w:rsid w:val="00FB569E"/>
    <w:rsid w:val="00FB6959"/>
    <w:rsid w:val="00FB6995"/>
    <w:rsid w:val="00FB709C"/>
    <w:rsid w:val="00FB7788"/>
    <w:rsid w:val="00FC00CC"/>
    <w:rsid w:val="00FC04D4"/>
    <w:rsid w:val="00FC0616"/>
    <w:rsid w:val="00FC0B20"/>
    <w:rsid w:val="00FC0EA0"/>
    <w:rsid w:val="00FC1634"/>
    <w:rsid w:val="00FC21E0"/>
    <w:rsid w:val="00FC2BAB"/>
    <w:rsid w:val="00FC312A"/>
    <w:rsid w:val="00FC3C19"/>
    <w:rsid w:val="00FC4161"/>
    <w:rsid w:val="00FC44D9"/>
    <w:rsid w:val="00FC4A1E"/>
    <w:rsid w:val="00FC4B76"/>
    <w:rsid w:val="00FC524D"/>
    <w:rsid w:val="00FC544C"/>
    <w:rsid w:val="00FC5A66"/>
    <w:rsid w:val="00FC5AB8"/>
    <w:rsid w:val="00FC5B0B"/>
    <w:rsid w:val="00FC5C0F"/>
    <w:rsid w:val="00FC5C2F"/>
    <w:rsid w:val="00FC6062"/>
    <w:rsid w:val="00FC6393"/>
    <w:rsid w:val="00FC6A35"/>
    <w:rsid w:val="00FC6B8A"/>
    <w:rsid w:val="00FC7625"/>
    <w:rsid w:val="00FC7784"/>
    <w:rsid w:val="00FC7CDF"/>
    <w:rsid w:val="00FD0BFD"/>
    <w:rsid w:val="00FD0D4E"/>
    <w:rsid w:val="00FD1676"/>
    <w:rsid w:val="00FD1924"/>
    <w:rsid w:val="00FD204E"/>
    <w:rsid w:val="00FD37C1"/>
    <w:rsid w:val="00FD3D3F"/>
    <w:rsid w:val="00FD45BD"/>
    <w:rsid w:val="00FD4B0D"/>
    <w:rsid w:val="00FD4C04"/>
    <w:rsid w:val="00FD4C22"/>
    <w:rsid w:val="00FD4DC3"/>
    <w:rsid w:val="00FD5274"/>
    <w:rsid w:val="00FD537E"/>
    <w:rsid w:val="00FD53A2"/>
    <w:rsid w:val="00FD642D"/>
    <w:rsid w:val="00FD675E"/>
    <w:rsid w:val="00FD6B10"/>
    <w:rsid w:val="00FD6FAB"/>
    <w:rsid w:val="00FD74CB"/>
    <w:rsid w:val="00FD7C98"/>
    <w:rsid w:val="00FD7CC7"/>
    <w:rsid w:val="00FD7D5C"/>
    <w:rsid w:val="00FE03F9"/>
    <w:rsid w:val="00FE0781"/>
    <w:rsid w:val="00FE1932"/>
    <w:rsid w:val="00FE1C1B"/>
    <w:rsid w:val="00FE221D"/>
    <w:rsid w:val="00FE22E0"/>
    <w:rsid w:val="00FE23A8"/>
    <w:rsid w:val="00FE2543"/>
    <w:rsid w:val="00FE2F2E"/>
    <w:rsid w:val="00FE3109"/>
    <w:rsid w:val="00FE3339"/>
    <w:rsid w:val="00FE3C31"/>
    <w:rsid w:val="00FE490C"/>
    <w:rsid w:val="00FE492D"/>
    <w:rsid w:val="00FE4981"/>
    <w:rsid w:val="00FE4ABA"/>
    <w:rsid w:val="00FE5341"/>
    <w:rsid w:val="00FE564D"/>
    <w:rsid w:val="00FE56ED"/>
    <w:rsid w:val="00FE5814"/>
    <w:rsid w:val="00FE5A2F"/>
    <w:rsid w:val="00FE5C86"/>
    <w:rsid w:val="00FE5D67"/>
    <w:rsid w:val="00FE601A"/>
    <w:rsid w:val="00FE6075"/>
    <w:rsid w:val="00FE6291"/>
    <w:rsid w:val="00FE6588"/>
    <w:rsid w:val="00FE7271"/>
    <w:rsid w:val="00FE7AE9"/>
    <w:rsid w:val="00FE7BC6"/>
    <w:rsid w:val="00FE7CD2"/>
    <w:rsid w:val="00FF0091"/>
    <w:rsid w:val="00FF0425"/>
    <w:rsid w:val="00FF05AE"/>
    <w:rsid w:val="00FF0CB6"/>
    <w:rsid w:val="00FF0DEF"/>
    <w:rsid w:val="00FF12A1"/>
    <w:rsid w:val="00FF1741"/>
    <w:rsid w:val="00FF2032"/>
    <w:rsid w:val="00FF291F"/>
    <w:rsid w:val="00FF2AB3"/>
    <w:rsid w:val="00FF2CB0"/>
    <w:rsid w:val="00FF3059"/>
    <w:rsid w:val="00FF3247"/>
    <w:rsid w:val="00FF327E"/>
    <w:rsid w:val="00FF362A"/>
    <w:rsid w:val="00FF37C1"/>
    <w:rsid w:val="00FF46E8"/>
    <w:rsid w:val="00FF48EA"/>
    <w:rsid w:val="00FF4CE5"/>
    <w:rsid w:val="00FF5630"/>
    <w:rsid w:val="00FF56EA"/>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7813AC"/>
  <w15:docId w15:val="{AFD52408-409E-462C-AA59-1C43C1A5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uiPriority w:val="9"/>
    <w:qFormat/>
    <w:rsid w:val="00F21B33"/>
    <w:pPr>
      <w:keepNext/>
      <w:tabs>
        <w:tab w:val="left" w:pos="567"/>
      </w:tabs>
      <w:spacing w:before="0" w:line="276" w:lineRule="auto"/>
      <w:ind w:firstLine="0"/>
      <w:jc w:val="center"/>
      <w:outlineLvl w:val="0"/>
    </w:pPr>
    <w:rPr>
      <w:sz w:val="28"/>
      <w:szCs w:val="20"/>
      <w:lang w:val="en-US"/>
    </w:rPr>
  </w:style>
  <w:style w:type="paragraph" w:styleId="Heading2">
    <w:name w:val="heading 2"/>
    <w:aliases w:val="(Chapter),Paranum,Body"/>
    <w:basedOn w:val="Normal"/>
    <w:next w:val="Normal"/>
    <w:link w:val="Heading2Char"/>
    <w:autoRedefine/>
    <w:uiPriority w:val="9"/>
    <w:qFormat/>
    <w:rsid w:val="00892AE2"/>
    <w:pPr>
      <w:keepNext/>
      <w:spacing w:before="240" w:after="360" w:line="276" w:lineRule="auto"/>
      <w:jc w:val="center"/>
      <w:outlineLvl w:val="1"/>
    </w:pPr>
    <w:rPr>
      <w:rFonts w:eastAsia="Calibri" w:cs="Times LatArm"/>
      <w:sz w:val="28"/>
      <w:szCs w:val="28"/>
      <w:lang w:val="hy-AM" w:eastAsia="en-US"/>
    </w:rPr>
  </w:style>
  <w:style w:type="paragraph" w:styleId="Heading3">
    <w:name w:val="heading 3"/>
    <w:aliases w:val="Centered,(text),(Sub-Chapter),Heading 3 Char Char Char Char Char Char"/>
    <w:basedOn w:val="Normal"/>
    <w:next w:val="Normal"/>
    <w:link w:val="Heading3Char"/>
    <w:autoRedefine/>
    <w:uiPriority w:val="9"/>
    <w:qFormat/>
    <w:rsid w:val="00EF6F81"/>
    <w:pPr>
      <w:keepNext/>
      <w:tabs>
        <w:tab w:val="left" w:pos="709"/>
      </w:tabs>
      <w:spacing w:before="240" w:line="276" w:lineRule="auto"/>
      <w:ind w:firstLine="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ebb"/>
    <w:basedOn w:val="Normal"/>
    <w:link w:val="NormalWebChar"/>
    <w:uiPriority w:val="99"/>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5E2632"/>
    <w:pPr>
      <w:spacing w:before="0" w:line="276" w:lineRule="auto"/>
      <w:ind w:left="2" w:firstLine="718"/>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0">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uiPriority w:val="99"/>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uiPriority w:val="99"/>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link w:val="DefaultChar"/>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uiPriority w:val="99"/>
    <w:rsid w:val="00C719CB"/>
    <w:pPr>
      <w:jc w:val="center"/>
    </w:pPr>
    <w:rPr>
      <w:rFonts w:ascii="Arial Armenian" w:hAnsi="Arial Armenian"/>
      <w:szCs w:val="20"/>
      <w:lang w:val="en-US"/>
    </w:rPr>
  </w:style>
  <w:style w:type="character" w:customStyle="1" w:styleId="mechtexChar">
    <w:name w:val="mechtex Char"/>
    <w:link w:val="mechtex"/>
    <w:uiPriority w:val="99"/>
    <w:rsid w:val="00C719CB"/>
    <w:rPr>
      <w:rFonts w:ascii="Arial Armenian" w:hAnsi="Arial Armenian"/>
      <w:sz w:val="22"/>
      <w:lang w:val="en-US" w:eastAsia="ru-RU" w:bidi="ar-SA"/>
    </w:rPr>
  </w:style>
  <w:style w:type="character" w:styleId="Strong">
    <w:name w:val="Strong"/>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uiPriority w:val="99"/>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uiPriority w:val="99"/>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uiPriority w:val="99"/>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7"/>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8"/>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uiPriority w:val="99"/>
    <w:qFormat/>
    <w:rsid w:val="00DE6C7D"/>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uiPriority w:val="99"/>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uiPriority w:val="99"/>
    <w:rsid w:val="00DE6C7D"/>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7730AA"/>
    <w:pPr>
      <w:widowControl w:val="0"/>
      <w:spacing w:before="240" w:line="276" w:lineRule="auto"/>
      <w:ind w:firstLine="72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uiPriority w:val="99"/>
    <w:rsid w:val="00FA0FC3"/>
    <w:pPr>
      <w:spacing w:line="240" w:lineRule="auto"/>
    </w:pPr>
    <w:rPr>
      <w:sz w:val="20"/>
      <w:szCs w:val="20"/>
    </w:rPr>
  </w:style>
  <w:style w:type="character" w:customStyle="1" w:styleId="CommentTextChar">
    <w:name w:val="Comment Text Char"/>
    <w:basedOn w:val="DefaultParagraphFont"/>
    <w:link w:val="CommentText"/>
    <w:uiPriority w:val="99"/>
    <w:rsid w:val="00FA0FC3"/>
    <w:rPr>
      <w:rFonts w:ascii="GHEA Grapalat" w:hAnsi="GHEA Grapalat"/>
      <w:lang w:val="ru-RU" w:eastAsia="ru-RU"/>
    </w:rPr>
  </w:style>
  <w:style w:type="paragraph" w:styleId="CommentSubject">
    <w:name w:val="annotation subject"/>
    <w:basedOn w:val="CommentText"/>
    <w:next w:val="CommentText"/>
    <w:link w:val="CommentSubjectChar"/>
    <w:uiPriority w:val="99"/>
    <w:rsid w:val="00FA0FC3"/>
    <w:rPr>
      <w:b w:val="0"/>
      <w:bCs/>
    </w:rPr>
  </w:style>
  <w:style w:type="character" w:customStyle="1" w:styleId="CommentSubjectChar">
    <w:name w:val="Comment Subject Char"/>
    <w:basedOn w:val="CommentTextChar"/>
    <w:link w:val="CommentSubject"/>
    <w:uiPriority w:val="99"/>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ebb Char"/>
    <w:link w:val="NormalWeb"/>
    <w:uiPriority w:val="99"/>
    <w:locked/>
    <w:rsid w:val="008E54BF"/>
    <w:rPr>
      <w:rFonts w:ascii="GHEA Grapalat" w:hAnsi="GHEA Grapalat"/>
      <w:sz w:val="22"/>
      <w:szCs w:val="24"/>
      <w:lang w:val="ru-RU" w:eastAsia="ru-RU"/>
    </w:rPr>
  </w:style>
  <w:style w:type="numbering" w:customStyle="1" w:styleId="NoList1">
    <w:name w:val="No List1"/>
    <w:next w:val="NoList"/>
    <w:uiPriority w:val="99"/>
    <w:semiHidden/>
    <w:unhideWhenUsed/>
    <w:rsid w:val="008E54BF"/>
  </w:style>
  <w:style w:type="character" w:customStyle="1" w:styleId="Heading1Char">
    <w:name w:val="Heading 1 Char"/>
    <w:aliases w:val="(Text) Char,(Section) Char,Section Heading Char,1 Char, 1 Char,Chapter Char,head3 Char"/>
    <w:link w:val="Heading1"/>
    <w:uiPriority w:val="9"/>
    <w:rsid w:val="00F21B33"/>
    <w:rPr>
      <w:rFonts w:ascii="GHEA Grapalat" w:hAnsi="GHEA Grapalat"/>
      <w:b/>
      <w:sz w:val="28"/>
      <w:lang w:eastAsia="ru-RU"/>
    </w:rPr>
  </w:style>
  <w:style w:type="character" w:customStyle="1" w:styleId="Heading2Char">
    <w:name w:val="Heading 2 Char"/>
    <w:aliases w:val="(Chapter) Char,Paranum Char,Body Char"/>
    <w:link w:val="Heading2"/>
    <w:uiPriority w:val="9"/>
    <w:rsid w:val="00892AE2"/>
    <w:rPr>
      <w:rFonts w:ascii="GHEA Grapalat" w:eastAsia="Calibri" w:hAnsi="GHEA Grapalat" w:cs="Times LatArm"/>
      <w:b/>
      <w:sz w:val="28"/>
      <w:szCs w:val="28"/>
      <w:lang w:val="hy-AM"/>
    </w:rPr>
  </w:style>
  <w:style w:type="character" w:customStyle="1" w:styleId="Heading3Char">
    <w:name w:val="Heading 3 Char"/>
    <w:aliases w:val="Centered Char2,(text) Char2,(Sub-Chapter) Char2,Heading 3 Char Char Char Char Char Char Char2"/>
    <w:link w:val="Heading3"/>
    <w:uiPriority w:val="9"/>
    <w:rsid w:val="00EF6F81"/>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5E2632"/>
    <w:rPr>
      <w:rFonts w:ascii="GHEA Grapalat" w:eastAsia="Calibri" w:hAnsi="GHEA Grapalat"/>
      <w:sz w:val="22"/>
      <w:szCs w:val="22"/>
      <w:lang w:val="hy-AM"/>
    </w:rPr>
  </w:style>
  <w:style w:type="character" w:customStyle="1" w:styleId="BodyText3Char">
    <w:name w:val="Body Text 3 Char"/>
    <w:link w:val="BodyText3"/>
    <w:uiPriority w:val="99"/>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uiPriority w:val="99"/>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uiPriority w:val="99"/>
    <w:rsid w:val="008E54BF"/>
    <w:rPr>
      <w:rFonts w:ascii="Tahoma" w:hAnsi="Tahoma" w:cs="Tahoma"/>
      <w:sz w:val="16"/>
      <w:szCs w:val="16"/>
      <w:lang w:val="ru-RU" w:eastAsia="ru-RU"/>
    </w:rPr>
  </w:style>
  <w:style w:type="table" w:customStyle="1" w:styleId="TableGrid1">
    <w:name w:val="Table Grid1"/>
    <w:basedOn w:val="TableNormal"/>
    <w:next w:val="TableGrid"/>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E513E7"/>
    <w:pPr>
      <w:tabs>
        <w:tab w:val="left" w:pos="1843"/>
        <w:tab w:val="right" w:leader="dot" w:pos="9923"/>
      </w:tabs>
      <w:spacing w:before="0" w:line="240" w:lineRule="auto"/>
      <w:ind w:firstLine="720"/>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rsid w:val="00060470"/>
    <w:rPr>
      <w:rFonts w:ascii="Garamond" w:hAnsi="Garamond"/>
      <w:b/>
      <w:i/>
      <w:kern w:val="28"/>
      <w:sz w:val="16"/>
      <w:lang w:val="en-GB"/>
    </w:rPr>
  </w:style>
  <w:style w:type="character" w:customStyle="1" w:styleId="FooterChar1">
    <w:name w:val="Footer Char1"/>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1">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rsid w:val="00060470"/>
    <w:rPr>
      <w:rFonts w:ascii="Courier New" w:hAnsi="Courier New"/>
      <w:b/>
      <w:lang w:val="ru-RU" w:eastAsia="ru-RU"/>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10">
    <w:name w:val="Абзац списка1"/>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link w:val="Char2"/>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Heading 3 Char2"/>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Body Text Char4,Body Text (Main text) Char4"/>
    <w:uiPriority w:val="99"/>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uiPriority w:val="99"/>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uiPriority w:val="99"/>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link w:val="1Text1"/>
    <w:locked/>
    <w:rsid w:val="00060470"/>
    <w:rPr>
      <w:rFonts w:cs="Times New Roman"/>
    </w:rPr>
  </w:style>
  <w:style w:type="paragraph" w:customStyle="1" w:styleId="11">
    <w:name w:val="Рецензия1"/>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aliases w:val="1Text Char2"/>
    <w:uiPriority w:val="99"/>
    <w:rsid w:val="00060470"/>
    <w:rPr>
      <w:sz w:val="24"/>
      <w:szCs w:val="24"/>
    </w:rPr>
  </w:style>
  <w:style w:type="numbering" w:customStyle="1" w:styleId="NoList2">
    <w:name w:val="No List2"/>
    <w:next w:val="NoList"/>
    <w:semiHidden/>
    <w:rsid w:val="00060470"/>
  </w:style>
  <w:style w:type="paragraph" w:customStyle="1" w:styleId="12">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0">
    <w:name w:val="Char2"/>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rsid w:val="00060470"/>
    <w:rPr>
      <w:b/>
      <w:sz w:val="32"/>
      <w:lang w:val="en-GB" w:eastAsia="en-US"/>
    </w:rPr>
  </w:style>
  <w:style w:type="character" w:customStyle="1" w:styleId="CharChar141">
    <w:name w:val="Char Char141"/>
    <w:rsid w:val="00060470"/>
    <w:rPr>
      <w:sz w:val="22"/>
      <w:lang w:val="en-GB" w:eastAsia="en-US"/>
    </w:rPr>
  </w:style>
  <w:style w:type="character" w:customStyle="1" w:styleId="CharChar151">
    <w:name w:val="Char Char151"/>
    <w:rsid w:val="00060470"/>
    <w:rPr>
      <w:sz w:val="36"/>
      <w:lang w:val="en-GB" w:eastAsia="en-US"/>
    </w:rPr>
  </w:style>
  <w:style w:type="character" w:customStyle="1" w:styleId="CharChar131">
    <w:name w:val="Char Char131"/>
    <w:rsid w:val="00060470"/>
    <w:rPr>
      <w:sz w:val="22"/>
      <w:lang w:val="en-GB" w:eastAsia="en-US"/>
    </w:rPr>
  </w:style>
  <w:style w:type="character" w:customStyle="1" w:styleId="CharChar121">
    <w:name w:val="Char Char121"/>
    <w:rsid w:val="00060470"/>
    <w:rPr>
      <w:sz w:val="22"/>
      <w:lang w:val="en-GB" w:eastAsia="en-US"/>
    </w:rPr>
  </w:style>
  <w:style w:type="character" w:customStyle="1" w:styleId="CharChar111">
    <w:name w:val="Char Char111"/>
    <w:rsid w:val="00060470"/>
    <w:rPr>
      <w:rFonts w:ascii="Times Armenian" w:hAnsi="Times Armenian"/>
      <w:b/>
      <w:sz w:val="24"/>
      <w:lang w:val="fr-FR" w:eastAsia="en-US"/>
    </w:rPr>
  </w:style>
  <w:style w:type="character" w:customStyle="1" w:styleId="CharChar101">
    <w:name w:val="Char Char101"/>
    <w:rsid w:val="00060470"/>
    <w:rPr>
      <w:rFonts w:ascii="Times Armenian" w:hAnsi="Times Armenian"/>
      <w:color w:val="993300"/>
      <w:sz w:val="24"/>
      <w:lang w:val="hy-AM" w:eastAsia="en-US"/>
    </w:rPr>
  </w:style>
  <w:style w:type="character" w:customStyle="1" w:styleId="CharChar91">
    <w:name w:val="Char Char91"/>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link w:val="BodyTextIndent2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2">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1"/>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3">
    <w:name w:val="???????? ?????"/>
    <w:basedOn w:val="a1"/>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4">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0">
    <w:name w:val="????????? 11"/>
    <w:basedOn w:val="20"/>
    <w:next w:val="20"/>
    <w:rsid w:val="00060470"/>
    <w:pPr>
      <w:keepNext/>
      <w:spacing w:line="360" w:lineRule="auto"/>
      <w:outlineLvl w:val="0"/>
    </w:pPr>
    <w:rPr>
      <w:rFonts w:ascii="Times LatArm" w:hAnsi="Times LatArm"/>
    </w:rPr>
  </w:style>
  <w:style w:type="paragraph" w:customStyle="1" w:styleId="13">
    <w:name w:val="????????1"/>
    <w:basedOn w:val="a1"/>
    <w:rsid w:val="00060470"/>
    <w:pPr>
      <w:jc w:val="center"/>
    </w:pPr>
    <w:rPr>
      <w:rFonts w:ascii="Times Armenian" w:hAnsi="Times Armenian"/>
      <w:i/>
      <w:sz w:val="28"/>
      <w:lang w:val="en-US"/>
    </w:rPr>
  </w:style>
  <w:style w:type="paragraph" w:customStyle="1" w:styleId="22">
    <w:name w:val="???????? ????? ? ???????? 2"/>
    <w:basedOn w:val="a1"/>
    <w:rsid w:val="00060470"/>
    <w:pPr>
      <w:ind w:right="-141" w:firstLine="567"/>
      <w:jc w:val="both"/>
    </w:pPr>
    <w:rPr>
      <w:rFonts w:ascii="Times Armenian" w:hAnsi="Times Armenian"/>
      <w:sz w:val="24"/>
    </w:rPr>
  </w:style>
  <w:style w:type="paragraph" w:customStyle="1" w:styleId="23">
    <w:name w:val="???????? ????? 2"/>
    <w:basedOn w:val="a1"/>
    <w:rsid w:val="00060470"/>
    <w:pPr>
      <w:spacing w:line="360" w:lineRule="auto"/>
      <w:jc w:val="both"/>
    </w:pPr>
    <w:rPr>
      <w:rFonts w:ascii="Times LatArm" w:hAnsi="Times LatArm"/>
      <w:b/>
      <w:i/>
      <w:sz w:val="28"/>
      <w:lang w:val="en-US"/>
    </w:rPr>
  </w:style>
  <w:style w:type="paragraph" w:customStyle="1" w:styleId="15">
    <w:name w:val="???????1"/>
    <w:rsid w:val="00060470"/>
    <w:rPr>
      <w:lang w:val="ru-RU" w:eastAsia="ru-RU"/>
    </w:rPr>
  </w:style>
  <w:style w:type="paragraph" w:customStyle="1" w:styleId="30">
    <w:name w:val="???????? ????? ? ????????3"/>
    <w:basedOn w:val="a1"/>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1"/>
    <w:next w:val="a1"/>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link w:val="BodyText3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uiPriority w:val="99"/>
    <w:rsid w:val="00060470"/>
    <w:rPr>
      <w:rFonts w:ascii="Times New Roman" w:eastAsia="Times New Roman" w:hAnsi="Times New Roman" w:cs="Times New Roman"/>
      <w:lang w:val="en-GB"/>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uiPriority w:val="99"/>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uiPriority w:val="99"/>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line="240" w:lineRule="auto"/>
      <w:contextualSpacing w:val="0"/>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5">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6">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7">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uiPriority w:val="99"/>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0"/>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6">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uiPriority w:val="99"/>
    <w:rsid w:val="00060470"/>
    <w:rPr>
      <w:rFonts w:ascii="Courier New" w:hAnsi="Courier New"/>
      <w:b/>
      <w:bCs/>
    </w:rPr>
  </w:style>
  <w:style w:type="table" w:styleId="TableGrid8">
    <w:name w:val="Table Grid 8"/>
    <w:basedOn w:val="TableNormal"/>
    <w:uiPriority w:val="99"/>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7">
    <w:name w:val="Заголовок таблицы"/>
    <w:basedOn w:val="a8"/>
    <w:rsid w:val="00060470"/>
  </w:style>
  <w:style w:type="paragraph" w:customStyle="1" w:styleId="a8">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9">
    <w:name w:val="??????? ??????????"/>
    <w:basedOn w:val="a1"/>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contextualSpacing w:val="0"/>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18">
    <w:name w:val="Обычный1"/>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Знак Char Char Знак Char Char Char,Знак Char Char Знак Char Char Char1"/>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rsid w:val="00060470"/>
    <w:rPr>
      <w:rFonts w:ascii="Times Armenian" w:hAnsi="Times Armenian"/>
      <w:sz w:val="24"/>
      <w:szCs w:val="24"/>
      <w:lang w:val="ru-RU" w:eastAsia="ru-RU" w:bidi="ar-SA"/>
    </w:rPr>
  </w:style>
  <w:style w:type="character" w:customStyle="1" w:styleId="CommentSubjectChar1">
    <w:name w:val="Comment Subject Char1"/>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ink w:val="DocumentMap1"/>
    <w:uiPriority w:val="99"/>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contextualSpacing w:val="0"/>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9">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qFormat/>
    <w:rsid w:val="00060470"/>
    <w:rPr>
      <w:rFonts w:ascii="GHEA Grapalat" w:hAnsi="GHEA Grapalat"/>
      <w:sz w:val="22"/>
    </w:rPr>
  </w:style>
  <w:style w:type="paragraph" w:customStyle="1" w:styleId="1a">
    <w:name w:val="Без интервала1"/>
    <w:link w:val="aa"/>
    <w:uiPriority w:val="1"/>
    <w:qFormat/>
    <w:rsid w:val="00060470"/>
    <w:rPr>
      <w:rFonts w:ascii="Calibri" w:hAnsi="Calibri"/>
      <w:sz w:val="22"/>
      <w:szCs w:val="22"/>
    </w:rPr>
  </w:style>
  <w:style w:type="character" w:customStyle="1" w:styleId="aa">
    <w:name w:val="Без интервала Знак"/>
    <w:link w:val="1a"/>
    <w:rsid w:val="00060470"/>
    <w:rPr>
      <w:rFonts w:ascii="Calibri" w:hAnsi="Calibri"/>
      <w:sz w:val="22"/>
      <w:szCs w:val="22"/>
    </w:rPr>
  </w:style>
  <w:style w:type="paragraph" w:customStyle="1" w:styleId="1b">
    <w:name w:val="Обычный1"/>
    <w:rsid w:val="00060470"/>
    <w:pPr>
      <w:autoSpaceDE w:val="0"/>
      <w:autoSpaceDN w:val="0"/>
    </w:pPr>
    <w:rPr>
      <w:lang w:val="ru-RU" w:eastAsia="ru-RU"/>
    </w:rPr>
  </w:style>
  <w:style w:type="paragraph" w:customStyle="1" w:styleId="32">
    <w:name w:val="???????? ????? ? ???????? 3"/>
    <w:basedOn w:val="a1"/>
    <w:uiPriority w:val="99"/>
    <w:rsid w:val="00060470"/>
    <w:pPr>
      <w:ind w:firstLine="360"/>
      <w:jc w:val="both"/>
    </w:pPr>
    <w:rPr>
      <w:rFonts w:ascii="Times Armenian" w:hAnsi="Times Armenian"/>
      <w:sz w:val="24"/>
      <w:lang w:val="af-ZA"/>
    </w:rPr>
  </w:style>
  <w:style w:type="paragraph" w:customStyle="1" w:styleId="6">
    <w:name w:val="????????? 6"/>
    <w:basedOn w:val="a1"/>
    <w:next w:val="a1"/>
    <w:uiPriority w:val="99"/>
    <w:rsid w:val="00060470"/>
    <w:pPr>
      <w:keepNext/>
      <w:jc w:val="center"/>
      <w:outlineLvl w:val="5"/>
    </w:pPr>
    <w:rPr>
      <w:rFonts w:ascii="Times Armenian" w:hAnsi="Times Armenian"/>
      <w:i/>
      <w:lang w:val="en-US"/>
    </w:rPr>
  </w:style>
  <w:style w:type="paragraph" w:customStyle="1" w:styleId="310">
    <w:name w:val="???????? ????? 31"/>
    <w:basedOn w:val="a1"/>
    <w:uiPriority w:val="99"/>
    <w:rsid w:val="00060470"/>
    <w:pPr>
      <w:jc w:val="center"/>
    </w:pPr>
    <w:rPr>
      <w:rFonts w:ascii="Arial Armenian" w:hAnsi="Arial Armenian"/>
      <w:sz w:val="24"/>
      <w:lang w:val="en-AU"/>
    </w:rPr>
  </w:style>
  <w:style w:type="paragraph" w:customStyle="1" w:styleId="25">
    <w:name w:val="????????? 2"/>
    <w:basedOn w:val="a1"/>
    <w:next w:val="a1"/>
    <w:uiPriority w:val="99"/>
    <w:rsid w:val="00060470"/>
    <w:pPr>
      <w:keepNext/>
      <w:ind w:firstLine="720"/>
      <w:outlineLvl w:val="1"/>
    </w:pPr>
    <w:rPr>
      <w:rFonts w:ascii="Times LatArm" w:hAnsi="Times LatArm"/>
      <w:b/>
      <w:i/>
      <w:sz w:val="28"/>
      <w:lang w:val="en-US"/>
    </w:rPr>
  </w:style>
  <w:style w:type="paragraph" w:customStyle="1" w:styleId="40">
    <w:name w:val="????????? 4"/>
    <w:basedOn w:val="a1"/>
    <w:next w:val="a1"/>
    <w:uiPriority w:val="99"/>
    <w:rsid w:val="0006047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1">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d">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b">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e">
    <w:name w:val="Нет списка1"/>
    <w:next w:val="NoList"/>
    <w:semiHidden/>
    <w:unhideWhenUsed/>
    <w:rsid w:val="00060470"/>
  </w:style>
  <w:style w:type="paragraph" w:customStyle="1" w:styleId="NoSpacing1">
    <w:name w:val="No Spacing1"/>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qFormat/>
    <w:rsid w:val="00060470"/>
    <w:pPr>
      <w:keepLines/>
      <w:spacing w:before="480"/>
      <w:contextualSpacing w:val="0"/>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c">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f">
    <w:name w:val="Заголовок №1_"/>
    <w:rsid w:val="00060470"/>
    <w:rPr>
      <w:rFonts w:ascii="Sylfaen" w:hAnsi="Sylfaen" w:cs="Sylfaen"/>
      <w:i/>
      <w:iCs/>
      <w:spacing w:val="-30"/>
      <w:sz w:val="31"/>
      <w:szCs w:val="31"/>
      <w:shd w:val="clear" w:color="auto" w:fill="FFFFFF"/>
    </w:rPr>
  </w:style>
  <w:style w:type="character" w:customStyle="1" w:styleId="1110">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e">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f0">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f1">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2">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uiPriority w:val="99"/>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37">
    <w:name w:val="Основной текст3"/>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8">
    <w:name w:val="Обычный3"/>
    <w:rsid w:val="00060470"/>
    <w:pPr>
      <w:autoSpaceDE w:val="0"/>
      <w:autoSpaceDN w:val="0"/>
    </w:pPr>
    <w:rPr>
      <w:lang w:val="ru-RU" w:eastAsia="ru-RU"/>
    </w:rPr>
  </w:style>
  <w:style w:type="paragraph" w:customStyle="1" w:styleId="1f3">
    <w:name w:val="Заголовок оглавления1"/>
    <w:basedOn w:val="Heading1"/>
    <w:next w:val="Normal"/>
    <w:uiPriority w:val="39"/>
    <w:unhideWhenUsed/>
    <w:qFormat/>
    <w:rsid w:val="00060470"/>
    <w:pPr>
      <w:keepLines/>
      <w:spacing w:before="480"/>
      <w:contextualSpacing w:val="0"/>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4">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5">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6">
    <w:name w:val="Слабое выделение1"/>
    <w:qFormat/>
    <w:rsid w:val="00060470"/>
    <w:rPr>
      <w:rFonts w:cs="Times New Roman"/>
      <w:i/>
      <w:iCs/>
      <w:color w:val="808080"/>
    </w:rPr>
  </w:style>
  <w:style w:type="character" w:customStyle="1" w:styleId="1f7">
    <w:name w:val="Слабая ссылка1"/>
    <w:qFormat/>
    <w:rsid w:val="00060470"/>
    <w:rPr>
      <w:rFonts w:cs="Times New Roman"/>
      <w:smallCaps/>
      <w:color w:val="C0504D"/>
      <w:u w:val="single"/>
    </w:rPr>
  </w:style>
  <w:style w:type="character" w:customStyle="1" w:styleId="1f8">
    <w:name w:val="Сильная ссылка1"/>
    <w:qFormat/>
    <w:rsid w:val="00060470"/>
    <w:rPr>
      <w:rFonts w:cs="Times New Roman"/>
      <w:b/>
      <w:bCs/>
      <w:smallCaps/>
      <w:color w:val="C0504D"/>
      <w:spacing w:val="5"/>
      <w:u w:val="single"/>
    </w:rPr>
  </w:style>
  <w:style w:type="character" w:customStyle="1" w:styleId="1f9">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uiPriority w:val="99"/>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uiPriority w:val="99"/>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a">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a"/>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uiPriority w:val="99"/>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uiPriority w:val="99"/>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uiPriority w:val="39"/>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uiPriority w:val="99"/>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uiPriority w:val="39"/>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semiHidden/>
    <w:unhideWhenUsed/>
    <w:rsid w:val="00006BCE"/>
  </w:style>
  <w:style w:type="table" w:customStyle="1" w:styleId="TableGrid70">
    <w:name w:val="Table Grid7"/>
    <w:basedOn w:val="TableNormal"/>
    <w:next w:val="TableGrid"/>
    <w:uiPriority w:val="39"/>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uiPriority w:val="99"/>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uiPriority w:val="99"/>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uiPriority w:val="39"/>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9">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uiPriority w:val="99"/>
    <w:qFormat/>
    <w:rsid w:val="00291C2D"/>
    <w:pPr>
      <w:spacing w:before="0" w:after="200" w:line="276" w:lineRule="auto"/>
      <w:ind w:left="720" w:firstLine="0"/>
      <w:jc w:val="left"/>
    </w:pPr>
    <w:rPr>
      <w:rFonts w:ascii="Calibri" w:eastAsia="Calibri" w:hAnsi="Calibri"/>
      <w:szCs w:val="22"/>
      <w:lang w:eastAsia="en-US"/>
    </w:rPr>
  </w:style>
  <w:style w:type="paragraph" w:customStyle="1" w:styleId="3a">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rsid w:val="001725C5"/>
  </w:style>
  <w:style w:type="paragraph" w:customStyle="1" w:styleId="CharChara">
    <w:name w:val="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a">
    <w:name w:val="Char"/>
    <w:basedOn w:val="Normal"/>
    <w:next w:val="Normal"/>
    <w:rsid w:val="001725C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1CharCharCharCharCharCharCharCharCharCharCharChar0">
    <w:name w:val="Char1 Char Char Char Char Char Char Char Char Char Char 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4">
    <w:name w:val="Char 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5">
    <w:name w:val="Char Char Char 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5">
    <w:name w:val="Char Char Char Char Char 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af">
    <w:name w:val="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numbering" w:customStyle="1" w:styleId="NoList127">
    <w:name w:val="No List127"/>
    <w:next w:val="NoList"/>
    <w:semiHidden/>
    <w:rsid w:val="001725C5"/>
  </w:style>
  <w:style w:type="paragraph" w:customStyle="1" w:styleId="CharCharCharCharCharCharCharCharCharCharCharCharCharCharChar0">
    <w:name w:val="Char Char Char Char Знак Char Знак Char Char Char Char Char Char Char Char Char Char"/>
    <w:basedOn w:val="Normal"/>
    <w:rsid w:val="001725C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160">
    <w:name w:val="Char Char16"/>
    <w:rsid w:val="001725C5"/>
    <w:rPr>
      <w:b/>
      <w:sz w:val="32"/>
      <w:lang w:val="en-GB" w:eastAsia="en-US" w:bidi="ar-SA"/>
    </w:rPr>
  </w:style>
  <w:style w:type="character" w:customStyle="1" w:styleId="CharChar140">
    <w:name w:val="Char Char14"/>
    <w:rsid w:val="001725C5"/>
    <w:rPr>
      <w:sz w:val="22"/>
      <w:lang w:val="en-GB" w:eastAsia="en-US" w:bidi="ar-SA"/>
    </w:rPr>
  </w:style>
  <w:style w:type="character" w:customStyle="1" w:styleId="CharChar150">
    <w:name w:val="Char Char15"/>
    <w:rsid w:val="001725C5"/>
    <w:rPr>
      <w:sz w:val="36"/>
      <w:lang w:val="en-GB" w:eastAsia="en-US" w:bidi="ar-SA"/>
    </w:rPr>
  </w:style>
  <w:style w:type="character" w:customStyle="1" w:styleId="CharChar130">
    <w:name w:val="Char Char13"/>
    <w:rsid w:val="001725C5"/>
    <w:rPr>
      <w:sz w:val="22"/>
      <w:lang w:val="en-GB" w:eastAsia="en-US" w:bidi="ar-SA"/>
    </w:rPr>
  </w:style>
  <w:style w:type="character" w:customStyle="1" w:styleId="CharChar120">
    <w:name w:val="Char Char12"/>
    <w:uiPriority w:val="99"/>
    <w:rsid w:val="001725C5"/>
    <w:rPr>
      <w:sz w:val="22"/>
      <w:lang w:val="en-GB" w:eastAsia="en-US" w:bidi="ar-SA"/>
    </w:rPr>
  </w:style>
  <w:style w:type="character" w:customStyle="1" w:styleId="CharChar110">
    <w:name w:val="Char Char11"/>
    <w:uiPriority w:val="99"/>
    <w:rsid w:val="001725C5"/>
    <w:rPr>
      <w:rFonts w:ascii="Times Armenian" w:hAnsi="Times Armenian"/>
      <w:b/>
      <w:bCs/>
      <w:sz w:val="32"/>
      <w:szCs w:val="24"/>
      <w:lang w:val="fr-FR" w:eastAsia="en-US" w:bidi="ar-SA"/>
    </w:rPr>
  </w:style>
  <w:style w:type="character" w:customStyle="1" w:styleId="CharChar100">
    <w:name w:val="Char Char10"/>
    <w:rsid w:val="001725C5"/>
    <w:rPr>
      <w:rFonts w:ascii="Times Armenian" w:hAnsi="Times Armenian"/>
      <w:color w:val="993300"/>
      <w:sz w:val="22"/>
      <w:szCs w:val="24"/>
      <w:lang w:val="hy-AM" w:eastAsia="en-US" w:bidi="ar-SA"/>
    </w:rPr>
  </w:style>
  <w:style w:type="character" w:customStyle="1" w:styleId="CharChar90">
    <w:name w:val="Char Char9"/>
    <w:rsid w:val="001725C5"/>
    <w:rPr>
      <w:rFonts w:ascii="Times Armenian" w:hAnsi="Times Armenian"/>
      <w:b/>
      <w:i/>
      <w:sz w:val="24"/>
      <w:u w:val="single"/>
      <w:lang w:val="hy-AM" w:eastAsia="en-US" w:bidi="ar-SA"/>
    </w:rPr>
  </w:style>
  <w:style w:type="numbering" w:customStyle="1" w:styleId="NoList210">
    <w:name w:val="No List210"/>
    <w:next w:val="NoList"/>
    <w:semiHidden/>
    <w:rsid w:val="001725C5"/>
  </w:style>
  <w:style w:type="numbering" w:customStyle="1" w:styleId="NoList49">
    <w:name w:val="No List49"/>
    <w:next w:val="NoList"/>
    <w:uiPriority w:val="99"/>
    <w:semiHidden/>
    <w:unhideWhenUsed/>
    <w:rsid w:val="002C0A36"/>
  </w:style>
  <w:style w:type="table" w:customStyle="1" w:styleId="TableGrid25">
    <w:name w:val="Table Grid25"/>
    <w:basedOn w:val="TableNormal"/>
    <w:next w:val="TableGrid"/>
    <w:uiPriority w:val="39"/>
    <w:rsid w:val="002C0A36"/>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C0A3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
    <w:name w:val="Table Grid26"/>
    <w:basedOn w:val="TableNormal"/>
    <w:next w:val="TableGrid"/>
    <w:uiPriority w:val="39"/>
    <w:rsid w:val="00BA6B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36A46"/>
  </w:style>
  <w:style w:type="numbering" w:customStyle="1" w:styleId="NoList128">
    <w:name w:val="No List128"/>
    <w:next w:val="NoList"/>
    <w:uiPriority w:val="99"/>
    <w:semiHidden/>
    <w:unhideWhenUsed/>
    <w:rsid w:val="00B36A46"/>
  </w:style>
  <w:style w:type="table" w:customStyle="1" w:styleId="TableGrid27">
    <w:name w:val="Table Grid27"/>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36A46"/>
  </w:style>
  <w:style w:type="numbering" w:customStyle="1" w:styleId="NoList11110">
    <w:name w:val="No List11110"/>
    <w:next w:val="NoList"/>
    <w:semiHidden/>
    <w:rsid w:val="00B36A46"/>
  </w:style>
  <w:style w:type="table" w:customStyle="1" w:styleId="TableGrid112">
    <w:name w:val="Table Grid11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semiHidden/>
    <w:rsid w:val="00B36A46"/>
  </w:style>
  <w:style w:type="numbering" w:customStyle="1" w:styleId="NoList214">
    <w:name w:val="No List214"/>
    <w:next w:val="NoList"/>
    <w:semiHidden/>
    <w:rsid w:val="00B36A46"/>
  </w:style>
  <w:style w:type="numbering" w:customStyle="1" w:styleId="NoList310">
    <w:name w:val="No List310"/>
    <w:next w:val="NoList"/>
    <w:semiHidden/>
    <w:unhideWhenUsed/>
    <w:rsid w:val="00B36A46"/>
  </w:style>
  <w:style w:type="table" w:customStyle="1" w:styleId="TableList77">
    <w:name w:val="Table List 77"/>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
    <w:name w:val="Table Web 37"/>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
    <w:name w:val="Table Elegant7"/>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
    <w:name w:val="Table Web 17"/>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
    <w:name w:val="Table Grid 87"/>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
    <w:name w:val="Light List - Accent 124"/>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
    <w:name w:val="Table Grid 77"/>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
    <w:name w:val="Colorful Grid - Accent 18"/>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
    <w:name w:val="Light List - Accent 59"/>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
    <w:name w:val="Table Simple 37"/>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
    <w:name w:val="Table Grid 57"/>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
    <w:name w:val="Table Grid 37"/>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0">
    <w:name w:val="Table Grid 17"/>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
    <w:name w:val="Table Columns 57"/>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
    <w:name w:val="Light List - Accent 1110"/>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0">
    <w:name w:val="Нет списка18"/>
    <w:next w:val="NoList"/>
    <w:semiHidden/>
    <w:unhideWhenUsed/>
    <w:rsid w:val="00B36A46"/>
  </w:style>
  <w:style w:type="table" w:customStyle="1" w:styleId="ColorfulGrid-Accent117">
    <w:name w:val="Colorful Grid - Accent 117"/>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
    <w:name w:val="Light List - Accent 517"/>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
    <w:name w:val="No List410"/>
    <w:next w:val="NoList"/>
    <w:semiHidden/>
    <w:rsid w:val="00B36A46"/>
  </w:style>
  <w:style w:type="table" w:customStyle="1" w:styleId="Table3Deffects37">
    <w:name w:val="Table 3D effects 37"/>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
    <w:name w:val="Нет списка117"/>
    <w:next w:val="NoList"/>
    <w:semiHidden/>
    <w:unhideWhenUsed/>
    <w:rsid w:val="00B36A46"/>
  </w:style>
  <w:style w:type="numbering" w:customStyle="1" w:styleId="NoList54">
    <w:name w:val="No List54"/>
    <w:next w:val="NoList"/>
    <w:uiPriority w:val="99"/>
    <w:semiHidden/>
    <w:unhideWhenUsed/>
    <w:rsid w:val="00B36A46"/>
  </w:style>
  <w:style w:type="numbering" w:customStyle="1" w:styleId="NoList129">
    <w:name w:val="No List129"/>
    <w:next w:val="NoList"/>
    <w:semiHidden/>
    <w:rsid w:val="00B36A46"/>
  </w:style>
  <w:style w:type="numbering" w:customStyle="1" w:styleId="NoList1124">
    <w:name w:val="No List1124"/>
    <w:next w:val="NoList"/>
    <w:semiHidden/>
    <w:rsid w:val="00B36A46"/>
  </w:style>
  <w:style w:type="numbering" w:customStyle="1" w:styleId="NoList111112">
    <w:name w:val="No List111112"/>
    <w:next w:val="NoList"/>
    <w:semiHidden/>
    <w:rsid w:val="00B36A46"/>
  </w:style>
  <w:style w:type="numbering" w:customStyle="1" w:styleId="NoList215">
    <w:name w:val="No List215"/>
    <w:next w:val="NoList"/>
    <w:semiHidden/>
    <w:rsid w:val="00B36A46"/>
  </w:style>
  <w:style w:type="table" w:customStyle="1" w:styleId="TableGrid28">
    <w:name w:val="Table Grid28"/>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36A46"/>
  </w:style>
  <w:style w:type="numbering" w:customStyle="1" w:styleId="NoList62">
    <w:name w:val="No List62"/>
    <w:next w:val="NoList"/>
    <w:uiPriority w:val="99"/>
    <w:semiHidden/>
    <w:unhideWhenUsed/>
    <w:rsid w:val="00B36A46"/>
  </w:style>
  <w:style w:type="numbering" w:customStyle="1" w:styleId="NoList72">
    <w:name w:val="No List72"/>
    <w:next w:val="NoList"/>
    <w:uiPriority w:val="99"/>
    <w:semiHidden/>
    <w:unhideWhenUsed/>
    <w:rsid w:val="00B36A46"/>
  </w:style>
  <w:style w:type="table" w:customStyle="1" w:styleId="TableGrid320">
    <w:name w:val="Table Grid3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semiHidden/>
    <w:unhideWhenUsed/>
    <w:rsid w:val="00B36A46"/>
  </w:style>
  <w:style w:type="numbering" w:customStyle="1" w:styleId="NoList1132">
    <w:name w:val="No List1132"/>
    <w:next w:val="NoList"/>
    <w:semiHidden/>
    <w:rsid w:val="00B36A46"/>
  </w:style>
  <w:style w:type="table" w:customStyle="1" w:styleId="TableGrid113">
    <w:name w:val="Table Grid113"/>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semiHidden/>
    <w:rsid w:val="00B36A46"/>
  </w:style>
  <w:style w:type="numbering" w:customStyle="1" w:styleId="NoList222">
    <w:name w:val="No List222"/>
    <w:next w:val="NoList"/>
    <w:semiHidden/>
    <w:rsid w:val="00B36A46"/>
  </w:style>
  <w:style w:type="numbering" w:customStyle="1" w:styleId="NoList322">
    <w:name w:val="No List322"/>
    <w:next w:val="NoList"/>
    <w:semiHidden/>
    <w:unhideWhenUsed/>
    <w:rsid w:val="00B36A46"/>
  </w:style>
  <w:style w:type="table" w:customStyle="1" w:styleId="TableList712">
    <w:name w:val="Table List 71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
    <w:name w:val="Light List - Accent 125"/>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
    <w:name w:val="Colorful Grid - Accent 122"/>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
    <w:name w:val="Нет списка122"/>
    <w:next w:val="NoList"/>
    <w:uiPriority w:val="99"/>
    <w:semiHidden/>
    <w:unhideWhenUsed/>
    <w:rsid w:val="00B36A46"/>
  </w:style>
  <w:style w:type="table" w:customStyle="1" w:styleId="ColorfulGrid-Accent1112">
    <w:name w:val="Colorful Grid - Accent 111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
    <w:name w:val="No List412"/>
    <w:next w:val="NoList"/>
    <w:semiHidden/>
    <w:rsid w:val="00B36A46"/>
  </w:style>
  <w:style w:type="table" w:customStyle="1" w:styleId="Table3Deffects312">
    <w:name w:val="Table 3D effects 31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2"/>
    <w:next w:val="NoList"/>
    <w:semiHidden/>
    <w:unhideWhenUsed/>
    <w:rsid w:val="00B36A46"/>
  </w:style>
  <w:style w:type="numbering" w:customStyle="1" w:styleId="NoList512">
    <w:name w:val="No List512"/>
    <w:next w:val="NoList"/>
    <w:uiPriority w:val="99"/>
    <w:semiHidden/>
    <w:unhideWhenUsed/>
    <w:rsid w:val="00B36A46"/>
  </w:style>
  <w:style w:type="numbering" w:customStyle="1" w:styleId="NoList1212">
    <w:name w:val="No List1212"/>
    <w:next w:val="NoList"/>
    <w:semiHidden/>
    <w:rsid w:val="00B36A46"/>
  </w:style>
  <w:style w:type="numbering" w:customStyle="1" w:styleId="NoList11212">
    <w:name w:val="No List11212"/>
    <w:next w:val="NoList"/>
    <w:semiHidden/>
    <w:rsid w:val="00B36A46"/>
  </w:style>
  <w:style w:type="numbering" w:customStyle="1" w:styleId="NoList1111112">
    <w:name w:val="No List1111112"/>
    <w:next w:val="NoList"/>
    <w:semiHidden/>
    <w:rsid w:val="00B36A46"/>
  </w:style>
  <w:style w:type="numbering" w:customStyle="1" w:styleId="NoList2112">
    <w:name w:val="No List2112"/>
    <w:next w:val="NoList"/>
    <w:semiHidden/>
    <w:rsid w:val="00B36A46"/>
  </w:style>
  <w:style w:type="table" w:customStyle="1" w:styleId="TableGrid212">
    <w:name w:val="Table Grid21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B36A46"/>
  </w:style>
  <w:style w:type="numbering" w:customStyle="1" w:styleId="NoList82">
    <w:name w:val="No List82"/>
    <w:next w:val="NoList"/>
    <w:uiPriority w:val="99"/>
    <w:semiHidden/>
    <w:unhideWhenUsed/>
    <w:rsid w:val="00B36A46"/>
  </w:style>
  <w:style w:type="numbering" w:customStyle="1" w:styleId="NoList92">
    <w:name w:val="No List92"/>
    <w:next w:val="NoList"/>
    <w:uiPriority w:val="99"/>
    <w:semiHidden/>
    <w:unhideWhenUsed/>
    <w:rsid w:val="00B36A46"/>
  </w:style>
  <w:style w:type="table" w:customStyle="1" w:styleId="TableGrid42">
    <w:name w:val="Table Grid4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
    <w:name w:val="Table List 72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
    <w:name w:val="Table Web 32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
    <w:name w:val="No List142"/>
    <w:next w:val="NoList"/>
    <w:semiHidden/>
    <w:unhideWhenUsed/>
    <w:rsid w:val="00B36A46"/>
  </w:style>
  <w:style w:type="numbering" w:customStyle="1" w:styleId="NoList232">
    <w:name w:val="No List232"/>
    <w:next w:val="NoList"/>
    <w:semiHidden/>
    <w:unhideWhenUsed/>
    <w:rsid w:val="00B36A46"/>
  </w:style>
  <w:style w:type="numbering" w:customStyle="1" w:styleId="NoList332">
    <w:name w:val="No List332"/>
    <w:next w:val="NoList"/>
    <w:semiHidden/>
    <w:unhideWhenUsed/>
    <w:rsid w:val="00B36A46"/>
  </w:style>
  <w:style w:type="table" w:customStyle="1" w:styleId="LightList-Accent132">
    <w:name w:val="Light List - Accent 13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
    <w:name w:val="Table Grid 72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
    <w:name w:val="Table Simple 32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
    <w:name w:val="Table Grid 52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
    <w:name w:val="Table Grid 32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
    <w:name w:val="Light List - Accent 112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
    <w:name w:val="Нет списка132"/>
    <w:next w:val="NoList"/>
    <w:semiHidden/>
    <w:unhideWhenUsed/>
    <w:rsid w:val="00B36A46"/>
  </w:style>
  <w:style w:type="table" w:customStyle="1" w:styleId="ColorfulGrid-Accent1122">
    <w:name w:val="Colorful Grid - Accent 112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
    <w:name w:val="Light List - Accent 512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
    <w:name w:val="No List422"/>
    <w:next w:val="NoList"/>
    <w:semiHidden/>
    <w:rsid w:val="00B36A46"/>
  </w:style>
  <w:style w:type="numbering" w:customStyle="1" w:styleId="NoList1142">
    <w:name w:val="No List1142"/>
    <w:next w:val="NoList"/>
    <w:semiHidden/>
    <w:unhideWhenUsed/>
    <w:rsid w:val="00B36A46"/>
  </w:style>
  <w:style w:type="table" w:customStyle="1" w:styleId="Table3Deffects322">
    <w:name w:val="Table 3D effects 32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
    <w:name w:val="Нет списка1122"/>
    <w:next w:val="NoList"/>
    <w:semiHidden/>
    <w:unhideWhenUsed/>
    <w:rsid w:val="00B36A46"/>
  </w:style>
  <w:style w:type="numbering" w:customStyle="1" w:styleId="NoList102">
    <w:name w:val="No List102"/>
    <w:next w:val="NoList"/>
    <w:uiPriority w:val="99"/>
    <w:semiHidden/>
    <w:unhideWhenUsed/>
    <w:rsid w:val="00B36A46"/>
  </w:style>
  <w:style w:type="table" w:customStyle="1" w:styleId="TableGrid520">
    <w:name w:val="Table Grid5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B36A46"/>
  </w:style>
  <w:style w:type="numbering" w:customStyle="1" w:styleId="NoList1152">
    <w:name w:val="No List1152"/>
    <w:next w:val="NoList"/>
    <w:semiHidden/>
    <w:rsid w:val="00B36A46"/>
  </w:style>
  <w:style w:type="table" w:customStyle="1" w:styleId="TableGrid1220">
    <w:name w:val="Table Grid12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semiHidden/>
    <w:rsid w:val="00B36A46"/>
  </w:style>
  <w:style w:type="numbering" w:customStyle="1" w:styleId="NoList242">
    <w:name w:val="No List242"/>
    <w:next w:val="NoList"/>
    <w:semiHidden/>
    <w:rsid w:val="00B36A46"/>
  </w:style>
  <w:style w:type="numbering" w:customStyle="1" w:styleId="NoList342">
    <w:name w:val="No List342"/>
    <w:next w:val="NoList"/>
    <w:semiHidden/>
    <w:unhideWhenUsed/>
    <w:rsid w:val="00B36A46"/>
  </w:style>
  <w:style w:type="table" w:customStyle="1" w:styleId="TableList732">
    <w:name w:val="Table List 73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
    <w:name w:val="Table Web 33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
    <w:name w:val="Table Elegant3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
    <w:name w:val="Table Web 13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
    <w:name w:val="Table Grid 83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
    <w:name w:val="Table Contemporary3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
    <w:name w:val="Light List - Accent 14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
    <w:name w:val="Table Grid 73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
    <w:name w:val="Colorful Grid - Accent 14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
    <w:name w:val="Light List - Accent 54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
    <w:name w:val="Table Simple 33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
    <w:name w:val="Table Grid 53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
    <w:name w:val="Table Grid 33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
    <w:name w:val="Table Grid 13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
    <w:name w:val="Table Columns 53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
    <w:name w:val="Light List - Accent 113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
    <w:name w:val="Нет списка142"/>
    <w:next w:val="NoList"/>
    <w:semiHidden/>
    <w:unhideWhenUsed/>
    <w:rsid w:val="00B36A46"/>
  </w:style>
  <w:style w:type="table" w:customStyle="1" w:styleId="ColorfulGrid-Accent1132">
    <w:name w:val="Colorful Grid - Accent 113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
    <w:name w:val="Light List - Accent 513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
    <w:name w:val="No List432"/>
    <w:next w:val="NoList"/>
    <w:semiHidden/>
    <w:rsid w:val="00B36A46"/>
  </w:style>
  <w:style w:type="table" w:customStyle="1" w:styleId="Table3Deffects332">
    <w:name w:val="Table 3D effects 33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
    <w:name w:val="Нет списка1132"/>
    <w:next w:val="NoList"/>
    <w:semiHidden/>
    <w:unhideWhenUsed/>
    <w:rsid w:val="00B36A46"/>
  </w:style>
  <w:style w:type="numbering" w:customStyle="1" w:styleId="NoList522">
    <w:name w:val="No List522"/>
    <w:next w:val="NoList"/>
    <w:uiPriority w:val="99"/>
    <w:semiHidden/>
    <w:unhideWhenUsed/>
    <w:rsid w:val="00B36A46"/>
  </w:style>
  <w:style w:type="numbering" w:customStyle="1" w:styleId="NoList1222">
    <w:name w:val="No List1222"/>
    <w:next w:val="NoList"/>
    <w:semiHidden/>
    <w:rsid w:val="00B36A46"/>
  </w:style>
  <w:style w:type="numbering" w:customStyle="1" w:styleId="NoList11222">
    <w:name w:val="No List11222"/>
    <w:next w:val="NoList"/>
    <w:semiHidden/>
    <w:rsid w:val="00B36A46"/>
  </w:style>
  <w:style w:type="numbering" w:customStyle="1" w:styleId="NoList111122">
    <w:name w:val="No List111122"/>
    <w:next w:val="NoList"/>
    <w:semiHidden/>
    <w:rsid w:val="00B36A46"/>
  </w:style>
  <w:style w:type="numbering" w:customStyle="1" w:styleId="NoList2122">
    <w:name w:val="No List2122"/>
    <w:next w:val="NoList"/>
    <w:semiHidden/>
    <w:rsid w:val="00B36A46"/>
  </w:style>
  <w:style w:type="table" w:customStyle="1" w:styleId="TableGrid222">
    <w:name w:val="Table Grid22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B36A46"/>
  </w:style>
  <w:style w:type="table" w:customStyle="1" w:styleId="LightShading-Accent113">
    <w:name w:val="Light Shading - Accent 113"/>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
    <w:name w:val="Medium Grid 2 - Accent 113"/>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
    <w:name w:val="Medium List 2 - Accent 513"/>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
    <w:name w:val="Light List - Accent 15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
    <w:name w:val="Medium Grid 3 - Accent 513"/>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
    <w:name w:val="Light Shading - Accent 513"/>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
    <w:name w:val="Medium Grid 2 - Accent 513"/>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
    <w:name w:val="Light Grid - Accent 113"/>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
    <w:name w:val="Table List 44"/>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
    <w:name w:val="Table List 413"/>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
    <w:name w:val="Table Theme2"/>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
    <w:name w:val="Table Grid 62"/>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
    <w:name w:val="Table List 42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
    <w:name w:val="Table List 411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
    <w:name w:val="Style116"/>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
    <w:name w:val="Style217"/>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
    <w:name w:val="Style2116"/>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
    <w:name w:val="No List162"/>
    <w:next w:val="NoList"/>
    <w:uiPriority w:val="99"/>
    <w:semiHidden/>
    <w:unhideWhenUsed/>
    <w:rsid w:val="00B36A46"/>
  </w:style>
  <w:style w:type="table" w:customStyle="1" w:styleId="TableGrid620">
    <w:name w:val="Table Grid6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36A46"/>
  </w:style>
  <w:style w:type="numbering" w:customStyle="1" w:styleId="NoList1162">
    <w:name w:val="No List1162"/>
    <w:next w:val="NoList"/>
    <w:semiHidden/>
    <w:rsid w:val="00B36A46"/>
  </w:style>
  <w:style w:type="table" w:customStyle="1" w:styleId="TableGrid1320">
    <w:name w:val="Table Grid132"/>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
    <w:name w:val="Light List - Accent 16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
    <w:name w:val="Medium Grid 2 - Accent 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
    <w:name w:val="Medium List 2 - Accent 5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
    <w:name w:val="Light List - Accent 17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
    <w:name w:val="Medium Grid 3 - Accent 5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
    <w:name w:val="Medium Grid 2 - Accent 5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
    <w:name w:val="Light Grid - Accent 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
    <w:name w:val="No List181"/>
    <w:next w:val="NoList"/>
    <w:uiPriority w:val="99"/>
    <w:semiHidden/>
    <w:unhideWhenUsed/>
    <w:rsid w:val="00B36A46"/>
  </w:style>
  <w:style w:type="table" w:customStyle="1" w:styleId="TableGrid710">
    <w:name w:val="Table Grid7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
    <w:name w:val="Table List 74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
    <w:name w:val="Table Web 34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
    <w:name w:val="No List191"/>
    <w:next w:val="NoList"/>
    <w:semiHidden/>
    <w:unhideWhenUsed/>
    <w:rsid w:val="00B36A46"/>
  </w:style>
  <w:style w:type="numbering" w:customStyle="1" w:styleId="NoList251">
    <w:name w:val="No List251"/>
    <w:next w:val="NoList"/>
    <w:semiHidden/>
    <w:unhideWhenUsed/>
    <w:rsid w:val="00B36A46"/>
  </w:style>
  <w:style w:type="numbering" w:customStyle="1" w:styleId="NoList351">
    <w:name w:val="No List351"/>
    <w:next w:val="NoList"/>
    <w:semiHidden/>
    <w:unhideWhenUsed/>
    <w:rsid w:val="00B36A46"/>
  </w:style>
  <w:style w:type="table" w:customStyle="1" w:styleId="LightList-Accent181">
    <w:name w:val="Light List - Accent 18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
    <w:name w:val="Table Grid 74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
    <w:name w:val="Colorful Grid - Accent 15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
    <w:name w:val="Light List - Accent 55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
    <w:name w:val="Table Simple 34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
    <w:name w:val="Table Grid 54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
    <w:name w:val="Table Grid 34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
    <w:name w:val="Table Grid 14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
    <w:name w:val="Light List - Accent 114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
    <w:name w:val="Нет списка151"/>
    <w:next w:val="NoList"/>
    <w:semiHidden/>
    <w:unhideWhenUsed/>
    <w:rsid w:val="00B36A46"/>
  </w:style>
  <w:style w:type="table" w:customStyle="1" w:styleId="ColorfulGrid-Accent1141">
    <w:name w:val="Colorful Grid - Accent 114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
    <w:name w:val="Light List - Accent 514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
    <w:name w:val="No List441"/>
    <w:next w:val="NoList"/>
    <w:semiHidden/>
    <w:rsid w:val="00B36A46"/>
  </w:style>
  <w:style w:type="numbering" w:customStyle="1" w:styleId="NoList1171">
    <w:name w:val="No List1171"/>
    <w:next w:val="NoList"/>
    <w:semiHidden/>
    <w:unhideWhenUsed/>
    <w:rsid w:val="00B36A46"/>
  </w:style>
  <w:style w:type="table" w:customStyle="1" w:styleId="Table3Deffects341">
    <w:name w:val="Table 3D effects 34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
    <w:name w:val="Нет списка1141"/>
    <w:next w:val="NoList"/>
    <w:semiHidden/>
    <w:unhideWhenUsed/>
    <w:rsid w:val="00B36A46"/>
  </w:style>
  <w:style w:type="table" w:customStyle="1" w:styleId="Style1111">
    <w:name w:val="Style11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
    <w:name w:val="Style2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
    <w:name w:val="Style2111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
    <w:name w:val="Style112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
    <w:name w:val="Style2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
    <w:name w:val="Style21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
    <w:name w:val="No List201"/>
    <w:next w:val="NoList"/>
    <w:uiPriority w:val="99"/>
    <w:semiHidden/>
    <w:unhideWhenUsed/>
    <w:rsid w:val="00B36A46"/>
  </w:style>
  <w:style w:type="numbering" w:customStyle="1" w:styleId="NoList1101">
    <w:name w:val="No List1101"/>
    <w:next w:val="NoList"/>
    <w:uiPriority w:val="99"/>
    <w:semiHidden/>
    <w:unhideWhenUsed/>
    <w:rsid w:val="00B36A46"/>
  </w:style>
  <w:style w:type="table" w:customStyle="1" w:styleId="TableGrid810">
    <w:name w:val="Table Grid8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36A46"/>
  </w:style>
  <w:style w:type="numbering" w:customStyle="1" w:styleId="NoList11141">
    <w:name w:val="No List11141"/>
    <w:next w:val="NoList"/>
    <w:semiHidden/>
    <w:rsid w:val="00B36A46"/>
  </w:style>
  <w:style w:type="table" w:customStyle="1" w:styleId="TableGrid1410">
    <w:name w:val="Table Grid14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semiHidden/>
    <w:rsid w:val="00B36A46"/>
  </w:style>
  <w:style w:type="numbering" w:customStyle="1" w:styleId="NoList261">
    <w:name w:val="No List261"/>
    <w:next w:val="NoList"/>
    <w:semiHidden/>
    <w:rsid w:val="00B36A46"/>
  </w:style>
  <w:style w:type="numbering" w:customStyle="1" w:styleId="NoList361">
    <w:name w:val="No List361"/>
    <w:next w:val="NoList"/>
    <w:semiHidden/>
    <w:unhideWhenUsed/>
    <w:rsid w:val="00B36A46"/>
  </w:style>
  <w:style w:type="table" w:customStyle="1" w:styleId="TableList751">
    <w:name w:val="Table List 75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
    <w:name w:val="Table Web 35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
    <w:name w:val="Table Elegant5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
    <w:name w:val="Table Web 25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
    <w:name w:val="Table Web 15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
    <w:name w:val="Table Grid 85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
    <w:name w:val="Table Contemporary5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
    <w:name w:val="Light List - Accent 19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
    <w:name w:val="Table Grid 75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
    <w:name w:val="Colorful Grid - Accent 16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
    <w:name w:val="Light List - Accent 56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
    <w:name w:val="Table Simple 35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
    <w:name w:val="Table Grid 55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
    <w:name w:val="Table Grid 35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
    <w:name w:val="Table Grid 15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
    <w:name w:val="Table Columns 55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
    <w:name w:val="Light List - Accent 115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
    <w:name w:val="Нет списка161"/>
    <w:next w:val="NoList"/>
    <w:semiHidden/>
    <w:unhideWhenUsed/>
    <w:rsid w:val="00B36A46"/>
  </w:style>
  <w:style w:type="table" w:customStyle="1" w:styleId="ColorfulGrid-Accent1151">
    <w:name w:val="Colorful Grid - Accent 115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
    <w:name w:val="Light List - Accent 515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
    <w:name w:val="No List451"/>
    <w:next w:val="NoList"/>
    <w:semiHidden/>
    <w:rsid w:val="00B36A46"/>
  </w:style>
  <w:style w:type="table" w:customStyle="1" w:styleId="Table3Deffects351">
    <w:name w:val="Table 3D effects 35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NoList"/>
    <w:semiHidden/>
    <w:unhideWhenUsed/>
    <w:rsid w:val="00B36A46"/>
  </w:style>
  <w:style w:type="numbering" w:customStyle="1" w:styleId="NoList531">
    <w:name w:val="No List531"/>
    <w:next w:val="NoList"/>
    <w:uiPriority w:val="99"/>
    <w:semiHidden/>
    <w:unhideWhenUsed/>
    <w:rsid w:val="00B36A46"/>
  </w:style>
  <w:style w:type="numbering" w:customStyle="1" w:styleId="NoList1231">
    <w:name w:val="No List1231"/>
    <w:next w:val="NoList"/>
    <w:semiHidden/>
    <w:rsid w:val="00B36A46"/>
  </w:style>
  <w:style w:type="numbering" w:customStyle="1" w:styleId="NoList11231">
    <w:name w:val="No List11231"/>
    <w:next w:val="NoList"/>
    <w:semiHidden/>
    <w:rsid w:val="00B36A46"/>
  </w:style>
  <w:style w:type="numbering" w:customStyle="1" w:styleId="NoList11111111">
    <w:name w:val="No List11111111"/>
    <w:next w:val="NoList"/>
    <w:semiHidden/>
    <w:rsid w:val="00B36A46"/>
  </w:style>
  <w:style w:type="numbering" w:customStyle="1" w:styleId="NoList2131">
    <w:name w:val="No List2131"/>
    <w:next w:val="NoList"/>
    <w:semiHidden/>
    <w:rsid w:val="00B36A46"/>
  </w:style>
  <w:style w:type="table" w:customStyle="1" w:styleId="TableGrid231">
    <w:name w:val="Table Grid23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unhideWhenUsed/>
    <w:rsid w:val="00B36A46"/>
  </w:style>
  <w:style w:type="numbering" w:customStyle="1" w:styleId="NoList611">
    <w:name w:val="No List611"/>
    <w:next w:val="NoList"/>
    <w:uiPriority w:val="99"/>
    <w:semiHidden/>
    <w:unhideWhenUsed/>
    <w:rsid w:val="00B36A46"/>
  </w:style>
  <w:style w:type="numbering" w:customStyle="1" w:styleId="NoList711">
    <w:name w:val="No List711"/>
    <w:next w:val="NoList"/>
    <w:uiPriority w:val="99"/>
    <w:semiHidden/>
    <w:unhideWhenUsed/>
    <w:rsid w:val="00B36A46"/>
  </w:style>
  <w:style w:type="table" w:customStyle="1" w:styleId="TableGrid3110">
    <w:name w:val="Table Grid3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semiHidden/>
    <w:unhideWhenUsed/>
    <w:rsid w:val="00B36A46"/>
  </w:style>
  <w:style w:type="numbering" w:customStyle="1" w:styleId="NoList11311">
    <w:name w:val="No List11311"/>
    <w:next w:val="NoList"/>
    <w:semiHidden/>
    <w:rsid w:val="00B36A46"/>
  </w:style>
  <w:style w:type="table" w:customStyle="1" w:styleId="TableGrid1111">
    <w:name w:val="Table Grid111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semiHidden/>
    <w:rsid w:val="00B36A46"/>
  </w:style>
  <w:style w:type="numbering" w:customStyle="1" w:styleId="NoList2211">
    <w:name w:val="No List2211"/>
    <w:next w:val="NoList"/>
    <w:semiHidden/>
    <w:rsid w:val="00B36A46"/>
  </w:style>
  <w:style w:type="numbering" w:customStyle="1" w:styleId="NoList3211">
    <w:name w:val="No List3211"/>
    <w:next w:val="NoList"/>
    <w:semiHidden/>
    <w:unhideWhenUsed/>
    <w:rsid w:val="00B36A46"/>
  </w:style>
  <w:style w:type="table" w:customStyle="1" w:styleId="TableList7111">
    <w:name w:val="Table List 71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
    <w:name w:val="Table Web 31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
    <w:name w:val="Light List - Accent 12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
    <w:name w:val="Table Grid 71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
    <w:name w:val="Colorful Grid - Accent 1211"/>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
    <w:name w:val="Table Simple 31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
    <w:name w:val="Table Grid 51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
    <w:name w:val="Table Grid 31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
    <w:name w:val="Table Columns 51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
    <w:name w:val="Light List - Accent 111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
    <w:name w:val="Нет списка1211"/>
    <w:next w:val="NoList"/>
    <w:uiPriority w:val="99"/>
    <w:semiHidden/>
    <w:unhideWhenUsed/>
    <w:rsid w:val="00B36A46"/>
  </w:style>
  <w:style w:type="table" w:customStyle="1" w:styleId="ColorfulGrid-Accent11111">
    <w:name w:val="Colorful Grid - Accent 111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
    <w:name w:val="Light List - Accent 511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
    <w:name w:val="No List4111"/>
    <w:next w:val="NoList"/>
    <w:semiHidden/>
    <w:rsid w:val="00B36A46"/>
  </w:style>
  <w:style w:type="table" w:customStyle="1" w:styleId="Table3Deffects3111">
    <w:name w:val="Table 3D effects 31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NoList"/>
    <w:semiHidden/>
    <w:unhideWhenUsed/>
    <w:rsid w:val="00B36A46"/>
  </w:style>
  <w:style w:type="numbering" w:customStyle="1" w:styleId="NoList5111">
    <w:name w:val="No List5111"/>
    <w:next w:val="NoList"/>
    <w:uiPriority w:val="99"/>
    <w:semiHidden/>
    <w:unhideWhenUsed/>
    <w:rsid w:val="00B36A46"/>
  </w:style>
  <w:style w:type="numbering" w:customStyle="1" w:styleId="NoList12111">
    <w:name w:val="No List12111"/>
    <w:next w:val="NoList"/>
    <w:semiHidden/>
    <w:rsid w:val="00B36A46"/>
  </w:style>
  <w:style w:type="numbering" w:customStyle="1" w:styleId="NoList112111">
    <w:name w:val="No List112111"/>
    <w:next w:val="NoList"/>
    <w:semiHidden/>
    <w:rsid w:val="00B36A46"/>
  </w:style>
  <w:style w:type="numbering" w:customStyle="1" w:styleId="NoList111111111">
    <w:name w:val="No List111111111"/>
    <w:next w:val="NoList"/>
    <w:semiHidden/>
    <w:rsid w:val="00B36A46"/>
  </w:style>
  <w:style w:type="numbering" w:customStyle="1" w:styleId="NoList21111">
    <w:name w:val="No List21111"/>
    <w:next w:val="NoList"/>
    <w:semiHidden/>
    <w:rsid w:val="00B36A46"/>
  </w:style>
  <w:style w:type="table" w:customStyle="1" w:styleId="TableGrid2111">
    <w:name w:val="Table Grid21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B36A46"/>
  </w:style>
  <w:style w:type="numbering" w:customStyle="1" w:styleId="NoList811">
    <w:name w:val="No List811"/>
    <w:next w:val="NoList"/>
    <w:uiPriority w:val="99"/>
    <w:semiHidden/>
    <w:unhideWhenUsed/>
    <w:rsid w:val="00B36A46"/>
  </w:style>
  <w:style w:type="numbering" w:customStyle="1" w:styleId="NoList911">
    <w:name w:val="No List911"/>
    <w:next w:val="NoList"/>
    <w:uiPriority w:val="99"/>
    <w:semiHidden/>
    <w:unhideWhenUsed/>
    <w:rsid w:val="00B36A46"/>
  </w:style>
  <w:style w:type="table" w:customStyle="1" w:styleId="TableGrid411">
    <w:name w:val="Table Grid4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
    <w:name w:val="Table List 72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
    <w:name w:val="Table Web 32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
    <w:name w:val="No List1411"/>
    <w:next w:val="NoList"/>
    <w:semiHidden/>
    <w:unhideWhenUsed/>
    <w:rsid w:val="00B36A46"/>
  </w:style>
  <w:style w:type="numbering" w:customStyle="1" w:styleId="NoList2311">
    <w:name w:val="No List2311"/>
    <w:next w:val="NoList"/>
    <w:semiHidden/>
    <w:unhideWhenUsed/>
    <w:rsid w:val="00B36A46"/>
  </w:style>
  <w:style w:type="numbering" w:customStyle="1" w:styleId="NoList3311">
    <w:name w:val="No List3311"/>
    <w:next w:val="NoList"/>
    <w:semiHidden/>
    <w:unhideWhenUsed/>
    <w:rsid w:val="00B36A46"/>
  </w:style>
  <w:style w:type="table" w:customStyle="1" w:styleId="LightList-Accent1311">
    <w:name w:val="Light List - Accent 13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
    <w:name w:val="Table Grid 72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
    <w:name w:val="Colorful Grid - Accent 13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
    <w:name w:val="Light List - Accent 53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
    <w:name w:val="Table Simple 32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
    <w:name w:val="Table Grid 52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
    <w:name w:val="Table Grid 32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
    <w:name w:val="Light List - Accent 112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
    <w:name w:val="Нет списка1311"/>
    <w:next w:val="NoList"/>
    <w:semiHidden/>
    <w:unhideWhenUsed/>
    <w:rsid w:val="00B36A46"/>
  </w:style>
  <w:style w:type="table" w:customStyle="1" w:styleId="ColorfulGrid-Accent11211">
    <w:name w:val="Colorful Grid - Accent 112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
    <w:name w:val="Light List - Accent 512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
    <w:name w:val="No List4211"/>
    <w:next w:val="NoList"/>
    <w:semiHidden/>
    <w:rsid w:val="00B36A46"/>
  </w:style>
  <w:style w:type="numbering" w:customStyle="1" w:styleId="NoList11411">
    <w:name w:val="No List11411"/>
    <w:next w:val="NoList"/>
    <w:semiHidden/>
    <w:unhideWhenUsed/>
    <w:rsid w:val="00B36A46"/>
  </w:style>
  <w:style w:type="table" w:customStyle="1" w:styleId="Table3Deffects3211">
    <w:name w:val="Table 3D effects 32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
    <w:name w:val="Нет списка11211"/>
    <w:next w:val="NoList"/>
    <w:semiHidden/>
    <w:unhideWhenUsed/>
    <w:rsid w:val="00B36A46"/>
  </w:style>
  <w:style w:type="numbering" w:customStyle="1" w:styleId="NoList1011">
    <w:name w:val="No List1011"/>
    <w:next w:val="NoList"/>
    <w:uiPriority w:val="99"/>
    <w:semiHidden/>
    <w:unhideWhenUsed/>
    <w:rsid w:val="00B36A46"/>
  </w:style>
  <w:style w:type="table" w:customStyle="1" w:styleId="TableGrid5110">
    <w:name w:val="Table Grid5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B36A46"/>
  </w:style>
  <w:style w:type="numbering" w:customStyle="1" w:styleId="NoList11511">
    <w:name w:val="No List11511"/>
    <w:next w:val="NoList"/>
    <w:semiHidden/>
    <w:rsid w:val="00B36A46"/>
  </w:style>
  <w:style w:type="table" w:customStyle="1" w:styleId="TableGrid12110">
    <w:name w:val="Table Grid12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semiHidden/>
    <w:rsid w:val="00B36A46"/>
  </w:style>
  <w:style w:type="numbering" w:customStyle="1" w:styleId="NoList2411">
    <w:name w:val="No List2411"/>
    <w:next w:val="NoList"/>
    <w:semiHidden/>
    <w:rsid w:val="00B36A46"/>
  </w:style>
  <w:style w:type="numbering" w:customStyle="1" w:styleId="NoList3411">
    <w:name w:val="No List3411"/>
    <w:next w:val="NoList"/>
    <w:semiHidden/>
    <w:unhideWhenUsed/>
    <w:rsid w:val="00B36A46"/>
  </w:style>
  <w:style w:type="table" w:customStyle="1" w:styleId="TableList7311">
    <w:name w:val="Table List 73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
    <w:name w:val="Table Web 33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
    <w:name w:val="Table Elegant3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
    <w:name w:val="Table Web 23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
    <w:name w:val="Table Web 13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
    <w:name w:val="Table Grid 83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
    <w:name w:val="Table Contemporary3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
    <w:name w:val="Light List - Accent 14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
    <w:name w:val="Table Grid 73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
    <w:name w:val="Colorful Grid - Accent 14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
    <w:name w:val="Light List - Accent 54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
    <w:name w:val="Table Simple 33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
    <w:name w:val="Table Grid 53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
    <w:name w:val="Table Grid 33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
    <w:name w:val="Table Grid 13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
    <w:name w:val="Table Columns 53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
    <w:name w:val="Light List - Accent 113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
    <w:name w:val="Нет списка1411"/>
    <w:next w:val="NoList"/>
    <w:semiHidden/>
    <w:unhideWhenUsed/>
    <w:rsid w:val="00B36A46"/>
  </w:style>
  <w:style w:type="table" w:customStyle="1" w:styleId="ColorfulGrid-Accent11311">
    <w:name w:val="Colorful Grid - Accent 113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
    <w:name w:val="Light List - Accent 513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
    <w:name w:val="No List4311"/>
    <w:next w:val="NoList"/>
    <w:semiHidden/>
    <w:rsid w:val="00B36A46"/>
  </w:style>
  <w:style w:type="table" w:customStyle="1" w:styleId="Table3Deffects3311">
    <w:name w:val="Table 3D effects 33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
    <w:name w:val="Нет списка11311"/>
    <w:next w:val="NoList"/>
    <w:semiHidden/>
    <w:unhideWhenUsed/>
    <w:rsid w:val="00B36A46"/>
  </w:style>
  <w:style w:type="numbering" w:customStyle="1" w:styleId="NoList5211">
    <w:name w:val="No List5211"/>
    <w:next w:val="NoList"/>
    <w:uiPriority w:val="99"/>
    <w:semiHidden/>
    <w:unhideWhenUsed/>
    <w:rsid w:val="00B36A46"/>
  </w:style>
  <w:style w:type="numbering" w:customStyle="1" w:styleId="NoList12211">
    <w:name w:val="No List12211"/>
    <w:next w:val="NoList"/>
    <w:semiHidden/>
    <w:rsid w:val="00B36A46"/>
  </w:style>
  <w:style w:type="numbering" w:customStyle="1" w:styleId="NoList112211">
    <w:name w:val="No List112211"/>
    <w:next w:val="NoList"/>
    <w:semiHidden/>
    <w:rsid w:val="00B36A46"/>
  </w:style>
  <w:style w:type="numbering" w:customStyle="1" w:styleId="NoList1111211">
    <w:name w:val="No List1111211"/>
    <w:next w:val="NoList"/>
    <w:semiHidden/>
    <w:rsid w:val="00B36A46"/>
  </w:style>
  <w:style w:type="numbering" w:customStyle="1" w:styleId="NoList21211">
    <w:name w:val="No List21211"/>
    <w:next w:val="NoList"/>
    <w:semiHidden/>
    <w:rsid w:val="00B36A46"/>
  </w:style>
  <w:style w:type="table" w:customStyle="1" w:styleId="TableGrid2211">
    <w:name w:val="Table Grid22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B36A46"/>
  </w:style>
  <w:style w:type="table" w:customStyle="1" w:styleId="LightShading-Accent1111">
    <w:name w:val="Light Shading - Accent 111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
    <w:name w:val="Medium Grid 2 - Accent 111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
    <w:name w:val="Medium List 2 - Accent 511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
    <w:name w:val="Light List - Accent 15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
    <w:name w:val="Medium Grid 3 - Accent 511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
    <w:name w:val="Light Shading - Accent 511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
    <w:name w:val="Medium Grid 2 - Accent 511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
    <w:name w:val="Light Grid - Accent 111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
    <w:name w:val="Table List 43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
    <w:name w:val="Table List 412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
    <w:name w:val="Table Theme11"/>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
    <w:name w:val="Table Grid 611"/>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
    <w:name w:val="Table List 42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
    <w:name w:val="Table List 411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
    <w:name w:val="Style113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
    <w:name w:val="Style2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
    <w:name w:val="Style21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
    <w:name w:val="No List1611"/>
    <w:next w:val="NoList"/>
    <w:uiPriority w:val="99"/>
    <w:semiHidden/>
    <w:unhideWhenUsed/>
    <w:rsid w:val="00B36A46"/>
  </w:style>
  <w:style w:type="table" w:customStyle="1" w:styleId="TableGrid6110">
    <w:name w:val="Table Grid6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36A46"/>
  </w:style>
  <w:style w:type="numbering" w:customStyle="1" w:styleId="NoList11611">
    <w:name w:val="No List11611"/>
    <w:next w:val="NoList"/>
    <w:semiHidden/>
    <w:rsid w:val="00B36A46"/>
  </w:style>
  <w:style w:type="table" w:customStyle="1" w:styleId="TableGrid13110">
    <w:name w:val="Table Grid131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
    <w:name w:val="Light List - Accent 16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
    <w:name w:val="Medium Grid 2 - Accent 131"/>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
    <w:name w:val="Medium List 2 - Accent 531"/>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
    <w:name w:val="Medium Grid 3 - Accent 531"/>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
    <w:name w:val="Light Shading - Accent 531"/>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
    <w:name w:val="Medium Grid 2 - Accent 531"/>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
    <w:name w:val="Light Grid - Accent 131"/>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
    <w:name w:val="Light Shading - Accent 14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
    <w:name w:val="Medium Grid 2 - Accent 14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
    <w:name w:val="Medium List 2 - Accent 54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
    <w:name w:val="Light List - Accent 11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
    <w:name w:val="Medium Grid 3 - Accent 54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
    <w:name w:val="Light Shading - Accent 54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
    <w:name w:val="Medium Grid 2 - Accent 54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
    <w:name w:val="Light Grid - Accent 14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
    <w:name w:val="Light Shading - Accent 15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
    <w:name w:val="Medium Grid 2 - Accent 15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
    <w:name w:val="Medium List 2 - Accent 55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
    <w:name w:val="Light List - Accent 116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
    <w:name w:val="Medium Grid 3 - Accent 55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
    <w:name w:val="Light Shading - Accent 55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
    <w:name w:val="Medium Grid 2 - Accent 55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
    <w:name w:val="Light Grid - Accent 15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
    <w:name w:val="No List271"/>
    <w:next w:val="NoList"/>
    <w:uiPriority w:val="99"/>
    <w:semiHidden/>
    <w:unhideWhenUsed/>
    <w:rsid w:val="00B36A46"/>
  </w:style>
  <w:style w:type="table" w:customStyle="1" w:styleId="TableGrid91">
    <w:name w:val="Table Grid9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
    <w:name w:val="Table List 76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
    <w:name w:val="Table Web 36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
    <w:name w:val="Table Elegant6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
    <w:name w:val="Table Web 26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
    <w:name w:val="Table Web 16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
    <w:name w:val="Table Grid 86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
    <w:name w:val="Table Contemporary6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
    <w:name w:val="No List1191"/>
    <w:next w:val="NoList"/>
    <w:semiHidden/>
    <w:unhideWhenUsed/>
    <w:rsid w:val="00B36A46"/>
  </w:style>
  <w:style w:type="numbering" w:customStyle="1" w:styleId="NoList281">
    <w:name w:val="No List281"/>
    <w:next w:val="NoList"/>
    <w:semiHidden/>
    <w:unhideWhenUsed/>
    <w:rsid w:val="00B36A46"/>
  </w:style>
  <w:style w:type="numbering" w:customStyle="1" w:styleId="NoList371">
    <w:name w:val="No List371"/>
    <w:next w:val="NoList"/>
    <w:semiHidden/>
    <w:unhideWhenUsed/>
    <w:rsid w:val="00B36A46"/>
  </w:style>
  <w:style w:type="table" w:customStyle="1" w:styleId="LightList-Accent1171">
    <w:name w:val="Light List - Accent 117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
    <w:name w:val="Table Grid 76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
    <w:name w:val="Colorful Grid - Accent 17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
    <w:name w:val="Light List - Accent 57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
    <w:name w:val="Table Simple 36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
    <w:name w:val="Table Grid 56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
    <w:name w:val="Table Grid 36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
    <w:name w:val="Table Grid 16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
    <w:name w:val="Table Columns 56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
    <w:name w:val="Light List - Accent 118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
    <w:name w:val="Нет списка171"/>
    <w:next w:val="NoList"/>
    <w:semiHidden/>
    <w:unhideWhenUsed/>
    <w:rsid w:val="00B36A46"/>
  </w:style>
  <w:style w:type="table" w:customStyle="1" w:styleId="ColorfulGrid-Accent1161">
    <w:name w:val="Colorful Grid - Accent 116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
    <w:name w:val="Light List - Accent 516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
    <w:name w:val="No List461"/>
    <w:next w:val="NoList"/>
    <w:semiHidden/>
    <w:rsid w:val="00B36A46"/>
  </w:style>
  <w:style w:type="numbering" w:customStyle="1" w:styleId="NoList11101">
    <w:name w:val="No List11101"/>
    <w:next w:val="NoList"/>
    <w:semiHidden/>
    <w:unhideWhenUsed/>
    <w:rsid w:val="00B36A46"/>
  </w:style>
  <w:style w:type="table" w:customStyle="1" w:styleId="Table3Deffects361">
    <w:name w:val="Table 3D effects 36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
    <w:name w:val="Нет списка1161"/>
    <w:next w:val="NoList"/>
    <w:semiHidden/>
    <w:unhideWhenUsed/>
    <w:rsid w:val="00B36A46"/>
  </w:style>
  <w:style w:type="table" w:customStyle="1" w:styleId="LightShading-Accent161">
    <w:name w:val="Light Shading - Accent 16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
    <w:name w:val="Medium Grid 2 - Accent 16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
    <w:name w:val="Medium List 2 - Accent 56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
    <w:name w:val="Light List - Accent 15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
    <w:name w:val="Medium Grid 3 - Accent 56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
    <w:name w:val="Light Shading - Accent 56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
    <w:name w:val="Medium Grid 2 - Accent 56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
    <w:name w:val="Light Grid - Accent 16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
    <w:name w:val="Style114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
    <w:name w:val="Style2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
    <w:name w:val="Style21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
    <w:name w:val="Light Shading - Accent 1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
    <w:name w:val="Medium Grid 2 - Accent 1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
    <w:name w:val="Medium List 2 - Accent 51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
    <w:name w:val="Light List - Accent 16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
    <w:name w:val="Medium Grid 3 - Accent 51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
    <w:name w:val="Light Shading - Accent 51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
    <w:name w:val="Medium Grid 2 - Accent 51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
    <w:name w:val="Light Grid - Accent 1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
    <w:name w:val="No List291"/>
    <w:next w:val="NoList"/>
    <w:uiPriority w:val="99"/>
    <w:semiHidden/>
    <w:unhideWhenUsed/>
    <w:rsid w:val="00B36A46"/>
  </w:style>
  <w:style w:type="table" w:customStyle="1" w:styleId="TableGrid101">
    <w:name w:val="Table Grid10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B36A46"/>
  </w:style>
  <w:style w:type="numbering" w:customStyle="1" w:styleId="NoList11151">
    <w:name w:val="No List11151"/>
    <w:next w:val="NoList"/>
    <w:semiHidden/>
    <w:rsid w:val="00B36A46"/>
  </w:style>
  <w:style w:type="table" w:customStyle="1" w:styleId="TableGrid1510">
    <w:name w:val="Table Grid15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36A46"/>
  </w:style>
  <w:style w:type="table" w:customStyle="1" w:styleId="LightShading-Accent171">
    <w:name w:val="Light Shading - Accent 17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
    <w:name w:val="Medium Grid 2 - Accent 17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
    <w:name w:val="Medium List 2 - Accent 57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
    <w:name w:val="Light List - Accent 119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
    <w:name w:val="Medium Grid 3 - Accent 57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
    <w:name w:val="Light Shading - Accent 57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
    <w:name w:val="Medium Grid 2 - Accent 57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
    <w:name w:val="Light Grid - Accent 17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
    <w:name w:val="No List381"/>
    <w:next w:val="NoList"/>
    <w:uiPriority w:val="99"/>
    <w:semiHidden/>
    <w:unhideWhenUsed/>
    <w:rsid w:val="00B36A46"/>
  </w:style>
  <w:style w:type="table" w:customStyle="1" w:styleId="TableGrid1610">
    <w:name w:val="Table Grid16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B36A46"/>
  </w:style>
  <w:style w:type="numbering" w:customStyle="1" w:styleId="NoList11161">
    <w:name w:val="No List11161"/>
    <w:next w:val="NoList"/>
    <w:semiHidden/>
    <w:rsid w:val="00B36A46"/>
  </w:style>
  <w:style w:type="table" w:customStyle="1" w:styleId="TableGrid171">
    <w:name w:val="Table Grid17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
    <w:name w:val="Light Shading - Accent 18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
    <w:name w:val="Medium Grid 2 - Accent 18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
    <w:name w:val="Medium List 2 - Accent 58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
    <w:name w:val="Light List - Accent 12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
    <w:name w:val="Medium Grid 3 - Accent 58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
    <w:name w:val="Light Shading - Accent 58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
    <w:name w:val="Medium Grid 2 - Accent 58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
    <w:name w:val="Light Grid - Accent 18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
    <w:name w:val="Light Shading - Accent 19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
    <w:name w:val="Medium Grid 2 - Accent 19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
    <w:name w:val="Medium List 2 - Accent 59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
    <w:name w:val="Light List - Accent 12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
    <w:name w:val="Medium Grid 3 - Accent 59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
    <w:name w:val="Light Shading - Accent 59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
    <w:name w:val="Medium Grid 2 - Accent 59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
    <w:name w:val="Light Grid - Accent 19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
    <w:name w:val="Style1152"/>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
    <w:name w:val="Style21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
    <w:name w:val="No List391"/>
    <w:next w:val="NoList"/>
    <w:uiPriority w:val="99"/>
    <w:semiHidden/>
    <w:unhideWhenUsed/>
    <w:rsid w:val="00B36A46"/>
  </w:style>
  <w:style w:type="table" w:customStyle="1" w:styleId="TableGrid181">
    <w:name w:val="Table Grid18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B36A46"/>
  </w:style>
  <w:style w:type="numbering" w:customStyle="1" w:styleId="NoList11171">
    <w:name w:val="No List11171"/>
    <w:next w:val="NoList"/>
    <w:semiHidden/>
    <w:rsid w:val="00B36A46"/>
  </w:style>
  <w:style w:type="table" w:customStyle="1" w:styleId="TableGrid191">
    <w:name w:val="Table Grid19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
    <w:name w:val="Style115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
    <w:name w:val="Style216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
    <w:name w:val="No List401"/>
    <w:next w:val="NoList"/>
    <w:uiPriority w:val="99"/>
    <w:semiHidden/>
    <w:unhideWhenUsed/>
    <w:rsid w:val="00B36A46"/>
  </w:style>
  <w:style w:type="table" w:customStyle="1" w:styleId="TableGrid201">
    <w:name w:val="Table Grid201"/>
    <w:basedOn w:val="TableNormal"/>
    <w:next w:val="TableGrid"/>
    <w:uiPriority w:val="59"/>
    <w:rsid w:val="00B36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
    <w:name w:val="Light Shading - Accent 110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
    <w:name w:val="Light List - Accent 581"/>
    <w:basedOn w:val="TableNormal"/>
    <w:next w:val="LightList-Accent5"/>
    <w:uiPriority w:val="61"/>
    <w:rsid w:val="00B36A46"/>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
    <w:name w:val="Medium List 2 - Accent 11"/>
    <w:basedOn w:val="TableNormal"/>
    <w:next w:val="MediumList2-Accent1"/>
    <w:uiPriority w:val="66"/>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
    <w:name w:val="Medium Grid 2 - Accent 110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
    <w:name w:val="Medium List 2 - Accent 510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
    <w:name w:val="Medium List 1 - Accent 51"/>
    <w:basedOn w:val="TableNormal"/>
    <w:next w:val="MediumList1-Accent5"/>
    <w:uiPriority w:val="65"/>
    <w:rsid w:val="00B36A46"/>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
    <w:name w:val="Medium Grid 3 - Accent 510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
    <w:name w:val="Light Shading - Accent 510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
    <w:name w:val="Medium Grid 2 - Accent 510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B36A46"/>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
    <w:name w:val="Medium List 2 - Accent 31"/>
    <w:basedOn w:val="TableNormal"/>
    <w:next w:val="MediumList2-Accent3"/>
    <w:uiPriority w:val="66"/>
    <w:rsid w:val="00B36A46"/>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B36A46"/>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
    <w:name w:val="Light Grid - Accent 110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
    <w:name w:val="No List471"/>
    <w:next w:val="NoList"/>
    <w:uiPriority w:val="99"/>
    <w:semiHidden/>
    <w:unhideWhenUsed/>
    <w:rsid w:val="00B36A46"/>
  </w:style>
  <w:style w:type="table" w:customStyle="1" w:styleId="TableGrid241">
    <w:name w:val="Table Grid24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B36A46"/>
  </w:style>
  <w:style w:type="numbering" w:customStyle="1" w:styleId="NoList11181">
    <w:name w:val="No List11181"/>
    <w:next w:val="NoList"/>
    <w:semiHidden/>
    <w:rsid w:val="00B36A46"/>
  </w:style>
  <w:style w:type="table" w:customStyle="1" w:styleId="TableGrid1101">
    <w:name w:val="Table Grid110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
    <w:name w:val="Medium Grid 2 - Accent 114"/>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
    <w:name w:val="Medium List 2 - Accent 514"/>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
    <w:name w:val="Medium Grid 3 - Accent 514"/>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
    <w:name w:val="Light Shading - Accent 514"/>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
    <w:name w:val="Medium Grid 2 - Accent 514"/>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
    <w:name w:val="Light Grid - Accent 114"/>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
    <w:name w:val="Medium List 2 - Accent 12"/>
    <w:basedOn w:val="TableNormal"/>
    <w:next w:val="MediumList2-Accent1"/>
    <w:uiPriority w:val="66"/>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leNormal"/>
    <w:next w:val="MediumGrid3-Accent6"/>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
    <w:name w:val="Medium List 1 - Accent 52"/>
    <w:basedOn w:val="TableNormal"/>
    <w:next w:val="MediumList1-Accent5"/>
    <w:uiPriority w:val="65"/>
    <w:semiHidden/>
    <w:unhideWhenUsed/>
    <w:rsid w:val="00B36A46"/>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
    <w:name w:val="Light List - Accent 32"/>
    <w:basedOn w:val="TableNormal"/>
    <w:next w:val="LightList-Accent3"/>
    <w:uiPriority w:val="61"/>
    <w:semiHidden/>
    <w:unhideWhenUsed/>
    <w:rsid w:val="00B36A46"/>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
    <w:name w:val="Medium List 2 - Accent 32"/>
    <w:basedOn w:val="TableNormal"/>
    <w:next w:val="MediumList2-Accent3"/>
    <w:uiPriority w:val="66"/>
    <w:semiHidden/>
    <w:unhideWhenUsed/>
    <w:rsid w:val="00B36A46"/>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B36A46"/>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
    <w:name w:val="No List55"/>
    <w:next w:val="NoList"/>
    <w:uiPriority w:val="99"/>
    <w:semiHidden/>
    <w:unhideWhenUsed/>
    <w:rsid w:val="005150E5"/>
  </w:style>
  <w:style w:type="table" w:customStyle="1" w:styleId="TableGrid29">
    <w:name w:val="Table Grid29"/>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5150E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Side1">
    <w:name w:val="Side1"/>
    <w:basedOn w:val="Normal"/>
    <w:next w:val="Normal"/>
    <w:unhideWhenUsed/>
    <w:qFormat/>
    <w:rsid w:val="005150E5"/>
    <w:pPr>
      <w:spacing w:before="200" w:line="312" w:lineRule="auto"/>
      <w:contextualSpacing w:val="0"/>
      <w:outlineLvl w:val="4"/>
    </w:pPr>
    <w:rPr>
      <w:rFonts w:ascii="Cambria" w:hAnsi="Cambria"/>
      <w:bCs/>
      <w:color w:val="7F7F7F"/>
      <w:szCs w:val="22"/>
      <w:lang w:val="en-US" w:eastAsia="en-US"/>
    </w:rPr>
  </w:style>
  <w:style w:type="paragraph" w:customStyle="1" w:styleId="Heading61">
    <w:name w:val="Heading 61"/>
    <w:basedOn w:val="Normal"/>
    <w:next w:val="Normal"/>
    <w:unhideWhenUsed/>
    <w:qFormat/>
    <w:rsid w:val="005150E5"/>
    <w:pPr>
      <w:spacing w:before="40" w:line="271" w:lineRule="auto"/>
      <w:contextualSpacing w:val="0"/>
      <w:outlineLvl w:val="5"/>
    </w:pPr>
    <w:rPr>
      <w:rFonts w:ascii="Cambria" w:hAnsi="Cambria"/>
      <w:bCs/>
      <w:i/>
      <w:iCs/>
      <w:color w:val="7F7F7F"/>
      <w:szCs w:val="22"/>
      <w:lang w:val="en-US" w:eastAsia="en-US"/>
    </w:rPr>
  </w:style>
  <w:style w:type="paragraph" w:customStyle="1" w:styleId="Heading71">
    <w:name w:val="Heading 71"/>
    <w:basedOn w:val="Normal"/>
    <w:next w:val="Normal"/>
    <w:unhideWhenUsed/>
    <w:qFormat/>
    <w:rsid w:val="005150E5"/>
    <w:pPr>
      <w:spacing w:before="40" w:line="312" w:lineRule="auto"/>
      <w:contextualSpacing w:val="0"/>
      <w:outlineLvl w:val="6"/>
    </w:pPr>
    <w:rPr>
      <w:rFonts w:ascii="Cambria" w:hAnsi="Cambria"/>
      <w:b w:val="0"/>
      <w:i/>
      <w:iCs/>
      <w:szCs w:val="22"/>
      <w:lang w:val="en-US" w:eastAsia="en-US"/>
    </w:rPr>
  </w:style>
  <w:style w:type="paragraph" w:customStyle="1" w:styleId="Heading81">
    <w:name w:val="Heading 81"/>
    <w:basedOn w:val="Normal"/>
    <w:next w:val="Normal"/>
    <w:unhideWhenUsed/>
    <w:qFormat/>
    <w:rsid w:val="005150E5"/>
    <w:pPr>
      <w:spacing w:before="40" w:line="312" w:lineRule="auto"/>
      <w:contextualSpacing w:val="0"/>
      <w:outlineLvl w:val="7"/>
    </w:pPr>
    <w:rPr>
      <w:rFonts w:ascii="Cambria" w:hAnsi="Cambria"/>
      <w:b w:val="0"/>
      <w:sz w:val="20"/>
      <w:szCs w:val="20"/>
      <w:lang w:val="en-US" w:eastAsia="en-US"/>
    </w:rPr>
  </w:style>
  <w:style w:type="paragraph" w:customStyle="1" w:styleId="Heading91">
    <w:name w:val="Heading 91"/>
    <w:basedOn w:val="Normal"/>
    <w:next w:val="Normal"/>
    <w:unhideWhenUsed/>
    <w:qFormat/>
    <w:rsid w:val="005150E5"/>
    <w:pPr>
      <w:spacing w:before="40" w:line="312" w:lineRule="auto"/>
      <w:contextualSpacing w:val="0"/>
      <w:outlineLvl w:val="8"/>
    </w:pPr>
    <w:rPr>
      <w:rFonts w:ascii="Cambria" w:hAnsi="Cambria"/>
      <w:b w:val="0"/>
      <w:i/>
      <w:iCs/>
      <w:spacing w:val="5"/>
      <w:sz w:val="20"/>
      <w:szCs w:val="20"/>
      <w:lang w:val="en-US" w:eastAsia="en-US"/>
    </w:rPr>
  </w:style>
  <w:style w:type="numbering" w:customStyle="1" w:styleId="NoList130">
    <w:name w:val="No List130"/>
    <w:next w:val="NoList"/>
    <w:uiPriority w:val="99"/>
    <w:semiHidden/>
    <w:unhideWhenUsed/>
    <w:rsid w:val="005150E5"/>
  </w:style>
  <w:style w:type="paragraph" w:customStyle="1" w:styleId="BodyTextMaintext1">
    <w:name w:val="Body Text (Main text)1"/>
    <w:basedOn w:val="Normal"/>
    <w:next w:val="BodyText"/>
    <w:rsid w:val="005150E5"/>
    <w:pPr>
      <w:spacing w:before="40" w:after="120" w:line="312" w:lineRule="auto"/>
      <w:contextualSpacing w:val="0"/>
    </w:pPr>
    <w:rPr>
      <w:rFonts w:eastAsia="Calibri"/>
      <w:b w:val="0"/>
      <w:szCs w:val="22"/>
      <w:lang w:val="en-US" w:eastAsia="en-US"/>
    </w:rPr>
  </w:style>
  <w:style w:type="paragraph" w:customStyle="1" w:styleId="BodyTextIndent31">
    <w:name w:val="Body Text Indent 31"/>
    <w:basedOn w:val="Normal"/>
    <w:next w:val="BodyTextIndent3"/>
    <w:rsid w:val="005150E5"/>
    <w:pPr>
      <w:spacing w:before="40" w:after="60" w:line="312" w:lineRule="auto"/>
      <w:contextualSpacing w:val="0"/>
    </w:pPr>
    <w:rPr>
      <w:rFonts w:ascii="Arial Armenian" w:eastAsia="Calibri" w:hAnsi="Arial Armenian"/>
      <w:b w:val="0"/>
      <w:noProof/>
      <w:sz w:val="20"/>
      <w:szCs w:val="20"/>
      <w:lang w:val="en-US" w:eastAsia="en-US"/>
    </w:rPr>
  </w:style>
  <w:style w:type="paragraph" w:customStyle="1" w:styleId="BodyTextIndent21">
    <w:name w:val="Body Text Indent 21"/>
    <w:basedOn w:val="Normal"/>
    <w:next w:val="BodyTextIndent2"/>
    <w:link w:val="BodyTextIndent2Char1"/>
    <w:rsid w:val="005150E5"/>
    <w:pPr>
      <w:widowControl w:val="0"/>
      <w:spacing w:before="40" w:after="120" w:line="312" w:lineRule="auto"/>
      <w:ind w:left="720" w:firstLine="720"/>
      <w:contextualSpacing w:val="0"/>
    </w:pPr>
    <w:rPr>
      <w:rFonts w:ascii="Arial Armenian" w:hAnsi="Arial Armenian"/>
      <w:b w:val="0"/>
      <w:sz w:val="20"/>
      <w:szCs w:val="20"/>
      <w:lang w:val="en-GB" w:eastAsia="en-US"/>
    </w:rPr>
  </w:style>
  <w:style w:type="paragraph" w:customStyle="1" w:styleId="1Text1">
    <w:name w:val="1Text1"/>
    <w:basedOn w:val="Normal"/>
    <w:next w:val="BodyText2"/>
    <w:link w:val="BodyText2Char1"/>
    <w:qFormat/>
    <w:rsid w:val="005150E5"/>
    <w:pPr>
      <w:spacing w:before="40" w:after="120" w:line="480" w:lineRule="auto"/>
      <w:contextualSpacing w:val="0"/>
    </w:pPr>
    <w:rPr>
      <w:rFonts w:ascii="Times New Roman" w:hAnsi="Times New Roman"/>
      <w:b w:val="0"/>
      <w:sz w:val="20"/>
      <w:szCs w:val="20"/>
      <w:lang w:val="en-US" w:eastAsia="en-US"/>
    </w:rPr>
  </w:style>
  <w:style w:type="paragraph" w:customStyle="1" w:styleId="BodyText31">
    <w:name w:val="Body Text 31"/>
    <w:basedOn w:val="Normal"/>
    <w:next w:val="BodyText3"/>
    <w:link w:val="BodyText3Char1"/>
    <w:rsid w:val="005150E5"/>
    <w:pPr>
      <w:spacing w:before="40" w:after="120" w:line="312" w:lineRule="auto"/>
      <w:contextualSpacing w:val="0"/>
    </w:pPr>
    <w:rPr>
      <w:rFonts w:ascii="Times New Roman" w:hAnsi="Times New Roman"/>
      <w:b w:val="0"/>
      <w:sz w:val="16"/>
      <w:szCs w:val="16"/>
    </w:rPr>
  </w:style>
  <w:style w:type="paragraph" w:customStyle="1" w:styleId="ListBullet1">
    <w:name w:val="List Bullet1"/>
    <w:basedOn w:val="Normal"/>
    <w:next w:val="ListBullet"/>
    <w:autoRedefine/>
    <w:qFormat/>
    <w:rsid w:val="005150E5"/>
    <w:pPr>
      <w:tabs>
        <w:tab w:val="num" w:pos="360"/>
      </w:tabs>
      <w:overflowPunct w:val="0"/>
      <w:autoSpaceDE w:val="0"/>
      <w:autoSpaceDN w:val="0"/>
      <w:adjustRightInd w:val="0"/>
      <w:spacing w:before="130" w:after="60" w:line="312" w:lineRule="auto"/>
      <w:ind w:left="360" w:hanging="360"/>
      <w:contextualSpacing w:val="0"/>
      <w:textAlignment w:val="baseline"/>
    </w:pPr>
    <w:rPr>
      <w:b w:val="0"/>
      <w:szCs w:val="22"/>
      <w:lang w:val="en-GB" w:eastAsia="en-US"/>
    </w:rPr>
  </w:style>
  <w:style w:type="paragraph" w:customStyle="1" w:styleId="EndnoteText1">
    <w:name w:val="Endnote Text1"/>
    <w:basedOn w:val="Normal"/>
    <w:next w:val="EndnoteText"/>
    <w:rsid w:val="005150E5"/>
    <w:pPr>
      <w:spacing w:before="40" w:after="60" w:line="312" w:lineRule="auto"/>
      <w:contextualSpacing w:val="0"/>
    </w:pPr>
    <w:rPr>
      <w:rFonts w:eastAsia="Calibri"/>
      <w:b w:val="0"/>
      <w:sz w:val="20"/>
      <w:szCs w:val="20"/>
      <w:lang w:val="en-GB" w:eastAsia="en-US"/>
    </w:rPr>
  </w:style>
  <w:style w:type="table" w:customStyle="1" w:styleId="TableGrid114">
    <w:name w:val="Table Grid114"/>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rsid w:val="005150E5"/>
    <w:pPr>
      <w:spacing w:before="40" w:after="60"/>
      <w:ind w:left="-709" w:right="-483"/>
      <w:contextualSpacing w:val="0"/>
    </w:pPr>
    <w:rPr>
      <w:rFonts w:ascii="Times Armenian" w:hAnsi="Times Armenian"/>
      <w:b w:val="0"/>
      <w:szCs w:val="20"/>
      <w:lang w:val="en-US" w:eastAsia="en-US"/>
    </w:rPr>
  </w:style>
  <w:style w:type="paragraph" w:customStyle="1" w:styleId="TOC41">
    <w:name w:val="TOC 41"/>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1">
    <w:name w:val="TOC 51"/>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itle10">
    <w:name w:val="Title1"/>
    <w:basedOn w:val="Normal"/>
    <w:next w:val="Normal"/>
    <w:qFormat/>
    <w:rsid w:val="005150E5"/>
    <w:pPr>
      <w:pBdr>
        <w:bottom w:val="single" w:sz="4" w:space="1" w:color="auto"/>
      </w:pBdr>
      <w:spacing w:before="40" w:after="60" w:line="240" w:lineRule="auto"/>
    </w:pPr>
    <w:rPr>
      <w:rFonts w:ascii="Cambria" w:hAnsi="Cambria"/>
      <w:b w:val="0"/>
      <w:spacing w:val="5"/>
      <w:sz w:val="52"/>
      <w:szCs w:val="52"/>
      <w:lang w:val="en-US" w:eastAsia="en-US"/>
    </w:rPr>
  </w:style>
  <w:style w:type="paragraph" w:customStyle="1" w:styleId="PlainText1">
    <w:name w:val="Plain Text1"/>
    <w:basedOn w:val="Normal"/>
    <w:next w:val="PlainText"/>
    <w:rsid w:val="005150E5"/>
    <w:pPr>
      <w:spacing w:after="60" w:line="312" w:lineRule="auto"/>
      <w:contextualSpacing w:val="0"/>
    </w:pPr>
    <w:rPr>
      <w:rFonts w:ascii="Courier New" w:eastAsia="Calibri" w:hAnsi="Courier New"/>
      <w:b w:val="0"/>
      <w:sz w:val="20"/>
      <w:szCs w:val="20"/>
      <w:lang w:val="en-US" w:eastAsia="en-US"/>
    </w:rPr>
  </w:style>
  <w:style w:type="paragraph" w:customStyle="1" w:styleId="TOC61">
    <w:name w:val="TOC 61"/>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1">
    <w:name w:val="TOC 71"/>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1">
    <w:name w:val="TOC 81"/>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1">
    <w:name w:val="TOC 91"/>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13">
    <w:name w:val="Table List 71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1">
    <w:name w:val="Table of Figures1"/>
    <w:basedOn w:val="Normal"/>
    <w:next w:val="Normal"/>
    <w:rsid w:val="005150E5"/>
    <w:pPr>
      <w:spacing w:before="40" w:after="60" w:line="312" w:lineRule="auto"/>
      <w:ind w:left="480" w:hanging="480"/>
      <w:contextualSpacing w:val="0"/>
    </w:pPr>
    <w:rPr>
      <w:b w:val="0"/>
      <w:sz w:val="20"/>
      <w:szCs w:val="22"/>
      <w:lang w:val="en-US" w:eastAsia="en-US"/>
    </w:rPr>
  </w:style>
  <w:style w:type="paragraph" w:customStyle="1" w:styleId="Subtitle1">
    <w:name w:val="Subtitle1"/>
    <w:basedOn w:val="Normal"/>
    <w:next w:val="Normal"/>
    <w:qFormat/>
    <w:rsid w:val="005150E5"/>
    <w:pPr>
      <w:spacing w:before="40" w:after="600" w:line="312" w:lineRule="auto"/>
      <w:contextualSpacing w:val="0"/>
    </w:pPr>
    <w:rPr>
      <w:rFonts w:ascii="Cambria" w:hAnsi="Cambria"/>
      <w:b w:val="0"/>
      <w:i/>
      <w:iCs/>
      <w:spacing w:val="13"/>
      <w:sz w:val="24"/>
      <w:lang w:val="en-US" w:eastAsia="en-US"/>
    </w:rPr>
  </w:style>
  <w:style w:type="paragraph" w:customStyle="1" w:styleId="Index11">
    <w:name w:val="Index 11"/>
    <w:basedOn w:val="Normal"/>
    <w:next w:val="Normal"/>
    <w:autoRedefine/>
    <w:rsid w:val="005150E5"/>
    <w:pPr>
      <w:spacing w:before="40" w:after="60" w:line="312" w:lineRule="auto"/>
      <w:ind w:left="240" w:hanging="240"/>
      <w:contextualSpacing w:val="0"/>
    </w:pPr>
    <w:rPr>
      <w:b w:val="0"/>
      <w:szCs w:val="22"/>
      <w:lang w:val="en-US" w:eastAsia="en-US"/>
    </w:rPr>
  </w:style>
  <w:style w:type="paragraph" w:customStyle="1" w:styleId="Index21">
    <w:name w:val="Index 21"/>
    <w:basedOn w:val="Normal"/>
    <w:next w:val="Normal"/>
    <w:autoRedefine/>
    <w:rsid w:val="005150E5"/>
    <w:pPr>
      <w:spacing w:before="40" w:after="60" w:line="312" w:lineRule="auto"/>
      <w:ind w:left="480" w:hanging="240"/>
      <w:contextualSpacing w:val="0"/>
    </w:pPr>
    <w:rPr>
      <w:b w:val="0"/>
      <w:szCs w:val="22"/>
      <w:lang w:val="en-US" w:eastAsia="en-US"/>
    </w:rPr>
  </w:style>
  <w:style w:type="paragraph" w:customStyle="1" w:styleId="Index31">
    <w:name w:val="Index 31"/>
    <w:basedOn w:val="Normal"/>
    <w:next w:val="Normal"/>
    <w:autoRedefine/>
    <w:rsid w:val="005150E5"/>
    <w:pPr>
      <w:spacing w:before="40" w:after="60" w:line="312" w:lineRule="auto"/>
      <w:ind w:left="720" w:hanging="240"/>
      <w:contextualSpacing w:val="0"/>
    </w:pPr>
    <w:rPr>
      <w:b w:val="0"/>
      <w:szCs w:val="22"/>
      <w:lang w:val="en-US" w:eastAsia="en-US"/>
    </w:rPr>
  </w:style>
  <w:style w:type="paragraph" w:customStyle="1" w:styleId="Index41">
    <w:name w:val="Index 41"/>
    <w:basedOn w:val="Normal"/>
    <w:next w:val="Normal"/>
    <w:autoRedefine/>
    <w:rsid w:val="005150E5"/>
    <w:pPr>
      <w:spacing w:before="40" w:after="60" w:line="312" w:lineRule="auto"/>
      <w:ind w:left="960" w:hanging="240"/>
      <w:contextualSpacing w:val="0"/>
    </w:pPr>
    <w:rPr>
      <w:b w:val="0"/>
      <w:szCs w:val="22"/>
      <w:lang w:val="en-US" w:eastAsia="en-US"/>
    </w:rPr>
  </w:style>
  <w:style w:type="paragraph" w:customStyle="1" w:styleId="Index51">
    <w:name w:val="Index 51"/>
    <w:basedOn w:val="Normal"/>
    <w:next w:val="Normal"/>
    <w:autoRedefine/>
    <w:rsid w:val="005150E5"/>
    <w:pPr>
      <w:spacing w:before="40" w:after="60" w:line="312" w:lineRule="auto"/>
      <w:ind w:left="1200" w:hanging="240"/>
      <w:contextualSpacing w:val="0"/>
    </w:pPr>
    <w:rPr>
      <w:b w:val="0"/>
      <w:szCs w:val="22"/>
      <w:lang w:val="en-US" w:eastAsia="en-US"/>
    </w:rPr>
  </w:style>
  <w:style w:type="paragraph" w:customStyle="1" w:styleId="Index61">
    <w:name w:val="Index 61"/>
    <w:basedOn w:val="Normal"/>
    <w:next w:val="Normal"/>
    <w:autoRedefine/>
    <w:rsid w:val="005150E5"/>
    <w:pPr>
      <w:spacing w:before="40" w:after="60" w:line="312" w:lineRule="auto"/>
      <w:ind w:left="1440" w:hanging="240"/>
      <w:contextualSpacing w:val="0"/>
    </w:pPr>
    <w:rPr>
      <w:b w:val="0"/>
      <w:szCs w:val="22"/>
      <w:lang w:val="en-US" w:eastAsia="en-US"/>
    </w:rPr>
  </w:style>
  <w:style w:type="paragraph" w:customStyle="1" w:styleId="Index71">
    <w:name w:val="Index 71"/>
    <w:basedOn w:val="Normal"/>
    <w:next w:val="Normal"/>
    <w:autoRedefine/>
    <w:rsid w:val="005150E5"/>
    <w:pPr>
      <w:spacing w:before="40" w:after="60" w:line="312" w:lineRule="auto"/>
      <w:ind w:left="1680" w:hanging="240"/>
      <w:contextualSpacing w:val="0"/>
    </w:pPr>
    <w:rPr>
      <w:b w:val="0"/>
      <w:szCs w:val="22"/>
      <w:lang w:val="en-US" w:eastAsia="en-US"/>
    </w:rPr>
  </w:style>
  <w:style w:type="paragraph" w:customStyle="1" w:styleId="Index81">
    <w:name w:val="Index 81"/>
    <w:basedOn w:val="Normal"/>
    <w:next w:val="Normal"/>
    <w:autoRedefine/>
    <w:rsid w:val="005150E5"/>
    <w:pPr>
      <w:spacing w:before="40" w:after="60" w:line="312" w:lineRule="auto"/>
      <w:ind w:left="1920" w:hanging="240"/>
      <w:contextualSpacing w:val="0"/>
    </w:pPr>
    <w:rPr>
      <w:b w:val="0"/>
      <w:szCs w:val="22"/>
      <w:lang w:val="en-US" w:eastAsia="en-US"/>
    </w:rPr>
  </w:style>
  <w:style w:type="paragraph" w:customStyle="1" w:styleId="Index91">
    <w:name w:val="Index 91"/>
    <w:basedOn w:val="Normal"/>
    <w:next w:val="Normal"/>
    <w:autoRedefine/>
    <w:rsid w:val="005150E5"/>
    <w:pPr>
      <w:spacing w:before="40" w:after="60" w:line="312" w:lineRule="auto"/>
      <w:ind w:left="2160" w:hanging="240"/>
      <w:contextualSpacing w:val="0"/>
    </w:pPr>
    <w:rPr>
      <w:b w:val="0"/>
      <w:szCs w:val="22"/>
      <w:lang w:val="en-US" w:eastAsia="en-US"/>
    </w:rPr>
  </w:style>
  <w:style w:type="paragraph" w:customStyle="1" w:styleId="IndexHeading1">
    <w:name w:val="Index Heading1"/>
    <w:basedOn w:val="Normal"/>
    <w:next w:val="Index1"/>
    <w:rsid w:val="005150E5"/>
    <w:pPr>
      <w:spacing w:before="40" w:after="60" w:line="312" w:lineRule="auto"/>
      <w:contextualSpacing w:val="0"/>
    </w:pPr>
    <w:rPr>
      <w:b w:val="0"/>
      <w:szCs w:val="22"/>
      <w:lang w:val="en-US" w:eastAsia="en-US"/>
    </w:rPr>
  </w:style>
  <w:style w:type="paragraph" w:customStyle="1" w:styleId="NormalIndent1">
    <w:name w:val="Normal Indent1"/>
    <w:basedOn w:val="Normal"/>
    <w:next w:val="NormalIndent"/>
    <w:rsid w:val="005150E5"/>
    <w:pPr>
      <w:tabs>
        <w:tab w:val="left" w:pos="1134"/>
        <w:tab w:val="left" w:pos="1701"/>
        <w:tab w:val="left" w:pos="2835"/>
        <w:tab w:val="left" w:pos="5103"/>
        <w:tab w:val="left" w:pos="7371"/>
        <w:tab w:val="right" w:pos="9639"/>
      </w:tabs>
      <w:spacing w:before="40" w:after="60" w:line="312" w:lineRule="auto"/>
      <w:ind w:left="1134"/>
      <w:contextualSpacing w:val="0"/>
    </w:pPr>
    <w:rPr>
      <w:b w:val="0"/>
      <w:szCs w:val="22"/>
      <w:lang w:val="en-GB" w:eastAsia="en-US"/>
    </w:rPr>
  </w:style>
  <w:style w:type="paragraph" w:customStyle="1" w:styleId="webb1">
    <w:name w:val="webb1"/>
    <w:basedOn w:val="Normal"/>
    <w:next w:val="NormalWeb"/>
    <w:uiPriority w:val="99"/>
    <w:qFormat/>
    <w:rsid w:val="005150E5"/>
    <w:pPr>
      <w:spacing w:before="100" w:after="100" w:line="312" w:lineRule="auto"/>
      <w:contextualSpacing w:val="0"/>
    </w:pPr>
    <w:rPr>
      <w:b w:val="0"/>
      <w:szCs w:val="20"/>
      <w:lang w:val="en-US" w:eastAsia="en-US"/>
    </w:rPr>
  </w:style>
  <w:style w:type="table" w:customStyle="1" w:styleId="TableWeb213">
    <w:name w:val="Table Web 21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Bullet21">
    <w:name w:val="List Bullet 21"/>
    <w:basedOn w:val="Normal"/>
    <w:next w:val="ListBullet2"/>
    <w:autoRedefine/>
    <w:rsid w:val="005150E5"/>
    <w:pPr>
      <w:spacing w:before="40" w:after="60" w:line="312" w:lineRule="auto"/>
      <w:ind w:left="720" w:hanging="360"/>
      <w:contextualSpacing w:val="0"/>
    </w:pPr>
    <w:rPr>
      <w:b w:val="0"/>
      <w:szCs w:val="22"/>
      <w:lang w:val="en-US" w:eastAsia="en-US"/>
    </w:rPr>
  </w:style>
  <w:style w:type="paragraph" w:customStyle="1" w:styleId="BodyTextFirstIndent1">
    <w:name w:val="Body Text First Indent1"/>
    <w:basedOn w:val="BodyText"/>
    <w:next w:val="BodyTextFirstIndent"/>
    <w:rsid w:val="005150E5"/>
    <w:pPr>
      <w:spacing w:before="40" w:after="120" w:line="312" w:lineRule="auto"/>
      <w:ind w:firstLine="210"/>
      <w:contextualSpacing w:val="0"/>
      <w:jc w:val="both"/>
    </w:pPr>
    <w:rPr>
      <w:rFonts w:ascii="GHEA Grapalat" w:eastAsia="Calibri" w:hAnsi="GHEA Grapalat"/>
      <w:b w:val="0"/>
      <w:sz w:val="22"/>
      <w:szCs w:val="22"/>
    </w:rPr>
  </w:style>
  <w:style w:type="table" w:customStyle="1" w:styleId="TableGrid813">
    <w:name w:val="Table Grid 81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60">
    <w:name w:val="Знак Знак6"/>
    <w:basedOn w:val="Normal"/>
    <w:link w:val="Char31"/>
    <w:rsid w:val="005150E5"/>
    <w:pPr>
      <w:spacing w:before="40" w:after="60" w:line="240" w:lineRule="exact"/>
      <w:contextualSpacing w:val="0"/>
    </w:pPr>
    <w:rPr>
      <w:rFonts w:ascii="Arial" w:hAnsi="Arial" w:cs="Arial"/>
      <w:b w:val="0"/>
      <w:sz w:val="20"/>
      <w:szCs w:val="20"/>
      <w:lang w:val="en-GB" w:eastAsia="en-US"/>
    </w:rPr>
  </w:style>
  <w:style w:type="character" w:customStyle="1" w:styleId="Char31">
    <w:name w:val="Знак Знак Char3"/>
    <w:link w:val="60"/>
    <w:rsid w:val="005150E5"/>
    <w:rPr>
      <w:rFonts w:ascii="Arial" w:hAnsi="Arial" w:cs="Arial"/>
      <w:lang w:val="en-GB"/>
    </w:rPr>
  </w:style>
  <w:style w:type="paragraph" w:customStyle="1" w:styleId="DocumentMap1">
    <w:name w:val="Document Map1"/>
    <w:basedOn w:val="Normal"/>
    <w:next w:val="DocumentMap"/>
    <w:link w:val="DocumentMapChar1"/>
    <w:uiPriority w:val="99"/>
    <w:rsid w:val="005150E5"/>
    <w:pPr>
      <w:shd w:val="clear" w:color="auto" w:fill="000080"/>
      <w:overflowPunct w:val="0"/>
      <w:autoSpaceDE w:val="0"/>
      <w:autoSpaceDN w:val="0"/>
      <w:adjustRightInd w:val="0"/>
      <w:spacing w:before="40" w:after="60" w:line="312" w:lineRule="auto"/>
      <w:contextualSpacing w:val="0"/>
      <w:textAlignment w:val="baseline"/>
    </w:pPr>
    <w:rPr>
      <w:rFonts w:ascii="Tahoma" w:hAnsi="Tahoma"/>
      <w:b w:val="0"/>
      <w:sz w:val="24"/>
      <w:szCs w:val="20"/>
      <w:lang w:val="en-GB"/>
    </w:rPr>
  </w:style>
  <w:style w:type="paragraph" w:customStyle="1" w:styleId="CharChar39">
    <w:name w:val="Char Char39"/>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0">
    <w:name w:val="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Znak3">
    <w:name w:val="Znak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CharCharCharCharCharChar3">
    <w:name w:val="Char Char Char 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32">
    <w:name w:val="Знак Знак Знак Знак Знак Знак Знак Знак Знак Знак Знак Знак Знак Знак Знак Знак Знак Знак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31">
    <w:name w:val="Char Char Char Знак3"/>
    <w:basedOn w:val="Normal"/>
    <w:next w:val="Normal"/>
    <w:rsid w:val="005150E5"/>
    <w:pPr>
      <w:spacing w:before="40" w:after="60" w:line="240" w:lineRule="exact"/>
      <w:contextualSpacing w:val="0"/>
    </w:pPr>
    <w:rPr>
      <w:rFonts w:ascii="Tahoma" w:hAnsi="Tahoma"/>
      <w:b w:val="0"/>
      <w:szCs w:val="20"/>
      <w:lang w:val="en-US" w:eastAsia="en-US"/>
    </w:rPr>
  </w:style>
  <w:style w:type="paragraph" w:customStyle="1" w:styleId="ListContinue21">
    <w:name w:val="List Continue 21"/>
    <w:basedOn w:val="Normal"/>
    <w:next w:val="ListContinue2"/>
    <w:rsid w:val="005150E5"/>
    <w:pPr>
      <w:spacing w:before="40" w:after="120" w:line="312" w:lineRule="auto"/>
      <w:ind w:left="720"/>
      <w:contextualSpacing w:val="0"/>
    </w:pPr>
    <w:rPr>
      <w:b w:val="0"/>
      <w:szCs w:val="22"/>
      <w:lang w:val="en-US" w:eastAsia="en-US"/>
    </w:rPr>
  </w:style>
  <w:style w:type="paragraph" w:customStyle="1" w:styleId="CharCharCharCharCharCharCharChar3">
    <w:name w:val="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CharCharCharCharChar6">
    <w:name w:val="Char Char Char Char Знак Char Знак Char Char Char Char Char Char Char Char Char Char6"/>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3">
    <w:name w:val="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2">
    <w:name w:val="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3">
    <w:name w:val="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CharChar3">
    <w:name w:val="Знак Знак1 Char Char Знак Знак3"/>
    <w:basedOn w:val="Normal"/>
    <w:rsid w:val="005150E5"/>
    <w:pPr>
      <w:tabs>
        <w:tab w:val="num" w:pos="840"/>
      </w:tabs>
      <w:spacing w:before="40" w:after="60" w:line="240" w:lineRule="exact"/>
      <w:ind w:left="840" w:hanging="360"/>
      <w:contextualSpacing w:val="0"/>
    </w:pPr>
    <w:rPr>
      <w:rFonts w:ascii="Verdana" w:hAnsi="Verdana"/>
      <w:b w:val="0"/>
      <w:sz w:val="20"/>
      <w:szCs w:val="20"/>
      <w:lang w:eastAsia="en-US"/>
    </w:rPr>
  </w:style>
  <w:style w:type="paragraph" w:customStyle="1" w:styleId="CharCharCharChar3">
    <w:name w:val="Знак Знак Char Char Знак Знак Char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1Char3">
    <w:name w:val="Char Char Char1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33">
    <w:name w:val="Знак Знак13"/>
    <w:basedOn w:val="Normal"/>
    <w:rsid w:val="005150E5"/>
    <w:pPr>
      <w:spacing w:before="40" w:after="60" w:line="240" w:lineRule="exact"/>
      <w:contextualSpacing w:val="0"/>
    </w:pPr>
    <w:rPr>
      <w:rFonts w:ascii="Arial" w:eastAsia="MS Mincho" w:hAnsi="Arial" w:cs="Arial"/>
      <w:b w:val="0"/>
      <w:sz w:val="20"/>
      <w:szCs w:val="20"/>
      <w:lang w:val="en-US" w:eastAsia="en-US"/>
    </w:rPr>
  </w:style>
  <w:style w:type="paragraph" w:customStyle="1" w:styleId="CharCharCharCharChar30">
    <w:name w:val="Char Char 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1CharCharChar1Char3">
    <w:name w:val="Char Char1 Char Char Char1 Char3"/>
    <w:basedOn w:val="Normal"/>
    <w:autoRedefine/>
    <w:rsid w:val="005150E5"/>
    <w:pPr>
      <w:spacing w:before="40" w:after="60" w:line="312" w:lineRule="auto"/>
      <w:contextualSpacing w:val="0"/>
    </w:pPr>
    <w:rPr>
      <w:rFonts w:eastAsia="SimSun"/>
      <w:b w:val="0"/>
      <w:sz w:val="20"/>
      <w:szCs w:val="20"/>
      <w:lang w:val="en-US"/>
    </w:rPr>
  </w:style>
  <w:style w:type="paragraph" w:customStyle="1" w:styleId="430">
    <w:name w:val="Знак Знак4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33">
    <w:name w:val="Знак Char Знак3"/>
    <w:basedOn w:val="Normal"/>
    <w:rsid w:val="005150E5"/>
    <w:pPr>
      <w:spacing w:before="40" w:after="60" w:line="240" w:lineRule="exact"/>
      <w:contextualSpacing w:val="0"/>
    </w:pPr>
    <w:rPr>
      <w:rFonts w:ascii="Arial" w:eastAsia="Batang" w:hAnsi="Arial" w:cs="Arial"/>
      <w:b w:val="0"/>
      <w:sz w:val="20"/>
      <w:szCs w:val="20"/>
      <w:lang w:val="en-US" w:eastAsia="en-US"/>
    </w:rPr>
  </w:style>
  <w:style w:type="paragraph" w:customStyle="1" w:styleId="CharCharCharCharCharChar3">
    <w:name w:val="Знак Знак Char Char Знак Знак Char Char Знак Знак Char Char3"/>
    <w:basedOn w:val="Normal"/>
    <w:autoRedefine/>
    <w:rsid w:val="005150E5"/>
    <w:pPr>
      <w:spacing w:before="40" w:after="60" w:line="240" w:lineRule="exact"/>
      <w:contextualSpacing w:val="0"/>
    </w:pPr>
    <w:rPr>
      <w:b w:val="0"/>
      <w:sz w:val="28"/>
      <w:szCs w:val="20"/>
      <w:lang w:val="en-US" w:eastAsia="en-US"/>
    </w:rPr>
  </w:style>
  <w:style w:type="paragraph" w:customStyle="1" w:styleId="230">
    <w:name w:val="Знак Знак2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31">
    <w:name w:val="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numbering" w:customStyle="1" w:styleId="NoList1120">
    <w:name w:val="No List1120"/>
    <w:next w:val="NoList"/>
    <w:semiHidden/>
    <w:unhideWhenUsed/>
    <w:rsid w:val="005150E5"/>
  </w:style>
  <w:style w:type="numbering" w:customStyle="1" w:styleId="NoList216">
    <w:name w:val="No List216"/>
    <w:next w:val="NoList"/>
    <w:semiHidden/>
    <w:unhideWhenUsed/>
    <w:rsid w:val="005150E5"/>
  </w:style>
  <w:style w:type="numbering" w:customStyle="1" w:styleId="NoList315">
    <w:name w:val="No List315"/>
    <w:next w:val="NoList"/>
    <w:semiHidden/>
    <w:unhideWhenUsed/>
    <w:rsid w:val="005150E5"/>
  </w:style>
  <w:style w:type="paragraph" w:customStyle="1" w:styleId="ListNumber1">
    <w:name w:val="List Number1"/>
    <w:basedOn w:val="Normal"/>
    <w:next w:val="ListNumber"/>
    <w:rsid w:val="005150E5"/>
    <w:pPr>
      <w:spacing w:before="40" w:after="60" w:line="312" w:lineRule="auto"/>
      <w:ind w:left="720" w:hanging="360"/>
      <w:contextualSpacing w:val="0"/>
    </w:pPr>
    <w:rPr>
      <w:b w:val="0"/>
      <w:szCs w:val="22"/>
      <w:lang w:val="en-US" w:eastAsia="en-US"/>
    </w:rPr>
  </w:style>
  <w:style w:type="paragraph" w:customStyle="1" w:styleId="CharChar113">
    <w:name w:val="Char Char113"/>
    <w:basedOn w:val="Normal"/>
    <w:rsid w:val="005150E5"/>
    <w:pPr>
      <w:spacing w:before="40" w:after="60" w:line="240" w:lineRule="exact"/>
      <w:contextualSpacing w:val="0"/>
    </w:pPr>
    <w:rPr>
      <w:rFonts w:ascii="Arial" w:hAnsi="Arial" w:cs="Arial"/>
      <w:b w:val="0"/>
      <w:sz w:val="20"/>
      <w:szCs w:val="20"/>
      <w:lang w:val="en-US" w:eastAsia="en-US"/>
    </w:rPr>
  </w:style>
  <w:style w:type="character" w:customStyle="1" w:styleId="CharChar163">
    <w:name w:val="Char Char163"/>
    <w:uiPriority w:val="99"/>
    <w:rsid w:val="005150E5"/>
    <w:rPr>
      <w:rFonts w:ascii="Times New Roman" w:hAnsi="Times New Roman"/>
      <w:b/>
      <w:sz w:val="20"/>
      <w:lang w:val="en-GB"/>
    </w:rPr>
  </w:style>
  <w:style w:type="character" w:customStyle="1" w:styleId="CharChar53">
    <w:name w:val="Char Char53"/>
    <w:uiPriority w:val="99"/>
    <w:rsid w:val="005150E5"/>
    <w:rPr>
      <w:rFonts w:ascii="Times New Roman" w:hAnsi="Times New Roman"/>
      <w:sz w:val="20"/>
      <w:lang w:val="en-GB"/>
    </w:rPr>
  </w:style>
  <w:style w:type="paragraph" w:customStyle="1" w:styleId="CharCharCharCharCharChar2">
    <w:name w:val="Char Char Char Char Char Char2"/>
    <w:basedOn w:val="Normal"/>
    <w:rsid w:val="005150E5"/>
    <w:pPr>
      <w:spacing w:before="40" w:after="60" w:line="240" w:lineRule="exact"/>
      <w:contextualSpacing w:val="0"/>
    </w:pPr>
    <w:rPr>
      <w:rFonts w:ascii="Arial" w:eastAsia="Calibri" w:hAnsi="Arial" w:cs="Arial"/>
      <w:b w:val="0"/>
      <w:sz w:val="20"/>
      <w:szCs w:val="20"/>
      <w:lang w:val="en-US" w:eastAsia="en-US"/>
    </w:rPr>
  </w:style>
  <w:style w:type="paragraph" w:customStyle="1" w:styleId="3b">
    <w:name w:val="Знак3"/>
    <w:basedOn w:val="Normal"/>
    <w:rsid w:val="005150E5"/>
    <w:pPr>
      <w:spacing w:before="40" w:after="60" w:line="240" w:lineRule="exact"/>
      <w:contextualSpacing w:val="0"/>
    </w:pPr>
    <w:rPr>
      <w:rFonts w:ascii="Arial" w:eastAsia="Calibri" w:hAnsi="Arial" w:cs="Arial"/>
      <w:b w:val="0"/>
      <w:sz w:val="20"/>
      <w:szCs w:val="20"/>
      <w:lang w:val="en-GB" w:eastAsia="en-US"/>
    </w:rPr>
  </w:style>
  <w:style w:type="paragraph" w:customStyle="1" w:styleId="BodyText11">
    <w:name w:val="Body Text11"/>
    <w:basedOn w:val="Normal"/>
    <w:rsid w:val="005150E5"/>
    <w:pPr>
      <w:tabs>
        <w:tab w:val="num" w:pos="0"/>
      </w:tabs>
      <w:spacing w:before="40" w:after="240" w:line="312" w:lineRule="auto"/>
      <w:contextualSpacing w:val="0"/>
    </w:pPr>
    <w:rPr>
      <w:rFonts w:ascii="Times Armenian" w:hAnsi="Times Armenian"/>
      <w:b w:val="0"/>
      <w:szCs w:val="22"/>
      <w:lang w:val="en-US"/>
    </w:rPr>
  </w:style>
  <w:style w:type="table" w:customStyle="1" w:styleId="LightList-Accent1113">
    <w:name w:val="Light List - Accent 111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
    <w:name w:val="Colorful Grid - Accent 118"/>
    <w:basedOn w:val="TableNormal"/>
    <w:next w:val="ColorfulGrid-Accent1"/>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
    <w:name w:val="Light List - Accent 518"/>
    <w:basedOn w:val="TableNormal"/>
    <w:next w:val="LightList-Accent5"/>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0">
    <w:name w:val="Нет списка19"/>
    <w:next w:val="NoList"/>
    <w:semiHidden/>
    <w:unhideWhenUsed/>
    <w:rsid w:val="005150E5"/>
  </w:style>
  <w:style w:type="paragraph" w:customStyle="1" w:styleId="List1">
    <w:name w:val="List1"/>
    <w:basedOn w:val="BodyText"/>
    <w:next w:val="List"/>
    <w:rsid w:val="005150E5"/>
    <w:pPr>
      <w:suppressAutoHyphens/>
      <w:spacing w:before="40" w:after="120" w:line="288" w:lineRule="auto"/>
      <w:contextualSpacing w:val="0"/>
      <w:jc w:val="both"/>
    </w:pPr>
    <w:rPr>
      <w:rFonts w:ascii="GHEA Grapalat" w:hAnsi="GHEA Grapalat" w:cs="GHEA Grapalat"/>
      <w:b w:val="0"/>
      <w:kern w:val="1"/>
      <w:sz w:val="22"/>
      <w:szCs w:val="22"/>
      <w:lang w:val="en-US" w:eastAsia="en-US"/>
    </w:rPr>
  </w:style>
  <w:style w:type="character" w:customStyle="1" w:styleId="CharChar123">
    <w:name w:val="Char Char123"/>
    <w:rsid w:val="005150E5"/>
    <w:rPr>
      <w:sz w:val="22"/>
      <w:lang w:val="en-GB" w:eastAsia="en-US" w:bidi="ar-SA"/>
    </w:rPr>
  </w:style>
  <w:style w:type="paragraph" w:customStyle="1" w:styleId="IntenseQuote1">
    <w:name w:val="Intense Quote1"/>
    <w:basedOn w:val="Normal"/>
    <w:next w:val="Normal"/>
    <w:qFormat/>
    <w:rsid w:val="005150E5"/>
    <w:pPr>
      <w:pBdr>
        <w:bottom w:val="single" w:sz="4" w:space="1" w:color="auto"/>
      </w:pBdr>
      <w:spacing w:before="200" w:after="280" w:line="312" w:lineRule="auto"/>
      <w:ind w:left="1008" w:right="1152"/>
      <w:contextualSpacing w:val="0"/>
    </w:pPr>
    <w:rPr>
      <w:bCs/>
      <w:i/>
      <w:iCs/>
      <w:szCs w:val="22"/>
      <w:lang w:val="en-US" w:eastAsia="en-US"/>
    </w:rPr>
  </w:style>
  <w:style w:type="character" w:customStyle="1" w:styleId="CharChar213">
    <w:name w:val="Char Char213"/>
    <w:locked/>
    <w:rsid w:val="005150E5"/>
    <w:rPr>
      <w:sz w:val="22"/>
      <w:lang w:val="en-GB" w:eastAsia="en-US"/>
    </w:rPr>
  </w:style>
  <w:style w:type="character" w:customStyle="1" w:styleId="CharChar222">
    <w:name w:val="Char Char222"/>
    <w:rsid w:val="005150E5"/>
    <w:rPr>
      <w:rFonts w:cs="Times New Roman"/>
      <w:lang w:val="ru-RU" w:eastAsia="ru-RU" w:bidi="ar-SA"/>
    </w:rPr>
  </w:style>
  <w:style w:type="numbering" w:customStyle="1" w:styleId="NoList413">
    <w:name w:val="No List413"/>
    <w:next w:val="NoList"/>
    <w:semiHidden/>
    <w:rsid w:val="005150E5"/>
  </w:style>
  <w:style w:type="character" w:customStyle="1" w:styleId="CharChar182">
    <w:name w:val="Char Char182"/>
    <w:rsid w:val="005150E5"/>
    <w:rPr>
      <w:rFonts w:ascii="Arial Armenian" w:eastAsia="Times New Roman" w:hAnsi="Arial Armenian"/>
      <w:i/>
      <w:sz w:val="22"/>
      <w:u w:val="single"/>
      <w:lang w:val="en-GB"/>
    </w:rPr>
  </w:style>
  <w:style w:type="character" w:customStyle="1" w:styleId="CharChar192">
    <w:name w:val="Char Char192"/>
    <w:rsid w:val="005150E5"/>
    <w:rPr>
      <w:b/>
      <w:sz w:val="32"/>
      <w:lang w:val="en-GB" w:eastAsia="en-US" w:bidi="ar-SA"/>
    </w:rPr>
  </w:style>
  <w:style w:type="character" w:customStyle="1" w:styleId="CharChar202">
    <w:name w:val="Char Char202"/>
    <w:rsid w:val="005150E5"/>
    <w:rPr>
      <w:rFonts w:ascii="Garamond" w:hAnsi="Garamond"/>
      <w:i/>
      <w:spacing w:val="-5"/>
      <w:sz w:val="28"/>
      <w:lang w:val="en-GB" w:eastAsia="en-US" w:bidi="ar-SA"/>
    </w:rPr>
  </w:style>
  <w:style w:type="numbering" w:customStyle="1" w:styleId="NoList11115">
    <w:name w:val="No List11115"/>
    <w:next w:val="NoList"/>
    <w:semiHidden/>
    <w:unhideWhenUsed/>
    <w:rsid w:val="005150E5"/>
  </w:style>
  <w:style w:type="character" w:customStyle="1" w:styleId="CharChar172">
    <w:name w:val="Char Char172"/>
    <w:rsid w:val="005150E5"/>
    <w:rPr>
      <w:rFonts w:ascii="Arial Armenian" w:hAnsi="Arial Armenian"/>
      <w:i/>
      <w:sz w:val="22"/>
      <w:u w:val="single"/>
      <w:lang w:val="en-GB" w:eastAsia="en-US" w:bidi="ar-SA"/>
    </w:rPr>
  </w:style>
  <w:style w:type="character" w:customStyle="1" w:styleId="CharChar282">
    <w:name w:val="Char Char282"/>
    <w:rsid w:val="005150E5"/>
    <w:rPr>
      <w:rFonts w:ascii="Arial Armenian" w:hAnsi="Arial Armenian"/>
      <w:i/>
      <w:sz w:val="22"/>
      <w:u w:val="single"/>
      <w:lang w:val="en-GB"/>
    </w:rPr>
  </w:style>
  <w:style w:type="character" w:customStyle="1" w:styleId="CharChar272">
    <w:name w:val="Char Char272"/>
    <w:rsid w:val="005150E5"/>
    <w:rPr>
      <w:rFonts w:ascii="Garamond" w:hAnsi="Garamond"/>
      <w:i/>
      <w:spacing w:val="-5"/>
      <w:sz w:val="28"/>
      <w:shd w:val="pct5" w:color="auto" w:fill="auto"/>
      <w:lang w:val="en-GB"/>
    </w:rPr>
  </w:style>
  <w:style w:type="character" w:customStyle="1" w:styleId="CharChar262">
    <w:name w:val="Char Char262"/>
    <w:rsid w:val="005150E5"/>
    <w:rPr>
      <w:rFonts w:ascii="Arial Black" w:hAnsi="Arial Black"/>
      <w:caps/>
      <w:spacing w:val="60"/>
      <w:position w:val="4"/>
      <w:sz w:val="14"/>
      <w:lang w:val="en-GB"/>
    </w:rPr>
  </w:style>
  <w:style w:type="character" w:customStyle="1" w:styleId="CharChar252">
    <w:name w:val="Char Char252"/>
    <w:rsid w:val="005150E5"/>
    <w:rPr>
      <w:rFonts w:ascii="Garamond" w:hAnsi="Garamond"/>
      <w:b/>
      <w:i/>
      <w:kern w:val="28"/>
      <w:lang w:val="en-GB"/>
    </w:rPr>
  </w:style>
  <w:style w:type="character" w:customStyle="1" w:styleId="CharChar242">
    <w:name w:val="Char Char242"/>
    <w:rsid w:val="005150E5"/>
    <w:rPr>
      <w:rFonts w:ascii="Arial Armenian" w:hAnsi="Arial Armenian"/>
      <w:noProof/>
      <w:lang w:val="en-US" w:eastAsia="en-US" w:bidi="ar-SA"/>
    </w:rPr>
  </w:style>
  <w:style w:type="character" w:customStyle="1" w:styleId="CharChar232">
    <w:name w:val="Char Char232"/>
    <w:rsid w:val="005150E5"/>
    <w:rPr>
      <w:rFonts w:ascii="Arial Armenian" w:hAnsi="Arial Armenian"/>
      <w:lang w:val="en-GB" w:eastAsia="en-US" w:bidi="ar-SA"/>
    </w:rPr>
  </w:style>
  <w:style w:type="character" w:customStyle="1" w:styleId="CharChar312">
    <w:name w:val="Char Char312"/>
    <w:rsid w:val="005150E5"/>
    <w:rPr>
      <w:rFonts w:ascii="Arial Armenian" w:hAnsi="Arial Armenian"/>
      <w:noProof/>
      <w:lang w:val="en-US" w:eastAsia="en-US" w:bidi="ar-SA"/>
    </w:rPr>
  </w:style>
  <w:style w:type="table" w:customStyle="1" w:styleId="Table3Deffects313">
    <w:name w:val="Table 3D effects 31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TopofForm1">
    <w:name w:val="z-Top of Form1"/>
    <w:basedOn w:val="Normal"/>
    <w:next w:val="Normal"/>
    <w:hidden/>
    <w:uiPriority w:val="99"/>
    <w:unhideWhenUsed/>
    <w:rsid w:val="005150E5"/>
    <w:pPr>
      <w:pBdr>
        <w:bottom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z-BottomofForm1">
    <w:name w:val="z-Bottom of Form1"/>
    <w:basedOn w:val="Normal"/>
    <w:next w:val="Normal"/>
    <w:hidden/>
    <w:uiPriority w:val="99"/>
    <w:unhideWhenUsed/>
    <w:rsid w:val="005150E5"/>
    <w:pPr>
      <w:pBdr>
        <w:top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HTMLPreformatted1">
    <w:name w:val="HTML Preformatted1"/>
    <w:basedOn w:val="Normal"/>
    <w:next w:val="HTMLPreformatted"/>
    <w:uiPriority w:val="99"/>
    <w:unhideWhenUsed/>
    <w:rsid w:val="0051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60" w:line="312" w:lineRule="auto"/>
      <w:contextualSpacing w:val="0"/>
    </w:pPr>
    <w:rPr>
      <w:rFonts w:ascii="Arial Unicode" w:eastAsia="Calibri" w:hAnsi="Arial Unicode"/>
      <w:b w:val="0"/>
      <w:sz w:val="20"/>
      <w:szCs w:val="20"/>
      <w:lang w:val="en-US" w:eastAsia="en-US"/>
    </w:rPr>
  </w:style>
  <w:style w:type="numbering" w:customStyle="1" w:styleId="118">
    <w:name w:val="Нет списка118"/>
    <w:next w:val="NoList"/>
    <w:semiHidden/>
    <w:unhideWhenUsed/>
    <w:rsid w:val="005150E5"/>
  </w:style>
  <w:style w:type="character" w:customStyle="1" w:styleId="CharChar352">
    <w:name w:val="Char Char352"/>
    <w:rsid w:val="005150E5"/>
    <w:rPr>
      <w:rFonts w:ascii="Arial Armenian" w:hAnsi="Arial Armenian"/>
      <w:i/>
      <w:sz w:val="22"/>
      <w:u w:val="single"/>
      <w:lang w:val="en-GB"/>
    </w:rPr>
  </w:style>
  <w:style w:type="character" w:customStyle="1" w:styleId="CharChar342">
    <w:name w:val="Char Char342"/>
    <w:rsid w:val="005150E5"/>
    <w:rPr>
      <w:rFonts w:ascii="Garamond" w:hAnsi="Garamond"/>
      <w:i/>
      <w:spacing w:val="-5"/>
      <w:sz w:val="28"/>
      <w:shd w:val="pct5" w:color="auto" w:fill="auto"/>
      <w:lang w:val="en-GB"/>
    </w:rPr>
  </w:style>
  <w:style w:type="character" w:customStyle="1" w:styleId="CharChar332">
    <w:name w:val="Char Char332"/>
    <w:rsid w:val="005150E5"/>
    <w:rPr>
      <w:rFonts w:ascii="Arial Black" w:hAnsi="Arial Black"/>
      <w:caps/>
      <w:spacing w:val="60"/>
      <w:position w:val="4"/>
      <w:sz w:val="14"/>
      <w:lang w:val="en-GB"/>
    </w:rPr>
  </w:style>
  <w:style w:type="character" w:customStyle="1" w:styleId="CharChar322">
    <w:name w:val="Char Char322"/>
    <w:rsid w:val="005150E5"/>
    <w:rPr>
      <w:rFonts w:ascii="Garamond" w:hAnsi="Garamond"/>
      <w:b/>
      <w:i/>
      <w:kern w:val="28"/>
      <w:lang w:val="en-GB"/>
    </w:rPr>
  </w:style>
  <w:style w:type="character" w:customStyle="1" w:styleId="CharChar302">
    <w:name w:val="Char Char302"/>
    <w:rsid w:val="005150E5"/>
    <w:rPr>
      <w:rFonts w:ascii="Arial Armenian" w:hAnsi="Arial Armenian"/>
      <w:lang w:val="en-GB" w:eastAsia="en-US" w:bidi="ar-SA"/>
    </w:rPr>
  </w:style>
  <w:style w:type="character" w:customStyle="1" w:styleId="CharChar292">
    <w:name w:val="Char Char292"/>
    <w:rsid w:val="005150E5"/>
    <w:rPr>
      <w:rFonts w:ascii="Arial Armenian" w:hAnsi="Arial Armenian"/>
      <w:lang w:val="ru-RU" w:eastAsia="ru-RU" w:bidi="ar-SA"/>
    </w:rPr>
  </w:style>
  <w:style w:type="paragraph" w:customStyle="1" w:styleId="textbox">
    <w:name w:val="textbox"/>
    <w:basedOn w:val="Normal"/>
    <w:rsid w:val="005150E5"/>
    <w:pPr>
      <w:spacing w:before="40" w:after="60" w:line="160" w:lineRule="exact"/>
      <w:contextualSpacing w:val="0"/>
    </w:pPr>
    <w:rPr>
      <w:b w:val="0"/>
      <w:smallCaps/>
      <w:sz w:val="16"/>
      <w:szCs w:val="20"/>
      <w:lang w:val="hy-AM" w:eastAsia="en-US"/>
    </w:rPr>
  </w:style>
  <w:style w:type="character" w:customStyle="1" w:styleId="t121">
    <w:name w:val="t121"/>
    <w:rsid w:val="005150E5"/>
    <w:rPr>
      <w:b/>
      <w:bCs/>
      <w:color w:val="191970"/>
    </w:rPr>
  </w:style>
  <w:style w:type="character" w:customStyle="1" w:styleId="t61">
    <w:name w:val="t61"/>
    <w:rsid w:val="005150E5"/>
    <w:rPr>
      <w:b/>
      <w:bCs/>
      <w:color w:val="191970"/>
    </w:rPr>
  </w:style>
  <w:style w:type="table" w:customStyle="1" w:styleId="TableGrid115">
    <w:name w:val="Table Grid115"/>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4">
    <w:name w:val="Char Char Char Char Знак Char Знак Char Char Char Char Char Char Char Char Char Char4"/>
    <w:basedOn w:val="Normal"/>
    <w:rsid w:val="005150E5"/>
    <w:pPr>
      <w:tabs>
        <w:tab w:val="left" w:pos="709"/>
      </w:tabs>
      <w:spacing w:before="40" w:after="60" w:line="312" w:lineRule="auto"/>
      <w:contextualSpacing w:val="0"/>
    </w:pPr>
    <w:rPr>
      <w:rFonts w:ascii="Tahoma" w:hAnsi="Tahoma" w:cs="Tahoma"/>
      <w:b w:val="0"/>
      <w:szCs w:val="22"/>
      <w:lang w:val="pl-PL" w:eastAsia="pl-PL"/>
    </w:rPr>
  </w:style>
  <w:style w:type="character" w:customStyle="1" w:styleId="CharChar62">
    <w:name w:val="Char Char62"/>
    <w:locked/>
    <w:rsid w:val="005150E5"/>
    <w:rPr>
      <w:rFonts w:ascii="Times LatArm" w:eastAsia="Calibri" w:hAnsi="Times LatArm" w:cs="Times LatArm"/>
      <w:sz w:val="22"/>
      <w:szCs w:val="22"/>
      <w:lang w:val="en-GB" w:eastAsia="en-US" w:bidi="ar-SA"/>
    </w:rPr>
  </w:style>
  <w:style w:type="character" w:customStyle="1" w:styleId="CentredCharChar">
    <w:name w:val="Centred Char Char"/>
    <w:locked/>
    <w:rsid w:val="005150E5"/>
    <w:rPr>
      <w:rFonts w:eastAsia="Calibri"/>
      <w:b/>
      <w:bCs/>
      <w:i/>
      <w:iCs/>
      <w:sz w:val="24"/>
      <w:szCs w:val="24"/>
      <w:lang w:val="en-GB" w:eastAsia="en-US" w:bidi="ar-SA"/>
    </w:rPr>
  </w:style>
  <w:style w:type="character" w:customStyle="1" w:styleId="SideCharChar">
    <w:name w:val="Side Char Char"/>
    <w:locked/>
    <w:rsid w:val="005150E5"/>
    <w:rPr>
      <w:rFonts w:eastAsia="Calibri"/>
      <w:sz w:val="22"/>
      <w:szCs w:val="22"/>
      <w:lang w:val="en-GB" w:eastAsia="en-US" w:bidi="ar-SA"/>
    </w:rPr>
  </w:style>
  <w:style w:type="character" w:customStyle="1" w:styleId="CharChar80">
    <w:name w:val="Char Char8"/>
    <w:locked/>
    <w:rsid w:val="005150E5"/>
    <w:rPr>
      <w:rFonts w:ascii="Times Armenian" w:eastAsia="Calibri" w:hAnsi="Times Armenian" w:cs="Times Armenian"/>
      <w:color w:val="993300"/>
      <w:sz w:val="22"/>
      <w:szCs w:val="22"/>
      <w:lang w:val="hy-AM" w:eastAsia="en-US" w:bidi="ar-SA"/>
    </w:rPr>
  </w:style>
  <w:style w:type="character" w:customStyle="1" w:styleId="CharChar42">
    <w:name w:val="Char Char42"/>
    <w:locked/>
    <w:rsid w:val="005150E5"/>
    <w:rPr>
      <w:rFonts w:eastAsia="Calibri"/>
      <w:sz w:val="22"/>
      <w:szCs w:val="22"/>
      <w:lang w:val="en-GB" w:eastAsia="en-US" w:bidi="ar-SA"/>
    </w:rPr>
  </w:style>
  <w:style w:type="character" w:customStyle="1" w:styleId="CharChar38">
    <w:name w:val="Char Char38"/>
    <w:uiPriority w:val="99"/>
    <w:locked/>
    <w:rsid w:val="005150E5"/>
    <w:rPr>
      <w:rFonts w:eastAsia="Calibri"/>
      <w:sz w:val="22"/>
      <w:szCs w:val="22"/>
      <w:lang w:val="en-GB" w:eastAsia="en-US" w:bidi="ar-SA"/>
    </w:rPr>
  </w:style>
  <w:style w:type="character" w:customStyle="1" w:styleId="CharChar212">
    <w:name w:val="Char Char212"/>
    <w:locked/>
    <w:rsid w:val="005150E5"/>
    <w:rPr>
      <w:rFonts w:ascii="Times Armenian" w:eastAsia="Calibri" w:hAnsi="Times Armenian" w:cs="Times Armenian"/>
      <w:b/>
      <w:bCs/>
      <w:sz w:val="22"/>
      <w:szCs w:val="22"/>
      <w:lang w:val="en-US" w:eastAsia="en-US" w:bidi="ar-SA"/>
    </w:rPr>
  </w:style>
  <w:style w:type="numbering" w:customStyle="1" w:styleId="NoList56">
    <w:name w:val="No List56"/>
    <w:next w:val="NoList"/>
    <w:uiPriority w:val="99"/>
    <w:semiHidden/>
    <w:rsid w:val="005150E5"/>
  </w:style>
  <w:style w:type="numbering" w:customStyle="1" w:styleId="NoList63">
    <w:name w:val="No List63"/>
    <w:next w:val="NoList"/>
    <w:uiPriority w:val="99"/>
    <w:semiHidden/>
    <w:unhideWhenUsed/>
    <w:rsid w:val="005150E5"/>
  </w:style>
  <w:style w:type="table" w:customStyle="1" w:styleId="TableGrid210">
    <w:name w:val="Table Grid210"/>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5150E5"/>
    <w:rPr>
      <w:rFonts w:ascii="GHEA Grapalat" w:hAnsi="GHEA Grapalat"/>
      <w:spacing w:val="-4"/>
      <w:sz w:val="24"/>
      <w:szCs w:val="24"/>
    </w:rPr>
  </w:style>
  <w:style w:type="paragraph" w:customStyle="1" w:styleId="namak0">
    <w:name w:val="namak"/>
    <w:basedOn w:val="Normal"/>
    <w:link w:val="namak"/>
    <w:rsid w:val="005150E5"/>
    <w:pPr>
      <w:spacing w:before="40" w:after="60" w:line="400" w:lineRule="exact"/>
      <w:ind w:firstLine="397"/>
      <w:contextualSpacing w:val="0"/>
    </w:pPr>
    <w:rPr>
      <w:b w:val="0"/>
      <w:spacing w:val="-4"/>
      <w:sz w:val="24"/>
      <w:lang w:val="en-US" w:eastAsia="en-US"/>
    </w:rPr>
  </w:style>
  <w:style w:type="numbering" w:customStyle="1" w:styleId="NoList73">
    <w:name w:val="No List73"/>
    <w:next w:val="NoList"/>
    <w:uiPriority w:val="99"/>
    <w:semiHidden/>
    <w:unhideWhenUsed/>
    <w:rsid w:val="005150E5"/>
  </w:style>
  <w:style w:type="numbering" w:customStyle="1" w:styleId="NoList1210">
    <w:name w:val="No List1210"/>
    <w:next w:val="NoList"/>
    <w:uiPriority w:val="99"/>
    <w:semiHidden/>
    <w:unhideWhenUsed/>
    <w:rsid w:val="005150E5"/>
  </w:style>
  <w:style w:type="table" w:customStyle="1" w:styleId="TableGrid330">
    <w:name w:val="Table Grid33"/>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5CharCharCharCharCharChar2">
    <w:name w:val="Char Char5 Char Char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CharChar2">
    <w:name w:val="Char Char5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2">
    <w:name w:val="Char Char5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numbering" w:customStyle="1" w:styleId="NoList83">
    <w:name w:val="No List83"/>
    <w:next w:val="NoList"/>
    <w:uiPriority w:val="99"/>
    <w:semiHidden/>
    <w:unhideWhenUsed/>
    <w:rsid w:val="005150E5"/>
  </w:style>
  <w:style w:type="numbering" w:customStyle="1" w:styleId="123">
    <w:name w:val="Нет списка123"/>
    <w:next w:val="NoList"/>
    <w:semiHidden/>
    <w:unhideWhenUsed/>
    <w:rsid w:val="005150E5"/>
  </w:style>
  <w:style w:type="numbering" w:customStyle="1" w:styleId="NoList133">
    <w:name w:val="No List133"/>
    <w:next w:val="NoList"/>
    <w:semiHidden/>
    <w:unhideWhenUsed/>
    <w:rsid w:val="005150E5"/>
  </w:style>
  <w:style w:type="numbering" w:customStyle="1" w:styleId="NoList217">
    <w:name w:val="No List217"/>
    <w:next w:val="NoList"/>
    <w:semiHidden/>
    <w:unhideWhenUsed/>
    <w:rsid w:val="005150E5"/>
  </w:style>
  <w:style w:type="numbering" w:customStyle="1" w:styleId="NoList316">
    <w:name w:val="No List316"/>
    <w:next w:val="NoList"/>
    <w:semiHidden/>
    <w:unhideWhenUsed/>
    <w:rsid w:val="005150E5"/>
  </w:style>
  <w:style w:type="numbering" w:customStyle="1" w:styleId="1113">
    <w:name w:val="Нет списка1113"/>
    <w:next w:val="NoList"/>
    <w:semiHidden/>
    <w:unhideWhenUsed/>
    <w:rsid w:val="005150E5"/>
  </w:style>
  <w:style w:type="numbering" w:customStyle="1" w:styleId="NoList414">
    <w:name w:val="No List414"/>
    <w:next w:val="NoList"/>
    <w:semiHidden/>
    <w:rsid w:val="005150E5"/>
  </w:style>
  <w:style w:type="numbering" w:customStyle="1" w:styleId="NoList11116">
    <w:name w:val="No List11116"/>
    <w:next w:val="NoList"/>
    <w:semiHidden/>
    <w:unhideWhenUsed/>
    <w:rsid w:val="005150E5"/>
  </w:style>
  <w:style w:type="numbering" w:customStyle="1" w:styleId="11112">
    <w:name w:val="Нет списка11112"/>
    <w:next w:val="NoList"/>
    <w:semiHidden/>
    <w:unhideWhenUsed/>
    <w:rsid w:val="005150E5"/>
  </w:style>
  <w:style w:type="numbering" w:customStyle="1" w:styleId="NoList93">
    <w:name w:val="No List93"/>
    <w:next w:val="NoList"/>
    <w:uiPriority w:val="99"/>
    <w:semiHidden/>
    <w:unhideWhenUsed/>
    <w:rsid w:val="005150E5"/>
  </w:style>
  <w:style w:type="character" w:customStyle="1" w:styleId="newstext">
    <w:name w:val="news_text"/>
    <w:rsid w:val="005150E5"/>
  </w:style>
  <w:style w:type="table" w:customStyle="1" w:styleId="TableGrid43">
    <w:name w:val="Table Grid43"/>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5150E5"/>
    <w:rPr>
      <w:rFonts w:ascii="Sylfaen" w:hAnsi="Sylfaen" w:cs="Sylfaen"/>
      <w:color w:val="000000"/>
      <w:sz w:val="24"/>
      <w:szCs w:val="24"/>
    </w:rPr>
  </w:style>
  <w:style w:type="table" w:customStyle="1" w:styleId="GridTable1Light-Accent51">
    <w:name w:val="Grid Table 1 Light - Accent 51"/>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5150E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5150E5"/>
  </w:style>
  <w:style w:type="numbering" w:customStyle="1" w:styleId="NoList103">
    <w:name w:val="No List103"/>
    <w:next w:val="NoList"/>
    <w:uiPriority w:val="99"/>
    <w:semiHidden/>
    <w:unhideWhenUsed/>
    <w:rsid w:val="005150E5"/>
  </w:style>
  <w:style w:type="table" w:customStyle="1" w:styleId="TableGrid530">
    <w:name w:val="Table Grid53"/>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
    <w:name w:val="Table List 7112"/>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
    <w:name w:val="Table Web 3112"/>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
    <w:name w:val="No List143"/>
    <w:next w:val="NoList"/>
    <w:semiHidden/>
    <w:unhideWhenUsed/>
    <w:rsid w:val="005150E5"/>
  </w:style>
  <w:style w:type="numbering" w:customStyle="1" w:styleId="NoList223">
    <w:name w:val="No List223"/>
    <w:next w:val="NoList"/>
    <w:semiHidden/>
    <w:unhideWhenUsed/>
    <w:rsid w:val="005150E5"/>
  </w:style>
  <w:style w:type="numbering" w:customStyle="1" w:styleId="NoList323">
    <w:name w:val="No List323"/>
    <w:next w:val="NoList"/>
    <w:semiHidden/>
    <w:unhideWhenUsed/>
    <w:rsid w:val="005150E5"/>
  </w:style>
  <w:style w:type="table" w:customStyle="1" w:styleId="LightList-Accent126">
    <w:name w:val="Light List - Accent 126"/>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
    <w:name w:val="Table Grid 7112"/>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
    <w:name w:val="Colorful Grid - Accent 133"/>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
    <w:name w:val="Light List - Accent 533"/>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
    <w:name w:val="Table Simple 3112"/>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
    <w:name w:val="Table Grid 5112"/>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
    <w:name w:val="Table Grid 3112"/>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
    <w:name w:val="Table Grid 1112"/>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
    <w:name w:val="Table Columns 5112"/>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
    <w:name w:val="Light List - Accent 1114"/>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0">
    <w:name w:val="Нет списка133"/>
    <w:next w:val="NoList"/>
    <w:semiHidden/>
    <w:unhideWhenUsed/>
    <w:rsid w:val="005150E5"/>
  </w:style>
  <w:style w:type="table" w:customStyle="1" w:styleId="ColorfulGrid-Accent1113">
    <w:name w:val="Colorful Grid - Accent 1113"/>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
    <w:name w:val="Light List - Accent 5113"/>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
    <w:name w:val="No List423"/>
    <w:next w:val="NoList"/>
    <w:semiHidden/>
    <w:rsid w:val="005150E5"/>
  </w:style>
  <w:style w:type="numbering" w:customStyle="1" w:styleId="NoList1125">
    <w:name w:val="No List1125"/>
    <w:next w:val="NoList"/>
    <w:semiHidden/>
    <w:unhideWhenUsed/>
    <w:rsid w:val="005150E5"/>
  </w:style>
  <w:style w:type="table" w:customStyle="1" w:styleId="Table3Deffects3112">
    <w:name w:val="Table 3D effects 3112"/>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
    <w:name w:val="Нет списка1123"/>
    <w:next w:val="NoList"/>
    <w:semiHidden/>
    <w:unhideWhenUsed/>
    <w:rsid w:val="005150E5"/>
  </w:style>
  <w:style w:type="table" w:customStyle="1" w:styleId="TableGrid11120">
    <w:name w:val="Table Grid1112"/>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rsid w:val="005150E5"/>
  </w:style>
  <w:style w:type="numbering" w:customStyle="1" w:styleId="NoList612">
    <w:name w:val="No List612"/>
    <w:next w:val="NoList"/>
    <w:uiPriority w:val="99"/>
    <w:semiHidden/>
    <w:unhideWhenUsed/>
    <w:rsid w:val="005150E5"/>
  </w:style>
  <w:style w:type="table" w:customStyle="1" w:styleId="TableGrid213">
    <w:name w:val="Table Grid213"/>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
    <w:name w:val="No List712"/>
    <w:next w:val="NoList"/>
    <w:uiPriority w:val="99"/>
    <w:semiHidden/>
    <w:unhideWhenUsed/>
    <w:rsid w:val="005150E5"/>
  </w:style>
  <w:style w:type="numbering" w:customStyle="1" w:styleId="NoList1213">
    <w:name w:val="No List1213"/>
    <w:next w:val="NoList"/>
    <w:uiPriority w:val="99"/>
    <w:semiHidden/>
    <w:unhideWhenUsed/>
    <w:rsid w:val="005150E5"/>
  </w:style>
  <w:style w:type="table" w:customStyle="1" w:styleId="TableGrid3120">
    <w:name w:val="Table Grid312"/>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
    <w:name w:val="No List812"/>
    <w:next w:val="NoList"/>
    <w:uiPriority w:val="99"/>
    <w:semiHidden/>
    <w:unhideWhenUsed/>
    <w:rsid w:val="005150E5"/>
  </w:style>
  <w:style w:type="numbering" w:customStyle="1" w:styleId="1212">
    <w:name w:val="Нет списка1212"/>
    <w:next w:val="NoList"/>
    <w:semiHidden/>
    <w:unhideWhenUsed/>
    <w:rsid w:val="005150E5"/>
  </w:style>
  <w:style w:type="numbering" w:customStyle="1" w:styleId="NoList1312">
    <w:name w:val="No List1312"/>
    <w:next w:val="NoList"/>
    <w:semiHidden/>
    <w:unhideWhenUsed/>
    <w:rsid w:val="005150E5"/>
  </w:style>
  <w:style w:type="numbering" w:customStyle="1" w:styleId="NoList2113">
    <w:name w:val="No List2113"/>
    <w:next w:val="NoList"/>
    <w:semiHidden/>
    <w:unhideWhenUsed/>
    <w:rsid w:val="005150E5"/>
  </w:style>
  <w:style w:type="numbering" w:customStyle="1" w:styleId="NoList3113">
    <w:name w:val="No List3113"/>
    <w:next w:val="NoList"/>
    <w:semiHidden/>
    <w:unhideWhenUsed/>
    <w:rsid w:val="005150E5"/>
  </w:style>
  <w:style w:type="numbering" w:customStyle="1" w:styleId="11121">
    <w:name w:val="Нет списка11121"/>
    <w:next w:val="NoList"/>
    <w:semiHidden/>
    <w:unhideWhenUsed/>
    <w:rsid w:val="005150E5"/>
  </w:style>
  <w:style w:type="numbering" w:customStyle="1" w:styleId="NoList4112">
    <w:name w:val="No List4112"/>
    <w:next w:val="NoList"/>
    <w:semiHidden/>
    <w:rsid w:val="005150E5"/>
  </w:style>
  <w:style w:type="numbering" w:customStyle="1" w:styleId="NoList111113">
    <w:name w:val="No List111113"/>
    <w:next w:val="NoList"/>
    <w:semiHidden/>
    <w:unhideWhenUsed/>
    <w:rsid w:val="005150E5"/>
  </w:style>
  <w:style w:type="numbering" w:customStyle="1" w:styleId="111111">
    <w:name w:val="Нет списка111111"/>
    <w:next w:val="NoList"/>
    <w:semiHidden/>
    <w:unhideWhenUsed/>
    <w:rsid w:val="005150E5"/>
  </w:style>
  <w:style w:type="paragraph" w:customStyle="1" w:styleId="CharChar37">
    <w:name w:val="Char Char37"/>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BodyText23">
    <w:name w:val="Body Text2"/>
    <w:basedOn w:val="Normal"/>
    <w:rsid w:val="005150E5"/>
    <w:pPr>
      <w:tabs>
        <w:tab w:val="num" w:pos="0"/>
      </w:tabs>
      <w:spacing w:before="0" w:after="240" w:line="240" w:lineRule="auto"/>
      <w:ind w:firstLine="0"/>
      <w:contextualSpacing w:val="0"/>
    </w:pPr>
    <w:rPr>
      <w:rFonts w:ascii="Times Armenian" w:hAnsi="Times Armenian"/>
      <w:b w:val="0"/>
      <w:sz w:val="24"/>
      <w:lang w:val="en-US"/>
    </w:rPr>
  </w:style>
  <w:style w:type="paragraph" w:customStyle="1" w:styleId="Znak2">
    <w:name w:val="Znak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Char2">
    <w:name w:val="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CharChar5">
    <w:name w:val="Char Char Char Char Знак Char Знак Char Char Char Char Char Char Char Char Char Char5"/>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2">
    <w:name w:val="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2">
    <w:name w:val="Знак Знак Char2"/>
    <w:link w:val="5"/>
    <w:rsid w:val="005150E5"/>
    <w:rPr>
      <w:rFonts w:ascii="Arial" w:hAnsi="Arial" w:cs="Arial"/>
      <w:b/>
    </w:rPr>
  </w:style>
  <w:style w:type="paragraph" w:customStyle="1" w:styleId="CharCharCharCharCharCharCharCharCharChar2">
    <w:name w:val="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2">
    <w:name w:val="Char Char Char 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CharChar2">
    <w:name w:val="Знак Знак1 Char Char Знак Знак2"/>
    <w:basedOn w:val="Normal"/>
    <w:rsid w:val="005150E5"/>
    <w:pPr>
      <w:tabs>
        <w:tab w:val="num" w:pos="840"/>
      </w:tabs>
      <w:spacing w:before="0" w:after="160" w:line="240" w:lineRule="exact"/>
      <w:ind w:left="840" w:hanging="360"/>
      <w:contextualSpacing w:val="0"/>
    </w:pPr>
    <w:rPr>
      <w:rFonts w:ascii="Verdana" w:hAnsi="Verdana"/>
      <w:b w:val="0"/>
      <w:sz w:val="20"/>
      <w:szCs w:val="20"/>
      <w:lang w:eastAsia="en-US"/>
    </w:rPr>
  </w:style>
  <w:style w:type="paragraph" w:customStyle="1" w:styleId="CharCharCharChar2">
    <w:name w:val="Знак Знак Char Char Знак Знак Char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21">
    <w:name w:val="Знак Знак Знак Знак Знак Знак Знак Знак Знак Знак Знак Знак Знак Знак Знак Знак Знак Знак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CharChar21">
    <w:name w:val="Char Char Char Знак2"/>
    <w:basedOn w:val="Normal"/>
    <w:next w:val="Normal"/>
    <w:rsid w:val="005150E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CharChar1Char2">
    <w:name w:val="Char Char Char1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24">
    <w:name w:val="Знак Знак12"/>
    <w:basedOn w:val="Normal"/>
    <w:rsid w:val="005150E5"/>
    <w:pPr>
      <w:spacing w:before="0" w:after="160" w:line="240" w:lineRule="exact"/>
      <w:ind w:firstLine="0"/>
      <w:contextualSpacing w:val="0"/>
      <w:jc w:val="left"/>
    </w:pPr>
    <w:rPr>
      <w:rFonts w:ascii="Arial" w:eastAsia="MS Mincho" w:hAnsi="Arial" w:cs="Arial"/>
      <w:b w:val="0"/>
      <w:sz w:val="20"/>
      <w:szCs w:val="20"/>
      <w:lang w:val="en-US" w:eastAsia="en-US"/>
    </w:rPr>
  </w:style>
  <w:style w:type="paragraph" w:customStyle="1" w:styleId="CharChar1CharCharChar1Char2">
    <w:name w:val="Char Char1 Char Char Char1 Char2"/>
    <w:basedOn w:val="Normal"/>
    <w:autoRedefine/>
    <w:rsid w:val="005150E5"/>
    <w:pPr>
      <w:spacing w:before="0" w:line="240" w:lineRule="auto"/>
      <w:ind w:firstLine="0"/>
      <w:contextualSpacing w:val="0"/>
      <w:jc w:val="left"/>
    </w:pPr>
    <w:rPr>
      <w:rFonts w:ascii="Times New Roman" w:eastAsia="SimSun" w:hAnsi="Times New Roman"/>
      <w:b w:val="0"/>
      <w:sz w:val="20"/>
      <w:szCs w:val="20"/>
      <w:lang w:val="en-US"/>
    </w:rPr>
  </w:style>
  <w:style w:type="paragraph" w:customStyle="1" w:styleId="420">
    <w:name w:val="Знак Знак4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22">
    <w:name w:val="Знак Char Знак2"/>
    <w:basedOn w:val="Normal"/>
    <w:rsid w:val="005150E5"/>
    <w:pPr>
      <w:spacing w:before="0" w:after="160" w:line="240" w:lineRule="exact"/>
      <w:ind w:firstLine="0"/>
      <w:contextualSpacing w:val="0"/>
      <w:jc w:val="left"/>
    </w:pPr>
    <w:rPr>
      <w:rFonts w:ascii="Arial" w:eastAsia="Batang" w:hAnsi="Arial" w:cs="Arial"/>
      <w:b w:val="0"/>
      <w:sz w:val="20"/>
      <w:szCs w:val="20"/>
      <w:lang w:val="en-US" w:eastAsia="en-US"/>
    </w:rPr>
  </w:style>
  <w:style w:type="paragraph" w:customStyle="1" w:styleId="CharCharCharCharCharChar20">
    <w:name w:val="Знак Знак Char Char Знак Знак Char Char Знак Знак Char Char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220">
    <w:name w:val="Знак Знак2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20">
    <w:name w:val="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Char52">
    <w:name w:val="Char Char52"/>
    <w:rsid w:val="005150E5"/>
    <w:rPr>
      <w:rFonts w:ascii="Arial Armenian" w:hAnsi="Arial Armenian" w:cs="Sylfaen"/>
      <w:sz w:val="24"/>
      <w:szCs w:val="24"/>
      <w:lang w:val="ru-RU" w:eastAsia="ru-RU"/>
    </w:rPr>
  </w:style>
  <w:style w:type="paragraph" w:customStyle="1" w:styleId="CharCharCharCharCharChar10">
    <w:name w:val="Char Char Char Char Char Char1"/>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1100">
    <w:name w:val="Char Char110"/>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2d">
    <w:name w:val="Знак2"/>
    <w:basedOn w:val="Normal"/>
    <w:rsid w:val="005150E5"/>
    <w:pPr>
      <w:spacing w:before="0" w:after="160" w:line="240" w:lineRule="exact"/>
      <w:ind w:firstLine="0"/>
      <w:contextualSpacing w:val="0"/>
      <w:jc w:val="left"/>
    </w:pPr>
    <w:rPr>
      <w:rFonts w:ascii="Arial" w:hAnsi="Arial" w:cs="Arial"/>
      <w:b w:val="0"/>
      <w:sz w:val="20"/>
      <w:szCs w:val="20"/>
      <w:lang w:val="en-GB" w:eastAsia="en-US"/>
    </w:rPr>
  </w:style>
  <w:style w:type="character" w:customStyle="1" w:styleId="CharChar281">
    <w:name w:val="Char Char281"/>
    <w:rsid w:val="005150E5"/>
    <w:rPr>
      <w:rFonts w:ascii="Arial Armenian" w:hAnsi="Arial Armenian"/>
      <w:i/>
      <w:sz w:val="22"/>
      <w:u w:val="single"/>
      <w:lang w:val="en-GB"/>
    </w:rPr>
  </w:style>
  <w:style w:type="character" w:customStyle="1" w:styleId="CharChar271">
    <w:name w:val="Char Char271"/>
    <w:rsid w:val="005150E5"/>
    <w:rPr>
      <w:rFonts w:ascii="Garamond" w:hAnsi="Garamond"/>
      <w:i/>
      <w:spacing w:val="-5"/>
      <w:sz w:val="28"/>
      <w:shd w:val="pct5" w:color="auto" w:fill="auto"/>
      <w:lang w:val="en-GB"/>
    </w:rPr>
  </w:style>
  <w:style w:type="character" w:customStyle="1" w:styleId="CharChar261">
    <w:name w:val="Char Char261"/>
    <w:rsid w:val="005150E5"/>
    <w:rPr>
      <w:rFonts w:ascii="Arial Black" w:hAnsi="Arial Black"/>
      <w:caps/>
      <w:spacing w:val="60"/>
      <w:position w:val="4"/>
      <w:sz w:val="14"/>
      <w:lang w:val="en-GB"/>
    </w:rPr>
  </w:style>
  <w:style w:type="character" w:customStyle="1" w:styleId="CharChar251">
    <w:name w:val="Char Char251"/>
    <w:rsid w:val="005150E5"/>
    <w:rPr>
      <w:rFonts w:ascii="Garamond" w:hAnsi="Garamond"/>
      <w:b/>
      <w:i/>
      <w:kern w:val="28"/>
      <w:lang w:val="en-GB"/>
    </w:rPr>
  </w:style>
  <w:style w:type="character" w:customStyle="1" w:styleId="CharChar351">
    <w:name w:val="Char Char351"/>
    <w:rsid w:val="005150E5"/>
    <w:rPr>
      <w:rFonts w:ascii="Arial Armenian" w:hAnsi="Arial Armenian"/>
      <w:i/>
      <w:sz w:val="22"/>
      <w:u w:val="single"/>
      <w:lang w:val="en-GB"/>
    </w:rPr>
  </w:style>
  <w:style w:type="character" w:customStyle="1" w:styleId="CharChar341">
    <w:name w:val="Char Char341"/>
    <w:rsid w:val="005150E5"/>
    <w:rPr>
      <w:rFonts w:ascii="Garamond" w:hAnsi="Garamond"/>
      <w:i/>
      <w:spacing w:val="-5"/>
      <w:sz w:val="28"/>
      <w:shd w:val="pct5" w:color="auto" w:fill="auto"/>
      <w:lang w:val="en-GB"/>
    </w:rPr>
  </w:style>
  <w:style w:type="character" w:customStyle="1" w:styleId="CharChar331">
    <w:name w:val="Char Char331"/>
    <w:rsid w:val="005150E5"/>
    <w:rPr>
      <w:rFonts w:ascii="Arial Black" w:hAnsi="Arial Black"/>
      <w:caps/>
      <w:spacing w:val="60"/>
      <w:position w:val="4"/>
      <w:sz w:val="14"/>
      <w:lang w:val="en-GB"/>
    </w:rPr>
  </w:style>
  <w:style w:type="character" w:customStyle="1" w:styleId="CharChar321">
    <w:name w:val="Char Char321"/>
    <w:rsid w:val="005150E5"/>
    <w:rPr>
      <w:rFonts w:ascii="Garamond" w:hAnsi="Garamond"/>
      <w:b/>
      <w:i/>
      <w:kern w:val="28"/>
      <w:lang w:val="en-GB"/>
    </w:rPr>
  </w:style>
  <w:style w:type="character" w:customStyle="1" w:styleId="CharChar311">
    <w:name w:val="Char Char311"/>
    <w:rsid w:val="005150E5"/>
    <w:rPr>
      <w:rFonts w:ascii="Arial Armenian" w:hAnsi="Arial Armenian"/>
      <w:noProof/>
      <w:lang w:val="en-US" w:eastAsia="en-US" w:bidi="ar-SA"/>
    </w:rPr>
  </w:style>
  <w:style w:type="character" w:customStyle="1" w:styleId="CharChar301">
    <w:name w:val="Char Char301"/>
    <w:rsid w:val="005150E5"/>
    <w:rPr>
      <w:rFonts w:ascii="Arial Armenian" w:hAnsi="Arial Armenian"/>
      <w:lang w:val="en-GB" w:eastAsia="en-US" w:bidi="ar-SA"/>
    </w:rPr>
  </w:style>
  <w:style w:type="character" w:customStyle="1" w:styleId="CharChar291">
    <w:name w:val="Char Char291"/>
    <w:rsid w:val="005150E5"/>
    <w:rPr>
      <w:rFonts w:ascii="Arial Armenian" w:hAnsi="Arial Armenian"/>
      <w:lang w:val="ru-RU" w:eastAsia="ru-RU" w:bidi="ar-SA"/>
    </w:rPr>
  </w:style>
  <w:style w:type="paragraph" w:customStyle="1" w:styleId="CharChar5CharCharCharCharCharChar1">
    <w:name w:val="Char Char5 Char Char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CharChar1">
    <w:name w:val="Char Char5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1">
    <w:name w:val="Char Char5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61">
    <w:name w:val="Char Char61"/>
    <w:locked/>
    <w:rsid w:val="005150E5"/>
    <w:rPr>
      <w:rFonts w:ascii="Times LatArm" w:eastAsia="Calibri" w:hAnsi="Times LatArm" w:cs="Times LatArm"/>
      <w:sz w:val="22"/>
      <w:szCs w:val="22"/>
      <w:lang w:val="en-GB" w:eastAsia="en-US" w:bidi="ar-SA"/>
    </w:rPr>
  </w:style>
  <w:style w:type="character" w:customStyle="1" w:styleId="CharChar81">
    <w:name w:val="Char Char81"/>
    <w:locked/>
    <w:rsid w:val="005150E5"/>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5150E5"/>
    <w:rPr>
      <w:rFonts w:ascii="Courier New" w:eastAsia="Calibri" w:hAnsi="Courier New" w:cs="Courier New"/>
      <w:lang w:val="en-US" w:eastAsia="en-US" w:bidi="ar-SA"/>
    </w:rPr>
  </w:style>
  <w:style w:type="character" w:customStyle="1" w:styleId="CharChar41">
    <w:name w:val="Char Char41"/>
    <w:locked/>
    <w:rsid w:val="005150E5"/>
    <w:rPr>
      <w:rFonts w:eastAsia="Calibri"/>
      <w:sz w:val="22"/>
      <w:szCs w:val="22"/>
      <w:lang w:val="en-GB" w:eastAsia="en-US" w:bidi="ar-SA"/>
    </w:rPr>
  </w:style>
  <w:style w:type="character" w:customStyle="1" w:styleId="CharChar36">
    <w:name w:val="Char Char36"/>
    <w:locked/>
    <w:rsid w:val="005150E5"/>
    <w:rPr>
      <w:rFonts w:eastAsia="Calibri"/>
      <w:sz w:val="22"/>
      <w:szCs w:val="22"/>
      <w:lang w:val="en-GB" w:eastAsia="en-US" w:bidi="ar-SA"/>
    </w:rPr>
  </w:style>
  <w:style w:type="character" w:customStyle="1" w:styleId="CharChar210">
    <w:name w:val="Char Char210"/>
    <w:locked/>
    <w:rsid w:val="005150E5"/>
    <w:rPr>
      <w:rFonts w:ascii="Times Armenian" w:eastAsia="Calibri" w:hAnsi="Times Armenian" w:cs="Times Armenian"/>
      <w:b/>
      <w:bCs/>
      <w:sz w:val="22"/>
      <w:szCs w:val="22"/>
      <w:lang w:val="en-US" w:eastAsia="en-US" w:bidi="ar-SA"/>
    </w:rPr>
  </w:style>
  <w:style w:type="table" w:customStyle="1" w:styleId="TableGrid63">
    <w:name w:val="Table Grid63"/>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
    <w:name w:val="Table Grid22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0E5"/>
    <w:rPr>
      <w:color w:val="605E5C"/>
      <w:shd w:val="clear" w:color="auto" w:fill="E1DFDD"/>
    </w:rPr>
  </w:style>
  <w:style w:type="table" w:customStyle="1" w:styleId="GridTable1Light-Accent11">
    <w:name w:val="Grid Table 1 Light - Accent 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5150E5"/>
    <w:rPr>
      <w:rFonts w:ascii="Calibri Light" w:eastAsia="Times New Roman" w:hAnsi="Calibri Light" w:cs="Times New Roman"/>
      <w:color w:val="2E74B5"/>
      <w:sz w:val="24"/>
      <w:szCs w:val="24"/>
    </w:rPr>
  </w:style>
  <w:style w:type="character" w:customStyle="1" w:styleId="Heading6Char2">
    <w:name w:val="Heading 6 Char2"/>
    <w:basedOn w:val="DefaultParagraphFont"/>
    <w:uiPriority w:val="9"/>
    <w:semiHidden/>
    <w:rsid w:val="005150E5"/>
    <w:rPr>
      <w:rFonts w:ascii="Calibri Light" w:eastAsia="Times New Roman" w:hAnsi="Calibri Light" w:cs="Times New Roman"/>
      <w:color w:val="1F4D78"/>
      <w:sz w:val="24"/>
      <w:szCs w:val="24"/>
    </w:rPr>
  </w:style>
  <w:style w:type="character" w:customStyle="1" w:styleId="Heading7Char2">
    <w:name w:val="Heading 7 Char2"/>
    <w:basedOn w:val="DefaultParagraphFont"/>
    <w:uiPriority w:val="9"/>
    <w:semiHidden/>
    <w:rsid w:val="005150E5"/>
    <w:rPr>
      <w:rFonts w:ascii="Calibri Light" w:eastAsia="Times New Roman" w:hAnsi="Calibri Light" w:cs="Times New Roman"/>
      <w:i/>
      <w:iCs/>
      <w:color w:val="1F4D78"/>
      <w:sz w:val="24"/>
      <w:szCs w:val="24"/>
    </w:rPr>
  </w:style>
  <w:style w:type="character" w:customStyle="1" w:styleId="Heading8Char2">
    <w:name w:val="Heading 8 Char2"/>
    <w:basedOn w:val="DefaultParagraphFont"/>
    <w:uiPriority w:val="9"/>
    <w:semiHidden/>
    <w:rsid w:val="005150E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150E5"/>
    <w:rPr>
      <w:rFonts w:ascii="Calibri Light" w:eastAsia="Times New Roman" w:hAnsi="Calibri Light" w:cs="Times New Roman"/>
      <w:i/>
      <w:iCs/>
      <w:color w:val="272727"/>
      <w:sz w:val="21"/>
      <w:szCs w:val="21"/>
    </w:rPr>
  </w:style>
  <w:style w:type="character" w:customStyle="1" w:styleId="BodyTextIndent3Char2">
    <w:name w:val="Body Text Indent 3 Char2"/>
    <w:basedOn w:val="DefaultParagraphFont"/>
    <w:uiPriority w:val="99"/>
    <w:rsid w:val="005150E5"/>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5150E5"/>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5150E5"/>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5150E5"/>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5150E5"/>
    <w:rPr>
      <w:rFonts w:ascii="Calibri Light" w:eastAsia="Times New Roman" w:hAnsi="Calibri Light" w:cs="Times New Roman"/>
      <w:spacing w:val="-10"/>
      <w:kern w:val="28"/>
      <w:sz w:val="56"/>
      <w:szCs w:val="56"/>
    </w:rPr>
  </w:style>
  <w:style w:type="character" w:customStyle="1" w:styleId="PlainTextChar2">
    <w:name w:val="Plain Text Char2"/>
    <w:basedOn w:val="DefaultParagraphFont"/>
    <w:uiPriority w:val="99"/>
    <w:rsid w:val="005150E5"/>
    <w:rPr>
      <w:rFonts w:ascii="Consolas" w:eastAsia="Times New Roman" w:hAnsi="Consolas" w:cs="Times New Roman"/>
      <w:sz w:val="21"/>
      <w:szCs w:val="21"/>
    </w:rPr>
  </w:style>
  <w:style w:type="table" w:customStyle="1" w:styleId="TableList78">
    <w:name w:val="Table List 78"/>
    <w:basedOn w:val="TableNormal"/>
    <w:next w:val="TableList7"/>
    <w:uiPriority w:val="99"/>
    <w:semiHidden/>
    <w:unhideWhenUsed/>
    <w:rsid w:val="005150E5"/>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
    <w:name w:val="Table Web 38"/>
    <w:basedOn w:val="TableNormal"/>
    <w:next w:val="TableWeb3"/>
    <w:uiPriority w:val="99"/>
    <w:semiHidden/>
    <w:unhideWhenUsed/>
    <w:rsid w:val="005150E5"/>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
    <w:name w:val="Table Elegant8"/>
    <w:basedOn w:val="TableNormal"/>
    <w:next w:val="TableElegant"/>
    <w:uiPriority w:val="99"/>
    <w:semiHidden/>
    <w:unhideWhenUsed/>
    <w:rsid w:val="005150E5"/>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ubtitleChar3">
    <w:name w:val="Subtitle Char3"/>
    <w:basedOn w:val="DefaultParagraphFont"/>
    <w:uiPriority w:val="11"/>
    <w:rsid w:val="005150E5"/>
    <w:rPr>
      <w:rFonts w:eastAsia="Times New Roman"/>
      <w:color w:val="5A5A5A"/>
      <w:spacing w:val="15"/>
    </w:rPr>
  </w:style>
  <w:style w:type="table" w:customStyle="1" w:styleId="TableWeb28">
    <w:name w:val="Table Web 28"/>
    <w:basedOn w:val="TableNormal"/>
    <w:next w:val="TableWeb2"/>
    <w:uiPriority w:val="99"/>
    <w:semiHidden/>
    <w:unhideWhenUsed/>
    <w:rsid w:val="005150E5"/>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
    <w:name w:val="Table Web 18"/>
    <w:basedOn w:val="TableNormal"/>
    <w:next w:val="TableWeb1"/>
    <w:uiPriority w:val="99"/>
    <w:semiHidden/>
    <w:unhideWhenUsed/>
    <w:rsid w:val="005150E5"/>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FirstIndentChar3">
    <w:name w:val="Body Text First Indent Char3"/>
    <w:basedOn w:val="BodyTextChar1"/>
    <w:uiPriority w:val="99"/>
    <w:rsid w:val="005150E5"/>
    <w:rPr>
      <w:rFonts w:ascii="Times New Roman" w:eastAsia="Times New Roman" w:hAnsi="Times New Roman" w:cs="Times New Roman"/>
      <w:sz w:val="24"/>
      <w:szCs w:val="24"/>
    </w:rPr>
  </w:style>
  <w:style w:type="table" w:customStyle="1" w:styleId="TableGrid88">
    <w:name w:val="Table Grid 88"/>
    <w:basedOn w:val="TableNormal"/>
    <w:next w:val="TableGrid8"/>
    <w:uiPriority w:val="99"/>
    <w:semiHidden/>
    <w:unhideWhenUsed/>
    <w:rsid w:val="005150E5"/>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uiPriority w:val="99"/>
    <w:semiHidden/>
    <w:unhideWhenUsed/>
    <w:rsid w:val="005150E5"/>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DocumentMapChar2">
    <w:name w:val="Document Map Char2"/>
    <w:basedOn w:val="DefaultParagraphFont"/>
    <w:uiPriority w:val="99"/>
    <w:rsid w:val="005150E5"/>
    <w:rPr>
      <w:rFonts w:ascii="Segoe UI" w:eastAsia="Times New Roman" w:hAnsi="Segoe UI" w:cs="Segoe UI"/>
      <w:sz w:val="16"/>
      <w:szCs w:val="16"/>
    </w:rPr>
  </w:style>
  <w:style w:type="character" w:customStyle="1" w:styleId="QuoteChar1">
    <w:name w:val="Quote Char1"/>
    <w:basedOn w:val="DefaultParagraphFont"/>
    <w:uiPriority w:val="29"/>
    <w:rsid w:val="005150E5"/>
    <w:rPr>
      <w:rFonts w:ascii="Times New Roman" w:eastAsia="Times New Roman" w:hAnsi="Times New Roman" w:cs="Times New Roman"/>
      <w:i/>
      <w:iCs/>
      <w:color w:val="404040"/>
      <w:sz w:val="24"/>
      <w:szCs w:val="24"/>
    </w:rPr>
  </w:style>
  <w:style w:type="table" w:customStyle="1" w:styleId="LightList-Accent127">
    <w:name w:val="Light List - Accent 127"/>
    <w:basedOn w:val="TableNormal"/>
    <w:next w:val="LightList-Accent1"/>
    <w:uiPriority w:val="61"/>
    <w:semiHidden/>
    <w:unhideWhenUsed/>
    <w:rsid w:val="005150E5"/>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
    <w:name w:val="Table Grid 78"/>
    <w:basedOn w:val="TableNormal"/>
    <w:next w:val="TableGrid7"/>
    <w:uiPriority w:val="99"/>
    <w:semiHidden/>
    <w:unhideWhenUsed/>
    <w:rsid w:val="005150E5"/>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
    <w:name w:val="Colorful Grid - Accent 19"/>
    <w:basedOn w:val="TableNormal"/>
    <w:next w:val="ColorfulGrid-Accent1"/>
    <w:uiPriority w:val="73"/>
    <w:semiHidden/>
    <w:unhideWhenUsed/>
    <w:rsid w:val="005150E5"/>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
    <w:name w:val="Light List - Accent 510"/>
    <w:basedOn w:val="TableNormal"/>
    <w:next w:val="LightList-Accent5"/>
    <w:uiPriority w:val="61"/>
    <w:semiHidden/>
    <w:unhideWhenUsed/>
    <w:rsid w:val="005150E5"/>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
    <w:name w:val="Table Simple 38"/>
    <w:basedOn w:val="TableNormal"/>
    <w:next w:val="TableSimple3"/>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
    <w:name w:val="Table Grid 58"/>
    <w:basedOn w:val="TableNormal"/>
    <w:next w:val="TableGrid5"/>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
    <w:name w:val="Table Grid 38"/>
    <w:basedOn w:val="TableNormal"/>
    <w:next w:val="TableGrid3"/>
    <w:uiPriority w:val="99"/>
    <w:semiHidden/>
    <w:unhideWhenUsed/>
    <w:rsid w:val="005150E5"/>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0">
    <w:name w:val="Table Grid 18"/>
    <w:basedOn w:val="TableNormal"/>
    <w:next w:val="TableGrid10"/>
    <w:uiPriority w:val="99"/>
    <w:semiHidden/>
    <w:unhideWhenUsed/>
    <w:rsid w:val="005150E5"/>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
    <w:name w:val="Table Columns 58"/>
    <w:basedOn w:val="TableNormal"/>
    <w:next w:val="TableColumns5"/>
    <w:uiPriority w:val="99"/>
    <w:semiHidden/>
    <w:unhideWhenUsed/>
    <w:rsid w:val="005150E5"/>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IntenseQuoteChar1">
    <w:name w:val="Intense Quote Char1"/>
    <w:basedOn w:val="DefaultParagraphFont"/>
    <w:uiPriority w:val="30"/>
    <w:rsid w:val="005150E5"/>
    <w:rPr>
      <w:rFonts w:ascii="Times New Roman" w:eastAsia="Times New Roman" w:hAnsi="Times New Roman" w:cs="Times New Roman"/>
      <w:i/>
      <w:iCs/>
      <w:color w:val="5B9BD5"/>
      <w:sz w:val="24"/>
      <w:szCs w:val="24"/>
    </w:rPr>
  </w:style>
  <w:style w:type="table" w:customStyle="1" w:styleId="Table3Deffects38">
    <w:name w:val="Table 3D effects 38"/>
    <w:basedOn w:val="TableNormal"/>
    <w:next w:val="Table3Deffects3"/>
    <w:uiPriority w:val="99"/>
    <w:semiHidden/>
    <w:unhideWhenUsed/>
    <w:rsid w:val="005150E5"/>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TopofFormChar1">
    <w:name w:val="z-Top of Form Char1"/>
    <w:basedOn w:val="DefaultParagraphFont"/>
    <w:uiPriority w:val="99"/>
    <w:semiHidden/>
    <w:rsid w:val="005150E5"/>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150E5"/>
    <w:rPr>
      <w:rFonts w:ascii="Arial" w:eastAsia="Times New Roman" w:hAnsi="Arial" w:cs="Arial"/>
      <w:vanish/>
      <w:sz w:val="16"/>
      <w:szCs w:val="16"/>
    </w:rPr>
  </w:style>
  <w:style w:type="character" w:customStyle="1" w:styleId="HTMLPreformattedChar1">
    <w:name w:val="HTML Preformatted Char1"/>
    <w:basedOn w:val="DefaultParagraphFont"/>
    <w:uiPriority w:val="99"/>
    <w:rsid w:val="005150E5"/>
    <w:rPr>
      <w:rFonts w:ascii="Consolas" w:eastAsia="Times New Roman" w:hAnsi="Consolas" w:cs="Times New Roman"/>
      <w:sz w:val="20"/>
      <w:szCs w:val="20"/>
    </w:rPr>
  </w:style>
  <w:style w:type="numbering" w:customStyle="1" w:styleId="NoList153">
    <w:name w:val="No List153"/>
    <w:next w:val="NoList"/>
    <w:uiPriority w:val="99"/>
    <w:semiHidden/>
    <w:unhideWhenUsed/>
    <w:rsid w:val="005150E5"/>
  </w:style>
  <w:style w:type="table" w:customStyle="1" w:styleId="TableGrid123">
    <w:name w:val="Table Grid123"/>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2">
    <w:name w:val="TOC 52"/>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OC62">
    <w:name w:val="TOC 62"/>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2">
    <w:name w:val="TOC 72"/>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2">
    <w:name w:val="TOC 82"/>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2">
    <w:name w:val="TOC 92"/>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23">
    <w:name w:val="Table List 72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3">
    <w:name w:val="Table Web 32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3">
    <w:name w:val="Table Web 13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3">
    <w:name w:val="Table Grid 83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3">
    <w:name w:val="Table Contemporary3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3">
    <w:name w:val="No List163"/>
    <w:next w:val="NoList"/>
    <w:semiHidden/>
    <w:unhideWhenUsed/>
    <w:rsid w:val="005150E5"/>
  </w:style>
  <w:style w:type="numbering" w:customStyle="1" w:styleId="NoList233">
    <w:name w:val="No List233"/>
    <w:next w:val="NoList"/>
    <w:semiHidden/>
    <w:unhideWhenUsed/>
    <w:rsid w:val="005150E5"/>
  </w:style>
  <w:style w:type="numbering" w:customStyle="1" w:styleId="NoList333">
    <w:name w:val="No List333"/>
    <w:next w:val="NoList"/>
    <w:semiHidden/>
    <w:unhideWhenUsed/>
    <w:rsid w:val="005150E5"/>
  </w:style>
  <w:style w:type="table" w:customStyle="1" w:styleId="LightList-Accent133">
    <w:name w:val="Light List - Accent 13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3">
    <w:name w:val="Table Grid 72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3">
    <w:name w:val="Colorful Grid - Accent 14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3">
    <w:name w:val="Light List - Accent 54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3">
    <w:name w:val="Table Simple 32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3">
    <w:name w:val="Table Grid 52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3">
    <w:name w:val="Table Grid 32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30">
    <w:name w:val="Table Grid 12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3">
    <w:name w:val="Light List - Accent 1123"/>
    <w:basedOn w:val="TableNormal"/>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3">
    <w:name w:val="Нет списка143"/>
    <w:next w:val="NoList"/>
    <w:semiHidden/>
    <w:unhideWhenUsed/>
    <w:rsid w:val="005150E5"/>
  </w:style>
  <w:style w:type="table" w:customStyle="1" w:styleId="ColorfulGrid-Accent1123">
    <w:name w:val="Colorful Grid - Accent 1123"/>
    <w:basedOn w:val="TableNormal"/>
    <w:rsid w:val="005150E5"/>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3">
    <w:name w:val="Light List - Accent 5123"/>
    <w:basedOn w:val="TableNormal"/>
    <w:rsid w:val="005150E5"/>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3">
    <w:name w:val="No List433"/>
    <w:next w:val="NoList"/>
    <w:semiHidden/>
    <w:rsid w:val="005150E5"/>
  </w:style>
  <w:style w:type="numbering" w:customStyle="1" w:styleId="NoList1133">
    <w:name w:val="No List1133"/>
    <w:next w:val="NoList"/>
    <w:semiHidden/>
    <w:unhideWhenUsed/>
    <w:rsid w:val="005150E5"/>
  </w:style>
  <w:style w:type="table" w:customStyle="1" w:styleId="Table3Deffects323">
    <w:name w:val="Table 3D effects 32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NoList"/>
    <w:semiHidden/>
    <w:unhideWhenUsed/>
    <w:rsid w:val="005150E5"/>
  </w:style>
  <w:style w:type="table" w:customStyle="1" w:styleId="TableGrid133">
    <w:name w:val="Table Grid133"/>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rsid w:val="005150E5"/>
  </w:style>
  <w:style w:type="numbering" w:customStyle="1" w:styleId="NoList621">
    <w:name w:val="No List621"/>
    <w:next w:val="NoList"/>
    <w:uiPriority w:val="99"/>
    <w:semiHidden/>
    <w:unhideWhenUsed/>
    <w:rsid w:val="005150E5"/>
  </w:style>
  <w:style w:type="table" w:customStyle="1" w:styleId="TableGrid232">
    <w:name w:val="Table Grid232"/>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1">
    <w:name w:val="No List721"/>
    <w:next w:val="NoList"/>
    <w:uiPriority w:val="99"/>
    <w:semiHidden/>
    <w:unhideWhenUsed/>
    <w:rsid w:val="005150E5"/>
  </w:style>
  <w:style w:type="numbering" w:customStyle="1" w:styleId="NoList1223">
    <w:name w:val="No List1223"/>
    <w:next w:val="NoList"/>
    <w:uiPriority w:val="99"/>
    <w:semiHidden/>
    <w:unhideWhenUsed/>
    <w:rsid w:val="005150E5"/>
  </w:style>
  <w:style w:type="table" w:customStyle="1" w:styleId="TableGrid3210">
    <w:name w:val="Table Grid32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
    <w:name w:val="Table Web 2121"/>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
    <w:name w:val="Colorful Grid - Accent 1221"/>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
    <w:name w:val="Light List - Accent 5221"/>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
    <w:name w:val="No List821"/>
    <w:next w:val="NoList"/>
    <w:uiPriority w:val="99"/>
    <w:semiHidden/>
    <w:unhideWhenUsed/>
    <w:rsid w:val="005150E5"/>
  </w:style>
  <w:style w:type="numbering" w:customStyle="1" w:styleId="1221">
    <w:name w:val="Нет списка1221"/>
    <w:next w:val="NoList"/>
    <w:semiHidden/>
    <w:unhideWhenUsed/>
    <w:rsid w:val="005150E5"/>
  </w:style>
  <w:style w:type="numbering" w:customStyle="1" w:styleId="NoList1321">
    <w:name w:val="No List1321"/>
    <w:next w:val="NoList"/>
    <w:semiHidden/>
    <w:unhideWhenUsed/>
    <w:rsid w:val="005150E5"/>
  </w:style>
  <w:style w:type="numbering" w:customStyle="1" w:styleId="NoList2123">
    <w:name w:val="No List2123"/>
    <w:next w:val="NoList"/>
    <w:semiHidden/>
    <w:unhideWhenUsed/>
    <w:rsid w:val="005150E5"/>
  </w:style>
  <w:style w:type="numbering" w:customStyle="1" w:styleId="NoList3123">
    <w:name w:val="No List3123"/>
    <w:next w:val="NoList"/>
    <w:semiHidden/>
    <w:unhideWhenUsed/>
    <w:rsid w:val="005150E5"/>
  </w:style>
  <w:style w:type="numbering" w:customStyle="1" w:styleId="11131">
    <w:name w:val="Нет списка11131"/>
    <w:next w:val="NoList"/>
    <w:semiHidden/>
    <w:unhideWhenUsed/>
    <w:rsid w:val="005150E5"/>
  </w:style>
  <w:style w:type="numbering" w:customStyle="1" w:styleId="NoList4121">
    <w:name w:val="No List4121"/>
    <w:next w:val="NoList"/>
    <w:semiHidden/>
    <w:rsid w:val="005150E5"/>
  </w:style>
  <w:style w:type="numbering" w:customStyle="1" w:styleId="NoList11123">
    <w:name w:val="No List11123"/>
    <w:next w:val="NoList"/>
    <w:semiHidden/>
    <w:unhideWhenUsed/>
    <w:rsid w:val="005150E5"/>
  </w:style>
  <w:style w:type="numbering" w:customStyle="1" w:styleId="111121">
    <w:name w:val="Нет списка111121"/>
    <w:next w:val="NoList"/>
    <w:semiHidden/>
    <w:unhideWhenUsed/>
    <w:rsid w:val="005150E5"/>
  </w:style>
  <w:style w:type="numbering" w:customStyle="1" w:styleId="NoList912">
    <w:name w:val="No List912"/>
    <w:next w:val="NoList"/>
    <w:uiPriority w:val="99"/>
    <w:semiHidden/>
    <w:unhideWhenUsed/>
    <w:rsid w:val="005150E5"/>
  </w:style>
  <w:style w:type="table" w:customStyle="1" w:styleId="TableGrid421">
    <w:name w:val="Table Grid421"/>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012">
    <w:name w:val="No List1012"/>
    <w:next w:val="NoList"/>
    <w:uiPriority w:val="99"/>
    <w:semiHidden/>
    <w:unhideWhenUsed/>
    <w:rsid w:val="005150E5"/>
  </w:style>
  <w:style w:type="table" w:customStyle="1" w:styleId="TableGrid5120">
    <w:name w:val="Table Grid512"/>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
    <w:name w:val="Table List 7121"/>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
    <w:name w:val="Table Web 3121"/>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2">
    <w:name w:val="Table Grid 82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2">
    <w:name w:val="Table Contemporary2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2">
    <w:name w:val="No List1412"/>
    <w:next w:val="NoList"/>
    <w:semiHidden/>
    <w:unhideWhenUsed/>
    <w:rsid w:val="005150E5"/>
  </w:style>
  <w:style w:type="numbering" w:customStyle="1" w:styleId="NoList2212">
    <w:name w:val="No List2212"/>
    <w:next w:val="NoList"/>
    <w:semiHidden/>
    <w:unhideWhenUsed/>
    <w:rsid w:val="005150E5"/>
  </w:style>
  <w:style w:type="numbering" w:customStyle="1" w:styleId="NoList3212">
    <w:name w:val="No List3212"/>
    <w:next w:val="NoList"/>
    <w:semiHidden/>
    <w:unhideWhenUsed/>
    <w:rsid w:val="005150E5"/>
  </w:style>
  <w:style w:type="table" w:customStyle="1" w:styleId="LightList-Accent1212">
    <w:name w:val="Light List - Accent 12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1">
    <w:name w:val="Table Grid 7121"/>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2">
    <w:name w:val="Colorful Grid - Accent 13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2">
    <w:name w:val="Light List - Accent 53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1">
    <w:name w:val="Table Simple 3121"/>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
    <w:name w:val="Table Grid 5121"/>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
    <w:name w:val="Table Grid 3121"/>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
    <w:name w:val="Table Grid 1121"/>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
    <w:name w:val="Table Columns 5121"/>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2">
    <w:name w:val="Light List - Accent 111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2">
    <w:name w:val="Нет списка1312"/>
    <w:next w:val="NoList"/>
    <w:semiHidden/>
    <w:unhideWhenUsed/>
    <w:rsid w:val="005150E5"/>
  </w:style>
  <w:style w:type="table" w:customStyle="1" w:styleId="ColorfulGrid-Accent11112">
    <w:name w:val="Colorful Grid - Accent 11112"/>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2">
    <w:name w:val="Light List - Accent 51112"/>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2">
    <w:name w:val="No List4212"/>
    <w:next w:val="NoList"/>
    <w:semiHidden/>
    <w:rsid w:val="005150E5"/>
  </w:style>
  <w:style w:type="numbering" w:customStyle="1" w:styleId="NoList11213">
    <w:name w:val="No List11213"/>
    <w:next w:val="NoList"/>
    <w:semiHidden/>
    <w:unhideWhenUsed/>
    <w:rsid w:val="005150E5"/>
  </w:style>
  <w:style w:type="table" w:customStyle="1" w:styleId="Table3Deffects3121">
    <w:name w:val="Table 3D effects 3121"/>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2">
    <w:name w:val="Нет списка11212"/>
    <w:next w:val="NoList"/>
    <w:semiHidden/>
    <w:unhideWhenUsed/>
    <w:rsid w:val="005150E5"/>
  </w:style>
  <w:style w:type="table" w:customStyle="1" w:styleId="TableGrid11210">
    <w:name w:val="Table Grid1121"/>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2">
    <w:name w:val="No List5112"/>
    <w:next w:val="NoList"/>
    <w:uiPriority w:val="99"/>
    <w:semiHidden/>
    <w:rsid w:val="005150E5"/>
  </w:style>
  <w:style w:type="numbering" w:customStyle="1" w:styleId="NoList6111">
    <w:name w:val="No List6111"/>
    <w:next w:val="NoList"/>
    <w:uiPriority w:val="99"/>
    <w:semiHidden/>
    <w:unhideWhenUsed/>
    <w:rsid w:val="005150E5"/>
  </w:style>
  <w:style w:type="table" w:customStyle="1" w:styleId="TableGrid2112">
    <w:name w:val="Table Grid2112"/>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1">
    <w:name w:val="No List7111"/>
    <w:next w:val="NoList"/>
    <w:uiPriority w:val="99"/>
    <w:semiHidden/>
    <w:unhideWhenUsed/>
    <w:rsid w:val="005150E5"/>
  </w:style>
  <w:style w:type="numbering" w:customStyle="1" w:styleId="NoList12112">
    <w:name w:val="No List12112"/>
    <w:next w:val="NoList"/>
    <w:uiPriority w:val="99"/>
    <w:semiHidden/>
    <w:unhideWhenUsed/>
    <w:rsid w:val="005150E5"/>
  </w:style>
  <w:style w:type="table" w:customStyle="1" w:styleId="TableGrid31110">
    <w:name w:val="Table Grid3111"/>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
    <w:name w:val="Table Web 21111"/>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
    <w:name w:val="Table Web 11111"/>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
    <w:name w:val="Table Grid 81111"/>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
    <w:name w:val="Table Contemporary1111"/>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
    <w:name w:val="Colorful Grid - Accent 12111"/>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
    <w:name w:val="Light List - Accent 52111"/>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
    <w:name w:val="No List8111"/>
    <w:next w:val="NoList"/>
    <w:uiPriority w:val="99"/>
    <w:semiHidden/>
    <w:unhideWhenUsed/>
    <w:rsid w:val="005150E5"/>
  </w:style>
  <w:style w:type="numbering" w:customStyle="1" w:styleId="12111">
    <w:name w:val="Нет списка12111"/>
    <w:next w:val="NoList"/>
    <w:semiHidden/>
    <w:unhideWhenUsed/>
    <w:rsid w:val="005150E5"/>
  </w:style>
  <w:style w:type="numbering" w:customStyle="1" w:styleId="NoList13111">
    <w:name w:val="No List13111"/>
    <w:next w:val="NoList"/>
    <w:semiHidden/>
    <w:unhideWhenUsed/>
    <w:rsid w:val="005150E5"/>
  </w:style>
  <w:style w:type="numbering" w:customStyle="1" w:styleId="NoList21112">
    <w:name w:val="No List21112"/>
    <w:next w:val="NoList"/>
    <w:semiHidden/>
    <w:unhideWhenUsed/>
    <w:rsid w:val="005150E5"/>
  </w:style>
  <w:style w:type="numbering" w:customStyle="1" w:styleId="NoList31112">
    <w:name w:val="No List31112"/>
    <w:next w:val="NoList"/>
    <w:semiHidden/>
    <w:unhideWhenUsed/>
    <w:rsid w:val="005150E5"/>
  </w:style>
  <w:style w:type="numbering" w:customStyle="1" w:styleId="111211">
    <w:name w:val="Нет списка111211"/>
    <w:next w:val="NoList"/>
    <w:semiHidden/>
    <w:unhideWhenUsed/>
    <w:rsid w:val="005150E5"/>
  </w:style>
  <w:style w:type="numbering" w:customStyle="1" w:styleId="NoList41111">
    <w:name w:val="No List41111"/>
    <w:next w:val="NoList"/>
    <w:semiHidden/>
    <w:rsid w:val="005150E5"/>
  </w:style>
  <w:style w:type="numbering" w:customStyle="1" w:styleId="NoList111123">
    <w:name w:val="No List111123"/>
    <w:next w:val="NoList"/>
    <w:semiHidden/>
    <w:unhideWhenUsed/>
    <w:rsid w:val="005150E5"/>
  </w:style>
  <w:style w:type="numbering" w:customStyle="1" w:styleId="1111111">
    <w:name w:val="Нет списка1111111"/>
    <w:next w:val="NoList"/>
    <w:semiHidden/>
    <w:unhideWhenUsed/>
    <w:rsid w:val="005150E5"/>
  </w:style>
  <w:style w:type="table" w:customStyle="1" w:styleId="TableGrid612">
    <w:name w:val="Table Grid612"/>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2">
    <w:name w:val="Table Grid221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unhideWhenUsed/>
    <w:rsid w:val="005150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Table7Colorful-Accent11">
    <w:name w:val="List Table 7 Colorful - Accent 11"/>
    <w:basedOn w:val="TableNormal"/>
    <w:uiPriority w:val="52"/>
    <w:rsid w:val="001E3933"/>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7">
    <w:name w:val="No List57"/>
    <w:next w:val="NoList"/>
    <w:semiHidden/>
    <w:rsid w:val="00A00B8B"/>
  </w:style>
  <w:style w:type="paragraph" w:customStyle="1" w:styleId="DefaultParagraphFontParaChar">
    <w:name w:val="Default Paragraph Font Para Char"/>
    <w:basedOn w:val="Normal"/>
    <w:locked/>
    <w:rsid w:val="00A00B8B"/>
    <w:pPr>
      <w:spacing w:before="0" w:after="160" w:line="240" w:lineRule="auto"/>
      <w:ind w:firstLine="0"/>
      <w:contextualSpacing w:val="0"/>
      <w:jc w:val="left"/>
    </w:pPr>
    <w:rPr>
      <w:rFonts w:ascii="Verdana" w:eastAsia="Batang" w:hAnsi="Verdana" w:cs="Verdana"/>
      <w:b w:val="0"/>
      <w:sz w:val="24"/>
      <w:lang w:val="en-GB" w:eastAsia="en-US"/>
    </w:rPr>
  </w:style>
  <w:style w:type="table" w:customStyle="1" w:styleId="TableGrid300">
    <w:name w:val="Table Grid30"/>
    <w:basedOn w:val="TableNormal"/>
    <w:next w:val="TableGrid"/>
    <w:rsid w:val="00A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Ամփոփոթերթ"/>
    <w:basedOn w:val="Normal"/>
    <w:rsid w:val="00A00B8B"/>
    <w:pPr>
      <w:framePr w:wrap="around" w:vAnchor="text" w:hAnchor="text" w:y="1"/>
      <w:numPr>
        <w:numId w:val="61"/>
      </w:numPr>
      <w:spacing w:before="0" w:line="240" w:lineRule="auto"/>
      <w:contextualSpacing w:val="0"/>
      <w:jc w:val="left"/>
    </w:pPr>
    <w:rPr>
      <w:rFonts w:ascii="Sylfaen" w:hAnsi="Sylfaen" w:cs="Sylfaen"/>
      <w:b w:val="0"/>
      <w:szCs w:val="22"/>
      <w:lang w:val="en-US" w:eastAsia="en-US"/>
    </w:rPr>
  </w:style>
  <w:style w:type="paragraph" w:customStyle="1" w:styleId="GHM">
    <w:name w:val="GHM"/>
    <w:rsid w:val="00A00B8B"/>
    <w:rPr>
      <w:rFonts w:ascii="GHEA Mariam" w:hAnsi="GHEA Mariam"/>
      <w:sz w:val="24"/>
      <w:szCs w:val="24"/>
      <w:lang w:val="hy-AM"/>
    </w:rPr>
  </w:style>
  <w:style w:type="paragraph" w:customStyle="1" w:styleId="Charb">
    <w:name w:val="Char"/>
    <w:basedOn w:val="Normal"/>
    <w:locked/>
    <w:rsid w:val="00A00B8B"/>
    <w:pPr>
      <w:spacing w:before="0" w:after="160" w:line="240" w:lineRule="auto"/>
      <w:ind w:firstLine="0"/>
      <w:contextualSpacing w:val="0"/>
      <w:jc w:val="left"/>
    </w:pPr>
    <w:rPr>
      <w:rFonts w:ascii="Verdana" w:eastAsia="Batang" w:hAnsi="Verdana" w:cs="Verdana"/>
      <w:b w:val="0"/>
      <w:sz w:val="24"/>
      <w:lang w:val="en-GB"/>
    </w:rPr>
  </w:style>
  <w:style w:type="table" w:customStyle="1" w:styleId="TableGrid340">
    <w:name w:val="Table Grid34"/>
    <w:basedOn w:val="TableNormal"/>
    <w:next w:val="TableGrid"/>
    <w:uiPriority w:val="39"/>
    <w:rsid w:val="00836C0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E12E8"/>
  </w:style>
  <w:style w:type="table" w:customStyle="1" w:styleId="TableGrid350">
    <w:name w:val="Table Grid35"/>
    <w:basedOn w:val="TableNormal"/>
    <w:next w:val="TableGrid"/>
    <w:uiPriority w:val="39"/>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9">
    <w:name w:val="Table List 79"/>
    <w:basedOn w:val="TableNormal"/>
    <w:next w:val="TableList7"/>
    <w:rsid w:val="004E12E8"/>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9">
    <w:name w:val="Table Web 39"/>
    <w:basedOn w:val="TableNormal"/>
    <w:next w:val="TableWeb3"/>
    <w:rsid w:val="004E12E8"/>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9">
    <w:name w:val="Table Elegant9"/>
    <w:basedOn w:val="TableNormal"/>
    <w:next w:val="TableElegant"/>
    <w:rsid w:val="004E12E8"/>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9">
    <w:name w:val="Table Web 19"/>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9">
    <w:name w:val="Table Grid 89"/>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4">
    <w:name w:val="No List134"/>
    <w:next w:val="NoList"/>
    <w:semiHidden/>
    <w:unhideWhenUsed/>
    <w:rsid w:val="004E12E8"/>
  </w:style>
  <w:style w:type="numbering" w:customStyle="1" w:styleId="NoList218">
    <w:name w:val="No List218"/>
    <w:next w:val="NoList"/>
    <w:semiHidden/>
    <w:unhideWhenUsed/>
    <w:rsid w:val="004E12E8"/>
  </w:style>
  <w:style w:type="numbering" w:customStyle="1" w:styleId="NoList317">
    <w:name w:val="No List317"/>
    <w:next w:val="NoList"/>
    <w:semiHidden/>
    <w:unhideWhenUsed/>
    <w:rsid w:val="004E12E8"/>
  </w:style>
  <w:style w:type="table" w:customStyle="1" w:styleId="LightList-Accent128">
    <w:name w:val="Light List - Accent 128"/>
    <w:basedOn w:val="TableNormal"/>
    <w:next w:val="LightList-Accent1"/>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9">
    <w:name w:val="Table Grid 79"/>
    <w:basedOn w:val="TableNormal"/>
    <w:next w:val="TableGrid7"/>
    <w:rsid w:val="004E12E8"/>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0">
    <w:name w:val="Colorful Grid - Accent 110"/>
    <w:basedOn w:val="TableNormal"/>
    <w:next w:val="ColorfulGrid-Accent1"/>
    <w:uiPriority w:val="73"/>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9">
    <w:name w:val="Light List - Accent 519"/>
    <w:basedOn w:val="TableNormal"/>
    <w:next w:val="LightList-Accent5"/>
    <w:uiPriority w:val="61"/>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9">
    <w:name w:val="Table Simple 39"/>
    <w:basedOn w:val="TableNormal"/>
    <w:next w:val="TableSimple3"/>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9">
    <w:name w:val="Table Grid 59"/>
    <w:basedOn w:val="TableNormal"/>
    <w:next w:val="TableGrid5"/>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9">
    <w:name w:val="Table Grid 39"/>
    <w:basedOn w:val="TableNormal"/>
    <w:next w:val="TableGrid3"/>
    <w:rsid w:val="004E12E8"/>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90">
    <w:name w:val="Table Grid 19"/>
    <w:basedOn w:val="TableNormal"/>
    <w:next w:val="TableGrid10"/>
    <w:rsid w:val="004E12E8"/>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9">
    <w:name w:val="Table Columns 59"/>
    <w:basedOn w:val="TableNormal"/>
    <w:next w:val="TableColumns5"/>
    <w:rsid w:val="004E12E8"/>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5">
    <w:name w:val="Light List - Accent 1115"/>
    <w:basedOn w:val="TableNormal"/>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00">
    <w:name w:val="Нет списка110"/>
    <w:next w:val="NoList"/>
    <w:semiHidden/>
    <w:unhideWhenUsed/>
    <w:rsid w:val="004E12E8"/>
  </w:style>
  <w:style w:type="table" w:customStyle="1" w:styleId="ColorfulGrid-Accent119">
    <w:name w:val="Colorful Grid - Accent 119"/>
    <w:basedOn w:val="TableNormal"/>
    <w:rsid w:val="004E12E8"/>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0">
    <w:name w:val="Light List - Accent 5110"/>
    <w:basedOn w:val="TableNormal"/>
    <w:rsid w:val="004E12E8"/>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5">
    <w:name w:val="No List415"/>
    <w:next w:val="NoList"/>
    <w:semiHidden/>
    <w:rsid w:val="004E12E8"/>
  </w:style>
  <w:style w:type="numbering" w:customStyle="1" w:styleId="NoList1126">
    <w:name w:val="No List1126"/>
    <w:next w:val="NoList"/>
    <w:semiHidden/>
    <w:unhideWhenUsed/>
    <w:rsid w:val="004E12E8"/>
  </w:style>
  <w:style w:type="table" w:customStyle="1" w:styleId="Table3Deffects39">
    <w:name w:val="Table 3D effects 39"/>
    <w:basedOn w:val="TableNormal"/>
    <w:next w:val="Table3Deffects3"/>
    <w:rsid w:val="004E12E8"/>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
    <w:name w:val="Нет списка119"/>
    <w:next w:val="NoList"/>
    <w:semiHidden/>
    <w:unhideWhenUsed/>
    <w:rsid w:val="004E12E8"/>
  </w:style>
  <w:style w:type="table" w:customStyle="1" w:styleId="TableGrid116">
    <w:name w:val="Table Grid116"/>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rsid w:val="004E12E8"/>
  </w:style>
  <w:style w:type="numbering" w:customStyle="1" w:styleId="NoList64">
    <w:name w:val="No List64"/>
    <w:next w:val="NoList"/>
    <w:uiPriority w:val="99"/>
    <w:semiHidden/>
    <w:unhideWhenUsed/>
    <w:rsid w:val="004E12E8"/>
  </w:style>
  <w:style w:type="table" w:customStyle="1" w:styleId="TableGrid214">
    <w:name w:val="Table Grid214"/>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4E12E8"/>
  </w:style>
  <w:style w:type="numbering" w:customStyle="1" w:styleId="NoList1214">
    <w:name w:val="No List1214"/>
    <w:next w:val="NoList"/>
    <w:uiPriority w:val="99"/>
    <w:semiHidden/>
    <w:unhideWhenUsed/>
    <w:rsid w:val="004E12E8"/>
  </w:style>
  <w:style w:type="table" w:customStyle="1" w:styleId="TableGrid360">
    <w:name w:val="Table Grid36"/>
    <w:basedOn w:val="TableNormal"/>
    <w:next w:val="TableGrid"/>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4">
    <w:name w:val="No List84"/>
    <w:next w:val="NoList"/>
    <w:uiPriority w:val="99"/>
    <w:semiHidden/>
    <w:unhideWhenUsed/>
    <w:rsid w:val="004E12E8"/>
  </w:style>
  <w:style w:type="numbering" w:customStyle="1" w:styleId="1240">
    <w:name w:val="Нет списка124"/>
    <w:next w:val="NoList"/>
    <w:uiPriority w:val="99"/>
    <w:semiHidden/>
    <w:unhideWhenUsed/>
    <w:rsid w:val="004E12E8"/>
  </w:style>
  <w:style w:type="numbering" w:customStyle="1" w:styleId="NoList135">
    <w:name w:val="No List135"/>
    <w:next w:val="NoList"/>
    <w:semiHidden/>
    <w:unhideWhenUsed/>
    <w:rsid w:val="004E12E8"/>
  </w:style>
  <w:style w:type="numbering" w:customStyle="1" w:styleId="NoList219">
    <w:name w:val="No List219"/>
    <w:next w:val="NoList"/>
    <w:semiHidden/>
    <w:unhideWhenUsed/>
    <w:rsid w:val="004E12E8"/>
  </w:style>
  <w:style w:type="numbering" w:customStyle="1" w:styleId="NoList318">
    <w:name w:val="No List318"/>
    <w:next w:val="NoList"/>
    <w:semiHidden/>
    <w:unhideWhenUsed/>
    <w:rsid w:val="004E12E8"/>
  </w:style>
  <w:style w:type="numbering" w:customStyle="1" w:styleId="1114">
    <w:name w:val="Нет списка1114"/>
    <w:next w:val="NoList"/>
    <w:semiHidden/>
    <w:unhideWhenUsed/>
    <w:rsid w:val="004E12E8"/>
  </w:style>
  <w:style w:type="numbering" w:customStyle="1" w:styleId="NoList416">
    <w:name w:val="No List416"/>
    <w:next w:val="NoList"/>
    <w:semiHidden/>
    <w:rsid w:val="004E12E8"/>
  </w:style>
  <w:style w:type="numbering" w:customStyle="1" w:styleId="NoList11117">
    <w:name w:val="No List11117"/>
    <w:next w:val="NoList"/>
    <w:semiHidden/>
    <w:unhideWhenUsed/>
    <w:rsid w:val="004E12E8"/>
  </w:style>
  <w:style w:type="numbering" w:customStyle="1" w:styleId="11113">
    <w:name w:val="Нет списка11113"/>
    <w:next w:val="NoList"/>
    <w:semiHidden/>
    <w:unhideWhenUsed/>
    <w:rsid w:val="004E12E8"/>
  </w:style>
  <w:style w:type="numbering" w:customStyle="1" w:styleId="NoList94">
    <w:name w:val="No List94"/>
    <w:next w:val="NoList"/>
    <w:uiPriority w:val="99"/>
    <w:semiHidden/>
    <w:unhideWhenUsed/>
    <w:rsid w:val="004E12E8"/>
  </w:style>
  <w:style w:type="table" w:customStyle="1" w:styleId="TableGrid44">
    <w:name w:val="Table Grid44"/>
    <w:basedOn w:val="TableNormal"/>
    <w:next w:val="TableGrid"/>
    <w:uiPriority w:val="39"/>
    <w:rsid w:val="004E12E8"/>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E12E8"/>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E12E8"/>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2">
    <w:name w:val="Grid Table 4 - Accent 112"/>
    <w:basedOn w:val="TableNormal"/>
    <w:uiPriority w:val="49"/>
    <w:rsid w:val="004E12E8"/>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4">
    <w:name w:val="No List104"/>
    <w:next w:val="NoList"/>
    <w:uiPriority w:val="99"/>
    <w:semiHidden/>
    <w:unhideWhenUsed/>
    <w:rsid w:val="004E12E8"/>
  </w:style>
  <w:style w:type="table" w:customStyle="1" w:styleId="TableGrid540">
    <w:name w:val="Table Grid54"/>
    <w:basedOn w:val="TableNormal"/>
    <w:next w:val="TableGrid"/>
    <w:uiPriority w:val="39"/>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4">
    <w:name w:val="Table List 714"/>
    <w:basedOn w:val="TableNormal"/>
    <w:next w:val="TableList7"/>
    <w:rsid w:val="004E12E8"/>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4">
    <w:name w:val="Table Web 314"/>
    <w:basedOn w:val="TableNormal"/>
    <w:next w:val="TableWeb3"/>
    <w:rsid w:val="004E12E8"/>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4E12E8"/>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4">
    <w:name w:val="Table Grid 824"/>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4">
    <w:name w:val="Table Contemporary24"/>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4">
    <w:name w:val="No List144"/>
    <w:next w:val="NoList"/>
    <w:semiHidden/>
    <w:unhideWhenUsed/>
    <w:rsid w:val="004E12E8"/>
  </w:style>
  <w:style w:type="numbering" w:customStyle="1" w:styleId="NoList224">
    <w:name w:val="No List224"/>
    <w:next w:val="NoList"/>
    <w:semiHidden/>
    <w:unhideWhenUsed/>
    <w:rsid w:val="004E12E8"/>
  </w:style>
  <w:style w:type="numbering" w:customStyle="1" w:styleId="NoList324">
    <w:name w:val="No List324"/>
    <w:next w:val="NoList"/>
    <w:semiHidden/>
    <w:unhideWhenUsed/>
    <w:rsid w:val="004E12E8"/>
  </w:style>
  <w:style w:type="table" w:customStyle="1" w:styleId="LightList-Accent129">
    <w:name w:val="Light List - Accent 129"/>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4">
    <w:name w:val="Table Grid 714"/>
    <w:basedOn w:val="TableNormal"/>
    <w:next w:val="TableGrid7"/>
    <w:rsid w:val="004E12E8"/>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4">
    <w:name w:val="Colorful Grid - Accent 134"/>
    <w:basedOn w:val="TableNormal"/>
    <w:next w:val="ColorfulGrid-Accent1"/>
    <w:uiPriority w:val="73"/>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4">
    <w:name w:val="Light List - Accent 534"/>
    <w:basedOn w:val="TableNormal"/>
    <w:next w:val="LightList-Accent5"/>
    <w:uiPriority w:val="61"/>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4">
    <w:name w:val="Table Simple 314"/>
    <w:basedOn w:val="TableNormal"/>
    <w:next w:val="TableSimple3"/>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4">
    <w:name w:val="Table Grid 514"/>
    <w:basedOn w:val="TableNormal"/>
    <w:next w:val="TableGrid5"/>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4">
    <w:name w:val="Table Grid 314"/>
    <w:basedOn w:val="TableNormal"/>
    <w:next w:val="TableGrid3"/>
    <w:rsid w:val="004E12E8"/>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40">
    <w:name w:val="Table Grid 114"/>
    <w:basedOn w:val="TableNormal"/>
    <w:next w:val="TableGrid10"/>
    <w:rsid w:val="004E12E8"/>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4">
    <w:name w:val="Table Columns 514"/>
    <w:basedOn w:val="TableNormal"/>
    <w:next w:val="TableColumns5"/>
    <w:rsid w:val="004E12E8"/>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6">
    <w:name w:val="Light List - Accent 1116"/>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4">
    <w:name w:val="Нет списка134"/>
    <w:next w:val="NoList"/>
    <w:semiHidden/>
    <w:unhideWhenUsed/>
    <w:rsid w:val="004E12E8"/>
  </w:style>
  <w:style w:type="table" w:customStyle="1" w:styleId="ColorfulGrid-Accent1114">
    <w:name w:val="Colorful Grid - Accent 1114"/>
    <w:basedOn w:val="TableNormal"/>
    <w:rsid w:val="004E12E8"/>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4">
    <w:name w:val="Light List - Accent 5114"/>
    <w:basedOn w:val="TableNormal"/>
    <w:rsid w:val="004E12E8"/>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4">
    <w:name w:val="No List424"/>
    <w:next w:val="NoList"/>
    <w:semiHidden/>
    <w:rsid w:val="004E12E8"/>
  </w:style>
  <w:style w:type="numbering" w:customStyle="1" w:styleId="NoList1127">
    <w:name w:val="No List1127"/>
    <w:next w:val="NoList"/>
    <w:semiHidden/>
    <w:unhideWhenUsed/>
    <w:rsid w:val="004E12E8"/>
  </w:style>
  <w:style w:type="table" w:customStyle="1" w:styleId="Table3Deffects314">
    <w:name w:val="Table 3D effects 314"/>
    <w:basedOn w:val="TableNormal"/>
    <w:next w:val="Table3Deffects3"/>
    <w:rsid w:val="004E12E8"/>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NoList"/>
    <w:semiHidden/>
    <w:unhideWhenUsed/>
    <w:rsid w:val="004E12E8"/>
  </w:style>
  <w:style w:type="table" w:customStyle="1" w:styleId="TableGrid117">
    <w:name w:val="Table Grid117"/>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
    <w:name w:val="No List514"/>
    <w:next w:val="NoList"/>
    <w:uiPriority w:val="99"/>
    <w:semiHidden/>
    <w:rsid w:val="004E12E8"/>
  </w:style>
  <w:style w:type="numbering" w:customStyle="1" w:styleId="NoList613">
    <w:name w:val="No List613"/>
    <w:next w:val="NoList"/>
    <w:uiPriority w:val="99"/>
    <w:semiHidden/>
    <w:unhideWhenUsed/>
    <w:rsid w:val="004E12E8"/>
  </w:style>
  <w:style w:type="table" w:customStyle="1" w:styleId="TableGrid215">
    <w:name w:val="Table Grid215"/>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4E12E8"/>
  </w:style>
  <w:style w:type="numbering" w:customStyle="1" w:styleId="NoList1215">
    <w:name w:val="No List1215"/>
    <w:next w:val="NoList"/>
    <w:uiPriority w:val="99"/>
    <w:semiHidden/>
    <w:unhideWhenUsed/>
    <w:rsid w:val="004E12E8"/>
  </w:style>
  <w:style w:type="table" w:customStyle="1" w:styleId="TableGrid3130">
    <w:name w:val="Table Grid313"/>
    <w:basedOn w:val="TableNormal"/>
    <w:next w:val="TableGrid"/>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3">
    <w:name w:val="Table Web 2113"/>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3">
    <w:name w:val="Table Web 1113"/>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3">
    <w:name w:val="Table Grid 8113"/>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3">
    <w:name w:val="Table Contemporary113"/>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3">
    <w:name w:val="Colorful Grid - Accent 1213"/>
    <w:basedOn w:val="TableNormal"/>
    <w:next w:val="ColorfulGrid-Accent1"/>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3">
    <w:name w:val="Light List - Accent 5213"/>
    <w:basedOn w:val="TableNormal"/>
    <w:next w:val="LightList-Accent5"/>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3">
    <w:name w:val="No List813"/>
    <w:next w:val="NoList"/>
    <w:uiPriority w:val="99"/>
    <w:semiHidden/>
    <w:unhideWhenUsed/>
    <w:rsid w:val="004E12E8"/>
  </w:style>
  <w:style w:type="numbering" w:customStyle="1" w:styleId="1213">
    <w:name w:val="Нет списка1213"/>
    <w:next w:val="NoList"/>
    <w:uiPriority w:val="99"/>
    <w:semiHidden/>
    <w:unhideWhenUsed/>
    <w:rsid w:val="004E12E8"/>
  </w:style>
  <w:style w:type="numbering" w:customStyle="1" w:styleId="NoList1313">
    <w:name w:val="No List1313"/>
    <w:next w:val="NoList"/>
    <w:semiHidden/>
    <w:unhideWhenUsed/>
    <w:rsid w:val="004E12E8"/>
  </w:style>
  <w:style w:type="numbering" w:customStyle="1" w:styleId="NoList2114">
    <w:name w:val="No List2114"/>
    <w:next w:val="NoList"/>
    <w:semiHidden/>
    <w:unhideWhenUsed/>
    <w:rsid w:val="004E12E8"/>
  </w:style>
  <w:style w:type="numbering" w:customStyle="1" w:styleId="NoList3114">
    <w:name w:val="No List3114"/>
    <w:next w:val="NoList"/>
    <w:semiHidden/>
    <w:unhideWhenUsed/>
    <w:rsid w:val="004E12E8"/>
  </w:style>
  <w:style w:type="numbering" w:customStyle="1" w:styleId="11122">
    <w:name w:val="Нет списка11122"/>
    <w:next w:val="NoList"/>
    <w:semiHidden/>
    <w:unhideWhenUsed/>
    <w:rsid w:val="004E12E8"/>
  </w:style>
  <w:style w:type="numbering" w:customStyle="1" w:styleId="NoList4113">
    <w:name w:val="No List4113"/>
    <w:next w:val="NoList"/>
    <w:semiHidden/>
    <w:rsid w:val="004E12E8"/>
  </w:style>
  <w:style w:type="numbering" w:customStyle="1" w:styleId="NoList11118">
    <w:name w:val="No List11118"/>
    <w:next w:val="NoList"/>
    <w:semiHidden/>
    <w:unhideWhenUsed/>
    <w:rsid w:val="004E12E8"/>
  </w:style>
  <w:style w:type="numbering" w:customStyle="1" w:styleId="111112">
    <w:name w:val="Нет списка111112"/>
    <w:next w:val="NoList"/>
    <w:semiHidden/>
    <w:unhideWhenUsed/>
    <w:rsid w:val="004E12E8"/>
  </w:style>
  <w:style w:type="table" w:customStyle="1" w:styleId="TableGrid64">
    <w:name w:val="Table Grid64"/>
    <w:basedOn w:val="TableNormal"/>
    <w:next w:val="TableGrid"/>
    <w:uiPriority w:val="39"/>
    <w:rsid w:val="004E12E8"/>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E12E8"/>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4">
    <w:name w:val="Table Grid224"/>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E12E8"/>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11">
    <w:name w:val="Grid Table 1 Light - Accent 51111"/>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3">
    <w:name w:val="Table Grid22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9032E3"/>
  </w:style>
  <w:style w:type="table" w:customStyle="1" w:styleId="TableGrid370">
    <w:name w:val="Table Grid37"/>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
    <w:name w:val="Medium Grid 3 - Accent 12"/>
    <w:basedOn w:val="TableNormal"/>
    <w:next w:val="MediumGrid3-Accent1"/>
    <w:uiPriority w:val="69"/>
    <w:rsid w:val="009032E3"/>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6">
    <w:name w:val="No List136"/>
    <w:next w:val="NoList"/>
    <w:uiPriority w:val="99"/>
    <w:semiHidden/>
    <w:unhideWhenUsed/>
    <w:rsid w:val="009032E3"/>
  </w:style>
  <w:style w:type="table" w:customStyle="1" w:styleId="TableGrid118">
    <w:name w:val="Table Grid118"/>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5">
    <w:name w:val="Table List 715"/>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5">
    <w:name w:val="Table Web 315"/>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5">
    <w:name w:val="Table Elegant15"/>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5">
    <w:name w:val="Table Web 115"/>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5">
    <w:name w:val="Table Grid 815"/>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5">
    <w:name w:val="Table Contemporary15"/>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8">
    <w:name w:val="No List1128"/>
    <w:next w:val="NoList"/>
    <w:semiHidden/>
    <w:unhideWhenUsed/>
    <w:rsid w:val="009032E3"/>
  </w:style>
  <w:style w:type="numbering" w:customStyle="1" w:styleId="NoList220">
    <w:name w:val="No List220"/>
    <w:next w:val="NoList"/>
    <w:semiHidden/>
    <w:unhideWhenUsed/>
    <w:rsid w:val="009032E3"/>
  </w:style>
  <w:style w:type="numbering" w:customStyle="1" w:styleId="NoList319">
    <w:name w:val="No List319"/>
    <w:next w:val="NoList"/>
    <w:semiHidden/>
    <w:unhideWhenUsed/>
    <w:rsid w:val="009032E3"/>
  </w:style>
  <w:style w:type="table" w:customStyle="1" w:styleId="LightList-Accent1117">
    <w:name w:val="Light List - Accent 1117"/>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5">
    <w:name w:val="Table Grid 715"/>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10">
    <w:name w:val="Colorful Grid - Accent 1110"/>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5">
    <w:name w:val="Light List - Accent 511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5">
    <w:name w:val="Table Simple 315"/>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5">
    <w:name w:val="Table Grid 515"/>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5">
    <w:name w:val="Table Grid 315"/>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50">
    <w:name w:val="Table Grid 115"/>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5">
    <w:name w:val="Table Columns 515"/>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200">
    <w:name w:val="Нет списка120"/>
    <w:next w:val="NoList"/>
    <w:semiHidden/>
    <w:unhideWhenUsed/>
    <w:rsid w:val="009032E3"/>
  </w:style>
  <w:style w:type="numbering" w:customStyle="1" w:styleId="NoList417">
    <w:name w:val="No List417"/>
    <w:next w:val="NoList"/>
    <w:semiHidden/>
    <w:rsid w:val="009032E3"/>
  </w:style>
  <w:style w:type="numbering" w:customStyle="1" w:styleId="NoList11119">
    <w:name w:val="No List11119"/>
    <w:next w:val="NoList"/>
    <w:semiHidden/>
    <w:unhideWhenUsed/>
    <w:rsid w:val="009032E3"/>
  </w:style>
  <w:style w:type="table" w:customStyle="1" w:styleId="Table3Deffects315">
    <w:name w:val="Table 3D effects 315"/>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NoList"/>
    <w:semiHidden/>
    <w:unhideWhenUsed/>
    <w:rsid w:val="009032E3"/>
  </w:style>
  <w:style w:type="table" w:customStyle="1" w:styleId="TableGrid119">
    <w:name w:val="Table Grid119"/>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rsid w:val="009032E3"/>
  </w:style>
  <w:style w:type="numbering" w:customStyle="1" w:styleId="NoList65">
    <w:name w:val="No List65"/>
    <w:next w:val="NoList"/>
    <w:uiPriority w:val="99"/>
    <w:semiHidden/>
    <w:unhideWhenUsed/>
    <w:rsid w:val="009032E3"/>
  </w:style>
  <w:style w:type="table" w:customStyle="1" w:styleId="TableGrid216">
    <w:name w:val="Table Grid216"/>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9032E3"/>
  </w:style>
  <w:style w:type="numbering" w:customStyle="1" w:styleId="NoList1216">
    <w:name w:val="No List1216"/>
    <w:next w:val="NoList"/>
    <w:uiPriority w:val="99"/>
    <w:semiHidden/>
    <w:unhideWhenUsed/>
    <w:rsid w:val="009032E3"/>
  </w:style>
  <w:style w:type="table" w:customStyle="1" w:styleId="TableGrid380">
    <w:name w:val="Table Grid38"/>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5">
    <w:name w:val="Colorful Grid - Accent 125"/>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5">
    <w:name w:val="Light List - Accent 52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5">
    <w:name w:val="No List85"/>
    <w:next w:val="NoList"/>
    <w:uiPriority w:val="99"/>
    <w:semiHidden/>
    <w:unhideWhenUsed/>
    <w:rsid w:val="009032E3"/>
  </w:style>
  <w:style w:type="numbering" w:customStyle="1" w:styleId="125">
    <w:name w:val="Нет списка125"/>
    <w:next w:val="NoList"/>
    <w:uiPriority w:val="99"/>
    <w:semiHidden/>
    <w:unhideWhenUsed/>
    <w:rsid w:val="009032E3"/>
  </w:style>
  <w:style w:type="numbering" w:customStyle="1" w:styleId="NoList137">
    <w:name w:val="No List137"/>
    <w:next w:val="NoList"/>
    <w:semiHidden/>
    <w:unhideWhenUsed/>
    <w:rsid w:val="009032E3"/>
  </w:style>
  <w:style w:type="numbering" w:customStyle="1" w:styleId="NoList2110">
    <w:name w:val="No List2110"/>
    <w:next w:val="NoList"/>
    <w:semiHidden/>
    <w:unhideWhenUsed/>
    <w:rsid w:val="009032E3"/>
  </w:style>
  <w:style w:type="numbering" w:customStyle="1" w:styleId="NoList3110">
    <w:name w:val="No List3110"/>
    <w:next w:val="NoList"/>
    <w:semiHidden/>
    <w:unhideWhenUsed/>
    <w:rsid w:val="009032E3"/>
  </w:style>
  <w:style w:type="numbering" w:customStyle="1" w:styleId="1115">
    <w:name w:val="Нет списка1115"/>
    <w:next w:val="NoList"/>
    <w:semiHidden/>
    <w:unhideWhenUsed/>
    <w:rsid w:val="009032E3"/>
  </w:style>
  <w:style w:type="numbering" w:customStyle="1" w:styleId="NoList418">
    <w:name w:val="No List418"/>
    <w:next w:val="NoList"/>
    <w:semiHidden/>
    <w:rsid w:val="009032E3"/>
  </w:style>
  <w:style w:type="numbering" w:customStyle="1" w:styleId="NoList111110">
    <w:name w:val="No List111110"/>
    <w:next w:val="NoList"/>
    <w:semiHidden/>
    <w:unhideWhenUsed/>
    <w:rsid w:val="009032E3"/>
  </w:style>
  <w:style w:type="numbering" w:customStyle="1" w:styleId="11114">
    <w:name w:val="Нет списка11114"/>
    <w:next w:val="NoList"/>
    <w:semiHidden/>
    <w:unhideWhenUsed/>
    <w:rsid w:val="009032E3"/>
  </w:style>
  <w:style w:type="numbering" w:customStyle="1" w:styleId="NoList95">
    <w:name w:val="No List95"/>
    <w:next w:val="NoList"/>
    <w:uiPriority w:val="99"/>
    <w:semiHidden/>
    <w:unhideWhenUsed/>
    <w:rsid w:val="009032E3"/>
  </w:style>
  <w:style w:type="table" w:customStyle="1" w:styleId="TableGrid45">
    <w:name w:val="Table Grid45"/>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4">
    <w:name w:val="Grid Table 1 Light - Accent 514"/>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5">
    <w:name w:val="No List105"/>
    <w:next w:val="NoList"/>
    <w:uiPriority w:val="99"/>
    <w:semiHidden/>
    <w:unhideWhenUsed/>
    <w:rsid w:val="009032E3"/>
  </w:style>
  <w:style w:type="table" w:customStyle="1" w:styleId="TableGrid550">
    <w:name w:val="Table Grid55"/>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3">
    <w:name w:val="Table List 7113"/>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3">
    <w:name w:val="Table Web 3113"/>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5">
    <w:name w:val="Table Web 225"/>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5">
    <w:name w:val="Table Web 125"/>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5">
    <w:name w:val="Table Grid 825"/>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5">
    <w:name w:val="Table Contemporary25"/>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5">
    <w:name w:val="No List145"/>
    <w:next w:val="NoList"/>
    <w:semiHidden/>
    <w:unhideWhenUsed/>
    <w:rsid w:val="009032E3"/>
  </w:style>
  <w:style w:type="numbering" w:customStyle="1" w:styleId="NoList225">
    <w:name w:val="No List225"/>
    <w:next w:val="NoList"/>
    <w:semiHidden/>
    <w:unhideWhenUsed/>
    <w:rsid w:val="009032E3"/>
  </w:style>
  <w:style w:type="numbering" w:customStyle="1" w:styleId="NoList325">
    <w:name w:val="No List325"/>
    <w:next w:val="NoList"/>
    <w:semiHidden/>
    <w:unhideWhenUsed/>
    <w:rsid w:val="009032E3"/>
  </w:style>
  <w:style w:type="table" w:customStyle="1" w:styleId="LightList-Accent1210">
    <w:name w:val="Light List - Accent 1210"/>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3">
    <w:name w:val="Table Grid 7113"/>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5">
    <w:name w:val="Colorful Grid - Accent 135"/>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5">
    <w:name w:val="Light List - Accent 535"/>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3">
    <w:name w:val="Table Simple 3113"/>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3">
    <w:name w:val="Table Grid 5113"/>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3">
    <w:name w:val="Table Grid 3113"/>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30">
    <w:name w:val="Table Grid 1113"/>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3">
    <w:name w:val="Table Columns 5113"/>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8">
    <w:name w:val="Light List - Accent 1118"/>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5">
    <w:name w:val="Нет списка135"/>
    <w:next w:val="NoList"/>
    <w:semiHidden/>
    <w:unhideWhenUsed/>
    <w:rsid w:val="009032E3"/>
  </w:style>
  <w:style w:type="table" w:customStyle="1" w:styleId="ColorfulGrid-Accent1115">
    <w:name w:val="Colorful Grid - Accent 1115"/>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6">
    <w:name w:val="Light List - Accent 5116"/>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5">
    <w:name w:val="No List425"/>
    <w:next w:val="NoList"/>
    <w:semiHidden/>
    <w:rsid w:val="009032E3"/>
  </w:style>
  <w:style w:type="numbering" w:customStyle="1" w:styleId="NoList1129">
    <w:name w:val="No List1129"/>
    <w:next w:val="NoList"/>
    <w:semiHidden/>
    <w:unhideWhenUsed/>
    <w:rsid w:val="009032E3"/>
  </w:style>
  <w:style w:type="table" w:customStyle="1" w:styleId="Table3Deffects3113">
    <w:name w:val="Table 3D effects 3113"/>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5">
    <w:name w:val="Нет списка1125"/>
    <w:next w:val="NoList"/>
    <w:semiHidden/>
    <w:unhideWhenUsed/>
    <w:rsid w:val="009032E3"/>
  </w:style>
  <w:style w:type="table" w:customStyle="1" w:styleId="TableGrid1115">
    <w:name w:val="Table Grid1115"/>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rsid w:val="009032E3"/>
  </w:style>
  <w:style w:type="numbering" w:customStyle="1" w:styleId="NoList614">
    <w:name w:val="No List614"/>
    <w:next w:val="NoList"/>
    <w:uiPriority w:val="99"/>
    <w:semiHidden/>
    <w:unhideWhenUsed/>
    <w:rsid w:val="009032E3"/>
  </w:style>
  <w:style w:type="table" w:customStyle="1" w:styleId="TableGrid217">
    <w:name w:val="Table Grid217"/>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9032E3"/>
  </w:style>
  <w:style w:type="numbering" w:customStyle="1" w:styleId="NoList1217">
    <w:name w:val="No List1217"/>
    <w:next w:val="NoList"/>
    <w:uiPriority w:val="99"/>
    <w:semiHidden/>
    <w:unhideWhenUsed/>
    <w:rsid w:val="009032E3"/>
  </w:style>
  <w:style w:type="table" w:customStyle="1" w:styleId="TableGrid3140">
    <w:name w:val="Table Grid314"/>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4">
    <w:name w:val="Table Web 2114"/>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4">
    <w:name w:val="Table Web 1114"/>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4">
    <w:name w:val="Table Grid 8114"/>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4">
    <w:name w:val="Table Contemporary114"/>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4">
    <w:name w:val="Colorful Grid - Accent 1214"/>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4">
    <w:name w:val="Light List - Accent 5214"/>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4">
    <w:name w:val="No List814"/>
    <w:next w:val="NoList"/>
    <w:uiPriority w:val="99"/>
    <w:semiHidden/>
    <w:unhideWhenUsed/>
    <w:rsid w:val="009032E3"/>
  </w:style>
  <w:style w:type="numbering" w:customStyle="1" w:styleId="1214">
    <w:name w:val="Нет списка1214"/>
    <w:next w:val="NoList"/>
    <w:uiPriority w:val="99"/>
    <w:semiHidden/>
    <w:unhideWhenUsed/>
    <w:rsid w:val="009032E3"/>
  </w:style>
  <w:style w:type="numbering" w:customStyle="1" w:styleId="NoList1314">
    <w:name w:val="No List1314"/>
    <w:next w:val="NoList"/>
    <w:semiHidden/>
    <w:unhideWhenUsed/>
    <w:rsid w:val="009032E3"/>
  </w:style>
  <w:style w:type="numbering" w:customStyle="1" w:styleId="NoList2115">
    <w:name w:val="No List2115"/>
    <w:next w:val="NoList"/>
    <w:semiHidden/>
    <w:unhideWhenUsed/>
    <w:rsid w:val="009032E3"/>
  </w:style>
  <w:style w:type="numbering" w:customStyle="1" w:styleId="NoList3115">
    <w:name w:val="No List3115"/>
    <w:next w:val="NoList"/>
    <w:semiHidden/>
    <w:unhideWhenUsed/>
    <w:rsid w:val="009032E3"/>
  </w:style>
  <w:style w:type="numbering" w:customStyle="1" w:styleId="11123">
    <w:name w:val="Нет списка11123"/>
    <w:next w:val="NoList"/>
    <w:semiHidden/>
    <w:unhideWhenUsed/>
    <w:rsid w:val="009032E3"/>
  </w:style>
  <w:style w:type="numbering" w:customStyle="1" w:styleId="NoList4114">
    <w:name w:val="No List4114"/>
    <w:next w:val="NoList"/>
    <w:semiHidden/>
    <w:rsid w:val="009032E3"/>
  </w:style>
  <w:style w:type="numbering" w:customStyle="1" w:styleId="NoList111114">
    <w:name w:val="No List111114"/>
    <w:next w:val="NoList"/>
    <w:semiHidden/>
    <w:unhideWhenUsed/>
    <w:rsid w:val="009032E3"/>
  </w:style>
  <w:style w:type="numbering" w:customStyle="1" w:styleId="111113">
    <w:name w:val="Нет списка111113"/>
    <w:next w:val="NoList"/>
    <w:semiHidden/>
    <w:unhideWhenUsed/>
    <w:rsid w:val="009032E3"/>
  </w:style>
  <w:style w:type="table" w:customStyle="1" w:styleId="TableGrid65">
    <w:name w:val="Table Grid65"/>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3">
    <w:name w:val="Grid Table 1 Light - Accent 5113"/>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5">
    <w:name w:val="Table Grid22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 Grid8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3">
    <w:name w:val="Grid Table 1 Light - Accent 113"/>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10">
    <w:name w:val="Table List 710"/>
    <w:basedOn w:val="TableNormal"/>
    <w:next w:val="TableList7"/>
    <w:uiPriority w:val="99"/>
    <w:semiHidden/>
    <w:unhideWhenUsed/>
    <w:rsid w:val="009032E3"/>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0">
    <w:name w:val="Table Web 310"/>
    <w:basedOn w:val="TableNormal"/>
    <w:next w:val="TableWeb3"/>
    <w:uiPriority w:val="99"/>
    <w:semiHidden/>
    <w:unhideWhenUsed/>
    <w:rsid w:val="009032E3"/>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0">
    <w:name w:val="Table Elegant10"/>
    <w:basedOn w:val="TableNormal"/>
    <w:next w:val="TableElegant"/>
    <w:uiPriority w:val="99"/>
    <w:semiHidden/>
    <w:unhideWhenUsed/>
    <w:rsid w:val="009032E3"/>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uiPriority w:val="99"/>
    <w:semiHidden/>
    <w:unhideWhenUsed/>
    <w:rsid w:val="009032E3"/>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0">
    <w:name w:val="Table Web 110"/>
    <w:basedOn w:val="TableNormal"/>
    <w:next w:val="TableWeb1"/>
    <w:uiPriority w:val="99"/>
    <w:semiHidden/>
    <w:unhideWhenUsed/>
    <w:rsid w:val="009032E3"/>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0">
    <w:name w:val="Table Grid 810"/>
    <w:basedOn w:val="TableNormal"/>
    <w:next w:val="TableGrid8"/>
    <w:uiPriority w:val="99"/>
    <w:semiHidden/>
    <w:unhideWhenUsed/>
    <w:rsid w:val="009032E3"/>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0">
    <w:name w:val="Table Contemporary10"/>
    <w:basedOn w:val="TableNormal"/>
    <w:next w:val="TableContemporary"/>
    <w:uiPriority w:val="99"/>
    <w:semiHidden/>
    <w:unhideWhenUsed/>
    <w:rsid w:val="009032E3"/>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0">
    <w:name w:val="Light List - Accent 130"/>
    <w:basedOn w:val="TableNormal"/>
    <w:next w:val="LightList-Accent1"/>
    <w:uiPriority w:val="61"/>
    <w:semiHidden/>
    <w:unhideWhenUsed/>
    <w:rsid w:val="009032E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100">
    <w:name w:val="Table Grid 710"/>
    <w:basedOn w:val="TableNormal"/>
    <w:next w:val="TableGrid7"/>
    <w:uiPriority w:val="99"/>
    <w:semiHidden/>
    <w:unhideWhenUsed/>
    <w:rsid w:val="009032E3"/>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0">
    <w:name w:val="Colorful Grid - Accent 120"/>
    <w:basedOn w:val="TableNormal"/>
    <w:next w:val="ColorfulGrid-Accent1"/>
    <w:uiPriority w:val="73"/>
    <w:semiHidden/>
    <w:unhideWhenUsed/>
    <w:rsid w:val="009032E3"/>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20">
    <w:name w:val="Light List - Accent 520"/>
    <w:basedOn w:val="TableNormal"/>
    <w:next w:val="LightList-Accent5"/>
    <w:uiPriority w:val="61"/>
    <w:semiHidden/>
    <w:unhideWhenUsed/>
    <w:rsid w:val="009032E3"/>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10">
    <w:name w:val="Table Simple 310"/>
    <w:basedOn w:val="TableNormal"/>
    <w:next w:val="TableSimple3"/>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00">
    <w:name w:val="Table Grid 510"/>
    <w:basedOn w:val="TableNormal"/>
    <w:next w:val="TableGrid5"/>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00">
    <w:name w:val="Table Grid 310"/>
    <w:basedOn w:val="TableNormal"/>
    <w:next w:val="TableGrid3"/>
    <w:uiPriority w:val="99"/>
    <w:semiHidden/>
    <w:unhideWhenUsed/>
    <w:rsid w:val="009032E3"/>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 110"/>
    <w:basedOn w:val="TableNormal"/>
    <w:next w:val="TableGrid10"/>
    <w:uiPriority w:val="99"/>
    <w:semiHidden/>
    <w:unhideWhenUsed/>
    <w:rsid w:val="009032E3"/>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0">
    <w:name w:val="Table Columns 510"/>
    <w:basedOn w:val="TableNormal"/>
    <w:next w:val="TableColumns5"/>
    <w:uiPriority w:val="99"/>
    <w:semiHidden/>
    <w:unhideWhenUsed/>
    <w:rsid w:val="009032E3"/>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0">
    <w:name w:val="Table 3D effects 310"/>
    <w:basedOn w:val="TableNormal"/>
    <w:next w:val="Table3Deffects3"/>
    <w:uiPriority w:val="99"/>
    <w:semiHidden/>
    <w:unhideWhenUsed/>
    <w:rsid w:val="009032E3"/>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4">
    <w:name w:val="No List154"/>
    <w:next w:val="NoList"/>
    <w:uiPriority w:val="99"/>
    <w:semiHidden/>
    <w:unhideWhenUsed/>
    <w:rsid w:val="009032E3"/>
  </w:style>
  <w:style w:type="table" w:customStyle="1" w:styleId="TableGrid124">
    <w:name w:val="Table Grid124"/>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4">
    <w:name w:val="Table List 724"/>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4">
    <w:name w:val="Table Web 324"/>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4">
    <w:name w:val="Table Elegant24"/>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4">
    <w:name w:val="Table Web 234"/>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4">
    <w:name w:val="Table Web 134"/>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4">
    <w:name w:val="Table Grid 834"/>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4">
    <w:name w:val="Table Contemporary34"/>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4">
    <w:name w:val="No List164"/>
    <w:next w:val="NoList"/>
    <w:semiHidden/>
    <w:unhideWhenUsed/>
    <w:rsid w:val="009032E3"/>
  </w:style>
  <w:style w:type="numbering" w:customStyle="1" w:styleId="NoList234">
    <w:name w:val="No List234"/>
    <w:next w:val="NoList"/>
    <w:semiHidden/>
    <w:unhideWhenUsed/>
    <w:rsid w:val="009032E3"/>
  </w:style>
  <w:style w:type="numbering" w:customStyle="1" w:styleId="NoList334">
    <w:name w:val="No List334"/>
    <w:next w:val="NoList"/>
    <w:semiHidden/>
    <w:unhideWhenUsed/>
    <w:rsid w:val="009032E3"/>
  </w:style>
  <w:style w:type="table" w:customStyle="1" w:styleId="LightList-Accent134">
    <w:name w:val="Light List - Accent 134"/>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4">
    <w:name w:val="Table Grid 724"/>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4">
    <w:name w:val="Colorful Grid - Accent 144"/>
    <w:basedOn w:val="TableNormal"/>
    <w:next w:val="ColorfulGrid-Accent1"/>
    <w:uiPriority w:val="73"/>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4">
    <w:name w:val="Light List - Accent 544"/>
    <w:basedOn w:val="TableNormal"/>
    <w:next w:val="LightList-Accent5"/>
    <w:uiPriority w:val="61"/>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4">
    <w:name w:val="Table Simple 324"/>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4">
    <w:name w:val="Table Grid 524"/>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4">
    <w:name w:val="Table Grid 324"/>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40">
    <w:name w:val="Table Grid 124"/>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4">
    <w:name w:val="Table Columns 524"/>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4">
    <w:name w:val="Light List - Accent 1124"/>
    <w:basedOn w:val="TableNormal"/>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4">
    <w:name w:val="Нет списка144"/>
    <w:next w:val="NoList"/>
    <w:semiHidden/>
    <w:unhideWhenUsed/>
    <w:rsid w:val="009032E3"/>
  </w:style>
  <w:style w:type="table" w:customStyle="1" w:styleId="ColorfulGrid-Accent1124">
    <w:name w:val="Colorful Grid - Accent 1124"/>
    <w:basedOn w:val="TableNormal"/>
    <w:rsid w:val="009032E3"/>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4">
    <w:name w:val="Light List - Accent 5124"/>
    <w:basedOn w:val="TableNormal"/>
    <w:rsid w:val="009032E3"/>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4">
    <w:name w:val="No List434"/>
    <w:next w:val="NoList"/>
    <w:semiHidden/>
    <w:rsid w:val="009032E3"/>
  </w:style>
  <w:style w:type="numbering" w:customStyle="1" w:styleId="NoList1134">
    <w:name w:val="No List1134"/>
    <w:next w:val="NoList"/>
    <w:semiHidden/>
    <w:unhideWhenUsed/>
    <w:rsid w:val="009032E3"/>
  </w:style>
  <w:style w:type="table" w:customStyle="1" w:styleId="Table3Deffects324">
    <w:name w:val="Table 3D effects 324"/>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NoList"/>
    <w:semiHidden/>
    <w:unhideWhenUsed/>
    <w:rsid w:val="009032E3"/>
  </w:style>
  <w:style w:type="table" w:customStyle="1" w:styleId="TableGrid134">
    <w:name w:val="Table Grid134"/>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
    <w:name w:val="No List524"/>
    <w:next w:val="NoList"/>
    <w:uiPriority w:val="99"/>
    <w:semiHidden/>
    <w:rsid w:val="009032E3"/>
  </w:style>
  <w:style w:type="numbering" w:customStyle="1" w:styleId="NoList622">
    <w:name w:val="No List622"/>
    <w:next w:val="NoList"/>
    <w:uiPriority w:val="99"/>
    <w:semiHidden/>
    <w:unhideWhenUsed/>
    <w:rsid w:val="009032E3"/>
  </w:style>
  <w:style w:type="table" w:customStyle="1" w:styleId="TableGrid233">
    <w:name w:val="Table Grid233"/>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2">
    <w:name w:val="No List722"/>
    <w:next w:val="NoList"/>
    <w:uiPriority w:val="99"/>
    <w:semiHidden/>
    <w:unhideWhenUsed/>
    <w:rsid w:val="009032E3"/>
  </w:style>
  <w:style w:type="numbering" w:customStyle="1" w:styleId="NoList1224">
    <w:name w:val="No List1224"/>
    <w:next w:val="NoList"/>
    <w:uiPriority w:val="99"/>
    <w:semiHidden/>
    <w:unhideWhenUsed/>
    <w:rsid w:val="009032E3"/>
  </w:style>
  <w:style w:type="table" w:customStyle="1" w:styleId="TableGrid3220">
    <w:name w:val="Table Grid322"/>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2">
    <w:name w:val="Table Web 2122"/>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2">
    <w:name w:val="Table Grid 8122"/>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2">
    <w:name w:val="Table Contemporary122"/>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2">
    <w:name w:val="Colorful Grid - Accent 1222"/>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2">
    <w:name w:val="Light List - Accent 5222"/>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2">
    <w:name w:val="No List822"/>
    <w:next w:val="NoList"/>
    <w:uiPriority w:val="99"/>
    <w:semiHidden/>
    <w:unhideWhenUsed/>
    <w:rsid w:val="009032E3"/>
  </w:style>
  <w:style w:type="numbering" w:customStyle="1" w:styleId="1222">
    <w:name w:val="Нет списка1222"/>
    <w:next w:val="NoList"/>
    <w:uiPriority w:val="99"/>
    <w:semiHidden/>
    <w:unhideWhenUsed/>
    <w:rsid w:val="009032E3"/>
  </w:style>
  <w:style w:type="numbering" w:customStyle="1" w:styleId="NoList1322">
    <w:name w:val="No List1322"/>
    <w:next w:val="NoList"/>
    <w:semiHidden/>
    <w:unhideWhenUsed/>
    <w:rsid w:val="009032E3"/>
  </w:style>
  <w:style w:type="numbering" w:customStyle="1" w:styleId="NoList2124">
    <w:name w:val="No List2124"/>
    <w:next w:val="NoList"/>
    <w:semiHidden/>
    <w:unhideWhenUsed/>
    <w:rsid w:val="009032E3"/>
  </w:style>
  <w:style w:type="numbering" w:customStyle="1" w:styleId="NoList3124">
    <w:name w:val="No List3124"/>
    <w:next w:val="NoList"/>
    <w:semiHidden/>
    <w:unhideWhenUsed/>
    <w:rsid w:val="009032E3"/>
  </w:style>
  <w:style w:type="numbering" w:customStyle="1" w:styleId="11132">
    <w:name w:val="Нет списка11132"/>
    <w:next w:val="NoList"/>
    <w:semiHidden/>
    <w:unhideWhenUsed/>
    <w:rsid w:val="009032E3"/>
  </w:style>
  <w:style w:type="numbering" w:customStyle="1" w:styleId="NoList4122">
    <w:name w:val="No List4122"/>
    <w:next w:val="NoList"/>
    <w:semiHidden/>
    <w:rsid w:val="009032E3"/>
  </w:style>
  <w:style w:type="numbering" w:customStyle="1" w:styleId="NoList11124">
    <w:name w:val="No List11124"/>
    <w:next w:val="NoList"/>
    <w:semiHidden/>
    <w:unhideWhenUsed/>
    <w:rsid w:val="009032E3"/>
  </w:style>
  <w:style w:type="numbering" w:customStyle="1" w:styleId="111122">
    <w:name w:val="Нет списка111122"/>
    <w:next w:val="NoList"/>
    <w:semiHidden/>
    <w:unhideWhenUsed/>
    <w:rsid w:val="009032E3"/>
  </w:style>
  <w:style w:type="numbering" w:customStyle="1" w:styleId="NoList913">
    <w:name w:val="No List913"/>
    <w:next w:val="NoList"/>
    <w:uiPriority w:val="99"/>
    <w:semiHidden/>
    <w:unhideWhenUsed/>
    <w:rsid w:val="009032E3"/>
  </w:style>
  <w:style w:type="table" w:customStyle="1" w:styleId="TableGrid422">
    <w:name w:val="Table Grid422"/>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1">
    <w:name w:val="Grid Table 4 - Accent 1111"/>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3">
    <w:name w:val="No List1013"/>
    <w:next w:val="NoList"/>
    <w:uiPriority w:val="99"/>
    <w:semiHidden/>
    <w:unhideWhenUsed/>
    <w:rsid w:val="009032E3"/>
  </w:style>
  <w:style w:type="table" w:customStyle="1" w:styleId="TableGrid5130">
    <w:name w:val="Table Grid513"/>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2">
    <w:name w:val="Table List 7122"/>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2">
    <w:name w:val="Table Web 3122"/>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3">
    <w:name w:val="Table Web 2213"/>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3">
    <w:name w:val="Table Web 1213"/>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3">
    <w:name w:val="Table Grid 8213"/>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3">
    <w:name w:val="Table Contemporary213"/>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3">
    <w:name w:val="No List1413"/>
    <w:next w:val="NoList"/>
    <w:semiHidden/>
    <w:unhideWhenUsed/>
    <w:rsid w:val="009032E3"/>
  </w:style>
  <w:style w:type="numbering" w:customStyle="1" w:styleId="NoList2213">
    <w:name w:val="No List2213"/>
    <w:next w:val="NoList"/>
    <w:semiHidden/>
    <w:unhideWhenUsed/>
    <w:rsid w:val="009032E3"/>
  </w:style>
  <w:style w:type="numbering" w:customStyle="1" w:styleId="NoList3213">
    <w:name w:val="No List3213"/>
    <w:next w:val="NoList"/>
    <w:semiHidden/>
    <w:unhideWhenUsed/>
    <w:rsid w:val="009032E3"/>
  </w:style>
  <w:style w:type="table" w:customStyle="1" w:styleId="LightList-Accent1213">
    <w:name w:val="Light List - Accent 12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2">
    <w:name w:val="Table Grid 7122"/>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3">
    <w:name w:val="Colorful Grid - Accent 1313"/>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3">
    <w:name w:val="Light List - Accent 5313"/>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2">
    <w:name w:val="Table Simple 3122"/>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2">
    <w:name w:val="Table Grid 5122"/>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2">
    <w:name w:val="Table Grid 3122"/>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2">
    <w:name w:val="Table Grid 1122"/>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2">
    <w:name w:val="Table Columns 5122"/>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3">
    <w:name w:val="Light List - Accent 111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3">
    <w:name w:val="Нет списка1313"/>
    <w:next w:val="NoList"/>
    <w:semiHidden/>
    <w:unhideWhenUsed/>
    <w:rsid w:val="009032E3"/>
  </w:style>
  <w:style w:type="table" w:customStyle="1" w:styleId="ColorfulGrid-Accent11113">
    <w:name w:val="Colorful Grid - Accent 11113"/>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3">
    <w:name w:val="Light List - Accent 51113"/>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3">
    <w:name w:val="No List4213"/>
    <w:next w:val="NoList"/>
    <w:semiHidden/>
    <w:rsid w:val="009032E3"/>
  </w:style>
  <w:style w:type="numbering" w:customStyle="1" w:styleId="NoList11214">
    <w:name w:val="No List11214"/>
    <w:next w:val="NoList"/>
    <w:semiHidden/>
    <w:unhideWhenUsed/>
    <w:rsid w:val="009032E3"/>
  </w:style>
  <w:style w:type="table" w:customStyle="1" w:styleId="Table3Deffects3122">
    <w:name w:val="Table 3D effects 3122"/>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3">
    <w:name w:val="Нет списка11213"/>
    <w:next w:val="NoList"/>
    <w:semiHidden/>
    <w:unhideWhenUsed/>
    <w:rsid w:val="009032E3"/>
  </w:style>
  <w:style w:type="table" w:customStyle="1" w:styleId="TableGrid11220">
    <w:name w:val="Table Grid1122"/>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3">
    <w:name w:val="No List5113"/>
    <w:next w:val="NoList"/>
    <w:uiPriority w:val="99"/>
    <w:semiHidden/>
    <w:rsid w:val="009032E3"/>
  </w:style>
  <w:style w:type="numbering" w:customStyle="1" w:styleId="NoList6112">
    <w:name w:val="No List6112"/>
    <w:next w:val="NoList"/>
    <w:uiPriority w:val="99"/>
    <w:semiHidden/>
    <w:unhideWhenUsed/>
    <w:rsid w:val="009032E3"/>
  </w:style>
  <w:style w:type="table" w:customStyle="1" w:styleId="TableGrid2113">
    <w:name w:val="Table Grid2113"/>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2">
    <w:name w:val="No List7112"/>
    <w:next w:val="NoList"/>
    <w:uiPriority w:val="99"/>
    <w:semiHidden/>
    <w:unhideWhenUsed/>
    <w:rsid w:val="009032E3"/>
  </w:style>
  <w:style w:type="numbering" w:customStyle="1" w:styleId="NoList12113">
    <w:name w:val="No List12113"/>
    <w:next w:val="NoList"/>
    <w:uiPriority w:val="99"/>
    <w:semiHidden/>
    <w:unhideWhenUsed/>
    <w:rsid w:val="009032E3"/>
  </w:style>
  <w:style w:type="table" w:customStyle="1" w:styleId="TableGrid31120">
    <w:name w:val="Table Grid3112"/>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2">
    <w:name w:val="Table Web 21112"/>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2">
    <w:name w:val="Table Web 11112"/>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2">
    <w:name w:val="Table Grid 81112"/>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2">
    <w:name w:val="Table Contemporary1112"/>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2">
    <w:name w:val="Colorful Grid - Accent 12112"/>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2">
    <w:name w:val="Light List - Accent 52112"/>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2">
    <w:name w:val="No List8112"/>
    <w:next w:val="NoList"/>
    <w:uiPriority w:val="99"/>
    <w:semiHidden/>
    <w:unhideWhenUsed/>
    <w:rsid w:val="009032E3"/>
  </w:style>
  <w:style w:type="numbering" w:customStyle="1" w:styleId="12112">
    <w:name w:val="Нет списка12112"/>
    <w:next w:val="NoList"/>
    <w:uiPriority w:val="99"/>
    <w:semiHidden/>
    <w:unhideWhenUsed/>
    <w:rsid w:val="009032E3"/>
  </w:style>
  <w:style w:type="numbering" w:customStyle="1" w:styleId="NoList13112">
    <w:name w:val="No List13112"/>
    <w:next w:val="NoList"/>
    <w:semiHidden/>
    <w:unhideWhenUsed/>
    <w:rsid w:val="009032E3"/>
  </w:style>
  <w:style w:type="numbering" w:customStyle="1" w:styleId="NoList21113">
    <w:name w:val="No List21113"/>
    <w:next w:val="NoList"/>
    <w:semiHidden/>
    <w:unhideWhenUsed/>
    <w:rsid w:val="009032E3"/>
  </w:style>
  <w:style w:type="numbering" w:customStyle="1" w:styleId="NoList31113">
    <w:name w:val="No List31113"/>
    <w:next w:val="NoList"/>
    <w:semiHidden/>
    <w:unhideWhenUsed/>
    <w:rsid w:val="009032E3"/>
  </w:style>
  <w:style w:type="numbering" w:customStyle="1" w:styleId="111212">
    <w:name w:val="Нет списка111212"/>
    <w:next w:val="NoList"/>
    <w:semiHidden/>
    <w:unhideWhenUsed/>
    <w:rsid w:val="009032E3"/>
  </w:style>
  <w:style w:type="numbering" w:customStyle="1" w:styleId="NoList41112">
    <w:name w:val="No List41112"/>
    <w:next w:val="NoList"/>
    <w:semiHidden/>
    <w:rsid w:val="009032E3"/>
  </w:style>
  <w:style w:type="numbering" w:customStyle="1" w:styleId="NoList111124">
    <w:name w:val="No List111124"/>
    <w:next w:val="NoList"/>
    <w:semiHidden/>
    <w:unhideWhenUsed/>
    <w:rsid w:val="009032E3"/>
  </w:style>
  <w:style w:type="numbering" w:customStyle="1" w:styleId="1111112">
    <w:name w:val="Нет списка1111112"/>
    <w:next w:val="NoList"/>
    <w:semiHidden/>
    <w:unhideWhenUsed/>
    <w:rsid w:val="009032E3"/>
  </w:style>
  <w:style w:type="table" w:customStyle="1" w:styleId="TableGrid613">
    <w:name w:val="Table Grid613"/>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2">
    <w:name w:val="Grid Table 1 Light - Accent 51112"/>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3">
    <w:name w:val="Table Grid143"/>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73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E27F1D"/>
  </w:style>
  <w:style w:type="numbering" w:customStyle="1" w:styleId="NoList2221">
    <w:name w:val="No List2221"/>
    <w:next w:val="NoList"/>
    <w:semiHidden/>
    <w:rsid w:val="009F0A25"/>
  </w:style>
  <w:style w:type="numbering" w:customStyle="1" w:styleId="NoList3221">
    <w:name w:val="No List3221"/>
    <w:next w:val="NoList"/>
    <w:semiHidden/>
    <w:unhideWhenUsed/>
    <w:rsid w:val="009F0A25"/>
  </w:style>
  <w:style w:type="numbering" w:customStyle="1" w:styleId="NoList5121">
    <w:name w:val="No List5121"/>
    <w:next w:val="NoList"/>
    <w:uiPriority w:val="99"/>
    <w:semiHidden/>
    <w:unhideWhenUsed/>
    <w:rsid w:val="009F0A25"/>
  </w:style>
  <w:style w:type="numbering" w:customStyle="1" w:styleId="NoList12121">
    <w:name w:val="No List12121"/>
    <w:next w:val="NoList"/>
    <w:semiHidden/>
    <w:rsid w:val="009F0A25"/>
  </w:style>
  <w:style w:type="numbering" w:customStyle="1" w:styleId="NoList21121">
    <w:name w:val="No List21121"/>
    <w:next w:val="NoList"/>
    <w:semiHidden/>
    <w:rsid w:val="009F0A25"/>
  </w:style>
  <w:style w:type="numbering" w:customStyle="1" w:styleId="NoList31121">
    <w:name w:val="No List31121"/>
    <w:next w:val="NoList"/>
    <w:uiPriority w:val="99"/>
    <w:semiHidden/>
    <w:unhideWhenUsed/>
    <w:rsid w:val="009F0A25"/>
  </w:style>
  <w:style w:type="numbering" w:customStyle="1" w:styleId="NoList921">
    <w:name w:val="No List921"/>
    <w:next w:val="NoList"/>
    <w:uiPriority w:val="99"/>
    <w:semiHidden/>
    <w:unhideWhenUsed/>
    <w:rsid w:val="009F0A25"/>
  </w:style>
  <w:style w:type="numbering" w:customStyle="1" w:styleId="NoList1421">
    <w:name w:val="No List1421"/>
    <w:next w:val="NoList"/>
    <w:semiHidden/>
    <w:unhideWhenUsed/>
    <w:rsid w:val="009F0A25"/>
  </w:style>
  <w:style w:type="numbering" w:customStyle="1" w:styleId="1321">
    <w:name w:val="Нет списка1321"/>
    <w:next w:val="NoList"/>
    <w:semiHidden/>
    <w:unhideWhenUsed/>
    <w:rsid w:val="009F0A25"/>
  </w:style>
  <w:style w:type="numbering" w:customStyle="1" w:styleId="NoList4221">
    <w:name w:val="No List4221"/>
    <w:next w:val="NoList"/>
    <w:semiHidden/>
    <w:rsid w:val="009F0A25"/>
  </w:style>
  <w:style w:type="numbering" w:customStyle="1" w:styleId="11221">
    <w:name w:val="Нет списка11221"/>
    <w:next w:val="NoList"/>
    <w:semiHidden/>
    <w:unhideWhenUsed/>
    <w:rsid w:val="009F0A25"/>
  </w:style>
  <w:style w:type="numbering" w:customStyle="1" w:styleId="NoList1021">
    <w:name w:val="No List1021"/>
    <w:next w:val="NoList"/>
    <w:uiPriority w:val="99"/>
    <w:semiHidden/>
    <w:unhideWhenUsed/>
    <w:rsid w:val="009F0A25"/>
  </w:style>
  <w:style w:type="numbering" w:customStyle="1" w:styleId="NoList1811">
    <w:name w:val="No List1811"/>
    <w:next w:val="NoList"/>
    <w:uiPriority w:val="99"/>
    <w:semiHidden/>
    <w:unhideWhenUsed/>
    <w:rsid w:val="009F0A25"/>
  </w:style>
  <w:style w:type="numbering" w:customStyle="1" w:styleId="1511">
    <w:name w:val="Нет списка1511"/>
    <w:next w:val="NoList"/>
    <w:semiHidden/>
    <w:unhideWhenUsed/>
    <w:rsid w:val="009F0A25"/>
  </w:style>
  <w:style w:type="numbering" w:customStyle="1" w:styleId="NoList4411">
    <w:name w:val="No List4411"/>
    <w:next w:val="NoList"/>
    <w:semiHidden/>
    <w:rsid w:val="009F0A25"/>
  </w:style>
  <w:style w:type="numbering" w:customStyle="1" w:styleId="11411">
    <w:name w:val="Нет списка11411"/>
    <w:next w:val="NoList"/>
    <w:semiHidden/>
    <w:unhideWhenUsed/>
    <w:rsid w:val="009F0A25"/>
  </w:style>
  <w:style w:type="numbering" w:customStyle="1" w:styleId="NoList1111311">
    <w:name w:val="No List1111311"/>
    <w:next w:val="NoList"/>
    <w:semiHidden/>
    <w:rsid w:val="009F0A25"/>
  </w:style>
  <w:style w:type="numbering" w:customStyle="1" w:styleId="NoList5311">
    <w:name w:val="No List5311"/>
    <w:next w:val="NoList"/>
    <w:uiPriority w:val="99"/>
    <w:semiHidden/>
    <w:unhideWhenUsed/>
    <w:rsid w:val="009F0A25"/>
  </w:style>
  <w:style w:type="numbering" w:customStyle="1" w:styleId="NoList12311">
    <w:name w:val="No List12311"/>
    <w:next w:val="NoList"/>
    <w:semiHidden/>
    <w:rsid w:val="009F0A25"/>
  </w:style>
  <w:style w:type="numbering" w:customStyle="1" w:styleId="NoList21311">
    <w:name w:val="No List21311"/>
    <w:next w:val="NoList"/>
    <w:semiHidden/>
    <w:rsid w:val="009F0A25"/>
  </w:style>
  <w:style w:type="numbering" w:customStyle="1" w:styleId="NoList31311">
    <w:name w:val="No List31311"/>
    <w:next w:val="NoList"/>
    <w:uiPriority w:val="99"/>
    <w:semiHidden/>
    <w:unhideWhenUsed/>
    <w:rsid w:val="009F0A25"/>
  </w:style>
  <w:style w:type="numbering" w:customStyle="1" w:styleId="NoList113111">
    <w:name w:val="No List113111"/>
    <w:next w:val="NoList"/>
    <w:semiHidden/>
    <w:rsid w:val="009F0A25"/>
  </w:style>
  <w:style w:type="numbering" w:customStyle="1" w:styleId="NoList1112111">
    <w:name w:val="No List1112111"/>
    <w:next w:val="NoList"/>
    <w:semiHidden/>
    <w:rsid w:val="009F0A25"/>
  </w:style>
  <w:style w:type="numbering" w:customStyle="1" w:styleId="NoList22111">
    <w:name w:val="No List22111"/>
    <w:next w:val="NoList"/>
    <w:semiHidden/>
    <w:rsid w:val="009F0A25"/>
  </w:style>
  <w:style w:type="numbering" w:customStyle="1" w:styleId="NoList32111">
    <w:name w:val="No List32111"/>
    <w:next w:val="NoList"/>
    <w:semiHidden/>
    <w:unhideWhenUsed/>
    <w:rsid w:val="009F0A25"/>
  </w:style>
  <w:style w:type="numbering" w:customStyle="1" w:styleId="NoList51111">
    <w:name w:val="No List51111"/>
    <w:next w:val="NoList"/>
    <w:uiPriority w:val="99"/>
    <w:semiHidden/>
    <w:unhideWhenUsed/>
    <w:rsid w:val="009F0A25"/>
  </w:style>
  <w:style w:type="numbering" w:customStyle="1" w:styleId="NoList121111">
    <w:name w:val="No List121111"/>
    <w:next w:val="NoList"/>
    <w:semiHidden/>
    <w:rsid w:val="009F0A25"/>
  </w:style>
  <w:style w:type="numbering" w:customStyle="1" w:styleId="NoList1121111">
    <w:name w:val="No List1121111"/>
    <w:next w:val="NoList"/>
    <w:semiHidden/>
    <w:rsid w:val="009F0A25"/>
  </w:style>
  <w:style w:type="numbering" w:customStyle="1" w:styleId="NoList1111111111">
    <w:name w:val="No List1111111111"/>
    <w:next w:val="NoList"/>
    <w:semiHidden/>
    <w:rsid w:val="009F0A25"/>
  </w:style>
  <w:style w:type="numbering" w:customStyle="1" w:styleId="NoList211111">
    <w:name w:val="No List211111"/>
    <w:next w:val="NoList"/>
    <w:semiHidden/>
    <w:rsid w:val="009F0A25"/>
  </w:style>
  <w:style w:type="numbering" w:customStyle="1" w:styleId="NoList311111">
    <w:name w:val="No List311111"/>
    <w:next w:val="NoList"/>
    <w:uiPriority w:val="99"/>
    <w:semiHidden/>
    <w:unhideWhenUsed/>
    <w:rsid w:val="009F0A25"/>
  </w:style>
  <w:style w:type="numbering" w:customStyle="1" w:styleId="NoList9111">
    <w:name w:val="No List9111"/>
    <w:next w:val="NoList"/>
    <w:uiPriority w:val="99"/>
    <w:semiHidden/>
    <w:unhideWhenUsed/>
    <w:rsid w:val="009F0A25"/>
  </w:style>
  <w:style w:type="numbering" w:customStyle="1" w:styleId="NoList14111">
    <w:name w:val="No List14111"/>
    <w:next w:val="NoList"/>
    <w:semiHidden/>
    <w:unhideWhenUsed/>
    <w:rsid w:val="009F0A25"/>
  </w:style>
  <w:style w:type="numbering" w:customStyle="1" w:styleId="NoList23111">
    <w:name w:val="No List23111"/>
    <w:next w:val="NoList"/>
    <w:semiHidden/>
    <w:unhideWhenUsed/>
    <w:rsid w:val="009F0A25"/>
  </w:style>
  <w:style w:type="numbering" w:customStyle="1" w:styleId="NoList33111">
    <w:name w:val="No List33111"/>
    <w:next w:val="NoList"/>
    <w:semiHidden/>
    <w:unhideWhenUsed/>
    <w:rsid w:val="009F0A25"/>
  </w:style>
  <w:style w:type="numbering" w:customStyle="1" w:styleId="13111">
    <w:name w:val="Нет списка13111"/>
    <w:next w:val="NoList"/>
    <w:semiHidden/>
    <w:unhideWhenUsed/>
    <w:rsid w:val="009F0A25"/>
  </w:style>
  <w:style w:type="numbering" w:customStyle="1" w:styleId="NoList42111">
    <w:name w:val="No List42111"/>
    <w:next w:val="NoList"/>
    <w:semiHidden/>
    <w:rsid w:val="009F0A25"/>
  </w:style>
  <w:style w:type="numbering" w:customStyle="1" w:styleId="NoList114111">
    <w:name w:val="No List114111"/>
    <w:next w:val="NoList"/>
    <w:semiHidden/>
    <w:unhideWhenUsed/>
    <w:rsid w:val="009F0A25"/>
  </w:style>
  <w:style w:type="numbering" w:customStyle="1" w:styleId="112111">
    <w:name w:val="Нет списка112111"/>
    <w:next w:val="NoList"/>
    <w:semiHidden/>
    <w:unhideWhenUsed/>
    <w:rsid w:val="009F0A25"/>
  </w:style>
  <w:style w:type="numbering" w:customStyle="1" w:styleId="NoList10111">
    <w:name w:val="No List10111"/>
    <w:next w:val="NoList"/>
    <w:uiPriority w:val="99"/>
    <w:semiHidden/>
    <w:unhideWhenUsed/>
    <w:rsid w:val="009F0A25"/>
  </w:style>
  <w:style w:type="numbering" w:customStyle="1" w:styleId="NoList15111">
    <w:name w:val="No List15111"/>
    <w:next w:val="NoList"/>
    <w:semiHidden/>
    <w:unhideWhenUsed/>
    <w:rsid w:val="009F0A25"/>
  </w:style>
  <w:style w:type="numbering" w:customStyle="1" w:styleId="NoList1113111">
    <w:name w:val="No List1113111"/>
    <w:next w:val="NoList"/>
    <w:semiHidden/>
    <w:rsid w:val="009F0A25"/>
  </w:style>
  <w:style w:type="numbering" w:customStyle="1" w:styleId="NoList24111">
    <w:name w:val="No List24111"/>
    <w:next w:val="NoList"/>
    <w:semiHidden/>
    <w:rsid w:val="009F0A25"/>
  </w:style>
  <w:style w:type="numbering" w:customStyle="1" w:styleId="NoList34111">
    <w:name w:val="No List34111"/>
    <w:next w:val="NoList"/>
    <w:semiHidden/>
    <w:unhideWhenUsed/>
    <w:rsid w:val="009F0A25"/>
  </w:style>
  <w:style w:type="numbering" w:customStyle="1" w:styleId="14111">
    <w:name w:val="Нет списка14111"/>
    <w:next w:val="NoList"/>
    <w:semiHidden/>
    <w:unhideWhenUsed/>
    <w:rsid w:val="009F0A25"/>
  </w:style>
  <w:style w:type="numbering" w:customStyle="1" w:styleId="NoList43111">
    <w:name w:val="No List43111"/>
    <w:next w:val="NoList"/>
    <w:semiHidden/>
    <w:rsid w:val="009F0A25"/>
  </w:style>
  <w:style w:type="numbering" w:customStyle="1" w:styleId="113111">
    <w:name w:val="Нет списка113111"/>
    <w:next w:val="NoList"/>
    <w:semiHidden/>
    <w:unhideWhenUsed/>
    <w:rsid w:val="009F0A25"/>
  </w:style>
  <w:style w:type="numbering" w:customStyle="1" w:styleId="NoList52111">
    <w:name w:val="No List52111"/>
    <w:next w:val="NoList"/>
    <w:uiPriority w:val="99"/>
    <w:semiHidden/>
    <w:unhideWhenUsed/>
    <w:rsid w:val="009F0A25"/>
  </w:style>
  <w:style w:type="numbering" w:customStyle="1" w:styleId="NoList122111">
    <w:name w:val="No List122111"/>
    <w:next w:val="NoList"/>
    <w:semiHidden/>
    <w:rsid w:val="009F0A25"/>
  </w:style>
  <w:style w:type="numbering" w:customStyle="1" w:styleId="NoList1122111">
    <w:name w:val="No List1122111"/>
    <w:next w:val="NoList"/>
    <w:semiHidden/>
    <w:rsid w:val="009F0A25"/>
  </w:style>
  <w:style w:type="numbering" w:customStyle="1" w:styleId="NoList11112111">
    <w:name w:val="No List11112111"/>
    <w:next w:val="NoList"/>
    <w:semiHidden/>
    <w:rsid w:val="009F0A25"/>
  </w:style>
  <w:style w:type="numbering" w:customStyle="1" w:styleId="NoList212111">
    <w:name w:val="No List212111"/>
    <w:next w:val="NoList"/>
    <w:semiHidden/>
    <w:rsid w:val="009F0A25"/>
  </w:style>
  <w:style w:type="numbering" w:customStyle="1" w:styleId="NoList312111">
    <w:name w:val="No List312111"/>
    <w:next w:val="NoList"/>
    <w:uiPriority w:val="99"/>
    <w:semiHidden/>
    <w:unhideWhenUsed/>
    <w:rsid w:val="009F0A25"/>
  </w:style>
  <w:style w:type="numbering" w:customStyle="1" w:styleId="NoList16111">
    <w:name w:val="No List16111"/>
    <w:next w:val="NoList"/>
    <w:uiPriority w:val="99"/>
    <w:semiHidden/>
    <w:unhideWhenUsed/>
    <w:rsid w:val="009F0A25"/>
  </w:style>
  <w:style w:type="numbering" w:customStyle="1" w:styleId="NoList17111">
    <w:name w:val="No List17111"/>
    <w:next w:val="NoList"/>
    <w:uiPriority w:val="99"/>
    <w:semiHidden/>
    <w:unhideWhenUsed/>
    <w:rsid w:val="009F0A25"/>
  </w:style>
  <w:style w:type="table" w:customStyle="1" w:styleId="LightList-Accent12211">
    <w:name w:val="Light List - Accent 12211"/>
    <w:basedOn w:val="TableNormal"/>
    <w:next w:val="LightList-Accent1"/>
    <w:uiPriority w:val="61"/>
    <w:rsid w:val="009F0A25"/>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1">
    <w:name w:val="Medium List 2 - Accent 111"/>
    <w:basedOn w:val="TableNormal"/>
    <w:next w:val="MediumList2-Accent1"/>
    <w:uiPriority w:val="66"/>
    <w:rsid w:val="009F0A25"/>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3-Accent611">
    <w:name w:val="Medium Grid 3 - Accent 611"/>
    <w:basedOn w:val="TableNormal"/>
    <w:next w:val="MediumGrid3-Accent6"/>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511">
    <w:name w:val="Medium List 1 - Accent 511"/>
    <w:basedOn w:val="TableNormal"/>
    <w:next w:val="MediumList1-Accent5"/>
    <w:uiPriority w:val="65"/>
    <w:rsid w:val="009F0A25"/>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Accent311">
    <w:name w:val="Light List - Accent 311"/>
    <w:basedOn w:val="TableNormal"/>
    <w:next w:val="LightList-Accent3"/>
    <w:uiPriority w:val="61"/>
    <w:rsid w:val="009F0A2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
    <w:name w:val="Medium List 2 - Accent 311"/>
    <w:basedOn w:val="TableNormal"/>
    <w:next w:val="MediumList2-Accent3"/>
    <w:uiPriority w:val="66"/>
    <w:rsid w:val="009F0A25"/>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0A25"/>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eList7131">
    <w:name w:val="Table List 7131"/>
    <w:basedOn w:val="TableNormal"/>
    <w:next w:val="TableList7"/>
    <w:rsid w:val="009F0A2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1">
    <w:name w:val="Table Web 3131"/>
    <w:basedOn w:val="TableNormal"/>
    <w:next w:val="TableWeb3"/>
    <w:rsid w:val="009F0A2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1">
    <w:name w:val="Table Elegant131"/>
    <w:basedOn w:val="TableNormal"/>
    <w:next w:val="TableElegant"/>
    <w:rsid w:val="009F0A2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1">
    <w:name w:val="Table Web 213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1">
    <w:name w:val="Table Web 113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1">
    <w:name w:val="Table Grid 813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1">
    <w:name w:val="Table Contemporary13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7131">
    <w:name w:val="Table Grid 7131"/>
    <w:basedOn w:val="TableNormal"/>
    <w:next w:val="TableGrid7"/>
    <w:rsid w:val="009F0A2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31">
    <w:name w:val="Table Simple 3131"/>
    <w:basedOn w:val="TableNormal"/>
    <w:next w:val="TableSimple3"/>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1">
    <w:name w:val="Table Grid 5131"/>
    <w:basedOn w:val="TableNormal"/>
    <w:next w:val="TableGrid5"/>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1">
    <w:name w:val="Table Grid 3131"/>
    <w:basedOn w:val="TableNormal"/>
    <w:next w:val="TableGrid3"/>
    <w:rsid w:val="009F0A2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1">
    <w:name w:val="Table Grid 1131"/>
    <w:basedOn w:val="TableNormal"/>
    <w:next w:val="TableGrid10"/>
    <w:rsid w:val="009F0A2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1">
    <w:name w:val="Table Columns 5131"/>
    <w:basedOn w:val="TableNormal"/>
    <w:next w:val="TableColumns5"/>
    <w:rsid w:val="009F0A2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4131">
    <w:name w:val="No List4131"/>
    <w:next w:val="NoList"/>
    <w:semiHidden/>
    <w:rsid w:val="009F0A25"/>
  </w:style>
  <w:style w:type="table" w:customStyle="1" w:styleId="Table3Deffects3131">
    <w:name w:val="Table 3D effects 3131"/>
    <w:basedOn w:val="TableNormal"/>
    <w:next w:val="Table3Deffects3"/>
    <w:rsid w:val="009F0A2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31">
    <w:name w:val="No List631"/>
    <w:next w:val="NoList"/>
    <w:uiPriority w:val="99"/>
    <w:semiHidden/>
    <w:unhideWhenUsed/>
    <w:rsid w:val="009F0A25"/>
  </w:style>
  <w:style w:type="numbering" w:customStyle="1" w:styleId="NoList731">
    <w:name w:val="No List731"/>
    <w:next w:val="NoList"/>
    <w:uiPriority w:val="99"/>
    <w:semiHidden/>
    <w:unhideWhenUsed/>
    <w:rsid w:val="009F0A25"/>
  </w:style>
  <w:style w:type="table" w:customStyle="1" w:styleId="TableGrid3310">
    <w:name w:val="Table Grid33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1">
    <w:name w:val="Colorful Grid - Accent 123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1">
    <w:name w:val="Light List - Accent 523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1">
    <w:name w:val="No List831"/>
    <w:next w:val="NoList"/>
    <w:uiPriority w:val="99"/>
    <w:semiHidden/>
    <w:unhideWhenUsed/>
    <w:rsid w:val="009F0A25"/>
  </w:style>
  <w:style w:type="numbering" w:customStyle="1" w:styleId="1231">
    <w:name w:val="Нет списка1231"/>
    <w:next w:val="NoList"/>
    <w:uiPriority w:val="99"/>
    <w:semiHidden/>
    <w:unhideWhenUsed/>
    <w:rsid w:val="009F0A25"/>
  </w:style>
  <w:style w:type="numbering" w:customStyle="1" w:styleId="NoList1331">
    <w:name w:val="No List1331"/>
    <w:next w:val="NoList"/>
    <w:semiHidden/>
    <w:unhideWhenUsed/>
    <w:rsid w:val="009F0A25"/>
  </w:style>
  <w:style w:type="table" w:customStyle="1" w:styleId="TableGrid431">
    <w:name w:val="Table Grid43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F0A25"/>
  </w:style>
  <w:style w:type="numbering" w:customStyle="1" w:styleId="NoList7121">
    <w:name w:val="No List7121"/>
    <w:next w:val="NoList"/>
    <w:uiPriority w:val="99"/>
    <w:semiHidden/>
    <w:unhideWhenUsed/>
    <w:rsid w:val="009F0A25"/>
  </w:style>
  <w:style w:type="table" w:customStyle="1" w:styleId="TableGrid31210">
    <w:name w:val="Table Grid312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1">
    <w:name w:val="Table Web 2112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1">
    <w:name w:val="Table Web 1112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1">
    <w:name w:val="Table Grid 8112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1">
    <w:name w:val="Table Contemporary112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1">
    <w:name w:val="Colorful Grid - Accent 1212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1">
    <w:name w:val="Light List - Accent 5212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1">
    <w:name w:val="No List8121"/>
    <w:next w:val="NoList"/>
    <w:uiPriority w:val="99"/>
    <w:semiHidden/>
    <w:unhideWhenUsed/>
    <w:rsid w:val="009F0A25"/>
  </w:style>
  <w:style w:type="numbering" w:customStyle="1" w:styleId="12121">
    <w:name w:val="Нет списка12121"/>
    <w:next w:val="NoList"/>
    <w:uiPriority w:val="99"/>
    <w:semiHidden/>
    <w:unhideWhenUsed/>
    <w:rsid w:val="009F0A25"/>
  </w:style>
  <w:style w:type="numbering" w:customStyle="1" w:styleId="NoList13121">
    <w:name w:val="No List13121"/>
    <w:next w:val="NoList"/>
    <w:semiHidden/>
    <w:unhideWhenUsed/>
    <w:rsid w:val="009F0A25"/>
  </w:style>
  <w:style w:type="numbering" w:customStyle="1" w:styleId="NoList41121">
    <w:name w:val="No List41121"/>
    <w:next w:val="NoList"/>
    <w:semiHidden/>
    <w:rsid w:val="009F0A25"/>
  </w:style>
  <w:style w:type="table" w:customStyle="1" w:styleId="TableGrid4121">
    <w:name w:val="Table Grid41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 Grid8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9F0A25"/>
  </w:style>
  <w:style w:type="numbering" w:customStyle="1" w:styleId="NoList7211">
    <w:name w:val="No List7211"/>
    <w:next w:val="NoList"/>
    <w:uiPriority w:val="99"/>
    <w:semiHidden/>
    <w:unhideWhenUsed/>
    <w:rsid w:val="009F0A25"/>
  </w:style>
  <w:style w:type="table" w:customStyle="1" w:styleId="TableGrid32110">
    <w:name w:val="Table Grid321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1">
    <w:name w:val="Table Web 2121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1">
    <w:name w:val="Table Web 1121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1">
    <w:name w:val="Table Grid 8121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1">
    <w:name w:val="Table Contemporary121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1">
    <w:name w:val="Colorful Grid - Accent 1221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1">
    <w:name w:val="Light List - Accent 5221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1">
    <w:name w:val="No List8211"/>
    <w:next w:val="NoList"/>
    <w:uiPriority w:val="99"/>
    <w:semiHidden/>
    <w:unhideWhenUsed/>
    <w:rsid w:val="009F0A25"/>
  </w:style>
  <w:style w:type="numbering" w:customStyle="1" w:styleId="12211">
    <w:name w:val="Нет списка12211"/>
    <w:next w:val="NoList"/>
    <w:uiPriority w:val="99"/>
    <w:semiHidden/>
    <w:unhideWhenUsed/>
    <w:rsid w:val="009F0A25"/>
  </w:style>
  <w:style w:type="numbering" w:customStyle="1" w:styleId="NoList13211">
    <w:name w:val="No List13211"/>
    <w:next w:val="NoList"/>
    <w:semiHidden/>
    <w:unhideWhenUsed/>
    <w:rsid w:val="009F0A25"/>
  </w:style>
  <w:style w:type="numbering" w:customStyle="1" w:styleId="111311">
    <w:name w:val="Нет списка111311"/>
    <w:next w:val="NoList"/>
    <w:semiHidden/>
    <w:unhideWhenUsed/>
    <w:rsid w:val="009F0A25"/>
  </w:style>
  <w:style w:type="numbering" w:customStyle="1" w:styleId="NoList41211">
    <w:name w:val="No List41211"/>
    <w:next w:val="NoList"/>
    <w:semiHidden/>
    <w:rsid w:val="009F0A25"/>
  </w:style>
  <w:style w:type="numbering" w:customStyle="1" w:styleId="1111211">
    <w:name w:val="Нет списка1111211"/>
    <w:next w:val="NoList"/>
    <w:semiHidden/>
    <w:unhideWhenUsed/>
    <w:rsid w:val="009F0A25"/>
  </w:style>
  <w:style w:type="table" w:customStyle="1" w:styleId="TableGrid4211">
    <w:name w:val="Table Grid421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1">
    <w:name w:val="Table List 71211"/>
    <w:basedOn w:val="TableNormal"/>
    <w:next w:val="TableList7"/>
    <w:rsid w:val="009F0A2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1">
    <w:name w:val="Table Web 31211"/>
    <w:basedOn w:val="TableNormal"/>
    <w:next w:val="TableWeb3"/>
    <w:rsid w:val="009F0A2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1">
    <w:name w:val="Table Elegant1211"/>
    <w:basedOn w:val="TableNormal"/>
    <w:next w:val="TableElegant"/>
    <w:rsid w:val="009F0A2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211">
    <w:name w:val="Table Grid 71211"/>
    <w:basedOn w:val="TableNormal"/>
    <w:next w:val="TableGrid7"/>
    <w:rsid w:val="009F0A2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211">
    <w:name w:val="Table Simple 31211"/>
    <w:basedOn w:val="TableNormal"/>
    <w:next w:val="TableSimple3"/>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1">
    <w:name w:val="Table Grid 51211"/>
    <w:basedOn w:val="TableNormal"/>
    <w:next w:val="TableGrid5"/>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1">
    <w:name w:val="Table Grid 31211"/>
    <w:basedOn w:val="TableNormal"/>
    <w:next w:val="TableGrid3"/>
    <w:rsid w:val="009F0A2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1">
    <w:name w:val="Table Grid 11211"/>
    <w:basedOn w:val="TableNormal"/>
    <w:next w:val="TableGrid10"/>
    <w:rsid w:val="009F0A2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1">
    <w:name w:val="Table Columns 51211"/>
    <w:basedOn w:val="TableNormal"/>
    <w:next w:val="TableColumns5"/>
    <w:rsid w:val="009F0A2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211">
    <w:name w:val="Table 3D effects 31211"/>
    <w:basedOn w:val="TableNormal"/>
    <w:next w:val="Table3Deffects3"/>
    <w:rsid w:val="009F0A2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110">
    <w:name w:val="Table Grid11211"/>
    <w:basedOn w:val="TableNormal"/>
    <w:next w:val="TableGrid"/>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9F0A25"/>
  </w:style>
  <w:style w:type="numbering" w:customStyle="1" w:styleId="NoList71111">
    <w:name w:val="No List71111"/>
    <w:next w:val="NoList"/>
    <w:uiPriority w:val="99"/>
    <w:semiHidden/>
    <w:unhideWhenUsed/>
    <w:rsid w:val="009F0A25"/>
  </w:style>
  <w:style w:type="table" w:customStyle="1" w:styleId="TableGrid31111">
    <w:name w:val="Table Grid3111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1">
    <w:name w:val="Table Web 21111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1">
    <w:name w:val="Table Web 11111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1">
    <w:name w:val="Table Grid 81111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1">
    <w:name w:val="Table Contemporary1111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1">
    <w:name w:val="Colorful Grid - Accent 12111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1">
    <w:name w:val="Light List - Accent 52111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1">
    <w:name w:val="No List81111"/>
    <w:next w:val="NoList"/>
    <w:uiPriority w:val="99"/>
    <w:semiHidden/>
    <w:unhideWhenUsed/>
    <w:rsid w:val="009F0A25"/>
  </w:style>
  <w:style w:type="numbering" w:customStyle="1" w:styleId="121111">
    <w:name w:val="Нет списка121111"/>
    <w:next w:val="NoList"/>
    <w:uiPriority w:val="99"/>
    <w:semiHidden/>
    <w:unhideWhenUsed/>
    <w:rsid w:val="009F0A25"/>
  </w:style>
  <w:style w:type="numbering" w:customStyle="1" w:styleId="NoList131111">
    <w:name w:val="No List131111"/>
    <w:next w:val="NoList"/>
    <w:semiHidden/>
    <w:unhideWhenUsed/>
    <w:rsid w:val="009F0A25"/>
  </w:style>
  <w:style w:type="numbering" w:customStyle="1" w:styleId="1112111">
    <w:name w:val="Нет списка1112111"/>
    <w:next w:val="NoList"/>
    <w:semiHidden/>
    <w:unhideWhenUsed/>
    <w:rsid w:val="009F0A25"/>
  </w:style>
  <w:style w:type="numbering" w:customStyle="1" w:styleId="NoList411111">
    <w:name w:val="No List411111"/>
    <w:next w:val="NoList"/>
    <w:semiHidden/>
    <w:rsid w:val="009F0A25"/>
  </w:style>
  <w:style w:type="numbering" w:customStyle="1" w:styleId="11111111">
    <w:name w:val="Нет списка11111111"/>
    <w:next w:val="NoList"/>
    <w:semiHidden/>
    <w:unhideWhenUsed/>
    <w:rsid w:val="009F0A25"/>
  </w:style>
  <w:style w:type="table" w:customStyle="1" w:styleId="TableGrid41111">
    <w:name w:val="Table Grid4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8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NoList"/>
    <w:semiHidden/>
    <w:unhideWhenUsed/>
    <w:rsid w:val="009F0A25"/>
  </w:style>
  <w:style w:type="numbering" w:customStyle="1" w:styleId="111131">
    <w:name w:val="Нет списка111131"/>
    <w:next w:val="NoList"/>
    <w:semiHidden/>
    <w:unhideWhenUsed/>
    <w:rsid w:val="009F0A25"/>
  </w:style>
  <w:style w:type="table" w:customStyle="1" w:styleId="GridTable4-Accent1121">
    <w:name w:val="Grid Table 4 - Accent 1121"/>
    <w:basedOn w:val="TableNormal"/>
    <w:uiPriority w:val="49"/>
    <w:rsid w:val="009F0A2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221">
    <w:name w:val="Нет списка111221"/>
    <w:next w:val="NoList"/>
    <w:semiHidden/>
    <w:unhideWhenUsed/>
    <w:rsid w:val="009F0A25"/>
  </w:style>
  <w:style w:type="numbering" w:customStyle="1" w:styleId="1111121">
    <w:name w:val="Нет списка1111121"/>
    <w:next w:val="NoList"/>
    <w:semiHidden/>
    <w:unhideWhenUsed/>
    <w:rsid w:val="009F0A25"/>
  </w:style>
  <w:style w:type="table" w:customStyle="1" w:styleId="TableGrid11141">
    <w:name w:val="Table Grid111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1">
    <w:name w:val="Grid Table 1 Light - Accent 1121"/>
    <w:basedOn w:val="TableNormal"/>
    <w:uiPriority w:val="46"/>
    <w:rsid w:val="009F0A25"/>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Grid3-Accent121">
    <w:name w:val="Medium Grid 3 - Accent 121"/>
    <w:basedOn w:val="TableNormal"/>
    <w:next w:val="MediumGrid3-Accent1"/>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1431">
    <w:name w:val="Table Grid14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73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1">
    <w:name w:val="Grid Table 1 Light - Accent 51211"/>
    <w:basedOn w:val="TableNormal"/>
    <w:uiPriority w:val="46"/>
    <w:rsid w:val="009F0A2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41">
    <w:name w:val="Table Grid124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21">
    <w:name w:val="Table Grid11131121"/>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1">
    <w:name w:val="Table Grid142121"/>
    <w:basedOn w:val="TableNormal"/>
    <w:next w:val="TableGrid"/>
    <w:uiPriority w:val="39"/>
    <w:rsid w:val="00005BEA"/>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2">
    <w:name w:val="Table Grid11131122"/>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13533215">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545262789">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16927086">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37840740">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0793711">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3545497">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38272255">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402023537">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82695752">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582518203">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29835609">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1990860506">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27769506">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image" Target="media/image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image" Target="media/image2.emf"/><Relationship Id="rId8" Type="http://schemas.openxmlformats.org/officeDocument/2006/relationships/chart" Target="charts/chart1.xml"/><Relationship Id="rId51" Type="http://schemas.openxmlformats.org/officeDocument/2006/relationships/chart" Target="charts/chart4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www.cba.am/AM/pperiodicals/Stability%20report_I_20.pdf" TargetMode="External"/><Relationship Id="rId1" Type="http://schemas.openxmlformats.org/officeDocument/2006/relationships/hyperlink" Target="https://www.imf.org/en/Publications/FM/Issues/2020/09/30/october-2020-fiscal-monitor"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1.png"/><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HP\Downloads\FanChart_Budget_2021_04.11.2020_4%20(1).xlsx" TargetMode="External"/><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3276495610462564"/>
          <c:h val="0.67818924149632864"/>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#,##0.0;"–"#,##0.0</c:formatCode>
                <c:ptCount val="5"/>
                <c:pt idx="0">
                  <c:v>1.794</c:v>
                </c:pt>
                <c:pt idx="1">
                  <c:v>2.5</c:v>
                </c:pt>
                <c:pt idx="2">
                  <c:v>1.3</c:v>
                </c:pt>
                <c:pt idx="3">
                  <c:v>-4.1059999999999981</c:v>
                </c:pt>
                <c:pt idx="4">
                  <c:v>2.8009999999999997</c:v>
                </c:pt>
              </c:numCache>
            </c:numRef>
          </c:val>
          <c:extLst>
            <c:ext xmlns:c16="http://schemas.microsoft.com/office/drawing/2014/chart" uri="{C3380CC4-5D6E-409C-BE32-E72D297353CC}">
              <c16:uniqueId val="{00000000-C156-45AA-9C61-567E21214EC9}"/>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Sheet1!$D$2:$D$6</c:f>
              <c:numCache>
                <c:formatCode>#,##0.0;"–"#,##0.0</c:formatCode>
                <c:ptCount val="5"/>
                <c:pt idx="0">
                  <c:v>2.5419999999999998</c:v>
                </c:pt>
                <c:pt idx="1">
                  <c:v>1.9245307253744466</c:v>
                </c:pt>
                <c:pt idx="2">
                  <c:v>1.278344812280984</c:v>
                </c:pt>
                <c:pt idx="3">
                  <c:v>-8.3023857282613438</c:v>
                </c:pt>
                <c:pt idx="4">
                  <c:v>5.2026437578171114</c:v>
                </c:pt>
              </c:numCache>
            </c:numRef>
          </c:val>
          <c:extLst>
            <c:ext xmlns:c16="http://schemas.microsoft.com/office/drawing/2014/chart" uri="{C3380CC4-5D6E-409C-BE32-E72D297353CC}">
              <c16:uniqueId val="{00000001-C156-45AA-9C61-567E21214EC9}"/>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Sheet1!$E$2:$E$6</c:f>
              <c:numCache>
                <c:formatCode>#,##0.0;"–"#,##0.0</c:formatCode>
                <c:ptCount val="5"/>
                <c:pt idx="0">
                  <c:v>6.7569999999999997</c:v>
                </c:pt>
                <c:pt idx="1">
                  <c:v>6.7</c:v>
                </c:pt>
                <c:pt idx="2">
                  <c:v>6.1</c:v>
                </c:pt>
                <c:pt idx="3">
                  <c:v>1.9000000000000001</c:v>
                </c:pt>
                <c:pt idx="4">
                  <c:v>8.2000000000000011</c:v>
                </c:pt>
              </c:numCache>
            </c:numRef>
          </c:val>
          <c:extLst>
            <c:ext xmlns:c16="http://schemas.microsoft.com/office/drawing/2014/chart" uri="{C3380CC4-5D6E-409C-BE32-E72D297353CC}">
              <c16:uniqueId val="{00000002-C156-45AA-9C61-567E21214EC9}"/>
            </c:ext>
          </c:extLst>
        </c:ser>
        <c:ser>
          <c:idx val="4"/>
          <c:order val="4"/>
          <c:tx>
            <c:strRef>
              <c:f>Sheet1!$F$1</c:f>
              <c:strCache>
                <c:ptCount val="1"/>
                <c:pt idx="0">
                  <c:v>ԱՄՆ</c:v>
                </c:pt>
              </c:strCache>
            </c:strRef>
          </c:tx>
          <c:spPr>
            <a:solidFill>
              <a:schemeClr val="accent5"/>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Sheet1!$F$2:$F$6</c:f>
              <c:numCache>
                <c:formatCode>#,##0.0;"–"#,##0.0</c:formatCode>
                <c:ptCount val="5"/>
                <c:pt idx="0">
                  <c:v>2.3699999999999997</c:v>
                </c:pt>
                <c:pt idx="1">
                  <c:v>2.9</c:v>
                </c:pt>
                <c:pt idx="2">
                  <c:v>2.2000000000000002</c:v>
                </c:pt>
                <c:pt idx="3">
                  <c:v>-4.3</c:v>
                </c:pt>
                <c:pt idx="4">
                  <c:v>3.1</c:v>
                </c:pt>
              </c:numCache>
            </c:numRef>
          </c:val>
          <c:extLst>
            <c:ext xmlns:c16="http://schemas.microsoft.com/office/drawing/2014/chart" uri="{C3380CC4-5D6E-409C-BE32-E72D297353CC}">
              <c16:uniqueId val="{00000003-C156-45AA-9C61-567E21214EC9}"/>
            </c:ext>
          </c:extLst>
        </c:ser>
        <c:dLbls>
          <c:showLegendKey val="0"/>
          <c:showVal val="0"/>
          <c:showCatName val="0"/>
          <c:showSerName val="0"/>
          <c:showPercent val="0"/>
          <c:showBubbleSize val="0"/>
        </c:dLbls>
        <c:gapWidth val="150"/>
        <c:axId val="79411456"/>
        <c:axId val="84879232"/>
      </c:barChart>
      <c:lineChart>
        <c:grouping val="standard"/>
        <c:varyColors val="0"/>
        <c:ser>
          <c:idx val="0"/>
          <c:order val="0"/>
          <c:tx>
            <c:strRef>
              <c:f>Sheet1!$B$1</c:f>
              <c:strCache>
                <c:ptCount val="1"/>
                <c:pt idx="0">
                  <c:v>Աշխարը</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#,##0.0;"–"#,##0.0</c:formatCode>
                <c:ptCount val="5"/>
                <c:pt idx="0">
                  <c:v>3.8699999999999997</c:v>
                </c:pt>
                <c:pt idx="1">
                  <c:v>3.5852566282283198</c:v>
                </c:pt>
                <c:pt idx="2">
                  <c:v>2.8161521911175988</c:v>
                </c:pt>
                <c:pt idx="3">
                  <c:v>-4.4044539607643403</c:v>
                </c:pt>
                <c:pt idx="4">
                  <c:v>5.2044730375873201</c:v>
                </c:pt>
              </c:numCache>
            </c:numRef>
          </c:val>
          <c:smooth val="0"/>
          <c:extLst>
            <c:ext xmlns:c16="http://schemas.microsoft.com/office/drawing/2014/chart" uri="{C3380CC4-5D6E-409C-BE32-E72D297353CC}">
              <c16:uniqueId val="{00000004-C156-45AA-9C61-567E21214EC9}"/>
            </c:ext>
          </c:extLst>
        </c:ser>
        <c:dLbls>
          <c:showLegendKey val="0"/>
          <c:showVal val="0"/>
          <c:showCatName val="0"/>
          <c:showSerName val="0"/>
          <c:showPercent val="0"/>
          <c:showBubbleSize val="0"/>
        </c:dLbls>
        <c:marker val="1"/>
        <c:smooth val="0"/>
        <c:axId val="79411456"/>
        <c:axId val="84879232"/>
      </c:lineChart>
      <c:catAx>
        <c:axId val="794114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79232"/>
        <c:crosses val="autoZero"/>
        <c:auto val="1"/>
        <c:lblAlgn val="ctr"/>
        <c:lblOffset val="100"/>
        <c:noMultiLvlLbl val="0"/>
      </c:catAx>
      <c:valAx>
        <c:axId val="8487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11456"/>
        <c:crosses val="autoZero"/>
        <c:crossBetween val="between"/>
      </c:valAx>
      <c:spPr>
        <a:noFill/>
        <a:ln>
          <a:noFill/>
        </a:ln>
        <a:effectLst/>
      </c:spPr>
    </c:plotArea>
    <c:legend>
      <c:legendPos val="b"/>
      <c:layout>
        <c:manualLayout>
          <c:xMode val="edge"/>
          <c:yMode val="edge"/>
          <c:x val="9.0876097384378726E-2"/>
          <c:y val="0.83979280367731957"/>
          <c:w val="0.8424169184290029"/>
          <c:h val="0.14176727909011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20" baseline="0">
                <a:solidFill>
                  <a:schemeClr val="dk1">
                    <a:lumMod val="50000"/>
                    <a:lumOff val="50000"/>
                  </a:schemeClr>
                </a:solidFill>
                <a:latin typeface="+mn-lt"/>
                <a:ea typeface="+mn-ea"/>
                <a:cs typeface="+mn-cs"/>
              </a:defRPr>
            </a:pPr>
            <a:r>
              <a:rPr lang="en-US" sz="900" i="1"/>
              <a:t>....</a:t>
            </a:r>
            <a:r>
              <a:rPr lang="hy-AM" sz="800" i="1"/>
              <a:t>կորոնավիրուսի տարածումն</a:t>
            </a:r>
            <a:r>
              <a:rPr lang="hy-AM" sz="800" i="1" baseline="0"/>
              <a:t> արագացել </a:t>
            </a:r>
            <a:r>
              <a:rPr lang="hy-AM" sz="800" i="1"/>
              <a:t>է</a:t>
            </a:r>
          </a:p>
        </c:rich>
      </c:tx>
      <c:overlay val="0"/>
      <c:spPr>
        <a:noFill/>
        <a:ln>
          <a:noFill/>
        </a:ln>
        <a:effectLst/>
      </c:spPr>
    </c:title>
    <c:autoTitleDeleted val="0"/>
    <c:plotArea>
      <c:layout/>
      <c:lineChart>
        <c:grouping val="standard"/>
        <c:varyColors val="0"/>
        <c:ser>
          <c:idx val="0"/>
          <c:order val="0"/>
          <c:tx>
            <c:strRef>
              <c:f>Sheet1!$B$1</c:f>
              <c:strCache>
                <c:ptCount val="1"/>
                <c:pt idx="0">
                  <c:v>Կորոնավիրուսի հաստատված դեպքերը</c:v>
                </c:pt>
              </c:strCache>
            </c:strRef>
          </c:tx>
          <c:spPr>
            <a:ln w="22225" cap="rnd" cmpd="sng" algn="ctr">
              <a:solidFill>
                <a:schemeClr val="accent1"/>
              </a:solidFill>
              <a:round/>
            </a:ln>
            <a:effectLst/>
          </c:spPr>
          <c:marker>
            <c:symbol val="none"/>
          </c:marker>
          <c:cat>
            <c:strRef>
              <c:f>Sheet1!$A$2:$A$270</c:f>
              <c:strCache>
                <c:ptCount val="269"/>
                <c:pt idx="0">
                  <c:v>01.03.2020</c:v>
                </c:pt>
                <c:pt idx="1">
                  <c:v>02.03.2020</c:v>
                </c:pt>
                <c:pt idx="2">
                  <c:v>03.03.2020</c:v>
                </c:pt>
                <c:pt idx="3">
                  <c:v>04.03.2020</c:v>
                </c:pt>
                <c:pt idx="4">
                  <c:v>05.03.2020</c:v>
                </c:pt>
                <c:pt idx="5">
                  <c:v>06.03.2020</c:v>
                </c:pt>
                <c:pt idx="6">
                  <c:v>07.03.2020</c:v>
                </c:pt>
                <c:pt idx="7">
                  <c:v>08.03.2020</c:v>
                </c:pt>
                <c:pt idx="8">
                  <c:v>09.03.2020</c:v>
                </c:pt>
                <c:pt idx="9">
                  <c:v>10.03.2020</c:v>
                </c:pt>
                <c:pt idx="10">
                  <c:v>11.03.2020</c:v>
                </c:pt>
                <c:pt idx="11">
                  <c:v>12.03.2020</c:v>
                </c:pt>
                <c:pt idx="12">
                  <c:v>13.03.2020</c:v>
                </c:pt>
                <c:pt idx="13">
                  <c:v>14.03.2020</c:v>
                </c:pt>
                <c:pt idx="14">
                  <c:v>15.03.2020</c:v>
                </c:pt>
                <c:pt idx="15">
                  <c:v>16.03.2020</c:v>
                </c:pt>
                <c:pt idx="16">
                  <c:v>17.03.2020</c:v>
                </c:pt>
                <c:pt idx="17">
                  <c:v>18.03.2020</c:v>
                </c:pt>
                <c:pt idx="18">
                  <c:v>19.03.2020</c:v>
                </c:pt>
                <c:pt idx="19">
                  <c:v>20.03.2020</c:v>
                </c:pt>
                <c:pt idx="20">
                  <c:v>21.03.2020</c:v>
                </c:pt>
                <c:pt idx="21">
                  <c:v>22.03.2020</c:v>
                </c:pt>
                <c:pt idx="22">
                  <c:v>23.03.2020</c:v>
                </c:pt>
                <c:pt idx="23">
                  <c:v>24.03.2020</c:v>
                </c:pt>
                <c:pt idx="24">
                  <c:v>25.03.2020</c:v>
                </c:pt>
                <c:pt idx="25">
                  <c:v>26.03.2020</c:v>
                </c:pt>
                <c:pt idx="26">
                  <c:v>27.03.2020</c:v>
                </c:pt>
                <c:pt idx="27">
                  <c:v>28.03.2020</c:v>
                </c:pt>
                <c:pt idx="28">
                  <c:v>29.03.2020</c:v>
                </c:pt>
                <c:pt idx="29">
                  <c:v>30.03.2020</c:v>
                </c:pt>
                <c:pt idx="30">
                  <c:v>31.03.2020</c:v>
                </c:pt>
                <c:pt idx="31">
                  <c:v>01.04.2020</c:v>
                </c:pt>
                <c:pt idx="32">
                  <c:v>02.04.2020</c:v>
                </c:pt>
                <c:pt idx="33">
                  <c:v>03.04.2020</c:v>
                </c:pt>
                <c:pt idx="34">
                  <c:v>04.04.2020</c:v>
                </c:pt>
                <c:pt idx="35">
                  <c:v>05.04.2020</c:v>
                </c:pt>
                <c:pt idx="36">
                  <c:v>06.04.2020</c:v>
                </c:pt>
                <c:pt idx="37">
                  <c:v>07.04.2020</c:v>
                </c:pt>
                <c:pt idx="38">
                  <c:v>08.04.2020</c:v>
                </c:pt>
                <c:pt idx="39">
                  <c:v>09.04.2020</c:v>
                </c:pt>
                <c:pt idx="40">
                  <c:v>10.04.2020</c:v>
                </c:pt>
                <c:pt idx="41">
                  <c:v>11.04.2020</c:v>
                </c:pt>
                <c:pt idx="42">
                  <c:v>12.04.2020</c:v>
                </c:pt>
                <c:pt idx="43">
                  <c:v>13.04.2020</c:v>
                </c:pt>
                <c:pt idx="44">
                  <c:v>14.04.2020</c:v>
                </c:pt>
                <c:pt idx="45">
                  <c:v>15.04.2020</c:v>
                </c:pt>
                <c:pt idx="46">
                  <c:v>16.04.2020</c:v>
                </c:pt>
                <c:pt idx="47">
                  <c:v>17.04.2020</c:v>
                </c:pt>
                <c:pt idx="48">
                  <c:v>18.04.2020</c:v>
                </c:pt>
                <c:pt idx="49">
                  <c:v>19.04.2020</c:v>
                </c:pt>
                <c:pt idx="50">
                  <c:v>20.04.2020</c:v>
                </c:pt>
                <c:pt idx="51">
                  <c:v>21.04.2020</c:v>
                </c:pt>
                <c:pt idx="52">
                  <c:v>22.04.2020</c:v>
                </c:pt>
                <c:pt idx="53">
                  <c:v>23.04.2020</c:v>
                </c:pt>
                <c:pt idx="54">
                  <c:v>24.04.2020</c:v>
                </c:pt>
                <c:pt idx="55">
                  <c:v>25.04.2020</c:v>
                </c:pt>
                <c:pt idx="56">
                  <c:v>26.04.2020</c:v>
                </c:pt>
                <c:pt idx="57">
                  <c:v>27.04.2020</c:v>
                </c:pt>
                <c:pt idx="58">
                  <c:v>28.04.2020</c:v>
                </c:pt>
                <c:pt idx="59">
                  <c:v>29.04.2020</c:v>
                </c:pt>
                <c:pt idx="60">
                  <c:v>30.04.2020</c:v>
                </c:pt>
                <c:pt idx="61">
                  <c:v>01.05.2020</c:v>
                </c:pt>
                <c:pt idx="62">
                  <c:v>02.05.2020</c:v>
                </c:pt>
                <c:pt idx="63">
                  <c:v>03.05.2020</c:v>
                </c:pt>
                <c:pt idx="64">
                  <c:v>04.05.2020</c:v>
                </c:pt>
                <c:pt idx="65">
                  <c:v>05.05.2020</c:v>
                </c:pt>
                <c:pt idx="66">
                  <c:v>06.05.2020</c:v>
                </c:pt>
                <c:pt idx="67">
                  <c:v>07.05.2020</c:v>
                </c:pt>
                <c:pt idx="68">
                  <c:v>08.05.2020</c:v>
                </c:pt>
                <c:pt idx="69">
                  <c:v>09.05.2020</c:v>
                </c:pt>
                <c:pt idx="70">
                  <c:v>10.05.2020</c:v>
                </c:pt>
                <c:pt idx="71">
                  <c:v>11.05.2020</c:v>
                </c:pt>
                <c:pt idx="72">
                  <c:v>12.05.2020</c:v>
                </c:pt>
                <c:pt idx="73">
                  <c:v>13.05.2020</c:v>
                </c:pt>
                <c:pt idx="74">
                  <c:v>14.05.2020</c:v>
                </c:pt>
                <c:pt idx="75">
                  <c:v>15.05.2020</c:v>
                </c:pt>
                <c:pt idx="76">
                  <c:v>16.05.2020</c:v>
                </c:pt>
                <c:pt idx="77">
                  <c:v>17.05.2020</c:v>
                </c:pt>
                <c:pt idx="78">
                  <c:v>18.05.2020</c:v>
                </c:pt>
                <c:pt idx="79">
                  <c:v>19.05.2020</c:v>
                </c:pt>
                <c:pt idx="80">
                  <c:v>20.05.2020</c:v>
                </c:pt>
                <c:pt idx="81">
                  <c:v>21.05.2020</c:v>
                </c:pt>
                <c:pt idx="82">
                  <c:v>22.05.2020</c:v>
                </c:pt>
                <c:pt idx="83">
                  <c:v>23.05.2020</c:v>
                </c:pt>
                <c:pt idx="84">
                  <c:v>24.05.2020</c:v>
                </c:pt>
                <c:pt idx="85">
                  <c:v>25.05.2020</c:v>
                </c:pt>
                <c:pt idx="86">
                  <c:v>26.05.2020</c:v>
                </c:pt>
                <c:pt idx="87">
                  <c:v>27.05.2020</c:v>
                </c:pt>
                <c:pt idx="88">
                  <c:v>28.05.2020</c:v>
                </c:pt>
                <c:pt idx="89">
                  <c:v>29.05.2020</c:v>
                </c:pt>
                <c:pt idx="90">
                  <c:v>30.05.2020</c:v>
                </c:pt>
                <c:pt idx="91">
                  <c:v>31.05.2020</c:v>
                </c:pt>
                <c:pt idx="92">
                  <c:v>01.06.2020</c:v>
                </c:pt>
                <c:pt idx="93">
                  <c:v>02.06.2020</c:v>
                </c:pt>
                <c:pt idx="94">
                  <c:v>03.06.2020</c:v>
                </c:pt>
                <c:pt idx="95">
                  <c:v>04.06.2020</c:v>
                </c:pt>
                <c:pt idx="96">
                  <c:v>05.06.2020</c:v>
                </c:pt>
                <c:pt idx="97">
                  <c:v>06.06.2020</c:v>
                </c:pt>
                <c:pt idx="98">
                  <c:v>07.06.2020</c:v>
                </c:pt>
                <c:pt idx="99">
                  <c:v>08.06.2020</c:v>
                </c:pt>
                <c:pt idx="100">
                  <c:v>09.06.2020</c:v>
                </c:pt>
                <c:pt idx="101">
                  <c:v>10.06.2020</c:v>
                </c:pt>
                <c:pt idx="102">
                  <c:v>11.06.2020</c:v>
                </c:pt>
                <c:pt idx="103">
                  <c:v>12.06.2020</c:v>
                </c:pt>
                <c:pt idx="104">
                  <c:v>13.06.2020</c:v>
                </c:pt>
                <c:pt idx="105">
                  <c:v>14.06.2020</c:v>
                </c:pt>
                <c:pt idx="106">
                  <c:v>15.06.2020</c:v>
                </c:pt>
                <c:pt idx="107">
                  <c:v>16.06.2020</c:v>
                </c:pt>
                <c:pt idx="108">
                  <c:v>17.06.2020</c:v>
                </c:pt>
                <c:pt idx="109">
                  <c:v>18.06.2020</c:v>
                </c:pt>
                <c:pt idx="110">
                  <c:v>19.06.2020</c:v>
                </c:pt>
                <c:pt idx="111">
                  <c:v>20.06.2020</c:v>
                </c:pt>
                <c:pt idx="112">
                  <c:v>21.06.2020</c:v>
                </c:pt>
                <c:pt idx="113">
                  <c:v>22.06.2020</c:v>
                </c:pt>
                <c:pt idx="114">
                  <c:v>23.06.2020</c:v>
                </c:pt>
                <c:pt idx="115">
                  <c:v>24.06.2020</c:v>
                </c:pt>
                <c:pt idx="116">
                  <c:v>25.06.2020</c:v>
                </c:pt>
                <c:pt idx="117">
                  <c:v>26.06.2020</c:v>
                </c:pt>
                <c:pt idx="118">
                  <c:v>27.06.2020</c:v>
                </c:pt>
                <c:pt idx="119">
                  <c:v>28.06.2020</c:v>
                </c:pt>
                <c:pt idx="120">
                  <c:v>29.06.2020</c:v>
                </c:pt>
                <c:pt idx="121">
                  <c:v>30.06.2020</c:v>
                </c:pt>
                <c:pt idx="122">
                  <c:v>01.07.2020</c:v>
                </c:pt>
                <c:pt idx="123">
                  <c:v>02.07.2020</c:v>
                </c:pt>
                <c:pt idx="124">
                  <c:v>03.07.2020</c:v>
                </c:pt>
                <c:pt idx="125">
                  <c:v>04.07.2020</c:v>
                </c:pt>
                <c:pt idx="126">
                  <c:v>05.07.2020</c:v>
                </c:pt>
                <c:pt idx="127">
                  <c:v>06.07.2020</c:v>
                </c:pt>
                <c:pt idx="128">
                  <c:v>07.07.2020</c:v>
                </c:pt>
                <c:pt idx="129">
                  <c:v>08.07.2020</c:v>
                </c:pt>
                <c:pt idx="130">
                  <c:v>09.07.2020</c:v>
                </c:pt>
                <c:pt idx="131">
                  <c:v>10.07.2020</c:v>
                </c:pt>
                <c:pt idx="132">
                  <c:v>11.07.2020</c:v>
                </c:pt>
                <c:pt idx="133">
                  <c:v>12.07.2020</c:v>
                </c:pt>
                <c:pt idx="134">
                  <c:v>13.07.2020</c:v>
                </c:pt>
                <c:pt idx="135">
                  <c:v>14.07.2020</c:v>
                </c:pt>
                <c:pt idx="136">
                  <c:v>15.07.2020</c:v>
                </c:pt>
                <c:pt idx="137">
                  <c:v>16.07.2020</c:v>
                </c:pt>
                <c:pt idx="138">
                  <c:v>17.07.2020</c:v>
                </c:pt>
                <c:pt idx="139">
                  <c:v>18.07.2020</c:v>
                </c:pt>
                <c:pt idx="140">
                  <c:v>19.07.2020</c:v>
                </c:pt>
                <c:pt idx="141">
                  <c:v>20.07.2020</c:v>
                </c:pt>
                <c:pt idx="142">
                  <c:v>21.07.2020</c:v>
                </c:pt>
                <c:pt idx="143">
                  <c:v>22.07.2020</c:v>
                </c:pt>
                <c:pt idx="144">
                  <c:v>23.07.2020</c:v>
                </c:pt>
                <c:pt idx="145">
                  <c:v>24.07.2020</c:v>
                </c:pt>
                <c:pt idx="146">
                  <c:v>25.07.2020</c:v>
                </c:pt>
                <c:pt idx="147">
                  <c:v>26.07.2020</c:v>
                </c:pt>
                <c:pt idx="148">
                  <c:v>27.07.2020</c:v>
                </c:pt>
                <c:pt idx="149">
                  <c:v>28.07.2020</c:v>
                </c:pt>
                <c:pt idx="150">
                  <c:v>29.07.2020</c:v>
                </c:pt>
                <c:pt idx="151">
                  <c:v>30.07.2020</c:v>
                </c:pt>
                <c:pt idx="152">
                  <c:v>31.07.2020</c:v>
                </c:pt>
                <c:pt idx="153">
                  <c:v>01.08.2020</c:v>
                </c:pt>
                <c:pt idx="154">
                  <c:v>02.08.2020</c:v>
                </c:pt>
                <c:pt idx="155">
                  <c:v>03.08.2020</c:v>
                </c:pt>
                <c:pt idx="156">
                  <c:v>04.08.2020</c:v>
                </c:pt>
                <c:pt idx="157">
                  <c:v>05.08.2020</c:v>
                </c:pt>
                <c:pt idx="158">
                  <c:v>06.08.2020</c:v>
                </c:pt>
                <c:pt idx="159">
                  <c:v>07.08.2020</c:v>
                </c:pt>
                <c:pt idx="160">
                  <c:v>08.08.2025</c:v>
                </c:pt>
                <c:pt idx="161">
                  <c:v>09.08.2020</c:v>
                </c:pt>
                <c:pt idx="162">
                  <c:v>10.08.2020</c:v>
                </c:pt>
                <c:pt idx="163">
                  <c:v>11.08.2020</c:v>
                </c:pt>
                <c:pt idx="164">
                  <c:v>12.08.2020</c:v>
                </c:pt>
                <c:pt idx="165">
                  <c:v>13.08.2020</c:v>
                </c:pt>
                <c:pt idx="166">
                  <c:v>14.08.2020</c:v>
                </c:pt>
                <c:pt idx="167">
                  <c:v>15.08.2020</c:v>
                </c:pt>
                <c:pt idx="168">
                  <c:v>16.08.2020</c:v>
                </c:pt>
                <c:pt idx="169">
                  <c:v>17.08.2020</c:v>
                </c:pt>
                <c:pt idx="170">
                  <c:v>18.08.2020</c:v>
                </c:pt>
                <c:pt idx="171">
                  <c:v>19.08.2020</c:v>
                </c:pt>
                <c:pt idx="172">
                  <c:v>20.08.2020</c:v>
                </c:pt>
                <c:pt idx="173">
                  <c:v>21.08.2020</c:v>
                </c:pt>
                <c:pt idx="174">
                  <c:v>22.08.2020</c:v>
                </c:pt>
                <c:pt idx="175">
                  <c:v>23.08.2020</c:v>
                </c:pt>
                <c:pt idx="176">
                  <c:v>24.08.2020</c:v>
                </c:pt>
                <c:pt idx="177">
                  <c:v>25.08.2020</c:v>
                </c:pt>
                <c:pt idx="178">
                  <c:v>26.08.2020</c:v>
                </c:pt>
                <c:pt idx="179">
                  <c:v>27.08.2020</c:v>
                </c:pt>
                <c:pt idx="180">
                  <c:v>28.08.2020</c:v>
                </c:pt>
                <c:pt idx="181">
                  <c:v>29.08.2020</c:v>
                </c:pt>
                <c:pt idx="182">
                  <c:v>30.08.2020</c:v>
                </c:pt>
                <c:pt idx="183">
                  <c:v>31.08.2020</c:v>
                </c:pt>
                <c:pt idx="184">
                  <c:v>01.09.2020</c:v>
                </c:pt>
                <c:pt idx="185">
                  <c:v>02.09.2020</c:v>
                </c:pt>
                <c:pt idx="186">
                  <c:v>03.09.2020</c:v>
                </c:pt>
                <c:pt idx="187">
                  <c:v>04.09.2020</c:v>
                </c:pt>
                <c:pt idx="188">
                  <c:v>05.09.2020</c:v>
                </c:pt>
                <c:pt idx="189">
                  <c:v>06.09.2020</c:v>
                </c:pt>
                <c:pt idx="190">
                  <c:v>07.09.2020</c:v>
                </c:pt>
                <c:pt idx="191">
                  <c:v>08.09.2020</c:v>
                </c:pt>
                <c:pt idx="192">
                  <c:v>09.09.2020</c:v>
                </c:pt>
                <c:pt idx="193">
                  <c:v>10.09.2020</c:v>
                </c:pt>
                <c:pt idx="194">
                  <c:v>11.09.2020</c:v>
                </c:pt>
                <c:pt idx="195">
                  <c:v>12.09.2020</c:v>
                </c:pt>
                <c:pt idx="196">
                  <c:v>13.09.2020</c:v>
                </c:pt>
                <c:pt idx="197">
                  <c:v>14.09.2020</c:v>
                </c:pt>
                <c:pt idx="198">
                  <c:v>15.09.2020</c:v>
                </c:pt>
                <c:pt idx="199">
                  <c:v>16.09.2020</c:v>
                </c:pt>
                <c:pt idx="200">
                  <c:v>17.09.2020</c:v>
                </c:pt>
                <c:pt idx="201">
                  <c:v>18.09.2020</c:v>
                </c:pt>
                <c:pt idx="202">
                  <c:v>19.09.2020</c:v>
                </c:pt>
                <c:pt idx="203">
                  <c:v>20.09.2020</c:v>
                </c:pt>
                <c:pt idx="204">
                  <c:v>21.09.2020</c:v>
                </c:pt>
                <c:pt idx="205">
                  <c:v>22.09.2020</c:v>
                </c:pt>
                <c:pt idx="206">
                  <c:v>23.09.2020</c:v>
                </c:pt>
                <c:pt idx="207">
                  <c:v>24.09.2020</c:v>
                </c:pt>
                <c:pt idx="208">
                  <c:v>25.09.2020</c:v>
                </c:pt>
                <c:pt idx="209">
                  <c:v>26.09.2020</c:v>
                </c:pt>
                <c:pt idx="210">
                  <c:v>27.09.2020</c:v>
                </c:pt>
                <c:pt idx="211">
                  <c:v>28.09.2020</c:v>
                </c:pt>
                <c:pt idx="212">
                  <c:v>29.09.2020</c:v>
                </c:pt>
                <c:pt idx="213">
                  <c:v>30.09.2020</c:v>
                </c:pt>
                <c:pt idx="214">
                  <c:v>01.10.2020</c:v>
                </c:pt>
                <c:pt idx="215">
                  <c:v>02.10.2020</c:v>
                </c:pt>
                <c:pt idx="216">
                  <c:v>03.10.2020</c:v>
                </c:pt>
                <c:pt idx="217">
                  <c:v>04.10.2020</c:v>
                </c:pt>
                <c:pt idx="218">
                  <c:v>05.10.2020</c:v>
                </c:pt>
                <c:pt idx="219">
                  <c:v>06.10.2020</c:v>
                </c:pt>
                <c:pt idx="220">
                  <c:v>07.10.2020</c:v>
                </c:pt>
                <c:pt idx="221">
                  <c:v>08.10.2020</c:v>
                </c:pt>
                <c:pt idx="222">
                  <c:v>09.10.2020</c:v>
                </c:pt>
                <c:pt idx="223">
                  <c:v>10.10.2020</c:v>
                </c:pt>
                <c:pt idx="224">
                  <c:v>11.10.2020</c:v>
                </c:pt>
                <c:pt idx="225">
                  <c:v>12.10.2020</c:v>
                </c:pt>
                <c:pt idx="226">
                  <c:v>13.10.2020</c:v>
                </c:pt>
                <c:pt idx="227">
                  <c:v>14.10.2020</c:v>
                </c:pt>
                <c:pt idx="228">
                  <c:v>15.10.2020</c:v>
                </c:pt>
                <c:pt idx="229">
                  <c:v>16.10.2020</c:v>
                </c:pt>
                <c:pt idx="230">
                  <c:v>17.10.2020</c:v>
                </c:pt>
                <c:pt idx="231">
                  <c:v>18.10.2020</c:v>
                </c:pt>
                <c:pt idx="232">
                  <c:v>19.10.2020</c:v>
                </c:pt>
                <c:pt idx="233">
                  <c:v>20.10.2020</c:v>
                </c:pt>
                <c:pt idx="234">
                  <c:v>21.10.2020</c:v>
                </c:pt>
                <c:pt idx="235">
                  <c:v>22.10.2020</c:v>
                </c:pt>
                <c:pt idx="236">
                  <c:v>23.10.2020</c:v>
                </c:pt>
                <c:pt idx="237">
                  <c:v>24.10.2020</c:v>
                </c:pt>
                <c:pt idx="238">
                  <c:v>25.10.2020</c:v>
                </c:pt>
                <c:pt idx="239">
                  <c:v>26.10.2020</c:v>
                </c:pt>
                <c:pt idx="240">
                  <c:v>27.10.2020</c:v>
                </c:pt>
                <c:pt idx="241">
                  <c:v>28.10.2020</c:v>
                </c:pt>
                <c:pt idx="242">
                  <c:v>29.10.2020</c:v>
                </c:pt>
                <c:pt idx="243">
                  <c:v>30.10.2020</c:v>
                </c:pt>
                <c:pt idx="244">
                  <c:v>31.10.2020</c:v>
                </c:pt>
                <c:pt idx="245">
                  <c:v>01.11.2020</c:v>
                </c:pt>
                <c:pt idx="246">
                  <c:v>02.11.2020</c:v>
                </c:pt>
                <c:pt idx="247">
                  <c:v>03.11.2020</c:v>
                </c:pt>
                <c:pt idx="248">
                  <c:v>04.11.2020</c:v>
                </c:pt>
                <c:pt idx="249">
                  <c:v>05.11.2020</c:v>
                </c:pt>
                <c:pt idx="250">
                  <c:v>06.11.2020</c:v>
                </c:pt>
                <c:pt idx="251">
                  <c:v>07.11.2020</c:v>
                </c:pt>
                <c:pt idx="252">
                  <c:v>08.11.2020</c:v>
                </c:pt>
                <c:pt idx="253">
                  <c:v>09.11.2020</c:v>
                </c:pt>
                <c:pt idx="254">
                  <c:v>10.11.2020</c:v>
                </c:pt>
                <c:pt idx="255">
                  <c:v>11.11.2020</c:v>
                </c:pt>
                <c:pt idx="256">
                  <c:v>12.11.2020</c:v>
                </c:pt>
                <c:pt idx="257">
                  <c:v>13.11.2020</c:v>
                </c:pt>
                <c:pt idx="258">
                  <c:v>14.11.2020</c:v>
                </c:pt>
                <c:pt idx="259">
                  <c:v>15.11.2020</c:v>
                </c:pt>
                <c:pt idx="260">
                  <c:v>16.11.2020</c:v>
                </c:pt>
                <c:pt idx="261">
                  <c:v>17.11.2020</c:v>
                </c:pt>
                <c:pt idx="262">
                  <c:v>18.11.2020</c:v>
                </c:pt>
                <c:pt idx="263">
                  <c:v>19.11.2020</c:v>
                </c:pt>
                <c:pt idx="264">
                  <c:v>20.11.2020</c:v>
                </c:pt>
                <c:pt idx="265">
                  <c:v>21.11.2020</c:v>
                </c:pt>
                <c:pt idx="266">
                  <c:v>22.11.2020</c:v>
                </c:pt>
                <c:pt idx="267">
                  <c:v>23.11.2020</c:v>
                </c:pt>
                <c:pt idx="268">
                  <c:v>24.11.2020</c:v>
                </c:pt>
              </c:strCache>
            </c:strRef>
          </c:cat>
          <c:val>
            <c:numRef>
              <c:f>Sheet1!$B$2:$B$270</c:f>
              <c:numCache>
                <c:formatCode>General</c:formatCode>
                <c:ptCount val="269"/>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numCache>
            </c:numRef>
          </c:val>
          <c:smooth val="0"/>
          <c:extLst>
            <c:ext xmlns:c16="http://schemas.microsoft.com/office/drawing/2014/chart" uri="{C3380CC4-5D6E-409C-BE32-E72D297353CC}">
              <c16:uniqueId val="{00000000-6725-4D96-BF5B-87B644E98B6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4168064"/>
        <c:axId val="144169600"/>
      </c:lineChart>
      <c:catAx>
        <c:axId val="1441680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400" b="0" i="0" u="none" strike="noStrike" kern="1200" spc="20" baseline="0">
                <a:solidFill>
                  <a:schemeClr val="dk1">
                    <a:lumMod val="65000"/>
                    <a:lumOff val="35000"/>
                  </a:schemeClr>
                </a:solidFill>
                <a:latin typeface="+mn-lt"/>
                <a:ea typeface="+mn-ea"/>
                <a:cs typeface="+mn-cs"/>
              </a:defRPr>
            </a:pPr>
            <a:endParaRPr lang="en-US"/>
          </a:p>
        </c:txPr>
        <c:crossAx val="144169600"/>
        <c:crosses val="autoZero"/>
        <c:auto val="1"/>
        <c:lblAlgn val="ctr"/>
        <c:lblOffset val="100"/>
        <c:noMultiLvlLbl val="0"/>
      </c:catAx>
      <c:valAx>
        <c:axId val="144169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dk1">
                    <a:lumMod val="65000"/>
                    <a:lumOff val="35000"/>
                  </a:schemeClr>
                </a:solidFill>
                <a:latin typeface="+mn-lt"/>
                <a:ea typeface="+mn-ea"/>
                <a:cs typeface="+mn-cs"/>
              </a:defRPr>
            </a:pPr>
            <a:endParaRPr lang="en-US"/>
          </a:p>
        </c:txPr>
        <c:crossAx val="144168064"/>
        <c:crosses val="autoZero"/>
        <c:crossBetween val="between"/>
      </c:valAx>
      <c:spPr>
        <a:solidFill>
          <a:schemeClr val="bg1">
            <a:lumMod val="85000"/>
          </a:schemeClr>
        </a:solidFill>
        <a:ln>
          <a:solidFill>
            <a:schemeClr val="bg1">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85000"/>
      </a:schemeClr>
    </a:solidFill>
    <a:ln w="9525" cap="flat" cmpd="sng" algn="ctr">
      <a:solidFill>
        <a:schemeClr val="bg1">
          <a:lumMod val="7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66744367265543669"/>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Sheet1!$C$2:$C$8</c:f>
              <c:numCache>
                <c:formatCode>0.0</c:formatCode>
                <c:ptCount val="7"/>
                <c:pt idx="0">
                  <c:v>0.90354848829068368</c:v>
                </c:pt>
                <c:pt idx="1">
                  <c:v>0.78883867414080844</c:v>
                </c:pt>
                <c:pt idx="2">
                  <c:v>0.82667606677544314</c:v>
                </c:pt>
                <c:pt idx="3">
                  <c:v>0.75531822091114287</c:v>
                </c:pt>
                <c:pt idx="4">
                  <c:v>0.11247140633873548</c:v>
                </c:pt>
                <c:pt idx="5">
                  <c:v>-1.3338987759635077</c:v>
                </c:pt>
                <c:pt idx="6">
                  <c:v>-1.2309212973237214</c:v>
                </c:pt>
              </c:numCache>
            </c:numRef>
          </c:val>
          <c:extLst>
            <c:ext xmlns:c16="http://schemas.microsoft.com/office/drawing/2014/chart" uri="{C3380CC4-5D6E-409C-BE32-E72D297353CC}">
              <c16:uniqueId val="{00000000-7AD0-44AF-BA91-C9DC312AE3DA}"/>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Sheet1!$D$2:$D$8</c:f>
              <c:numCache>
                <c:formatCode>0.0</c:formatCode>
                <c:ptCount val="7"/>
                <c:pt idx="0">
                  <c:v>-0.1757197749716142</c:v>
                </c:pt>
                <c:pt idx="1">
                  <c:v>0.72269052830039882</c:v>
                </c:pt>
                <c:pt idx="2">
                  <c:v>1.151136912424128</c:v>
                </c:pt>
                <c:pt idx="3">
                  <c:v>1.5088196973098369</c:v>
                </c:pt>
                <c:pt idx="4">
                  <c:v>0.51563219302827901</c:v>
                </c:pt>
                <c:pt idx="5">
                  <c:v>-0.35396596654635265</c:v>
                </c:pt>
                <c:pt idx="6">
                  <c:v>-0.36903902014413026</c:v>
                </c:pt>
              </c:numCache>
            </c:numRef>
          </c:val>
          <c:extLst>
            <c:ext xmlns:c16="http://schemas.microsoft.com/office/drawing/2014/chart" uri="{C3380CC4-5D6E-409C-BE32-E72D297353CC}">
              <c16:uniqueId val="{00000001-7AD0-44AF-BA91-C9DC312AE3DA}"/>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Sheet1!$E$2:$E$8</c:f>
              <c:numCache>
                <c:formatCode>0.0</c:formatCode>
                <c:ptCount val="7"/>
                <c:pt idx="0">
                  <c:v>9.727110082436613E-2</c:v>
                </c:pt>
                <c:pt idx="1">
                  <c:v>-0.5390466140831679</c:v>
                </c:pt>
                <c:pt idx="2">
                  <c:v>-0.34034638141247647</c:v>
                </c:pt>
                <c:pt idx="3">
                  <c:v>-0.36300172042362855</c:v>
                </c:pt>
                <c:pt idx="4">
                  <c:v>0.29135275871086302</c:v>
                </c:pt>
                <c:pt idx="5">
                  <c:v>0.13785926915882829</c:v>
                </c:pt>
                <c:pt idx="6">
                  <c:v>-0.18755909181732558</c:v>
                </c:pt>
              </c:numCache>
            </c:numRef>
          </c:val>
          <c:extLst>
            <c:ext xmlns:c16="http://schemas.microsoft.com/office/drawing/2014/chart" uri="{C3380CC4-5D6E-409C-BE32-E72D297353CC}">
              <c16:uniqueId val="{00000002-7AD0-44AF-BA91-C9DC312AE3DA}"/>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Sheet1!$F$2:$F$8</c:f>
              <c:numCache>
                <c:formatCode>0.0</c:formatCode>
                <c:ptCount val="7"/>
                <c:pt idx="0">
                  <c:v>0.31976938283836076</c:v>
                </c:pt>
                <c:pt idx="1">
                  <c:v>0.16823813010797264</c:v>
                </c:pt>
                <c:pt idx="2">
                  <c:v>0.2304489541600982</c:v>
                </c:pt>
                <c:pt idx="3">
                  <c:v>0.24467996129227595</c:v>
                </c:pt>
                <c:pt idx="4">
                  <c:v>-0.51536720701163929</c:v>
                </c:pt>
                <c:pt idx="5">
                  <c:v>-1.416711396257367</c:v>
                </c:pt>
                <c:pt idx="6">
                  <c:v>-1.062744887674955</c:v>
                </c:pt>
              </c:numCache>
            </c:numRef>
          </c:val>
          <c:extLst>
            <c:ext xmlns:c16="http://schemas.microsoft.com/office/drawing/2014/chart" uri="{C3380CC4-5D6E-409C-BE32-E72D297353CC}">
              <c16:uniqueId val="{00000003-7AD0-44AF-BA91-C9DC312AE3DA}"/>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Sheet1!$G$2:$G$8</c:f>
              <c:numCache>
                <c:formatCode>0.0</c:formatCode>
                <c:ptCount val="7"/>
                <c:pt idx="0">
                  <c:v>6.2168912761641373</c:v>
                </c:pt>
                <c:pt idx="1">
                  <c:v>5.9046404308115994</c:v>
                </c:pt>
                <c:pt idx="2">
                  <c:v>5.7522360594714685</c:v>
                </c:pt>
                <c:pt idx="3">
                  <c:v>5.4541838409103667</c:v>
                </c:pt>
                <c:pt idx="4">
                  <c:v>3.5169186050621226</c:v>
                </c:pt>
                <c:pt idx="5">
                  <c:v>-2.748715529724838</c:v>
                </c:pt>
                <c:pt idx="6">
                  <c:v>-4.2716401459679254</c:v>
                </c:pt>
              </c:numCache>
            </c:numRef>
          </c:val>
          <c:extLst>
            <c:ext xmlns:c16="http://schemas.microsoft.com/office/drawing/2014/chart" uri="{C3380CC4-5D6E-409C-BE32-E72D297353CC}">
              <c16:uniqueId val="{00000004-7AD0-44AF-BA91-C9DC312AE3DA}"/>
            </c:ext>
          </c:extLst>
        </c:ser>
        <c:dLbls>
          <c:showLegendKey val="0"/>
          <c:showVal val="0"/>
          <c:showCatName val="0"/>
          <c:showSerName val="0"/>
          <c:showPercent val="0"/>
          <c:showBubbleSize val="0"/>
        </c:dLbls>
        <c:gapWidth val="219"/>
        <c:overlap val="100"/>
        <c:axId val="146224256"/>
        <c:axId val="146225792"/>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8459617595364039E-2"/>
                  <c:y val="-3.3960297470813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D0-44AF-BA91-C9DC312AE3DA}"/>
                </c:ext>
              </c:extLst>
            </c:dLbl>
            <c:dLbl>
              <c:idx val="1"/>
              <c:layout>
                <c:manualLayout>
                  <c:x val="-1.6601443597295665E-2"/>
                  <c:y val="-3.3960297470813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D0-44AF-BA91-C9DC312AE3DA}"/>
                </c:ext>
              </c:extLst>
            </c:dLbl>
            <c:dLbl>
              <c:idx val="2"/>
              <c:layout>
                <c:manualLayout>
                  <c:x val="-2.6087982795750374E-2"/>
                  <c:y val="-3.7356327217894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D0-44AF-BA91-C9DC312AE3DA}"/>
                </c:ext>
              </c:extLst>
            </c:dLbl>
            <c:dLbl>
              <c:idx val="3"/>
              <c:layout>
                <c:manualLayout>
                  <c:x val="-2.6087982795750374E-2"/>
                  <c:y val="-3.7356327217894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D0-44AF-BA91-C9DC312AE3DA}"/>
                </c:ext>
              </c:extLst>
            </c:dLbl>
            <c:dLbl>
              <c:idx val="4"/>
              <c:layout>
                <c:manualLayout>
                  <c:x val="-3.8532091163893674E-2"/>
                  <c:y val="-4.2205012509881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D0-44AF-BA91-C9DC312AE3DA}"/>
                </c:ext>
              </c:extLst>
            </c:dLbl>
            <c:dLbl>
              <c:idx val="5"/>
              <c:layout>
                <c:manualLayout>
                  <c:x val="-6.9005510436850021E-2"/>
                  <c:y val="4.1653248909028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D0-44AF-BA91-C9DC312AE3DA}"/>
                </c:ext>
              </c:extLst>
            </c:dLbl>
            <c:dLbl>
              <c:idx val="6"/>
              <c:layout>
                <c:manualLayout>
                  <c:x val="-3.9267015706806296E-2"/>
                  <c:y val="4.0264595916019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D0-44AF-BA91-C9DC312AE3DA}"/>
                </c:ext>
              </c:extLst>
            </c:dLbl>
            <c:spPr>
              <a:noFill/>
              <a:ln>
                <a:noFill/>
              </a:ln>
              <a:effectLst/>
            </c:spPr>
            <c:txPr>
              <a:bodyPr rot="0" vert="horz"/>
              <a:lstStyle/>
              <a:p>
                <a:pPr>
                  <a:defRPr sz="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Q1 - 2019</c:v>
                </c:pt>
                <c:pt idx="1">
                  <c:v>H1 - 2019</c:v>
                </c:pt>
                <c:pt idx="2">
                  <c:v>Q1-Q3 - 2019</c:v>
                </c:pt>
                <c:pt idx="3">
                  <c:v>2019</c:v>
                </c:pt>
                <c:pt idx="4">
                  <c:v>Q1 - 2020</c:v>
                </c:pt>
                <c:pt idx="5">
                  <c:v>H1 - 2020</c:v>
                </c:pt>
                <c:pt idx="6">
                  <c:v>Q1-Q3 - 2020</c:v>
                </c:pt>
              </c:strCache>
            </c:strRef>
          </c:cat>
          <c:val>
            <c:numRef>
              <c:f>Sheet1!$B$2:$B$8</c:f>
              <c:numCache>
                <c:formatCode>0.0</c:formatCode>
                <c:ptCount val="7"/>
                <c:pt idx="0">
                  <c:v>7.3617604731459343</c:v>
                </c:pt>
                <c:pt idx="1">
                  <c:v>7.0453611492776114</c:v>
                </c:pt>
                <c:pt idx="2">
                  <c:v>7.6201516114186614</c:v>
                </c:pt>
                <c:pt idx="3">
                  <c:v>7.5999999999999943</c:v>
                </c:pt>
                <c:pt idx="4">
                  <c:v>3.9210077561283612</c:v>
                </c:pt>
                <c:pt idx="5">
                  <c:v>-5.7154323993332374</c:v>
                </c:pt>
                <c:pt idx="6">
                  <c:v>-7.1219044429280531</c:v>
                </c:pt>
              </c:numCache>
            </c:numRef>
          </c:val>
          <c:smooth val="0"/>
          <c:extLst>
            <c:ext xmlns:c16="http://schemas.microsoft.com/office/drawing/2014/chart" uri="{C3380CC4-5D6E-409C-BE32-E72D297353CC}">
              <c16:uniqueId val="{0000000C-7AD0-44AF-BA91-C9DC312AE3DA}"/>
            </c:ext>
          </c:extLst>
        </c:ser>
        <c:dLbls>
          <c:showLegendKey val="0"/>
          <c:showVal val="0"/>
          <c:showCatName val="0"/>
          <c:showSerName val="0"/>
          <c:showPercent val="0"/>
          <c:showBubbleSize val="0"/>
        </c:dLbls>
        <c:marker val="1"/>
        <c:smooth val="0"/>
        <c:axId val="146224256"/>
        <c:axId val="146225792"/>
      </c:lineChart>
      <c:catAx>
        <c:axId val="14622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146225792"/>
        <c:crosses val="autoZero"/>
        <c:auto val="1"/>
        <c:lblAlgn val="ctr"/>
        <c:lblOffset val="100"/>
        <c:noMultiLvlLbl val="0"/>
      </c:catAx>
      <c:valAx>
        <c:axId val="146225792"/>
        <c:scaling>
          <c:orientation val="minMax"/>
          <c:max val="9"/>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46224256"/>
        <c:crosses val="autoZero"/>
        <c:crossBetween val="between"/>
        <c:majorUnit val="2"/>
        <c:minorUnit val="2"/>
      </c:valAx>
      <c:spPr>
        <a:noFill/>
        <a:ln>
          <a:noFill/>
        </a:ln>
        <a:effectLst/>
      </c:spPr>
    </c:plotArea>
    <c:legend>
      <c:legendPos val="b"/>
      <c:layout>
        <c:manualLayout>
          <c:xMode val="edge"/>
          <c:yMode val="edge"/>
          <c:x val="4.8648018769902046E-2"/>
          <c:y val="0.83925459317585294"/>
          <c:w val="0.95135189902732742"/>
          <c:h val="0.15626745406824169"/>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chemeClr val="accent1"/>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0.13939028871391076"/>
          <c:w val="0.87260540551091115"/>
          <c:h val="0.59047952755905508"/>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Sheet1!$C$2:$C$8</c:f>
              <c:numCache>
                <c:formatCode>0.0</c:formatCode>
                <c:ptCount val="7"/>
                <c:pt idx="0">
                  <c:v>13.919540713893683</c:v>
                </c:pt>
                <c:pt idx="1">
                  <c:v>11.200701606652819</c:v>
                </c:pt>
                <c:pt idx="2">
                  <c:v>9.7712547255287987</c:v>
                </c:pt>
                <c:pt idx="3">
                  <c:v>10.749673262798208</c:v>
                </c:pt>
                <c:pt idx="4">
                  <c:v>3.2007462166717802</c:v>
                </c:pt>
                <c:pt idx="5">
                  <c:v>-6.0369305484254721</c:v>
                </c:pt>
                <c:pt idx="6">
                  <c:v>-5.930730172427058</c:v>
                </c:pt>
              </c:numCache>
            </c:numRef>
          </c:val>
          <c:extLst>
            <c:ext xmlns:c16="http://schemas.microsoft.com/office/drawing/2014/chart" uri="{C3380CC4-5D6E-409C-BE32-E72D297353CC}">
              <c16:uniqueId val="{00000000-B83D-4656-B7C6-99F33801ED9E}"/>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Sheet1!$D$2:$D$8</c:f>
              <c:numCache>
                <c:formatCode>0.0</c:formatCode>
                <c:ptCount val="7"/>
                <c:pt idx="0">
                  <c:v>1.3068776746500641</c:v>
                </c:pt>
                <c:pt idx="1">
                  <c:v>0.57872799936289065</c:v>
                </c:pt>
                <c:pt idx="2">
                  <c:v>0.64713674332082138</c:v>
                </c:pt>
                <c:pt idx="3">
                  <c:v>0.72946931096893697</c:v>
                </c:pt>
                <c:pt idx="4">
                  <c:v>-0.81360505528540061</c:v>
                </c:pt>
                <c:pt idx="5">
                  <c:v>-2.4161020327167537</c:v>
                </c:pt>
                <c:pt idx="6">
                  <c:v>-1.8980550923594235</c:v>
                </c:pt>
              </c:numCache>
            </c:numRef>
          </c:val>
          <c:extLst>
            <c:ext xmlns:c16="http://schemas.microsoft.com/office/drawing/2014/chart" uri="{C3380CC4-5D6E-409C-BE32-E72D297353CC}">
              <c16:uniqueId val="{00000001-B83D-4656-B7C6-99F33801ED9E}"/>
            </c:ext>
          </c:extLst>
        </c:ser>
        <c:ser>
          <c:idx val="3"/>
          <c:order val="3"/>
          <c:tx>
            <c:strRef>
              <c:f>Sheet1!$E$1</c:f>
              <c:strCache>
                <c:ptCount val="1"/>
                <c:pt idx="0">
                  <c:v>Զուտ արտահանում</c:v>
                </c:pt>
              </c:strCache>
            </c:strRef>
          </c:tx>
          <c:spPr>
            <a:solidFill>
              <a:schemeClr val="accent4"/>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Sheet1!$E$2:$E$8</c:f>
              <c:numCache>
                <c:formatCode>0.0</c:formatCode>
                <c:ptCount val="7"/>
                <c:pt idx="0">
                  <c:v>-2.1991456506057139</c:v>
                </c:pt>
                <c:pt idx="1">
                  <c:v>0.72054540954827473</c:v>
                </c:pt>
                <c:pt idx="2">
                  <c:v>1.3877048037832411</c:v>
                </c:pt>
                <c:pt idx="3">
                  <c:v>-9.8425907781534192E-2</c:v>
                </c:pt>
                <c:pt idx="4">
                  <c:v>2.8537237507107882</c:v>
                </c:pt>
                <c:pt idx="5">
                  <c:v>3.2548419880587378</c:v>
                </c:pt>
                <c:pt idx="6">
                  <c:v>1.4932907663727839</c:v>
                </c:pt>
              </c:numCache>
            </c:numRef>
          </c:val>
          <c:extLst>
            <c:ext xmlns:c16="http://schemas.microsoft.com/office/drawing/2014/chart" uri="{C3380CC4-5D6E-409C-BE32-E72D297353CC}">
              <c16:uniqueId val="{00000002-B83D-4656-B7C6-99F33801ED9E}"/>
            </c:ext>
          </c:extLst>
        </c:ser>
        <c:dLbls>
          <c:showLegendKey val="0"/>
          <c:showVal val="0"/>
          <c:showCatName val="0"/>
          <c:showSerName val="0"/>
          <c:showPercent val="0"/>
          <c:showBubbleSize val="0"/>
        </c:dLbls>
        <c:gapWidth val="219"/>
        <c:overlap val="100"/>
        <c:axId val="146295040"/>
        <c:axId val="146309120"/>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135969369609841E-2"/>
                  <c:y val="-1.6980148735406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3D-4656-B7C6-99F33801ED9E}"/>
                </c:ext>
              </c:extLst>
            </c:dLbl>
            <c:dLbl>
              <c:idx val="1"/>
              <c:layout>
                <c:manualLayout>
                  <c:x val="-2.8601977027207442E-2"/>
                  <c:y val="-2.3772208229569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3D-4656-B7C6-99F33801ED9E}"/>
                </c:ext>
              </c:extLst>
            </c:dLbl>
            <c:dLbl>
              <c:idx val="2"/>
              <c:layout>
                <c:manualLayout>
                  <c:x val="-2.3834980856006147E-2"/>
                  <c:y val="-4.4148386712057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3D-4656-B7C6-99F33801ED9E}"/>
                </c:ext>
              </c:extLst>
            </c:dLbl>
            <c:dLbl>
              <c:idx val="3"/>
              <c:layout>
                <c:manualLayout>
                  <c:x val="-4.7669961712012302E-3"/>
                  <c:y val="-4.414838671205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3D-4656-B7C6-99F33801ED9E}"/>
                </c:ext>
              </c:extLst>
            </c:dLbl>
            <c:dLbl>
              <c:idx val="4"/>
              <c:layout>
                <c:manualLayout>
                  <c:x val="-3.8532091163893674E-2"/>
                  <c:y val="-4.2205012509881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3D-4656-B7C6-99F33801ED9E}"/>
                </c:ext>
              </c:extLst>
            </c:dLbl>
            <c:dLbl>
              <c:idx val="5"/>
              <c:layout>
                <c:manualLayout>
                  <c:x val="-6.0817156852822893E-2"/>
                  <c:y val="4.1224993934581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3D-4656-B7C6-99F33801ED9E}"/>
                </c:ext>
              </c:extLst>
            </c:dLbl>
            <c:dLbl>
              <c:idx val="6"/>
              <c:layout>
                <c:manualLayout>
                  <c:x val="-3.427592116538148E-2"/>
                  <c:y val="5.0420168067226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3D-4656-B7C6-99F33801ED9E}"/>
                </c:ext>
              </c:extLst>
            </c:dLbl>
            <c:spPr>
              <a:noFill/>
              <a:ln>
                <a:noFill/>
              </a:ln>
              <a:effectLst/>
            </c:spPr>
            <c:txPr>
              <a:bodyPr rot="0" vert="horz"/>
              <a:lstStyle/>
              <a:p>
                <a:pPr>
                  <a:defRPr sz="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Q1 - 2019</c:v>
                </c:pt>
                <c:pt idx="1">
                  <c:v>H1 - 2019</c:v>
                </c:pt>
                <c:pt idx="2">
                  <c:v>Q1-Q3 - 2019</c:v>
                </c:pt>
                <c:pt idx="3">
                  <c:v>2019</c:v>
                </c:pt>
                <c:pt idx="4">
                  <c:v>Q1 - 2020</c:v>
                </c:pt>
                <c:pt idx="5">
                  <c:v>H1 - 2020</c:v>
                </c:pt>
                <c:pt idx="6">
                  <c:v>Q1-Q3 - 2020</c:v>
                </c:pt>
              </c:strCache>
            </c:strRef>
          </c:cat>
          <c:val>
            <c:numRef>
              <c:f>Sheet1!$B$2:$B$8</c:f>
              <c:numCache>
                <c:formatCode>0.0</c:formatCode>
                <c:ptCount val="7"/>
                <c:pt idx="0">
                  <c:v>7.3529411764705781</c:v>
                </c:pt>
                <c:pt idx="1">
                  <c:v>7.0444104134762551</c:v>
                </c:pt>
                <c:pt idx="2">
                  <c:v>7.6372315035799261</c:v>
                </c:pt>
                <c:pt idx="3">
                  <c:v>7.5891936481748576</c:v>
                </c:pt>
                <c:pt idx="4">
                  <c:v>3.8999999999999906</c:v>
                </c:pt>
                <c:pt idx="5">
                  <c:v>-5.6747734859322803</c:v>
                </c:pt>
                <c:pt idx="6">
                  <c:v>-7.12305986696229</c:v>
                </c:pt>
              </c:numCache>
            </c:numRef>
          </c:val>
          <c:smooth val="0"/>
          <c:extLst>
            <c:ext xmlns:c16="http://schemas.microsoft.com/office/drawing/2014/chart" uri="{C3380CC4-5D6E-409C-BE32-E72D297353CC}">
              <c16:uniqueId val="{0000000A-B83D-4656-B7C6-99F33801ED9E}"/>
            </c:ext>
          </c:extLst>
        </c:ser>
        <c:dLbls>
          <c:showLegendKey val="0"/>
          <c:showVal val="0"/>
          <c:showCatName val="0"/>
          <c:showSerName val="0"/>
          <c:showPercent val="0"/>
          <c:showBubbleSize val="0"/>
        </c:dLbls>
        <c:marker val="1"/>
        <c:smooth val="0"/>
        <c:axId val="146295040"/>
        <c:axId val="146309120"/>
      </c:lineChart>
      <c:catAx>
        <c:axId val="14629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146309120"/>
        <c:crosses val="autoZero"/>
        <c:auto val="1"/>
        <c:lblAlgn val="ctr"/>
        <c:lblOffset val="100"/>
        <c:noMultiLvlLbl val="0"/>
      </c:catAx>
      <c:valAx>
        <c:axId val="146309120"/>
        <c:scaling>
          <c:orientation val="minMax"/>
          <c:max val="18"/>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46295040"/>
        <c:crosses val="autoZero"/>
        <c:crossBetween val="between"/>
      </c:valAx>
      <c:spPr>
        <a:noFill/>
        <a:ln w="25400">
          <a:noFill/>
        </a:ln>
        <a:effectLst/>
      </c:spPr>
    </c:plotArea>
    <c:legend>
      <c:legendPos val="b"/>
      <c:layout>
        <c:manualLayout>
          <c:xMode val="edge"/>
          <c:yMode val="edge"/>
          <c:x val="0"/>
          <c:y val="0.79585905511811095"/>
          <c:w val="0.99831881148062951"/>
          <c:h val="0.20002887139107611"/>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chemeClr val="accent1"/>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45"/>
          <c:w val="0.87658476118247253"/>
          <c:h val="0.52148264912506492"/>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Sheet1!$B$3:$K$3</c:f>
              <c:numCache>
                <c:formatCode>0.0</c:formatCode>
                <c:ptCount val="10"/>
                <c:pt idx="0">
                  <c:v>13.999999999999991</c:v>
                </c:pt>
                <c:pt idx="1">
                  <c:v>15.306852714410169</c:v>
                </c:pt>
                <c:pt idx="2">
                  <c:v>8.7604443976361228</c:v>
                </c:pt>
                <c:pt idx="3">
                  <c:v>4.4240991274461274</c:v>
                </c:pt>
                <c:pt idx="4">
                  <c:v>2.765747502631926</c:v>
                </c:pt>
                <c:pt idx="5">
                  <c:v>1.9542257625261925</c:v>
                </c:pt>
                <c:pt idx="6">
                  <c:v>1.2999999999999965</c:v>
                </c:pt>
                <c:pt idx="7">
                  <c:v>0.90000000000000568</c:v>
                </c:pt>
                <c:pt idx="8">
                  <c:v>1</c:v>
                </c:pt>
                <c:pt idx="9">
                  <c:v>0.5</c:v>
                </c:pt>
              </c:numCache>
            </c:numRef>
          </c:val>
          <c:extLst>
            <c:ext xmlns:c16="http://schemas.microsoft.com/office/drawing/2014/chart" uri="{C3380CC4-5D6E-409C-BE32-E72D297353CC}">
              <c16:uniqueId val="{00000000-A159-444D-B7E4-A886141DCC80}"/>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Sheet1!$B$4:$K$4</c:f>
              <c:numCache>
                <c:formatCode>0.0</c:formatCode>
                <c:ptCount val="10"/>
                <c:pt idx="0">
                  <c:v>0</c:v>
                </c:pt>
                <c:pt idx="1">
                  <c:v>0</c:v>
                </c:pt>
                <c:pt idx="2">
                  <c:v>4.5</c:v>
                </c:pt>
                <c:pt idx="3">
                  <c:v>0</c:v>
                </c:pt>
                <c:pt idx="4">
                  <c:v>0</c:v>
                </c:pt>
                <c:pt idx="5">
                  <c:v>1.7000000000000028</c:v>
                </c:pt>
                <c:pt idx="6">
                  <c:v>0</c:v>
                </c:pt>
                <c:pt idx="7">
                  <c:v>0</c:v>
                </c:pt>
                <c:pt idx="8">
                  <c:v>0.5</c:v>
                </c:pt>
                <c:pt idx="9">
                  <c:v>0</c:v>
                </c:pt>
              </c:numCache>
            </c:numRef>
          </c:val>
          <c:extLst>
            <c:ext xmlns:c16="http://schemas.microsoft.com/office/drawing/2014/chart" uri="{C3380CC4-5D6E-409C-BE32-E72D297353CC}">
              <c16:uniqueId val="{00000001-A159-444D-B7E4-A886141DCC80}"/>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Sheet1!$B$5:$K$5</c:f>
              <c:numCache>
                <c:formatCode>0.0</c:formatCode>
                <c:ptCount val="10"/>
                <c:pt idx="0">
                  <c:v>7.7000000000000028</c:v>
                </c:pt>
                <c:pt idx="1">
                  <c:v>5.7999999999999972</c:v>
                </c:pt>
                <c:pt idx="2">
                  <c:v>-9.4000000000000057</c:v>
                </c:pt>
                <c:pt idx="3">
                  <c:v>-21.900000000000006</c:v>
                </c:pt>
                <c:pt idx="4">
                  <c:v>-23.400000000000006</c:v>
                </c:pt>
                <c:pt idx="5">
                  <c:v>-23.400000000000006</c:v>
                </c:pt>
                <c:pt idx="6">
                  <c:v>-22.599999999999987</c:v>
                </c:pt>
                <c:pt idx="7">
                  <c:v>-19.099999999999987</c:v>
                </c:pt>
                <c:pt idx="8">
                  <c:v>-15.700000000000003</c:v>
                </c:pt>
                <c:pt idx="9">
                  <c:v>-13.3</c:v>
                </c:pt>
              </c:numCache>
            </c:numRef>
          </c:val>
          <c:extLst>
            <c:ext xmlns:c16="http://schemas.microsoft.com/office/drawing/2014/chart" uri="{C3380CC4-5D6E-409C-BE32-E72D297353CC}">
              <c16:uniqueId val="{00000002-A159-444D-B7E4-A886141DCC80}"/>
            </c:ext>
          </c:extLst>
        </c:ser>
        <c:ser>
          <c:idx val="4"/>
          <c:order val="4"/>
          <c:tx>
            <c:strRef>
              <c:f>Sheet1!$A$6</c:f>
              <c:strCache>
                <c:ptCount val="1"/>
                <c:pt idx="0">
                  <c:v>ծառայություններ</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Sheet1!$B$6:$K$6</c:f>
              <c:numCache>
                <c:formatCode>0.0</c:formatCode>
                <c:ptCount val="10"/>
                <c:pt idx="0">
                  <c:v>11.999999999999991</c:v>
                </c:pt>
                <c:pt idx="1">
                  <c:v>11.1275265799894</c:v>
                </c:pt>
                <c:pt idx="2">
                  <c:v>5.6174284461690407</c:v>
                </c:pt>
                <c:pt idx="3">
                  <c:v>-0.39555817571542229</c:v>
                </c:pt>
                <c:pt idx="4">
                  <c:v>-4.7269480913607964</c:v>
                </c:pt>
                <c:pt idx="5">
                  <c:v>-6.8578757881784309</c:v>
                </c:pt>
                <c:pt idx="6">
                  <c:v>-9.3000000000000025</c:v>
                </c:pt>
                <c:pt idx="7">
                  <c:v>-10.8</c:v>
                </c:pt>
                <c:pt idx="8">
                  <c:v>-11.700000000000003</c:v>
                </c:pt>
                <c:pt idx="9">
                  <c:v>-12.8</c:v>
                </c:pt>
              </c:numCache>
            </c:numRef>
          </c:val>
          <c:extLst>
            <c:ext xmlns:c16="http://schemas.microsoft.com/office/drawing/2014/chart" uri="{C3380CC4-5D6E-409C-BE32-E72D297353CC}">
              <c16:uniqueId val="{00000003-A159-444D-B7E4-A886141DCC80}"/>
            </c:ext>
          </c:extLst>
        </c:ser>
        <c:ser>
          <c:idx val="5"/>
          <c:order val="5"/>
          <c:tx>
            <c:strRef>
              <c:f>Sheet1!$A$7</c:f>
              <c:strCache>
                <c:ptCount val="1"/>
                <c:pt idx="0">
                  <c:v>առևտուր</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Sheet1!$B$7:$K$7</c:f>
              <c:numCache>
                <c:formatCode>0.0</c:formatCode>
                <c:ptCount val="10"/>
                <c:pt idx="0">
                  <c:v>10.3</c:v>
                </c:pt>
                <c:pt idx="1">
                  <c:v>6.2999999999999972</c:v>
                </c:pt>
                <c:pt idx="2">
                  <c:v>0.20000000000000284</c:v>
                </c:pt>
                <c:pt idx="3">
                  <c:v>-8.5999999999999979</c:v>
                </c:pt>
                <c:pt idx="4">
                  <c:v>-10.8</c:v>
                </c:pt>
                <c:pt idx="5">
                  <c:v>-11.099999999999998</c:v>
                </c:pt>
                <c:pt idx="6">
                  <c:v>-11</c:v>
                </c:pt>
                <c:pt idx="7">
                  <c:v>-11.5</c:v>
                </c:pt>
                <c:pt idx="8">
                  <c:v>-11.400000000000006</c:v>
                </c:pt>
                <c:pt idx="9">
                  <c:v>-12.5</c:v>
                </c:pt>
              </c:numCache>
            </c:numRef>
          </c:val>
          <c:extLst>
            <c:ext xmlns:c16="http://schemas.microsoft.com/office/drawing/2014/chart" uri="{C3380CC4-5D6E-409C-BE32-E72D297353CC}">
              <c16:uniqueId val="{00000004-A159-444D-B7E4-A886141DCC80}"/>
            </c:ext>
          </c:extLst>
        </c:ser>
        <c:dLbls>
          <c:showLegendKey val="0"/>
          <c:showVal val="0"/>
          <c:showCatName val="0"/>
          <c:showSerName val="0"/>
          <c:showPercent val="0"/>
          <c:showBubbleSize val="0"/>
        </c:dLbls>
        <c:gapWidth val="150"/>
        <c:axId val="147849216"/>
        <c:axId val="147850752"/>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59-444D-B7E4-A886141DCC80}"/>
                </c:ext>
              </c:extLst>
            </c:dLbl>
            <c:dLbl>
              <c:idx val="1"/>
              <c:layout>
                <c:manualLayout>
                  <c:x val="-5.7743864714374107E-2"/>
                  <c:y val="-5.208333333333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59-444D-B7E4-A886141DCC80}"/>
                </c:ext>
              </c:extLst>
            </c:dLbl>
            <c:dLbl>
              <c:idx val="2"/>
              <c:layout>
                <c:manualLayout>
                  <c:x val="-6.5992988244999023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59-444D-B7E4-A886141DCC80}"/>
                </c:ext>
              </c:extLst>
            </c:dLbl>
            <c:dLbl>
              <c:idx val="3"/>
              <c:layout>
                <c:manualLayout>
                  <c:x val="-6.18684264796867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59-444D-B7E4-A886141DCC80}"/>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59-444D-B7E4-A886141DCC80}"/>
                </c:ext>
              </c:extLst>
            </c:dLbl>
            <c:dLbl>
              <c:idx val="5"/>
              <c:layout>
                <c:manualLayout>
                  <c:x val="-4.9730625777041244E-2"/>
                  <c:y val="3.7546933667083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59-444D-B7E4-A886141DCC80}"/>
                </c:ext>
              </c:extLst>
            </c:dLbl>
            <c:dLbl>
              <c:idx val="6"/>
              <c:layout>
                <c:manualLayout>
                  <c:x val="-7.459593866556162E-2"/>
                  <c:y val="5.00625782227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59-444D-B7E4-A886141DCC80}"/>
                </c:ext>
              </c:extLst>
            </c:dLbl>
            <c:dLbl>
              <c:idx val="7"/>
              <c:layout>
                <c:manualLayout>
                  <c:x val="-7.4595938665561537E-2"/>
                  <c:y val="5.6320400500625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59-444D-B7E4-A886141DCC80}"/>
                </c:ext>
              </c:extLst>
            </c:dLbl>
            <c:dLbl>
              <c:idx val="8"/>
              <c:layout>
                <c:manualLayout>
                  <c:x val="-6.2163282221301498E-2"/>
                  <c:y val="5.006257822277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59-444D-B7E4-A886141DCC80}"/>
                </c:ext>
              </c:extLst>
            </c:dLbl>
            <c:dLbl>
              <c:idx val="9"/>
              <c:layout>
                <c:manualLayout>
                  <c:x val="-7.0451719850808156E-2"/>
                  <c:y val="5.0614605929139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59-444D-B7E4-A886141DCC8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Sheet1!$B$2:$K$2</c:f>
              <c:numCache>
                <c:formatCode>0.0</c:formatCode>
                <c:ptCount val="10"/>
                <c:pt idx="0">
                  <c:v>9.2243288478674472</c:v>
                </c:pt>
                <c:pt idx="1">
                  <c:v>9.1642954494013651</c:v>
                </c:pt>
                <c:pt idx="2">
                  <c:v>4.1955517273020586</c:v>
                </c:pt>
                <c:pt idx="3">
                  <c:v>-1.3997874782763238</c:v>
                </c:pt>
                <c:pt idx="4">
                  <c:v>-4.0084567968808233</c:v>
                </c:pt>
                <c:pt idx="5">
                  <c:v>-4.7178954104333002</c:v>
                </c:pt>
                <c:pt idx="6">
                  <c:v>-5.7102619112400408</c:v>
                </c:pt>
                <c:pt idx="7">
                  <c:v>-6.3796837620746807</c:v>
                </c:pt>
                <c:pt idx="8">
                  <c:v>-6.5540805188571873</c:v>
                </c:pt>
                <c:pt idx="9">
                  <c:v>-6.7000000000000028</c:v>
                </c:pt>
              </c:numCache>
            </c:numRef>
          </c:val>
          <c:smooth val="0"/>
          <c:extLst>
            <c:ext xmlns:c16="http://schemas.microsoft.com/office/drawing/2014/chart" uri="{C3380CC4-5D6E-409C-BE32-E72D297353CC}">
              <c16:uniqueId val="{0000000F-A159-444D-B7E4-A886141DCC80}"/>
            </c:ext>
          </c:extLst>
        </c:ser>
        <c:dLbls>
          <c:showLegendKey val="0"/>
          <c:showVal val="0"/>
          <c:showCatName val="0"/>
          <c:showSerName val="0"/>
          <c:showPercent val="0"/>
          <c:showBubbleSize val="0"/>
        </c:dLbls>
        <c:marker val="1"/>
        <c:smooth val="0"/>
        <c:axId val="147858176"/>
        <c:axId val="147852288"/>
      </c:lineChart>
      <c:catAx>
        <c:axId val="1478492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850752"/>
        <c:crosses val="autoZero"/>
        <c:auto val="1"/>
        <c:lblAlgn val="ctr"/>
        <c:lblOffset val="100"/>
        <c:noMultiLvlLbl val="0"/>
      </c:catAx>
      <c:valAx>
        <c:axId val="147850752"/>
        <c:scaling>
          <c:orientation val="minMax"/>
          <c:max val="30"/>
          <c:min val="-5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849216"/>
        <c:crosses val="autoZero"/>
        <c:crossBetween val="between"/>
      </c:valAx>
      <c:valAx>
        <c:axId val="147852288"/>
        <c:scaling>
          <c:orientation val="minMax"/>
        </c:scaling>
        <c:delete val="0"/>
        <c:axPos val="r"/>
        <c:numFmt formatCode="0.0" sourceLinked="1"/>
        <c:majorTickMark val="out"/>
        <c:minorTickMark val="none"/>
        <c:tickLblPos val="nextTo"/>
        <c:crossAx val="147858176"/>
        <c:crosses val="max"/>
        <c:crossBetween val="between"/>
      </c:valAx>
      <c:catAx>
        <c:axId val="147858176"/>
        <c:scaling>
          <c:orientation val="minMax"/>
        </c:scaling>
        <c:delete val="1"/>
        <c:axPos val="b"/>
        <c:numFmt formatCode="General" sourceLinked="1"/>
        <c:majorTickMark val="out"/>
        <c:minorTickMark val="none"/>
        <c:tickLblPos val="none"/>
        <c:crossAx val="147852288"/>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Sheet1!$B$3:$K$3</c:f>
              <c:numCache>
                <c:formatCode>General</c:formatCode>
                <c:ptCount val="10"/>
                <c:pt idx="0">
                  <c:v>14</c:v>
                </c:pt>
                <c:pt idx="1">
                  <c:v>16.5</c:v>
                </c:pt>
                <c:pt idx="2">
                  <c:v>-1.9000000000000061</c:v>
                </c:pt>
                <c:pt idx="3">
                  <c:v>-7.7000000000000028</c:v>
                </c:pt>
                <c:pt idx="4">
                  <c:v>-3.2000000000000037</c:v>
                </c:pt>
                <c:pt idx="5">
                  <c:v>-1.5999999999999936</c:v>
                </c:pt>
                <c:pt idx="6">
                  <c:v>-2.2999999999999972</c:v>
                </c:pt>
                <c:pt idx="7">
                  <c:v>-1.2000000000000028</c:v>
                </c:pt>
                <c:pt idx="8">
                  <c:v>1.7999999999999965</c:v>
                </c:pt>
                <c:pt idx="9" formatCode="0.0">
                  <c:v>-3</c:v>
                </c:pt>
              </c:numCache>
            </c:numRef>
          </c:val>
          <c:extLst>
            <c:ext xmlns:c16="http://schemas.microsoft.com/office/drawing/2014/chart" uri="{C3380CC4-5D6E-409C-BE32-E72D297353CC}">
              <c16:uniqueId val="{00000000-969C-4A83-B1C7-7E2B753377B1}"/>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Sheet1!$B$4:$K$4</c:f>
              <c:numCache>
                <c:formatCode>General</c:formatCode>
                <c:ptCount val="10"/>
                <c:pt idx="0">
                  <c:v>7.7000000000000028</c:v>
                </c:pt>
                <c:pt idx="1">
                  <c:v>4.2999999999999972</c:v>
                </c:pt>
                <c:pt idx="2">
                  <c:v>-26.200000000000003</c:v>
                </c:pt>
                <c:pt idx="3">
                  <c:v>-51</c:v>
                </c:pt>
                <c:pt idx="4">
                  <c:v>-27</c:v>
                </c:pt>
                <c:pt idx="5">
                  <c:v>-23.29999999999999</c:v>
                </c:pt>
                <c:pt idx="6">
                  <c:v>-19.5</c:v>
                </c:pt>
                <c:pt idx="7">
                  <c:v>-5.2999999999999972</c:v>
                </c:pt>
                <c:pt idx="8">
                  <c:v>0.59999999999999432</c:v>
                </c:pt>
                <c:pt idx="9" formatCode="0.0">
                  <c:v>0.29999999999999738</c:v>
                </c:pt>
              </c:numCache>
            </c:numRef>
          </c:val>
          <c:extLst>
            <c:ext xmlns:c16="http://schemas.microsoft.com/office/drawing/2014/chart" uri="{C3380CC4-5D6E-409C-BE32-E72D297353CC}">
              <c16:uniqueId val="{00000001-969C-4A83-B1C7-7E2B753377B1}"/>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Sheet1!$B$5:$K$5</c:f>
              <c:numCache>
                <c:formatCode>General</c:formatCode>
                <c:ptCount val="10"/>
                <c:pt idx="0">
                  <c:v>12</c:v>
                </c:pt>
                <c:pt idx="1">
                  <c:v>10.3</c:v>
                </c:pt>
                <c:pt idx="2">
                  <c:v>-4.2000000000000028</c:v>
                </c:pt>
                <c:pt idx="3">
                  <c:v>-16.79999999999999</c:v>
                </c:pt>
                <c:pt idx="4">
                  <c:v>-20.099999999999987</c:v>
                </c:pt>
                <c:pt idx="5">
                  <c:v>-16.200000000000003</c:v>
                </c:pt>
                <c:pt idx="6">
                  <c:v>-21.599999999999987</c:v>
                </c:pt>
                <c:pt idx="7">
                  <c:v>-19.29999999999999</c:v>
                </c:pt>
                <c:pt idx="8">
                  <c:v>-18.29999999999999</c:v>
                </c:pt>
                <c:pt idx="9" formatCode="0.0">
                  <c:v>-21</c:v>
                </c:pt>
              </c:numCache>
            </c:numRef>
          </c:val>
          <c:extLst>
            <c:ext xmlns:c16="http://schemas.microsoft.com/office/drawing/2014/chart" uri="{C3380CC4-5D6E-409C-BE32-E72D297353CC}">
              <c16:uniqueId val="{00000002-969C-4A83-B1C7-7E2B753377B1}"/>
            </c:ext>
          </c:extLst>
        </c:ser>
        <c:ser>
          <c:idx val="4"/>
          <c:order val="4"/>
          <c:tx>
            <c:strRef>
              <c:f>Sheet1!$A$6</c:f>
              <c:strCache>
                <c:ptCount val="1"/>
                <c:pt idx="0">
                  <c:v>Առևտուր</c:v>
                </c:pt>
              </c:strCache>
            </c:strRef>
          </c:tx>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Sheet1!$B$6:$K$6</c:f>
              <c:numCache>
                <c:formatCode>General</c:formatCode>
                <c:ptCount val="10"/>
                <c:pt idx="0">
                  <c:v>10.3</c:v>
                </c:pt>
                <c:pt idx="1">
                  <c:v>2.7999999999999972</c:v>
                </c:pt>
                <c:pt idx="2">
                  <c:v>-9.9000000000000057</c:v>
                </c:pt>
                <c:pt idx="3">
                  <c:v>-33.100000000000009</c:v>
                </c:pt>
                <c:pt idx="4">
                  <c:v>-18.400000000000006</c:v>
                </c:pt>
                <c:pt idx="5">
                  <c:v>-12.400000000000006</c:v>
                </c:pt>
                <c:pt idx="6">
                  <c:v>-10.400000000000006</c:v>
                </c:pt>
                <c:pt idx="7">
                  <c:v>-14.8</c:v>
                </c:pt>
                <c:pt idx="8">
                  <c:v>-10.8</c:v>
                </c:pt>
                <c:pt idx="9" formatCode="0.0">
                  <c:v>-20.900000000000006</c:v>
                </c:pt>
              </c:numCache>
            </c:numRef>
          </c:val>
          <c:extLst>
            <c:ext xmlns:c16="http://schemas.microsoft.com/office/drawing/2014/chart" uri="{C3380CC4-5D6E-409C-BE32-E72D297353CC}">
              <c16:uniqueId val="{00000003-969C-4A83-B1C7-7E2B753377B1}"/>
            </c:ext>
          </c:extLst>
        </c:ser>
        <c:dLbls>
          <c:showLegendKey val="0"/>
          <c:showVal val="0"/>
          <c:showCatName val="0"/>
          <c:showSerName val="0"/>
          <c:showPercent val="0"/>
          <c:showBubbleSize val="0"/>
        </c:dLbls>
        <c:gapWidth val="219"/>
        <c:overlap val="-27"/>
        <c:axId val="156619136"/>
        <c:axId val="156620672"/>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9C-4A83-B1C7-7E2B753377B1}"/>
                </c:ext>
              </c:extLst>
            </c:dLbl>
            <c:dLbl>
              <c:idx val="1"/>
              <c:layout>
                <c:manualLayout>
                  <c:x val="-5.7743864714374107E-2"/>
                  <c:y val="-5.208333333333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9C-4A83-B1C7-7E2B753377B1}"/>
                </c:ext>
              </c:extLst>
            </c:dLbl>
            <c:dLbl>
              <c:idx val="2"/>
              <c:layout>
                <c:manualLayout>
                  <c:x val="-6.5992988244999023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9C-4A83-B1C7-7E2B753377B1}"/>
                </c:ext>
              </c:extLst>
            </c:dLbl>
            <c:dLbl>
              <c:idx val="3"/>
              <c:layout>
                <c:manualLayout>
                  <c:x val="-6.18684264796867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9C-4A83-B1C7-7E2B753377B1}"/>
                </c:ext>
              </c:extLst>
            </c:dLbl>
            <c:dLbl>
              <c:idx val="4"/>
              <c:layout>
                <c:manualLayout>
                  <c:x val="-6.5992988244999023E-2"/>
                  <c:y val="5.3476032082019426E-2"/>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969C-4A83-B1C7-7E2B753377B1}"/>
                </c:ext>
              </c:extLst>
            </c:dLbl>
            <c:dLbl>
              <c:idx val="5"/>
              <c:layout>
                <c:manualLayout>
                  <c:x val="-6.2893081761006345E-2"/>
                  <c:y val="6.0477774417901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9C-4A83-B1C7-7E2B753377B1}"/>
                </c:ext>
              </c:extLst>
            </c:dLbl>
            <c:dLbl>
              <c:idx val="6"/>
              <c:layout>
                <c:manualLayout>
                  <c:x val="-7.9664570230608092E-2"/>
                  <c:y val="4.8382219534321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9C-4A83-B1C7-7E2B753377B1}"/>
                </c:ext>
              </c:extLst>
            </c:dLbl>
            <c:dLbl>
              <c:idx val="7"/>
              <c:layout>
                <c:manualLayout>
                  <c:x val="-6.7085953878406893E-2"/>
                  <c:y val="5.4429996976111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9C-4A83-B1C7-7E2B753377B1}"/>
                </c:ext>
              </c:extLst>
            </c:dLbl>
            <c:dLbl>
              <c:idx val="8"/>
              <c:layout>
                <c:manualLayout>
                  <c:x val="-5.8700209643605894E-2"/>
                  <c:y val="4.2334442092531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9C-4A83-B1C7-7E2B753377B1}"/>
                </c:ext>
              </c:extLst>
            </c:dLbl>
            <c:dLbl>
              <c:idx val="9"/>
              <c:layout>
                <c:manualLayout>
                  <c:x val="-6.726928736598696E-2"/>
                  <c:y val="4.1855598186257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9C-4A83-B1C7-7E2B753377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Sheet1!$B$2:$K$2</c:f>
              <c:numCache>
                <c:formatCode>General</c:formatCode>
                <c:ptCount val="10"/>
                <c:pt idx="0">
                  <c:v>9.2000000000000011</c:v>
                </c:pt>
                <c:pt idx="1">
                  <c:v>9.0999999999999979</c:v>
                </c:pt>
                <c:pt idx="2">
                  <c:v>-4.0999999999999943</c:v>
                </c:pt>
                <c:pt idx="3">
                  <c:v>-16.400000000000006</c:v>
                </c:pt>
                <c:pt idx="4">
                  <c:v>-12.8</c:v>
                </c:pt>
                <c:pt idx="5">
                  <c:v>-7.5999999999999943</c:v>
                </c:pt>
                <c:pt idx="6">
                  <c:v>-10.200000000000003</c:v>
                </c:pt>
                <c:pt idx="7">
                  <c:v>-9.8000000000000025</c:v>
                </c:pt>
                <c:pt idx="8">
                  <c:v>-7.5</c:v>
                </c:pt>
                <c:pt idx="9">
                  <c:v>-8.0999999999999979</c:v>
                </c:pt>
              </c:numCache>
            </c:numRef>
          </c:val>
          <c:smooth val="0"/>
          <c:extLst>
            <c:ext xmlns:c16="http://schemas.microsoft.com/office/drawing/2014/chart" uri="{C3380CC4-5D6E-409C-BE32-E72D297353CC}">
              <c16:uniqueId val="{0000000E-969C-4A83-B1C7-7E2B753377B1}"/>
            </c:ext>
          </c:extLst>
        </c:ser>
        <c:dLbls>
          <c:showLegendKey val="0"/>
          <c:showVal val="0"/>
          <c:showCatName val="0"/>
          <c:showSerName val="0"/>
          <c:showPercent val="0"/>
          <c:showBubbleSize val="0"/>
        </c:dLbls>
        <c:marker val="1"/>
        <c:smooth val="0"/>
        <c:axId val="156624000"/>
        <c:axId val="156622208"/>
      </c:lineChart>
      <c:catAx>
        <c:axId val="1566191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6620672"/>
        <c:crosses val="autoZero"/>
        <c:auto val="1"/>
        <c:lblAlgn val="ctr"/>
        <c:lblOffset val="100"/>
        <c:noMultiLvlLbl val="0"/>
      </c:catAx>
      <c:valAx>
        <c:axId val="156620672"/>
        <c:scaling>
          <c:orientation val="minMax"/>
          <c:max val="30"/>
          <c:min val="-5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6619136"/>
        <c:crosses val="autoZero"/>
        <c:crossBetween val="between"/>
      </c:valAx>
      <c:valAx>
        <c:axId val="156622208"/>
        <c:scaling>
          <c:orientation val="minMax"/>
          <c:min val="-22"/>
        </c:scaling>
        <c:delete val="0"/>
        <c:axPos val="r"/>
        <c:numFmt formatCode="General" sourceLinked="1"/>
        <c:majorTickMark val="out"/>
        <c:minorTickMark val="none"/>
        <c:tickLblPos val="nextTo"/>
        <c:crossAx val="156624000"/>
        <c:crosses val="max"/>
        <c:crossBetween val="between"/>
      </c:valAx>
      <c:catAx>
        <c:axId val="156624000"/>
        <c:scaling>
          <c:orientation val="minMax"/>
        </c:scaling>
        <c:delete val="1"/>
        <c:axPos val="b"/>
        <c:numFmt formatCode="General" sourceLinked="1"/>
        <c:majorTickMark val="out"/>
        <c:minorTickMark val="none"/>
        <c:tickLblPos val="none"/>
        <c:crossAx val="156622208"/>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1511044336875490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22"/>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Sheet1!$B$3:$K$3</c:f>
              <c:numCache>
                <c:formatCode>0.0</c:formatCode>
                <c:ptCount val="10"/>
                <c:pt idx="0">
                  <c:v>2.8042477978390434</c:v>
                </c:pt>
                <c:pt idx="1">
                  <c:v>3.06601485830224</c:v>
                </c:pt>
                <c:pt idx="2">
                  <c:v>1.7547469221544643</c:v>
                </c:pt>
                <c:pt idx="3">
                  <c:v>0.88616215968303169</c:v>
                </c:pt>
                <c:pt idx="4">
                  <c:v>0.55398866740245833</c:v>
                </c:pt>
                <c:pt idx="5">
                  <c:v>0.3914380922174579</c:v>
                </c:pt>
                <c:pt idx="6">
                  <c:v>0.26039443837076814</c:v>
                </c:pt>
                <c:pt idx="7">
                  <c:v>0.18027307271822562</c:v>
                </c:pt>
                <c:pt idx="8">
                  <c:v>0.20030341413136052</c:v>
                </c:pt>
                <c:pt idx="9">
                  <c:v>0.10015170706568027</c:v>
                </c:pt>
              </c:numCache>
            </c:numRef>
          </c:val>
          <c:extLst>
            <c:ext xmlns:c16="http://schemas.microsoft.com/office/drawing/2014/chart" uri="{C3380CC4-5D6E-409C-BE32-E72D297353CC}">
              <c16:uniqueId val="{00000000-D8EA-4423-A6D8-01A21F7B22B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Sheet1!$B$4:$K$4</c:f>
              <c:numCache>
                <c:formatCode>0.0</c:formatCode>
                <c:ptCount val="10"/>
                <c:pt idx="0">
                  <c:v>0</c:v>
                </c:pt>
                <c:pt idx="1">
                  <c:v>0</c:v>
                </c:pt>
                <c:pt idx="2">
                  <c:v>0.5960429144690137</c:v>
                </c:pt>
                <c:pt idx="3">
                  <c:v>0</c:v>
                </c:pt>
                <c:pt idx="4">
                  <c:v>0</c:v>
                </c:pt>
                <c:pt idx="5">
                  <c:v>0.22517176768829433</c:v>
                </c:pt>
                <c:pt idx="6">
                  <c:v>0</c:v>
                </c:pt>
                <c:pt idx="7">
                  <c:v>0</c:v>
                </c:pt>
                <c:pt idx="8">
                  <c:v>6.6226990496557059E-2</c:v>
                </c:pt>
                <c:pt idx="9">
                  <c:v>0</c:v>
                </c:pt>
              </c:numCache>
            </c:numRef>
          </c:val>
          <c:extLst>
            <c:ext xmlns:c16="http://schemas.microsoft.com/office/drawing/2014/chart" uri="{C3380CC4-5D6E-409C-BE32-E72D297353CC}">
              <c16:uniqueId val="{00000001-D8EA-4423-A6D8-01A21F7B22BF}"/>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Sheet1!$B$5:$K$5</c:f>
              <c:numCache>
                <c:formatCode>0.0</c:formatCode>
                <c:ptCount val="10"/>
                <c:pt idx="0">
                  <c:v>0.52388645653121413</c:v>
                </c:pt>
                <c:pt idx="1">
                  <c:v>0.39461577245208318</c:v>
                </c:pt>
                <c:pt idx="2">
                  <c:v>-0.63954970018096291</c:v>
                </c:pt>
                <c:pt idx="3">
                  <c:v>-1.4900147270173492</c:v>
                </c:pt>
                <c:pt idx="4">
                  <c:v>-1.5920705302377163</c:v>
                </c:pt>
                <c:pt idx="5">
                  <c:v>-1.5920705302377163</c:v>
                </c:pt>
                <c:pt idx="6">
                  <c:v>-1.5376407685201858</c:v>
                </c:pt>
                <c:pt idx="7">
                  <c:v>-1.299510561005998</c:v>
                </c:pt>
                <c:pt idx="8">
                  <c:v>-1.0681840737065023</c:v>
                </c:pt>
                <c:pt idx="9">
                  <c:v>-0.90489478855391481</c:v>
                </c:pt>
              </c:numCache>
            </c:numRef>
          </c:val>
          <c:extLst>
            <c:ext xmlns:c16="http://schemas.microsoft.com/office/drawing/2014/chart" uri="{C3380CC4-5D6E-409C-BE32-E72D297353CC}">
              <c16:uniqueId val="{00000002-D8EA-4423-A6D8-01A21F7B22BF}"/>
            </c:ext>
          </c:extLst>
        </c:ser>
        <c:ser>
          <c:idx val="4"/>
          <c:order val="4"/>
          <c:tx>
            <c:strRef>
              <c:f>Sheet1!$A$6</c:f>
              <c:strCache>
                <c:ptCount val="1"/>
                <c:pt idx="0">
                  <c:v>ծառայություններ</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Sheet1!$B$6:$K$6</c:f>
              <c:numCache>
                <c:formatCode>0.0</c:formatCode>
                <c:ptCount val="10"/>
                <c:pt idx="0">
                  <c:v>5.6652669600498502</c:v>
                </c:pt>
                <c:pt idx="1">
                  <c:v>5.2533673900575444</c:v>
                </c:pt>
                <c:pt idx="2">
                  <c:v>2.6520193147104747</c:v>
                </c:pt>
                <c:pt idx="3">
                  <c:v>-0.1867452219715148</c:v>
                </c:pt>
                <c:pt idx="4">
                  <c:v>-2.2316185703214217</c:v>
                </c:pt>
                <c:pt idx="5">
                  <c:v>-3.2376414265744287</c:v>
                </c:pt>
                <c:pt idx="6">
                  <c:v>-4.3905818940386387</c:v>
                </c:pt>
                <c:pt idx="7">
                  <c:v>-5.0987402640448733</c:v>
                </c:pt>
                <c:pt idx="8">
                  <c:v>-5.5236352860486111</c:v>
                </c:pt>
                <c:pt idx="9">
                  <c:v>-6.0429514240531814</c:v>
                </c:pt>
              </c:numCache>
            </c:numRef>
          </c:val>
          <c:extLst>
            <c:ext xmlns:c16="http://schemas.microsoft.com/office/drawing/2014/chart" uri="{C3380CC4-5D6E-409C-BE32-E72D297353CC}">
              <c16:uniqueId val="{00000003-D8EA-4423-A6D8-01A21F7B22BF}"/>
            </c:ext>
          </c:extLst>
        </c:ser>
        <c:ser>
          <c:idx val="5"/>
          <c:order val="5"/>
          <c:tx>
            <c:strRef>
              <c:f>Sheet1!$A$7</c:f>
              <c:strCache>
                <c:ptCount val="1"/>
                <c:pt idx="0">
                  <c:v>առևտուր</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Sheet1!$B$7:$K$7</c:f>
              <c:numCache>
                <c:formatCode>0.0</c:formatCode>
                <c:ptCount val="10"/>
                <c:pt idx="0">
                  <c:v>1.309128174061938</c:v>
                </c:pt>
                <c:pt idx="1">
                  <c:v>0.8007288831640984</c:v>
                </c:pt>
                <c:pt idx="2">
                  <c:v>2.5419964544892378E-2</c:v>
                </c:pt>
                <c:pt idx="3">
                  <c:v>-1.0930584754303561</c:v>
                </c:pt>
                <c:pt idx="4">
                  <c:v>-1.3726780854241678</c:v>
                </c:pt>
                <c:pt idx="5">
                  <c:v>-1.4108080322415057</c:v>
                </c:pt>
                <c:pt idx="6">
                  <c:v>-1.3980980499690605</c:v>
                </c:pt>
                <c:pt idx="7">
                  <c:v>-1.4616479613312909</c:v>
                </c:pt>
                <c:pt idx="8">
                  <c:v>-1.4489379790588457</c:v>
                </c:pt>
                <c:pt idx="9">
                  <c:v>-1.5887477840557511</c:v>
                </c:pt>
              </c:numCache>
            </c:numRef>
          </c:val>
          <c:extLst>
            <c:ext xmlns:c16="http://schemas.microsoft.com/office/drawing/2014/chart" uri="{C3380CC4-5D6E-409C-BE32-E72D297353CC}">
              <c16:uniqueId val="{00000004-D8EA-4423-A6D8-01A21F7B22BF}"/>
            </c:ext>
          </c:extLst>
        </c:ser>
        <c:ser>
          <c:idx val="6"/>
          <c:order val="6"/>
          <c:tx>
            <c:strRef>
              <c:f>Sheet1!$A$8</c:f>
              <c:strCache>
                <c:ptCount val="1"/>
                <c:pt idx="0">
                  <c:v>այլ </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Sheet1!$B$8:$K$8</c:f>
              <c:numCache>
                <c:formatCode>0.0</c:formatCode>
                <c:ptCount val="10"/>
                <c:pt idx="0">
                  <c:v>-1.078200540614594</c:v>
                </c:pt>
                <c:pt idx="1">
                  <c:v>-0.3504314545745969</c:v>
                </c:pt>
                <c:pt idx="2">
                  <c:v>-0.19312768839582173</c:v>
                </c:pt>
                <c:pt idx="3">
                  <c:v>0.48386878645986453</c:v>
                </c:pt>
                <c:pt idx="4">
                  <c:v>0.63392172170002503</c:v>
                </c:pt>
                <c:pt idx="5">
                  <c:v>0.90601471871459882</c:v>
                </c:pt>
                <c:pt idx="6">
                  <c:v>1.3556643629170781</c:v>
                </c:pt>
                <c:pt idx="7">
                  <c:v>1.2999419515892563</c:v>
                </c:pt>
                <c:pt idx="8">
                  <c:v>1.220146415328851</c:v>
                </c:pt>
                <c:pt idx="9">
                  <c:v>1.7364422895971638</c:v>
                </c:pt>
              </c:numCache>
            </c:numRef>
          </c:val>
          <c:extLst>
            <c:ext xmlns:c16="http://schemas.microsoft.com/office/drawing/2014/chart" uri="{C3380CC4-5D6E-409C-BE32-E72D297353CC}">
              <c16:uniqueId val="{00000005-D8EA-4423-A6D8-01A21F7B22BF}"/>
            </c:ext>
          </c:extLst>
        </c:ser>
        <c:dLbls>
          <c:showLegendKey val="0"/>
          <c:showVal val="0"/>
          <c:showCatName val="0"/>
          <c:showSerName val="0"/>
          <c:showPercent val="0"/>
          <c:showBubbleSize val="0"/>
        </c:dLbls>
        <c:gapWidth val="150"/>
        <c:overlap val="100"/>
        <c:axId val="160450432"/>
        <c:axId val="160451968"/>
      </c:barChart>
      <c:lineChart>
        <c:grouping val="standard"/>
        <c:varyColors val="0"/>
        <c:ser>
          <c:idx val="0"/>
          <c:order val="0"/>
          <c:tx>
            <c:strRef>
              <c:f>Sheet1!$A$2</c:f>
              <c:strCache>
                <c:ptCount val="1"/>
                <c:pt idx="0">
                  <c:v>ՏԱՑ</c:v>
                </c:pt>
              </c:strCache>
            </c:strRef>
          </c:tx>
          <c:spPr>
            <a:effectLst/>
          </c:spPr>
          <c:dLbls>
            <c:dLbl>
              <c:idx val="0"/>
              <c:layout>
                <c:manualLayout>
                  <c:x val="-4.5370179418436803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EA-4423-A6D8-01A21F7B22BF}"/>
                </c:ext>
              </c:extLst>
            </c:dLbl>
            <c:dLbl>
              <c:idx val="1"/>
              <c:layout>
                <c:manualLayout>
                  <c:x val="-5.7743864714374107E-2"/>
                  <c:y val="-5.208333333333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EA-4423-A6D8-01A21F7B22BF}"/>
                </c:ext>
              </c:extLst>
            </c:dLbl>
            <c:dLbl>
              <c:idx val="2"/>
              <c:layout>
                <c:manualLayout>
                  <c:x val="0"/>
                  <c:y val="-3.7202380952380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EA-4423-A6D8-01A21F7B22BF}"/>
                </c:ext>
              </c:extLst>
            </c:dLbl>
            <c:dLbl>
              <c:idx val="3"/>
              <c:layout>
                <c:manualLayout>
                  <c:x val="-4.949474118374933E-2"/>
                  <c:y val="-6.6964285714285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EA-4423-A6D8-01A21F7B22BF}"/>
                </c:ext>
              </c:extLst>
            </c:dLbl>
            <c:dLbl>
              <c:idx val="4"/>
              <c:layout>
                <c:manualLayout>
                  <c:x val="-2.8739915202907411E-2"/>
                  <c:y val="-2.879277187125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EA-4423-A6D8-01A21F7B22BF}"/>
                </c:ext>
              </c:extLst>
            </c:dLbl>
            <c:dLbl>
              <c:idx val="5"/>
              <c:layout>
                <c:manualLayout>
                  <c:x val="-3.2820512820512772E-2"/>
                  <c:y val="-3.9499670836076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EA-4423-A6D8-01A21F7B22BF}"/>
                </c:ext>
              </c:extLst>
            </c:dLbl>
            <c:dLbl>
              <c:idx val="6"/>
              <c:layout>
                <c:manualLayout>
                  <c:x val="-4.1025641025641033E-2"/>
                  <c:y val="-5.9249506254114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8EA-4423-A6D8-01A21F7B22BF}"/>
                </c:ext>
              </c:extLst>
            </c:dLbl>
            <c:dLbl>
              <c:idx val="7"/>
              <c:layout>
                <c:manualLayout>
                  <c:x val="-4.1025641025641033E-2"/>
                  <c:y val="-5.2666227781435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EA-4423-A6D8-01A21F7B22BF}"/>
                </c:ext>
              </c:extLst>
            </c:dLbl>
            <c:dLbl>
              <c:idx val="8"/>
              <c:layout>
                <c:manualLayout>
                  <c:x val="-3.6923076923076961E-2"/>
                  <c:y val="-4.6082949308755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8EA-4423-A6D8-01A21F7B22BF}"/>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8EA-4423-A6D8-01A21F7B22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Sheet1!$B$2:$K$2</c:f>
              <c:numCache>
                <c:formatCode>0.0</c:formatCode>
                <c:ptCount val="10"/>
                <c:pt idx="0">
                  <c:v>9.2243288478674472</c:v>
                </c:pt>
                <c:pt idx="1">
                  <c:v>9.1642954494013651</c:v>
                </c:pt>
                <c:pt idx="2">
                  <c:v>4.1955517273020586</c:v>
                </c:pt>
                <c:pt idx="3">
                  <c:v>-1.3997874782763238</c:v>
                </c:pt>
                <c:pt idx="4">
                  <c:v>-4.0084567968808233</c:v>
                </c:pt>
                <c:pt idx="5">
                  <c:v>-4.7178954104333002</c:v>
                </c:pt>
                <c:pt idx="6">
                  <c:v>-5.7102619112400408</c:v>
                </c:pt>
                <c:pt idx="7">
                  <c:v>-6.3796837620746807</c:v>
                </c:pt>
                <c:pt idx="8">
                  <c:v>-6.5540805188571873</c:v>
                </c:pt>
                <c:pt idx="9">
                  <c:v>-6.7000000000000028</c:v>
                </c:pt>
              </c:numCache>
            </c:numRef>
          </c:val>
          <c:smooth val="0"/>
          <c:extLst>
            <c:ext xmlns:c16="http://schemas.microsoft.com/office/drawing/2014/chart" uri="{C3380CC4-5D6E-409C-BE32-E72D297353CC}">
              <c16:uniqueId val="{00000010-D8EA-4423-A6D8-01A21F7B22BF}"/>
            </c:ext>
          </c:extLst>
        </c:ser>
        <c:dLbls>
          <c:showLegendKey val="0"/>
          <c:showVal val="0"/>
          <c:showCatName val="0"/>
          <c:showSerName val="0"/>
          <c:showPercent val="0"/>
          <c:showBubbleSize val="0"/>
        </c:dLbls>
        <c:marker val="1"/>
        <c:smooth val="0"/>
        <c:axId val="160450432"/>
        <c:axId val="160451968"/>
      </c:lineChart>
      <c:catAx>
        <c:axId val="160450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0451968"/>
        <c:crosses val="autoZero"/>
        <c:auto val="1"/>
        <c:lblAlgn val="ctr"/>
        <c:lblOffset val="100"/>
        <c:noMultiLvlLbl val="0"/>
      </c:catAx>
      <c:valAx>
        <c:axId val="160451968"/>
        <c:scaling>
          <c:orientation val="minMax"/>
          <c:max val="11"/>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0450432"/>
        <c:crosses val="autoZero"/>
        <c:crossBetween val="between"/>
      </c:valAx>
      <c:spPr>
        <a:noFill/>
        <a:ln>
          <a:noFill/>
        </a:ln>
        <a:effectLst/>
      </c:spPr>
    </c:plotArea>
    <c:legend>
      <c:legendPos val="b"/>
      <c:layout>
        <c:manualLayout>
          <c:xMode val="edge"/>
          <c:yMode val="edge"/>
          <c:x val="3.9212662156607202E-2"/>
          <c:y val="0.770639822716774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Sheet1!$B$3:$K$3</c:f>
              <c:numCache>
                <c:formatCode>0.0</c:formatCode>
                <c:ptCount val="10"/>
                <c:pt idx="0">
                  <c:v>2.8042477978390465</c:v>
                </c:pt>
                <c:pt idx="1">
                  <c:v>3.3050063331674466</c:v>
                </c:pt>
                <c:pt idx="2">
                  <c:v>-0.38057648684958623</c:v>
                </c:pt>
                <c:pt idx="3">
                  <c:v>-1.5423362888114758</c:v>
                </c:pt>
                <c:pt idx="4">
                  <c:v>-0.64097092522035404</c:v>
                </c:pt>
                <c:pt idx="5">
                  <c:v>-0.32048546261017574</c:v>
                </c:pt>
                <c:pt idx="6">
                  <c:v>-0.46069785250212825</c:v>
                </c:pt>
                <c:pt idx="7">
                  <c:v>-0.24036409695763322</c:v>
                </c:pt>
                <c:pt idx="8">
                  <c:v>0.36054614543644831</c:v>
                </c:pt>
                <c:pt idx="9">
                  <c:v>-0.60091024239408175</c:v>
                </c:pt>
              </c:numCache>
            </c:numRef>
          </c:val>
          <c:extLst>
            <c:ext xmlns:c16="http://schemas.microsoft.com/office/drawing/2014/chart" uri="{C3380CC4-5D6E-409C-BE32-E72D297353CC}">
              <c16:uniqueId val="{00000000-7A0E-4543-8AFE-044797080866}"/>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Sheet1!$B$4:$K$4</c:f>
              <c:numCache>
                <c:formatCode>0.0</c:formatCode>
                <c:ptCount val="10"/>
                <c:pt idx="0">
                  <c:v>0.52388645653121413</c:v>
                </c:pt>
                <c:pt idx="1">
                  <c:v>0.29255996923171684</c:v>
                </c:pt>
                <c:pt idx="2">
                  <c:v>-1.7825746962490654</c:v>
                </c:pt>
                <c:pt idx="3">
                  <c:v>-3.469897309492457</c:v>
                </c:pt>
                <c:pt idx="4">
                  <c:v>-1.8370044579665941</c:v>
                </c:pt>
                <c:pt idx="5">
                  <c:v>-1.5852668100230238</c:v>
                </c:pt>
                <c:pt idx="6">
                  <c:v>-1.3267254418647627</c:v>
                </c:pt>
                <c:pt idx="7">
                  <c:v>-0.36059717137862773</c:v>
                </c:pt>
                <c:pt idx="8">
                  <c:v>4.0822321288146182E-2</c:v>
                </c:pt>
                <c:pt idx="9">
                  <c:v>2.0411160644073098E-2</c:v>
                </c:pt>
              </c:numCache>
            </c:numRef>
          </c:val>
          <c:extLst>
            <c:ext xmlns:c16="http://schemas.microsoft.com/office/drawing/2014/chart" uri="{C3380CC4-5D6E-409C-BE32-E72D297353CC}">
              <c16:uniqueId val="{00000001-7A0E-4543-8AFE-044797080866}"/>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Sheet1!$B$5:$K$5</c:f>
              <c:numCache>
                <c:formatCode>0.0</c:formatCode>
                <c:ptCount val="10"/>
                <c:pt idx="0">
                  <c:v>5.6652669600498564</c:v>
                </c:pt>
                <c:pt idx="1">
                  <c:v>4.8626874740427919</c:v>
                </c:pt>
                <c:pt idx="2">
                  <c:v>-1.9828434360174521</c:v>
                </c:pt>
                <c:pt idx="3">
                  <c:v>-7.9313737440698038</c:v>
                </c:pt>
                <c:pt idx="4">
                  <c:v>-9.4893221580835103</c:v>
                </c:pt>
                <c:pt idx="5">
                  <c:v>-7.6481103960673087</c:v>
                </c:pt>
                <c:pt idx="6">
                  <c:v>-10.19748052808975</c:v>
                </c:pt>
                <c:pt idx="7">
                  <c:v>-9.1116376940801871</c:v>
                </c:pt>
                <c:pt idx="8">
                  <c:v>-8.6395321140760348</c:v>
                </c:pt>
                <c:pt idx="9">
                  <c:v>-9.9142171800872489</c:v>
                </c:pt>
              </c:numCache>
            </c:numRef>
          </c:val>
          <c:extLst>
            <c:ext xmlns:c16="http://schemas.microsoft.com/office/drawing/2014/chart" uri="{C3380CC4-5D6E-409C-BE32-E72D297353CC}">
              <c16:uniqueId val="{00000002-7A0E-4543-8AFE-044797080866}"/>
            </c:ext>
          </c:extLst>
        </c:ser>
        <c:ser>
          <c:idx val="4"/>
          <c:order val="4"/>
          <c:tx>
            <c:strRef>
              <c:f>Sheet1!$A$6</c:f>
              <c:strCache>
                <c:ptCount val="1"/>
                <c:pt idx="0">
                  <c:v>առևտուր</c:v>
                </c:pt>
              </c:strCache>
            </c:strRef>
          </c:tx>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Sheet1!$B$6:$K$6</c:f>
              <c:numCache>
                <c:formatCode>0.0</c:formatCode>
                <c:ptCount val="10"/>
                <c:pt idx="0">
                  <c:v>1.309128174061938</c:v>
                </c:pt>
                <c:pt idx="1">
                  <c:v>0.35587950362848791</c:v>
                </c:pt>
                <c:pt idx="2">
                  <c:v>-1.2582882449721553</c:v>
                </c:pt>
                <c:pt idx="3">
                  <c:v>-4.2070041321796285</c:v>
                </c:pt>
                <c:pt idx="4">
                  <c:v>-2.3386367381300657</c:v>
                </c:pt>
                <c:pt idx="5">
                  <c:v>-1.5760378017833063</c:v>
                </c:pt>
                <c:pt idx="6">
                  <c:v>-1.3218381563343848</c:v>
                </c:pt>
                <c:pt idx="7">
                  <c:v>-1.8810773763220083</c:v>
                </c:pt>
                <c:pt idx="8">
                  <c:v>-1.3726780854241678</c:v>
                </c:pt>
                <c:pt idx="9">
                  <c:v>-2.6563862949412158</c:v>
                </c:pt>
              </c:numCache>
            </c:numRef>
          </c:val>
          <c:extLst>
            <c:ext xmlns:c16="http://schemas.microsoft.com/office/drawing/2014/chart" uri="{C3380CC4-5D6E-409C-BE32-E72D297353CC}">
              <c16:uniqueId val="{00000003-7A0E-4543-8AFE-044797080866}"/>
            </c:ext>
          </c:extLst>
        </c:ser>
        <c:ser>
          <c:idx val="5"/>
          <c:order val="5"/>
          <c:tx>
            <c:strRef>
              <c:f>Sheet1!$A$7</c:f>
              <c:strCache>
                <c:ptCount val="1"/>
                <c:pt idx="0">
                  <c:v>այլ </c:v>
                </c:pt>
              </c:strCache>
            </c:strRef>
          </c:tx>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Sheet1!$B$7:$K$7</c:f>
              <c:numCache>
                <c:formatCode>0.0</c:formatCode>
                <c:ptCount val="10"/>
                <c:pt idx="0">
                  <c:v>-1.1025293884820537</c:v>
                </c:pt>
                <c:pt idx="1">
                  <c:v>0.28386671992954893</c:v>
                </c:pt>
                <c:pt idx="2">
                  <c:v>1.3042828640882655</c:v>
                </c:pt>
                <c:pt idx="3">
                  <c:v>0.75061147455335275</c:v>
                </c:pt>
                <c:pt idx="4">
                  <c:v>1.505934279400527</c:v>
                </c:pt>
                <c:pt idx="5">
                  <c:v>3.5299004704838213</c:v>
                </c:pt>
                <c:pt idx="6">
                  <c:v>3.1067419787910167</c:v>
                </c:pt>
                <c:pt idx="7">
                  <c:v>1.7936763387384587</c:v>
                </c:pt>
                <c:pt idx="8">
                  <c:v>2.1108417327756062</c:v>
                </c:pt>
                <c:pt idx="9">
                  <c:v>5.0511025567784795</c:v>
                </c:pt>
              </c:numCache>
            </c:numRef>
          </c:val>
          <c:extLst>
            <c:ext xmlns:c16="http://schemas.microsoft.com/office/drawing/2014/chart" uri="{C3380CC4-5D6E-409C-BE32-E72D297353CC}">
              <c16:uniqueId val="{00000004-7A0E-4543-8AFE-044797080866}"/>
            </c:ext>
          </c:extLst>
        </c:ser>
        <c:dLbls>
          <c:showLegendKey val="0"/>
          <c:showVal val="0"/>
          <c:showCatName val="0"/>
          <c:showSerName val="0"/>
          <c:showPercent val="0"/>
          <c:showBubbleSize val="0"/>
        </c:dLbls>
        <c:gapWidth val="219"/>
        <c:overlap val="100"/>
        <c:axId val="161229824"/>
        <c:axId val="161252096"/>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0E-4543-8AFE-044797080866}"/>
                </c:ext>
              </c:extLst>
            </c:dLbl>
            <c:dLbl>
              <c:idx val="1"/>
              <c:layout>
                <c:manualLayout>
                  <c:x val="-5.7743864714374107E-2"/>
                  <c:y val="-5.208333333333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0E-4543-8AFE-044797080866}"/>
                </c:ext>
              </c:extLst>
            </c:dLbl>
            <c:dLbl>
              <c:idx val="2"/>
              <c:layout>
                <c:manualLayout>
                  <c:x val="-7.44052261606101E-2"/>
                  <c:y val="5.2083359920366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0E-4543-8AFE-044797080866}"/>
                </c:ext>
              </c:extLst>
            </c:dLbl>
            <c:dLbl>
              <c:idx val="3"/>
              <c:layout>
                <c:manualLayout>
                  <c:x val="-0.12495988474626796"/>
                  <c:y val="-1.8271800303730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0E-4543-8AFE-044797080866}"/>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0E-4543-8AFE-044797080866}"/>
                </c:ext>
              </c:extLst>
            </c:dLbl>
            <c:dLbl>
              <c:idx val="5"/>
              <c:layout>
                <c:manualLayout>
                  <c:x val="-6.3091482649842323E-2"/>
                  <c:y val="-6.48298217179903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0E-4543-8AFE-044797080866}"/>
                </c:ext>
              </c:extLst>
            </c:dLbl>
            <c:dLbl>
              <c:idx val="6"/>
              <c:layout>
                <c:manualLayout>
                  <c:x val="-7.5709779179810754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0E-4543-8AFE-044797080866}"/>
                </c:ext>
              </c:extLst>
            </c:dLbl>
            <c:dLbl>
              <c:idx val="7"/>
              <c:layout>
                <c:manualLayout>
                  <c:x val="-6.3091482649842323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0E-4543-8AFE-044797080866}"/>
                </c:ext>
              </c:extLst>
            </c:dLbl>
            <c:dLbl>
              <c:idx val="8"/>
              <c:layout>
                <c:manualLayout>
                  <c:x val="-3.3648790746582544E-2"/>
                  <c:y val="6.4829821717990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0E-4543-8AFE-044797080866}"/>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A0E-4543-8AFE-04479708086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Sheet1!$B$2:$K$2</c:f>
              <c:numCache>
                <c:formatCode>0.0</c:formatCode>
                <c:ptCount val="10"/>
                <c:pt idx="0">
                  <c:v>9.2000000000000011</c:v>
                </c:pt>
                <c:pt idx="1">
                  <c:v>9.0999999999999979</c:v>
                </c:pt>
                <c:pt idx="2">
                  <c:v>-4.0999999999999943</c:v>
                </c:pt>
                <c:pt idx="3">
                  <c:v>-16.400000000000006</c:v>
                </c:pt>
                <c:pt idx="4">
                  <c:v>-12.8</c:v>
                </c:pt>
                <c:pt idx="5">
                  <c:v>-7.5999999999999943</c:v>
                </c:pt>
                <c:pt idx="6">
                  <c:v>-10.200000000000003</c:v>
                </c:pt>
                <c:pt idx="7">
                  <c:v>-9.8000000000000025</c:v>
                </c:pt>
                <c:pt idx="8">
                  <c:v>-7.5</c:v>
                </c:pt>
                <c:pt idx="9">
                  <c:v>-8.0999999999999979</c:v>
                </c:pt>
              </c:numCache>
            </c:numRef>
          </c:val>
          <c:smooth val="0"/>
          <c:extLst>
            <c:ext xmlns:c16="http://schemas.microsoft.com/office/drawing/2014/chart" uri="{C3380CC4-5D6E-409C-BE32-E72D297353CC}">
              <c16:uniqueId val="{0000000F-7A0E-4543-8AFE-044797080866}"/>
            </c:ext>
          </c:extLst>
        </c:ser>
        <c:dLbls>
          <c:showLegendKey val="0"/>
          <c:showVal val="0"/>
          <c:showCatName val="0"/>
          <c:showSerName val="0"/>
          <c:showPercent val="0"/>
          <c:showBubbleSize val="0"/>
        </c:dLbls>
        <c:marker val="1"/>
        <c:smooth val="0"/>
        <c:axId val="161229824"/>
        <c:axId val="161252096"/>
      </c:lineChart>
      <c:catAx>
        <c:axId val="16122982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1252096"/>
        <c:crosses val="autoZero"/>
        <c:auto val="1"/>
        <c:lblAlgn val="ctr"/>
        <c:lblOffset val="100"/>
        <c:noMultiLvlLbl val="0"/>
      </c:catAx>
      <c:valAx>
        <c:axId val="161252096"/>
        <c:scaling>
          <c:orientation val="minMax"/>
          <c:max val="15"/>
          <c:min val="-18"/>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1229824"/>
        <c:crosses val="autoZero"/>
        <c:crossBetween val="between"/>
      </c:valAx>
      <c:spPr>
        <a:noFill/>
        <a:ln>
          <a:noFill/>
        </a:ln>
        <a:effectLst/>
      </c:spPr>
    </c:plotArea>
    <c:legend>
      <c:legendPos val="b"/>
      <c:layout>
        <c:manualLayout>
          <c:xMode val="edge"/>
          <c:yMode val="edge"/>
          <c:x val="3.9212432830754193E-2"/>
          <c:y val="0.77158400988919762"/>
          <c:w val="0.96078743405166744"/>
          <c:h val="0.2223301266542368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Sheet1!$B$3:$W$3</c:f>
              <c:numCache>
                <c:formatCode>_(* #,##0_);_(* \(#,##0\);_(* "-"??_);_(@_)</c:formatCode>
                <c:ptCount val="22"/>
                <c:pt idx="0">
                  <c:v>1031.3382999999999</c:v>
                </c:pt>
                <c:pt idx="1">
                  <c:v>1175.8768043886819</c:v>
                </c:pt>
                <c:pt idx="2">
                  <c:v>1362.4717000000001</c:v>
                </c:pt>
                <c:pt idx="3">
                  <c:v>1624.6426999999999</c:v>
                </c:pt>
                <c:pt idx="4">
                  <c:v>1907.9454000000001</c:v>
                </c:pt>
                <c:pt idx="5">
                  <c:v>2242.8809000000001</c:v>
                </c:pt>
                <c:pt idx="6">
                  <c:v>2656.1897999999997</c:v>
                </c:pt>
                <c:pt idx="7">
                  <c:v>3149.2834000000007</c:v>
                </c:pt>
                <c:pt idx="8">
                  <c:v>3568.2275999999997</c:v>
                </c:pt>
                <c:pt idx="9">
                  <c:v>3141.6510000000012</c:v>
                </c:pt>
                <c:pt idx="10">
                  <c:v>3460.2027000000007</c:v>
                </c:pt>
                <c:pt idx="11">
                  <c:v>3777.9456</c:v>
                </c:pt>
                <c:pt idx="12">
                  <c:v>4266.4605000000001</c:v>
                </c:pt>
                <c:pt idx="13">
                  <c:v>4555.6382000000003</c:v>
                </c:pt>
                <c:pt idx="14">
                  <c:v>4828.6263000000044</c:v>
                </c:pt>
                <c:pt idx="15">
                  <c:v>5043.6332000000002</c:v>
                </c:pt>
                <c:pt idx="16">
                  <c:v>5067.2935000000007</c:v>
                </c:pt>
                <c:pt idx="17">
                  <c:v>5564.4933000000001</c:v>
                </c:pt>
                <c:pt idx="18">
                  <c:v>6017.0352000000003</c:v>
                </c:pt>
                <c:pt idx="19">
                  <c:v>6569.0307999999995</c:v>
                </c:pt>
                <c:pt idx="20">
                  <c:v>6075.9351510517599</c:v>
                </c:pt>
                <c:pt idx="21">
                  <c:v>6395.3103017437752</c:v>
                </c:pt>
              </c:numCache>
            </c:numRef>
          </c:val>
          <c:extLst>
            <c:ext xmlns:c16="http://schemas.microsoft.com/office/drawing/2014/chart" uri="{C3380CC4-5D6E-409C-BE32-E72D297353CC}">
              <c16:uniqueId val="{00000000-4DEE-46CA-8D84-3A66DB245219}"/>
            </c:ext>
          </c:extLst>
        </c:ser>
        <c:dLbls>
          <c:showLegendKey val="0"/>
          <c:showVal val="0"/>
          <c:showCatName val="0"/>
          <c:showSerName val="0"/>
          <c:showPercent val="0"/>
          <c:showBubbleSize val="0"/>
        </c:dLbls>
        <c:gapWidth val="219"/>
        <c:axId val="168719872"/>
        <c:axId val="168721408"/>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Sheet1!$B$2:$W$2</c:f>
              <c:numCache>
                <c:formatCode>0.0</c:formatCode>
                <c:ptCount val="22"/>
                <c:pt idx="0">
                  <c:v>5.8956981547403773</c:v>
                </c:pt>
                <c:pt idx="1">
                  <c:v>9.556641113783952</c:v>
                </c:pt>
                <c:pt idx="2">
                  <c:v>13.196463821262512</c:v>
                </c:pt>
                <c:pt idx="3">
                  <c:v>14.040798058411053</c:v>
                </c:pt>
                <c:pt idx="4">
                  <c:v>10.46784009801047</c:v>
                </c:pt>
                <c:pt idx="5">
                  <c:v>13.865711251485504</c:v>
                </c:pt>
                <c:pt idx="6">
                  <c:v>13.198003514141135</c:v>
                </c:pt>
                <c:pt idx="7">
                  <c:v>13.749201958384148</c:v>
                </c:pt>
                <c:pt idx="8">
                  <c:v>6.9476535519159768</c:v>
                </c:pt>
                <c:pt idx="9">
                  <c:v>-14.149988638617103</c:v>
                </c:pt>
                <c:pt idx="10">
                  <c:v>2.2151091894039183</c:v>
                </c:pt>
                <c:pt idx="11">
                  <c:v>4.6507622226871224</c:v>
                </c:pt>
                <c:pt idx="12">
                  <c:v>7.1590508979271865</c:v>
                </c:pt>
                <c:pt idx="13">
                  <c:v>3.2517472785696682</c:v>
                </c:pt>
                <c:pt idx="14">
                  <c:v>3.6442053914641397</c:v>
                </c:pt>
                <c:pt idx="15">
                  <c:v>3.2356846565243718</c:v>
                </c:pt>
                <c:pt idx="16">
                  <c:v>0.15570806832249695</c:v>
                </c:pt>
                <c:pt idx="17">
                  <c:v>7.5388635432307076</c:v>
                </c:pt>
                <c:pt idx="18">
                  <c:v>5.1947356482574971</c:v>
                </c:pt>
                <c:pt idx="19">
                  <c:v>7.5894978676541598</c:v>
                </c:pt>
                <c:pt idx="20">
                  <c:v>-7.9</c:v>
                </c:pt>
                <c:pt idx="21">
                  <c:v>3.2</c:v>
                </c:pt>
              </c:numCache>
            </c:numRef>
          </c:val>
          <c:smooth val="0"/>
          <c:extLst>
            <c:ext xmlns:c16="http://schemas.microsoft.com/office/drawing/2014/chart" uri="{C3380CC4-5D6E-409C-BE32-E72D297353CC}">
              <c16:uniqueId val="{00000001-4DEE-46CA-8D84-3A66DB245219}"/>
            </c:ext>
          </c:extLst>
        </c:ser>
        <c:dLbls>
          <c:showLegendKey val="0"/>
          <c:showVal val="0"/>
          <c:showCatName val="0"/>
          <c:showSerName val="0"/>
          <c:showPercent val="0"/>
          <c:showBubbleSize val="0"/>
        </c:dLbls>
        <c:marker val="1"/>
        <c:smooth val="0"/>
        <c:axId val="168732928"/>
        <c:axId val="168731392"/>
      </c:lineChart>
      <c:catAx>
        <c:axId val="16871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8721408"/>
        <c:crosses val="autoZero"/>
        <c:auto val="1"/>
        <c:lblAlgn val="ctr"/>
        <c:lblOffset val="100"/>
        <c:noMultiLvlLbl val="0"/>
      </c:catAx>
      <c:valAx>
        <c:axId val="168721408"/>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8719872"/>
        <c:crosses val="autoZero"/>
        <c:crossBetween val="between"/>
      </c:valAx>
      <c:valAx>
        <c:axId val="16873139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8732928"/>
        <c:crosses val="max"/>
        <c:crossBetween val="between"/>
      </c:valAx>
      <c:catAx>
        <c:axId val="168732928"/>
        <c:scaling>
          <c:orientation val="minMax"/>
        </c:scaling>
        <c:delete val="1"/>
        <c:axPos val="b"/>
        <c:numFmt formatCode="General" sourceLinked="1"/>
        <c:majorTickMark val="out"/>
        <c:minorTickMark val="none"/>
        <c:tickLblPos val="none"/>
        <c:crossAx val="168731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Word]Sheet1'!$B$9</c:f>
              <c:strCache>
                <c:ptCount val="1"/>
                <c:pt idx="0">
                  <c:v>Տնտեսական աճ/անկում</c:v>
                </c:pt>
              </c:strCache>
            </c:strRef>
          </c:tx>
          <c:spPr>
            <a:solidFill>
              <a:schemeClr val="accent1"/>
            </a:solidFill>
            <a:ln>
              <a:noFill/>
            </a:ln>
            <a:effectLst/>
          </c:spPr>
          <c:invertIfNegative val="0"/>
          <c:dLbls>
            <c:dLbl>
              <c:idx val="0"/>
              <c:layout>
                <c:manualLayout>
                  <c:x val="0.11647972389991364"/>
                  <c:y val="7.7601410934744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49-48F3-988B-135019DC9B35}"/>
                </c:ext>
              </c:extLst>
            </c:dLbl>
            <c:dLbl>
              <c:idx val="1"/>
              <c:layout>
                <c:manualLayout>
                  <c:x val="3.333333333333334E-2"/>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49-48F3-988B-135019DC9B3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'[Chart in Microsoft Word]Sheet1'!$A$10:$A$12</c:f>
              <c:numCache>
                <c:formatCode>General</c:formatCode>
                <c:ptCount val="3"/>
                <c:pt idx="0">
                  <c:v>2009</c:v>
                </c:pt>
                <c:pt idx="1">
                  <c:v>2016</c:v>
                </c:pt>
                <c:pt idx="2">
                  <c:v>2020</c:v>
                </c:pt>
              </c:numCache>
            </c:numRef>
          </c:cat>
          <c:val>
            <c:numRef>
              <c:f>'[Chart in Microsoft Word]Sheet1'!$B$10:$B$12</c:f>
              <c:numCache>
                <c:formatCode>General</c:formatCode>
                <c:ptCount val="3"/>
                <c:pt idx="0">
                  <c:v>-14.1</c:v>
                </c:pt>
                <c:pt idx="1">
                  <c:v>0.2</c:v>
                </c:pt>
                <c:pt idx="2" formatCode="0.0">
                  <c:v>-7.9</c:v>
                </c:pt>
              </c:numCache>
            </c:numRef>
          </c:val>
          <c:extLst>
            <c:ext xmlns:c16="http://schemas.microsoft.com/office/drawing/2014/chart" uri="{C3380CC4-5D6E-409C-BE32-E72D297353CC}">
              <c16:uniqueId val="{00000002-7149-48F3-988B-135019DC9B35}"/>
            </c:ext>
          </c:extLst>
        </c:ser>
        <c:dLbls>
          <c:showLegendKey val="0"/>
          <c:showVal val="0"/>
          <c:showCatName val="0"/>
          <c:showSerName val="0"/>
          <c:showPercent val="0"/>
          <c:showBubbleSize val="0"/>
        </c:dLbls>
        <c:gapWidth val="219"/>
        <c:overlap val="-27"/>
        <c:axId val="169093376"/>
        <c:axId val="169099264"/>
      </c:barChart>
      <c:catAx>
        <c:axId val="169093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9099264"/>
        <c:crosses val="autoZero"/>
        <c:auto val="1"/>
        <c:lblAlgn val="ctr"/>
        <c:lblOffset val="100"/>
        <c:noMultiLvlLbl val="0"/>
      </c:catAx>
      <c:valAx>
        <c:axId val="16909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909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Sheet1!$E$4:$I$4</c:f>
              <c:numCache>
                <c:formatCode>0.0</c:formatCode>
                <c:ptCount val="5"/>
                <c:pt idx="0">
                  <c:v>2.0948895026506751</c:v>
                </c:pt>
                <c:pt idx="1">
                  <c:v>0.90972491062214278</c:v>
                </c:pt>
                <c:pt idx="2">
                  <c:v>1.5067347204483721</c:v>
                </c:pt>
                <c:pt idx="3">
                  <c:v>-0.10116194413337327</c:v>
                </c:pt>
                <c:pt idx="4">
                  <c:v>0.68679475721427685</c:v>
                </c:pt>
              </c:numCache>
            </c:numRef>
          </c:val>
          <c:extLst>
            <c:ext xmlns:c16="http://schemas.microsoft.com/office/drawing/2014/chart" uri="{C3380CC4-5D6E-409C-BE32-E72D297353CC}">
              <c16:uniqueId val="{00000000-DDA9-423A-897C-937762CAC68C}"/>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Sheet1!$E$5:$I$5</c:f>
              <c:numCache>
                <c:formatCode>0.0</c:formatCode>
                <c:ptCount val="5"/>
                <c:pt idx="0">
                  <c:v>-0.83591415022634752</c:v>
                </c:pt>
                <c:pt idx="1">
                  <c:v>-1.034603948575157</c:v>
                </c:pt>
                <c:pt idx="2">
                  <c:v>-0.36250010304077918</c:v>
                </c:pt>
                <c:pt idx="3">
                  <c:v>8.8713834619255569E-2</c:v>
                </c:pt>
                <c:pt idx="4">
                  <c:v>0.29534007505569382</c:v>
                </c:pt>
              </c:numCache>
            </c:numRef>
          </c:val>
          <c:extLst>
            <c:ext xmlns:c16="http://schemas.microsoft.com/office/drawing/2014/chart" uri="{C3380CC4-5D6E-409C-BE32-E72D297353CC}">
              <c16:uniqueId val="{00000001-DDA9-423A-897C-937762CAC68C}"/>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Sheet1!$E$6:$I$6</c:f>
              <c:numCache>
                <c:formatCode>0.0</c:formatCode>
                <c:ptCount val="5"/>
                <c:pt idx="0">
                  <c:v>0.21725481659982773</c:v>
                </c:pt>
                <c:pt idx="1">
                  <c:v>4.3605339591297108E-2</c:v>
                </c:pt>
                <c:pt idx="2">
                  <c:v>0.24434184795860939</c:v>
                </c:pt>
                <c:pt idx="3">
                  <c:v>-1.0813482305487141</c:v>
                </c:pt>
                <c:pt idx="4">
                  <c:v>0.19004089492871282</c:v>
                </c:pt>
              </c:numCache>
            </c:numRef>
          </c:val>
          <c:extLst>
            <c:ext xmlns:c16="http://schemas.microsoft.com/office/drawing/2014/chart" uri="{C3380CC4-5D6E-409C-BE32-E72D297353CC}">
              <c16:uniqueId val="{00000002-DDA9-423A-897C-937762CAC68C}"/>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Sheet1!$E$7:$I$7</c:f>
              <c:numCache>
                <c:formatCode>0.0</c:formatCode>
                <c:ptCount val="5"/>
                <c:pt idx="0">
                  <c:v>5.0886627683989669</c:v>
                </c:pt>
                <c:pt idx="1">
                  <c:v>4.4535445230925115</c:v>
                </c:pt>
                <c:pt idx="2">
                  <c:v>5.4466469250503842</c:v>
                </c:pt>
                <c:pt idx="3">
                  <c:v>-5.4999355917162074</c:v>
                </c:pt>
                <c:pt idx="4">
                  <c:v>1.5182195009343575</c:v>
                </c:pt>
              </c:numCache>
            </c:numRef>
          </c:val>
          <c:extLst>
            <c:ext xmlns:c16="http://schemas.microsoft.com/office/drawing/2014/chart" uri="{C3380CC4-5D6E-409C-BE32-E72D297353CC}">
              <c16:uniqueId val="{00000003-DDA9-423A-897C-937762CAC68C}"/>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Sheet1!$E$8:$I$8</c:f>
              <c:numCache>
                <c:formatCode>0.0</c:formatCode>
                <c:ptCount val="5"/>
                <c:pt idx="0">
                  <c:v>0.97397060580761696</c:v>
                </c:pt>
                <c:pt idx="1">
                  <c:v>0.82246482352669914</c:v>
                </c:pt>
                <c:pt idx="2">
                  <c:v>0.75427447723755991</c:v>
                </c:pt>
                <c:pt idx="3">
                  <c:v>-1.2610192682938393</c:v>
                </c:pt>
                <c:pt idx="4">
                  <c:v>0.50214887674897168</c:v>
                </c:pt>
              </c:numCache>
            </c:numRef>
          </c:val>
          <c:extLst>
            <c:ext xmlns:c16="http://schemas.microsoft.com/office/drawing/2014/chart" uri="{C3380CC4-5D6E-409C-BE32-E72D297353CC}">
              <c16:uniqueId val="{00000004-DDA9-423A-897C-937762CAC68C}"/>
            </c:ext>
          </c:extLst>
        </c:ser>
        <c:dLbls>
          <c:showLegendKey val="0"/>
          <c:showVal val="0"/>
          <c:showCatName val="0"/>
          <c:showSerName val="0"/>
          <c:showPercent val="0"/>
          <c:showBubbleSize val="0"/>
        </c:dLbls>
        <c:gapWidth val="150"/>
        <c:overlap val="100"/>
        <c:axId val="169142912"/>
        <c:axId val="173932928"/>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3"/>
              <c:layout>
                <c:manualLayout>
                  <c:x val="-4.4621057881783471E-2"/>
                  <c:y val="3.338617874851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A9-423A-897C-937762CAC68C}"/>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Sheet1!$E$2:$K$2</c:f>
              <c:numCache>
                <c:formatCode>General</c:formatCode>
                <c:ptCount val="7"/>
                <c:pt idx="0">
                  <c:v>2017</c:v>
                </c:pt>
                <c:pt idx="1">
                  <c:v>2018</c:v>
                </c:pt>
                <c:pt idx="2">
                  <c:v>2019</c:v>
                </c:pt>
                <c:pt idx="3">
                  <c:v>2020</c:v>
                </c:pt>
                <c:pt idx="4">
                  <c:v>2021</c:v>
                </c:pt>
              </c:numCache>
            </c:numRef>
          </c:cat>
          <c:val>
            <c:numRef>
              <c:f>Sheet1!$E$3:$I$3</c:f>
              <c:numCache>
                <c:formatCode>0.0</c:formatCode>
                <c:ptCount val="5"/>
                <c:pt idx="0">
                  <c:v>7.5388635432307387</c:v>
                </c:pt>
                <c:pt idx="1">
                  <c:v>5.19473564825749</c:v>
                </c:pt>
                <c:pt idx="2">
                  <c:v>7.5894978676541438</c:v>
                </c:pt>
                <c:pt idx="3">
                  <c:v>-7.8547512000728785</c:v>
                </c:pt>
                <c:pt idx="4">
                  <c:v>3.1925441048820118</c:v>
                </c:pt>
              </c:numCache>
            </c:numRef>
          </c:val>
          <c:smooth val="0"/>
          <c:extLst>
            <c:ext xmlns:c16="http://schemas.microsoft.com/office/drawing/2014/chart" uri="{C3380CC4-5D6E-409C-BE32-E72D297353CC}">
              <c16:uniqueId val="{00000006-DDA9-423A-897C-937762CAC68C}"/>
            </c:ext>
          </c:extLst>
        </c:ser>
        <c:dLbls>
          <c:showLegendKey val="0"/>
          <c:showVal val="0"/>
          <c:showCatName val="0"/>
          <c:showSerName val="0"/>
          <c:showPercent val="0"/>
          <c:showBubbleSize val="0"/>
        </c:dLbls>
        <c:marker val="1"/>
        <c:smooth val="0"/>
        <c:axId val="169142912"/>
        <c:axId val="173932928"/>
      </c:lineChart>
      <c:catAx>
        <c:axId val="169142912"/>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3932928"/>
        <c:crosses val="autoZero"/>
        <c:auto val="1"/>
        <c:lblAlgn val="ctr"/>
        <c:lblOffset val="100"/>
        <c:noMultiLvlLbl val="0"/>
      </c:catAx>
      <c:valAx>
        <c:axId val="173932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9142912"/>
        <c:crosses val="autoZero"/>
        <c:crossBetween val="between"/>
      </c:valAx>
      <c:spPr>
        <a:noFill/>
        <a:ln>
          <a:noFill/>
        </a:ln>
        <a:effectLst/>
      </c:spPr>
    </c:plotArea>
    <c:legend>
      <c:legendPos val="b"/>
      <c:layout>
        <c:manualLayout>
          <c:xMode val="edge"/>
          <c:yMode val="edge"/>
          <c:x val="0"/>
          <c:y val="0.77835400008346045"/>
          <c:w val="1"/>
          <c:h val="0.158129380886213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5234719560402"/>
          <c:y val="7.0512820512820512E-2"/>
          <c:w val="0.71293878587757176"/>
          <c:h val="0.63414496264890208"/>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Sheet1!$A$2:$A$6</c:f>
              <c:numCache>
                <c:formatCode>General</c:formatCode>
                <c:ptCount val="5"/>
                <c:pt idx="0">
                  <c:v>2017</c:v>
                </c:pt>
                <c:pt idx="1">
                  <c:v>2018</c:v>
                </c:pt>
                <c:pt idx="2">
                  <c:v>2019</c:v>
                </c:pt>
                <c:pt idx="3">
                  <c:v>2020</c:v>
                </c:pt>
                <c:pt idx="4">
                  <c:v>2021</c:v>
                </c:pt>
              </c:numCache>
            </c:numRef>
          </c:cat>
          <c:val>
            <c:numRef>
              <c:f>Sheet1!$C$2:$C$6</c:f>
              <c:numCache>
                <c:formatCode>0</c:formatCode>
                <c:ptCount val="5"/>
                <c:pt idx="0">
                  <c:v>6169.94</c:v>
                </c:pt>
                <c:pt idx="1">
                  <c:v>6529.7983333333295</c:v>
                </c:pt>
                <c:pt idx="2">
                  <c:v>6010.1450000000004</c:v>
                </c:pt>
                <c:pt idx="3">
                  <c:v>6199.8058000000001</c:v>
                </c:pt>
                <c:pt idx="4">
                  <c:v>7112.4690000000001</c:v>
                </c:pt>
              </c:numCache>
            </c:numRef>
          </c:val>
          <c:smooth val="0"/>
          <c:extLst>
            <c:ext xmlns:c16="http://schemas.microsoft.com/office/drawing/2014/chart" uri="{C3380CC4-5D6E-409C-BE32-E72D297353CC}">
              <c16:uniqueId val="{00000000-43B1-48A1-9077-3CF6585F994C}"/>
            </c:ext>
          </c:extLst>
        </c:ser>
        <c:dLbls>
          <c:showLegendKey val="0"/>
          <c:showVal val="0"/>
          <c:showCatName val="0"/>
          <c:showSerName val="0"/>
          <c:showPercent val="0"/>
          <c:showBubbleSize val="0"/>
        </c:dLbls>
        <c:marker val="1"/>
        <c:smooth val="0"/>
        <c:axId val="119928320"/>
        <c:axId val="122591872"/>
      </c:lineChart>
      <c:lineChart>
        <c:grouping val="standard"/>
        <c:varyColors val="0"/>
        <c:ser>
          <c:idx val="0"/>
          <c:order val="0"/>
          <c:tx>
            <c:strRef>
              <c:f>Sheet1!$B$1</c:f>
              <c:strCache>
                <c:ptCount val="1"/>
                <c:pt idx="0">
                  <c:v>Նավթ(աջ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2017</c:v>
                </c:pt>
                <c:pt idx="1">
                  <c:v>2018</c:v>
                </c:pt>
                <c:pt idx="2">
                  <c:v>2019</c:v>
                </c:pt>
                <c:pt idx="3">
                  <c:v>2020</c:v>
                </c:pt>
                <c:pt idx="4">
                  <c:v>2021</c:v>
                </c:pt>
              </c:numCache>
            </c:numRef>
          </c:cat>
          <c:val>
            <c:numRef>
              <c:f>Sheet1!$B$2:$B$6</c:f>
              <c:numCache>
                <c:formatCode>0</c:formatCode>
                <c:ptCount val="5"/>
                <c:pt idx="0">
                  <c:v>54.392500000000013</c:v>
                </c:pt>
                <c:pt idx="1">
                  <c:v>71.071666666666701</c:v>
                </c:pt>
                <c:pt idx="2">
                  <c:v>64.031666666666695</c:v>
                </c:pt>
                <c:pt idx="3">
                  <c:v>40.501200000000004</c:v>
                </c:pt>
                <c:pt idx="4">
                  <c:v>44.989600000000003</c:v>
                </c:pt>
              </c:numCache>
            </c:numRef>
          </c:val>
          <c:smooth val="0"/>
          <c:extLst>
            <c:ext xmlns:c16="http://schemas.microsoft.com/office/drawing/2014/chart" uri="{C3380CC4-5D6E-409C-BE32-E72D297353CC}">
              <c16:uniqueId val="{00000001-43B1-48A1-9077-3CF6585F994C}"/>
            </c:ext>
          </c:extLst>
        </c:ser>
        <c:dLbls>
          <c:showLegendKey val="0"/>
          <c:showVal val="0"/>
          <c:showCatName val="0"/>
          <c:showSerName val="0"/>
          <c:showPercent val="0"/>
          <c:showBubbleSize val="0"/>
        </c:dLbls>
        <c:marker val="1"/>
        <c:smooth val="0"/>
        <c:axId val="124174720"/>
        <c:axId val="123597568"/>
      </c:lineChart>
      <c:catAx>
        <c:axId val="1199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591872"/>
        <c:crosses val="autoZero"/>
        <c:auto val="1"/>
        <c:lblAlgn val="ctr"/>
        <c:lblOffset val="100"/>
        <c:noMultiLvlLbl val="0"/>
      </c:catAx>
      <c:valAx>
        <c:axId val="122591872"/>
        <c:scaling>
          <c:orientation val="minMax"/>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5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28320"/>
        <c:crosses val="autoZero"/>
        <c:crossBetween val="between"/>
      </c:valAx>
      <c:valAx>
        <c:axId val="123597568"/>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44"/>
              <c:y val="0.28816222491419341"/>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74720"/>
        <c:crosses val="max"/>
        <c:crossBetween val="between"/>
      </c:valAx>
      <c:catAx>
        <c:axId val="124174720"/>
        <c:scaling>
          <c:orientation val="minMax"/>
        </c:scaling>
        <c:delete val="1"/>
        <c:axPos val="b"/>
        <c:numFmt formatCode="General" sourceLinked="1"/>
        <c:majorTickMark val="out"/>
        <c:minorTickMark val="none"/>
        <c:tickLblPos val="none"/>
        <c:crossAx val="123597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Sheet1!$B$1:$F$1</c:f>
              <c:strCache>
                <c:ptCount val="5"/>
                <c:pt idx="0">
                  <c:v>2017</c:v>
                </c:pt>
                <c:pt idx="1">
                  <c:v>2018</c:v>
                </c:pt>
                <c:pt idx="2">
                  <c:v>2019</c:v>
                </c:pt>
                <c:pt idx="3">
                  <c:v>2020</c:v>
                </c:pt>
                <c:pt idx="4">
                  <c:v>2021</c:v>
                </c:pt>
              </c:strCache>
            </c:strRef>
          </c:cat>
          <c:val>
            <c:numRef>
              <c:f>Sheet1!$B$3:$F$3</c:f>
              <c:numCache>
                <c:formatCode>0.0</c:formatCode>
                <c:ptCount val="5"/>
                <c:pt idx="0">
                  <c:v>10.411906711146688</c:v>
                </c:pt>
                <c:pt idx="1">
                  <c:v>3.5092447105651088</c:v>
                </c:pt>
                <c:pt idx="2">
                  <c:v>10.771934397192821</c:v>
                </c:pt>
                <c:pt idx="3">
                  <c:v>-9.829631884216953</c:v>
                </c:pt>
                <c:pt idx="4">
                  <c:v>3.0533753326011355</c:v>
                </c:pt>
              </c:numCache>
            </c:numRef>
          </c:val>
          <c:extLst>
            <c:ext xmlns:c16="http://schemas.microsoft.com/office/drawing/2014/chart" uri="{C3380CC4-5D6E-409C-BE32-E72D297353CC}">
              <c16:uniqueId val="{00000000-DE79-414E-86A2-B312EE3182C1}"/>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Sheet1!$B$1:$F$1</c:f>
              <c:strCache>
                <c:ptCount val="5"/>
                <c:pt idx="0">
                  <c:v>2017</c:v>
                </c:pt>
                <c:pt idx="1">
                  <c:v>2018</c:v>
                </c:pt>
                <c:pt idx="2">
                  <c:v>2019</c:v>
                </c:pt>
                <c:pt idx="3">
                  <c:v>2020</c:v>
                </c:pt>
                <c:pt idx="4">
                  <c:v>2021</c:v>
                </c:pt>
              </c:strCache>
            </c:strRef>
          </c:cat>
          <c:val>
            <c:numRef>
              <c:f>Sheet1!$B$4:$F$4</c:f>
              <c:numCache>
                <c:formatCode>0.0</c:formatCode>
                <c:ptCount val="5"/>
                <c:pt idx="0">
                  <c:v>1.7475043413214568</c:v>
                </c:pt>
                <c:pt idx="1">
                  <c:v>0.84712204793201851</c:v>
                </c:pt>
                <c:pt idx="2">
                  <c:v>0.73660007839076735</c:v>
                </c:pt>
                <c:pt idx="3">
                  <c:v>-1.9876585166835146</c:v>
                </c:pt>
                <c:pt idx="4">
                  <c:v>0.35537310445611781</c:v>
                </c:pt>
              </c:numCache>
            </c:numRef>
          </c:val>
          <c:extLst>
            <c:ext xmlns:c16="http://schemas.microsoft.com/office/drawing/2014/chart" uri="{C3380CC4-5D6E-409C-BE32-E72D297353CC}">
              <c16:uniqueId val="{00000001-DE79-414E-86A2-B312EE3182C1}"/>
            </c:ext>
          </c:extLst>
        </c:ser>
        <c:ser>
          <c:idx val="3"/>
          <c:order val="3"/>
          <c:tx>
            <c:strRef>
              <c:f>Sheet1!$A$5</c:f>
              <c:strCache>
                <c:ptCount val="1"/>
                <c:pt idx="0">
                  <c:v>Զուտ արտահանում</c:v>
                </c:pt>
              </c:strCache>
            </c:strRef>
          </c:tx>
          <c:spPr>
            <a:solidFill>
              <a:schemeClr val="accent4"/>
            </a:solidFill>
            <a:ln>
              <a:noFill/>
            </a:ln>
            <a:effectLst/>
          </c:spPr>
          <c:invertIfNegative val="0"/>
          <c:cat>
            <c:strRef>
              <c:f>Sheet1!$B$1:$F$1</c:f>
              <c:strCache>
                <c:ptCount val="5"/>
                <c:pt idx="0">
                  <c:v>2017</c:v>
                </c:pt>
                <c:pt idx="1">
                  <c:v>2018</c:v>
                </c:pt>
                <c:pt idx="2">
                  <c:v>2019</c:v>
                </c:pt>
                <c:pt idx="3">
                  <c:v>2020</c:v>
                </c:pt>
                <c:pt idx="4">
                  <c:v>2021</c:v>
                </c:pt>
              </c:strCache>
            </c:strRef>
          </c:cat>
          <c:val>
            <c:numRef>
              <c:f>Sheet1!$B$5:$F$5</c:f>
              <c:numCache>
                <c:formatCode>0.0</c:formatCode>
                <c:ptCount val="5"/>
                <c:pt idx="0">
                  <c:v>-3.9014411361804857</c:v>
                </c:pt>
                <c:pt idx="1">
                  <c:v>-4.6043797249248204</c:v>
                </c:pt>
                <c:pt idx="2">
                  <c:v>-6.6762514535398082E-2</c:v>
                </c:pt>
                <c:pt idx="3">
                  <c:v>3.9625392008275826</c:v>
                </c:pt>
                <c:pt idx="4">
                  <c:v>-0.21620433217523585</c:v>
                </c:pt>
              </c:numCache>
            </c:numRef>
          </c:val>
          <c:extLst>
            <c:ext xmlns:c16="http://schemas.microsoft.com/office/drawing/2014/chart" uri="{C3380CC4-5D6E-409C-BE32-E72D297353CC}">
              <c16:uniqueId val="{00000002-DE79-414E-86A2-B312EE3182C1}"/>
            </c:ext>
          </c:extLst>
        </c:ser>
        <c:dLbls>
          <c:showLegendKey val="0"/>
          <c:showVal val="0"/>
          <c:showCatName val="0"/>
          <c:showSerName val="0"/>
          <c:showPercent val="0"/>
          <c:showBubbleSize val="0"/>
        </c:dLbls>
        <c:gapWidth val="150"/>
        <c:overlap val="100"/>
        <c:axId val="180286208"/>
        <c:axId val="180287744"/>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8.1317340922952286E-3"/>
                  <c:y val="-3.0383592859855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79-414E-86A2-B312EE3182C1}"/>
                </c:ext>
              </c:extLst>
            </c:dLbl>
            <c:dLbl>
              <c:idx val="1"/>
              <c:layout>
                <c:manualLayout>
                  <c:x val="-8.1317340922952563E-3"/>
                  <c:y val="-6.0767185719711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79-414E-86A2-B312EE3182C1}"/>
                </c:ext>
              </c:extLst>
            </c:dLbl>
            <c:dLbl>
              <c:idx val="4"/>
              <c:layout>
                <c:manualLayout>
                  <c:x val="-3.4722222222222314E-2"/>
                  <c:y val="-3.8204393505253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79-414E-86A2-B312EE3182C1}"/>
                </c:ext>
              </c:extLst>
            </c:dLbl>
            <c:dLbl>
              <c:idx val="5"/>
              <c:layout>
                <c:manualLayout>
                  <c:x val="-1.3888888888888944E-2"/>
                  <c:y val="-2.3877745940783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79-414E-86A2-B312EE3182C1}"/>
                </c:ext>
              </c:extLst>
            </c:dLbl>
            <c:dLbl>
              <c:idx val="6"/>
              <c:layout>
                <c:manualLayout>
                  <c:x val="-3.2407407407407697E-2"/>
                  <c:y val="-4.7755491881566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79-414E-86A2-B312EE3182C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c:v>
                </c:pt>
                <c:pt idx="1">
                  <c:v>2018</c:v>
                </c:pt>
                <c:pt idx="2">
                  <c:v>2019</c:v>
                </c:pt>
                <c:pt idx="3">
                  <c:v>2020</c:v>
                </c:pt>
                <c:pt idx="4">
                  <c:v>2021</c:v>
                </c:pt>
              </c:strCache>
            </c:strRef>
          </c:cat>
          <c:val>
            <c:numRef>
              <c:f>Sheet1!$B$2:$F$2</c:f>
              <c:numCache>
                <c:formatCode>0.0</c:formatCode>
                <c:ptCount val="5"/>
                <c:pt idx="0">
                  <c:v>7.5388635432307058</c:v>
                </c:pt>
                <c:pt idx="1">
                  <c:v>5.1947356482575024</c:v>
                </c:pt>
                <c:pt idx="2">
                  <c:v>7.5894978676541598</c:v>
                </c:pt>
                <c:pt idx="3">
                  <c:v>-7.8547512000728812</c:v>
                </c:pt>
                <c:pt idx="4">
                  <c:v>3.1925441048820176</c:v>
                </c:pt>
              </c:numCache>
            </c:numRef>
          </c:val>
          <c:smooth val="0"/>
          <c:extLst>
            <c:ext xmlns:c16="http://schemas.microsoft.com/office/drawing/2014/chart" uri="{C3380CC4-5D6E-409C-BE32-E72D297353CC}">
              <c16:uniqueId val="{00000008-DE79-414E-86A2-B312EE3182C1}"/>
            </c:ext>
          </c:extLst>
        </c:ser>
        <c:dLbls>
          <c:showLegendKey val="0"/>
          <c:showVal val="0"/>
          <c:showCatName val="0"/>
          <c:showSerName val="0"/>
          <c:showPercent val="0"/>
          <c:showBubbleSize val="0"/>
        </c:dLbls>
        <c:marker val="1"/>
        <c:smooth val="0"/>
        <c:axId val="180286208"/>
        <c:axId val="180287744"/>
      </c:lineChart>
      <c:catAx>
        <c:axId val="180286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0287744"/>
        <c:crosses val="autoZero"/>
        <c:auto val="1"/>
        <c:lblAlgn val="ctr"/>
        <c:lblOffset val="100"/>
        <c:noMultiLvlLbl val="0"/>
      </c:catAx>
      <c:valAx>
        <c:axId val="180287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0286208"/>
        <c:crosses val="autoZero"/>
        <c:crossBetween val="between"/>
      </c:valAx>
      <c:spPr>
        <a:noFill/>
        <a:ln>
          <a:noFill/>
        </a:ln>
        <a:effectLst/>
      </c:spPr>
    </c:plotArea>
    <c:legend>
      <c:legendPos val="b"/>
      <c:layout>
        <c:manualLayout>
          <c:xMode val="edge"/>
          <c:yMode val="edge"/>
          <c:x val="2.091774131948677E-2"/>
          <c:y val="0.76103826800655461"/>
          <c:w val="0.97908241294216225"/>
          <c:h val="0.2389618731869047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blipFill>
              <a:blip xmlns:r="http://schemas.openxmlformats.org/officeDocument/2006/relationships" r:embed="rId2"/>
              <a:stretch>
                <a:fillRect/>
              </a:stretch>
            </a:blip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Sheet1!$B$8:$F$8</c:f>
              <c:numCache>
                <c:formatCode>0.0</c:formatCode>
                <c:ptCount val="5"/>
                <c:pt idx="0">
                  <c:v>18.541975780615999</c:v>
                </c:pt>
                <c:pt idx="1">
                  <c:v>18.152724119014632</c:v>
                </c:pt>
                <c:pt idx="2">
                  <c:v>18.129380669063085</c:v>
                </c:pt>
                <c:pt idx="3">
                  <c:v>19.313638000980312</c:v>
                </c:pt>
                <c:pt idx="4">
                  <c:v>19.381664568582313</c:v>
                </c:pt>
              </c:numCache>
            </c:numRef>
          </c:val>
          <c:extLst>
            <c:ext xmlns:c16="http://schemas.microsoft.com/office/drawing/2014/chart" uri="{C3380CC4-5D6E-409C-BE32-E72D297353CC}">
              <c16:uniqueId val="{00000000-9C23-4533-93FA-4F0E6AF81EA8}"/>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Sheet1!$B$9:$F$9</c:f>
              <c:numCache>
                <c:formatCode>0.0</c:formatCode>
                <c:ptCount val="5"/>
                <c:pt idx="0">
                  <c:v>14.994260124277622</c:v>
                </c:pt>
                <c:pt idx="1">
                  <c:v>13.94231165541461</c:v>
                </c:pt>
                <c:pt idx="2">
                  <c:v>11.988356029629218</c:v>
                </c:pt>
                <c:pt idx="3">
                  <c:v>12.917544875891101</c:v>
                </c:pt>
                <c:pt idx="4">
                  <c:v>12.804108150989657</c:v>
                </c:pt>
              </c:numCache>
            </c:numRef>
          </c:val>
          <c:extLst>
            <c:ext xmlns:c16="http://schemas.microsoft.com/office/drawing/2014/chart" uri="{C3380CC4-5D6E-409C-BE32-E72D297353CC}">
              <c16:uniqueId val="{00000001-9C23-4533-93FA-4F0E6AF81EA8}"/>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Sheet1!$B$10:$F$10</c:f>
              <c:numCache>
                <c:formatCode>0.0</c:formatCode>
                <c:ptCount val="5"/>
                <c:pt idx="0">
                  <c:v>7.2675565985495885</c:v>
                </c:pt>
                <c:pt idx="1">
                  <c:v>6.6038337286110611</c:v>
                </c:pt>
                <c:pt idx="2">
                  <c:v>6.1580195361544048</c:v>
                </c:pt>
                <c:pt idx="3">
                  <c:v>5.8282283961426558</c:v>
                </c:pt>
                <c:pt idx="4">
                  <c:v>5.8320776401777303</c:v>
                </c:pt>
              </c:numCache>
            </c:numRef>
          </c:val>
          <c:extLst>
            <c:ext xmlns:c16="http://schemas.microsoft.com/office/drawing/2014/chart" uri="{C3380CC4-5D6E-409C-BE32-E72D297353CC}">
              <c16:uniqueId val="{00000002-9C23-4533-93FA-4F0E6AF81EA8}"/>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Sheet1!$B$11:$F$11</c:f>
              <c:numCache>
                <c:formatCode>0.0</c:formatCode>
                <c:ptCount val="5"/>
                <c:pt idx="0">
                  <c:v>48.915397202473052</c:v>
                </c:pt>
                <c:pt idx="1">
                  <c:v>50.677546310515211</c:v>
                </c:pt>
                <c:pt idx="2">
                  <c:v>52.380338968725816</c:v>
                </c:pt>
                <c:pt idx="3">
                  <c:v>50.991020243906405</c:v>
                </c:pt>
                <c:pt idx="4">
                  <c:v>50.884722535255875</c:v>
                </c:pt>
              </c:numCache>
            </c:numRef>
          </c:val>
          <c:extLst>
            <c:ext xmlns:c16="http://schemas.microsoft.com/office/drawing/2014/chart" uri="{C3380CC4-5D6E-409C-BE32-E72D297353CC}">
              <c16:uniqueId val="{00000003-9C23-4533-93FA-4F0E6AF81EA8}"/>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Sheet1!$B$12:$F$12</c:f>
              <c:numCache>
                <c:formatCode>0.0</c:formatCode>
                <c:ptCount val="5"/>
                <c:pt idx="0">
                  <c:v>10.280810294083739</c:v>
                </c:pt>
                <c:pt idx="1">
                  <c:v>10.623584186444512</c:v>
                </c:pt>
                <c:pt idx="2">
                  <c:v>11.343904796427502</c:v>
                </c:pt>
                <c:pt idx="3">
                  <c:v>10.949568483079522</c:v>
                </c:pt>
                <c:pt idx="4">
                  <c:v>11.097427104994422</c:v>
                </c:pt>
              </c:numCache>
            </c:numRef>
          </c:val>
          <c:extLst>
            <c:ext xmlns:c16="http://schemas.microsoft.com/office/drawing/2014/chart" uri="{C3380CC4-5D6E-409C-BE32-E72D297353CC}">
              <c16:uniqueId val="{00000004-9C23-4533-93FA-4F0E6AF81EA8}"/>
            </c:ext>
          </c:extLst>
        </c:ser>
        <c:dLbls>
          <c:showLegendKey val="0"/>
          <c:showVal val="0"/>
          <c:showCatName val="0"/>
          <c:showSerName val="0"/>
          <c:showPercent val="0"/>
          <c:showBubbleSize val="0"/>
        </c:dLbls>
        <c:gapWidth val="150"/>
        <c:overlap val="100"/>
        <c:axId val="182462720"/>
        <c:axId val="182493184"/>
      </c:barChart>
      <c:catAx>
        <c:axId val="18246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2493184"/>
        <c:crosses val="autoZero"/>
        <c:auto val="1"/>
        <c:lblAlgn val="ctr"/>
        <c:lblOffset val="100"/>
        <c:noMultiLvlLbl val="0"/>
      </c:catAx>
      <c:valAx>
        <c:axId val="18249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2462720"/>
        <c:crosses val="autoZero"/>
        <c:crossBetween val="between"/>
      </c:valAx>
      <c:spPr>
        <a:noFill/>
        <a:ln>
          <a:noFill/>
        </a:ln>
        <a:effectLst/>
      </c:spPr>
    </c:plotArea>
    <c:legend>
      <c:legendPos val="b"/>
      <c:layout>
        <c:manualLayout>
          <c:xMode val="edge"/>
          <c:yMode val="edge"/>
          <c:x val="0"/>
          <c:y val="0.69488362884303068"/>
          <c:w val="0.97725437445319574"/>
          <c:h val="0.2773387271545186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4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 </c:v>
                </c:pt>
                <c:pt idx="1">
                  <c:v>2018 </c:v>
                </c:pt>
                <c:pt idx="2">
                  <c:v>2019</c:v>
                </c:pt>
                <c:pt idx="3">
                  <c:v>2020</c:v>
                </c:pt>
                <c:pt idx="4">
                  <c:v>2021</c:v>
                </c:pt>
              </c:strCache>
            </c:strRef>
          </c:cat>
          <c:val>
            <c:numRef>
              <c:f>Sheet1!$B$2:$F$2</c:f>
              <c:numCache>
                <c:formatCode>0.0</c:formatCode>
                <c:ptCount val="5"/>
                <c:pt idx="0">
                  <c:v>92.348545014871348</c:v>
                </c:pt>
                <c:pt idx="1">
                  <c:v>91.287579637227324</c:v>
                </c:pt>
                <c:pt idx="2">
                  <c:v>95.911658687914851</c:v>
                </c:pt>
                <c:pt idx="3">
                  <c:v>96.142149035394382</c:v>
                </c:pt>
                <c:pt idx="4">
                  <c:v>97.142834251027509</c:v>
                </c:pt>
              </c:numCache>
            </c:numRef>
          </c:val>
          <c:extLst>
            <c:ext xmlns:c16="http://schemas.microsoft.com/office/drawing/2014/chart" uri="{C3380CC4-5D6E-409C-BE32-E72D297353CC}">
              <c16:uniqueId val="{00000000-6154-4871-9EB3-68C33273FFF7}"/>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 </c:v>
                </c:pt>
                <c:pt idx="1">
                  <c:v>2018 </c:v>
                </c:pt>
                <c:pt idx="2">
                  <c:v>2019</c:v>
                </c:pt>
                <c:pt idx="3">
                  <c:v>2020</c:v>
                </c:pt>
                <c:pt idx="4">
                  <c:v>2021</c:v>
                </c:pt>
              </c:strCache>
            </c:strRef>
          </c:cat>
          <c:val>
            <c:numRef>
              <c:f>Sheet1!$B$3:$F$3</c:f>
              <c:numCache>
                <c:formatCode>0.0</c:formatCode>
                <c:ptCount val="5"/>
                <c:pt idx="0">
                  <c:v>17.648375998583727</c:v>
                </c:pt>
                <c:pt idx="1">
                  <c:v>16.740910872517407</c:v>
                </c:pt>
                <c:pt idx="2">
                  <c:v>15.753701444054727</c:v>
                </c:pt>
                <c:pt idx="3">
                  <c:v>16.194813775672497</c:v>
                </c:pt>
                <c:pt idx="4">
                  <c:v>16.162673184821543</c:v>
                </c:pt>
              </c:numCache>
            </c:numRef>
          </c:val>
          <c:extLst>
            <c:ext xmlns:c16="http://schemas.microsoft.com/office/drawing/2014/chart" uri="{C3380CC4-5D6E-409C-BE32-E72D297353CC}">
              <c16:uniqueId val="{00000001-6154-4871-9EB3-68C33273FFF7}"/>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 </c:v>
                </c:pt>
                <c:pt idx="1">
                  <c:v>2018 </c:v>
                </c:pt>
                <c:pt idx="2">
                  <c:v>2019</c:v>
                </c:pt>
                <c:pt idx="3">
                  <c:v>2020</c:v>
                </c:pt>
                <c:pt idx="4">
                  <c:v>2021</c:v>
                </c:pt>
              </c:strCache>
            </c:strRef>
          </c:cat>
          <c:val>
            <c:numRef>
              <c:f>Sheet1!$B$4:$F$4</c:f>
              <c:numCache>
                <c:formatCode>0.0</c:formatCode>
                <c:ptCount val="5"/>
                <c:pt idx="0">
                  <c:v>38.2160456550464</c:v>
                </c:pt>
                <c:pt idx="1">
                  <c:v>39.392894028607294</c:v>
                </c:pt>
                <c:pt idx="2">
                  <c:v>41.188968089478287</c:v>
                </c:pt>
                <c:pt idx="3">
                  <c:v>30.98552198697876</c:v>
                </c:pt>
                <c:pt idx="4">
                  <c:v>33.629812595607575</c:v>
                </c:pt>
              </c:numCache>
            </c:numRef>
          </c:val>
          <c:extLst>
            <c:ext xmlns:c16="http://schemas.microsoft.com/office/drawing/2014/chart" uri="{C3380CC4-5D6E-409C-BE32-E72D297353CC}">
              <c16:uniqueId val="{00000002-6154-4871-9EB3-68C33273FFF7}"/>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 </c:v>
                </c:pt>
                <c:pt idx="1">
                  <c:v>2018 </c:v>
                </c:pt>
                <c:pt idx="2">
                  <c:v>2019</c:v>
                </c:pt>
                <c:pt idx="3">
                  <c:v>2020</c:v>
                </c:pt>
                <c:pt idx="4">
                  <c:v>2021</c:v>
                </c:pt>
              </c:strCache>
            </c:strRef>
          </c:cat>
          <c:val>
            <c:numRef>
              <c:f>Sheet1!$B$5:$F$5</c:f>
              <c:numCache>
                <c:formatCode>0.0</c:formatCode>
                <c:ptCount val="5"/>
                <c:pt idx="0">
                  <c:v>48.986330884790526</c:v>
                </c:pt>
                <c:pt idx="1">
                  <c:v>53.080212992604743</c:v>
                </c:pt>
                <c:pt idx="2">
                  <c:v>54.548212804847878</c:v>
                </c:pt>
                <c:pt idx="3">
                  <c:v>43.32248479804565</c:v>
                </c:pt>
                <c:pt idx="4">
                  <c:v>46.935320031456648</c:v>
                </c:pt>
              </c:numCache>
            </c:numRef>
          </c:val>
          <c:extLst>
            <c:ext xmlns:c16="http://schemas.microsoft.com/office/drawing/2014/chart" uri="{C3380CC4-5D6E-409C-BE32-E72D297353CC}">
              <c16:uniqueId val="{00000003-6154-4871-9EB3-68C33273FFF7}"/>
            </c:ext>
          </c:extLst>
        </c:ser>
        <c:dLbls>
          <c:showLegendKey val="0"/>
          <c:showVal val="0"/>
          <c:showCatName val="0"/>
          <c:showSerName val="0"/>
          <c:showPercent val="0"/>
          <c:showBubbleSize val="0"/>
        </c:dLbls>
        <c:gapWidth val="150"/>
        <c:overlap val="100"/>
        <c:axId val="183535488"/>
        <c:axId val="183537024"/>
      </c:barChart>
      <c:catAx>
        <c:axId val="18353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3537024"/>
        <c:crosses val="autoZero"/>
        <c:auto val="1"/>
        <c:lblAlgn val="ctr"/>
        <c:lblOffset val="100"/>
        <c:noMultiLvlLbl val="0"/>
      </c:catAx>
      <c:valAx>
        <c:axId val="183537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3535488"/>
        <c:crosses val="autoZero"/>
        <c:crossBetween val="between"/>
      </c:valAx>
      <c:spPr>
        <a:noFill/>
        <a:ln>
          <a:noFill/>
        </a:ln>
        <a:effectLst/>
      </c:spPr>
    </c:plotArea>
    <c:legend>
      <c:legendPos val="b"/>
      <c:layout>
        <c:manualLayout>
          <c:xMode val="edge"/>
          <c:yMode val="edge"/>
          <c:x val="5.2434256574987008E-3"/>
          <c:y val="0.82079933378493464"/>
          <c:w val="0.99475646011079077"/>
          <c:h val="0.1456102517572049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34608552719"/>
          <c:y val="0.15695898950131323"/>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strRef>
              <c:f>Лист1!$A$2:$A$7</c:f>
              <c:strCache>
                <c:ptCount val="6"/>
                <c:pt idx="0">
                  <c:v>2019-I</c:v>
                </c:pt>
                <c:pt idx="1">
                  <c:v>2019-II</c:v>
                </c:pt>
                <c:pt idx="2">
                  <c:v>2019-III</c:v>
                </c:pt>
                <c:pt idx="3">
                  <c:v>2019-IV</c:v>
                </c:pt>
                <c:pt idx="4">
                  <c:v>2020-I</c:v>
                </c:pt>
                <c:pt idx="5">
                  <c:v>2020-II</c:v>
                </c:pt>
              </c:strCache>
            </c:strRef>
          </c:cat>
          <c:val>
            <c:numRef>
              <c:f>Лист1!$B$2:$B$7</c:f>
              <c:numCache>
                <c:formatCode>General</c:formatCode>
                <c:ptCount val="6"/>
                <c:pt idx="0">
                  <c:v>253</c:v>
                </c:pt>
                <c:pt idx="1">
                  <c:v>207.4</c:v>
                </c:pt>
                <c:pt idx="2">
                  <c:v>218.7</c:v>
                </c:pt>
                <c:pt idx="3">
                  <c:v>202.3</c:v>
                </c:pt>
                <c:pt idx="4">
                  <c:v>233.5</c:v>
                </c:pt>
                <c:pt idx="5">
                  <c:v>218.1</c:v>
                </c:pt>
              </c:numCache>
            </c:numRef>
          </c:val>
          <c:extLst>
            <c:ext xmlns:c16="http://schemas.microsoft.com/office/drawing/2014/chart" uri="{C3380CC4-5D6E-409C-BE32-E72D297353CC}">
              <c16:uniqueId val="{00000000-A72D-43CF-98E8-DFA5E7E1762E}"/>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strRef>
              <c:f>Лист1!$A$2:$A$7</c:f>
              <c:strCache>
                <c:ptCount val="6"/>
                <c:pt idx="0">
                  <c:v>2019-I</c:v>
                </c:pt>
                <c:pt idx="1">
                  <c:v>2019-II</c:v>
                </c:pt>
                <c:pt idx="2">
                  <c:v>2019-III</c:v>
                </c:pt>
                <c:pt idx="3">
                  <c:v>2019-IV</c:v>
                </c:pt>
                <c:pt idx="4">
                  <c:v>2020-I</c:v>
                </c:pt>
                <c:pt idx="5">
                  <c:v>2020-II</c:v>
                </c:pt>
              </c:strCache>
            </c:strRef>
          </c:cat>
          <c:val>
            <c:numRef>
              <c:f>Лист1!$C$2:$C$7</c:f>
              <c:numCache>
                <c:formatCode>#,##0.00</c:formatCode>
                <c:ptCount val="6"/>
                <c:pt idx="0" formatCode="General">
                  <c:v>945</c:v>
                </c:pt>
                <c:pt idx="1">
                  <c:v>1052.8</c:v>
                </c:pt>
                <c:pt idx="2">
                  <c:v>1063.8</c:v>
                </c:pt>
                <c:pt idx="3" formatCode="General">
                  <c:v>980.1</c:v>
                </c:pt>
                <c:pt idx="4" formatCode="General">
                  <c:v>946.5</c:v>
                </c:pt>
                <c:pt idx="5" formatCode="General">
                  <c:v>1027.0999999999999</c:v>
                </c:pt>
              </c:numCache>
            </c:numRef>
          </c:val>
          <c:extLst>
            <c:ext xmlns:c16="http://schemas.microsoft.com/office/drawing/2014/chart" uri="{C3380CC4-5D6E-409C-BE32-E72D297353CC}">
              <c16:uniqueId val="{00000001-A72D-43CF-98E8-DFA5E7E1762E}"/>
            </c:ext>
          </c:extLst>
        </c:ser>
        <c:dLbls>
          <c:showLegendKey val="0"/>
          <c:showVal val="0"/>
          <c:showCatName val="0"/>
          <c:showSerName val="0"/>
          <c:showPercent val="0"/>
          <c:showBubbleSize val="0"/>
        </c:dLbls>
        <c:gapWidth val="219"/>
        <c:overlap val="-27"/>
        <c:axId val="183598464"/>
        <c:axId val="183604352"/>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cat>
            <c:strRef>
              <c:f>Лист1!$A$2:$A$7</c:f>
              <c:strCache>
                <c:ptCount val="6"/>
                <c:pt idx="0">
                  <c:v>2019-I</c:v>
                </c:pt>
                <c:pt idx="1">
                  <c:v>2019-II</c:v>
                </c:pt>
                <c:pt idx="2">
                  <c:v>2019-III</c:v>
                </c:pt>
                <c:pt idx="3">
                  <c:v>2019-IV</c:v>
                </c:pt>
                <c:pt idx="4">
                  <c:v>2020-I</c:v>
                </c:pt>
                <c:pt idx="5">
                  <c:v>2020-II</c:v>
                </c:pt>
              </c:strCache>
            </c:strRef>
          </c:cat>
          <c:val>
            <c:numRef>
              <c:f>Лист1!$D$2:$D$7</c:f>
              <c:numCache>
                <c:formatCode>General</c:formatCode>
                <c:ptCount val="6"/>
                <c:pt idx="0">
                  <c:v>21.1</c:v>
                </c:pt>
                <c:pt idx="1">
                  <c:v>16.5</c:v>
                </c:pt>
                <c:pt idx="2">
                  <c:v>17.100000000000001</c:v>
                </c:pt>
                <c:pt idx="3">
                  <c:v>17.100000000000001</c:v>
                </c:pt>
                <c:pt idx="4">
                  <c:v>19.8</c:v>
                </c:pt>
                <c:pt idx="5">
                  <c:v>17.5</c:v>
                </c:pt>
              </c:numCache>
            </c:numRef>
          </c:val>
          <c:smooth val="0"/>
          <c:extLst>
            <c:ext xmlns:c16="http://schemas.microsoft.com/office/drawing/2014/chart" uri="{C3380CC4-5D6E-409C-BE32-E72D297353CC}">
              <c16:uniqueId val="{00000002-A72D-43CF-98E8-DFA5E7E1762E}"/>
            </c:ext>
          </c:extLst>
        </c:ser>
        <c:dLbls>
          <c:showLegendKey val="0"/>
          <c:showVal val="0"/>
          <c:showCatName val="0"/>
          <c:showSerName val="0"/>
          <c:showPercent val="0"/>
          <c:showBubbleSize val="0"/>
        </c:dLbls>
        <c:marker val="1"/>
        <c:smooth val="0"/>
        <c:axId val="215880064"/>
        <c:axId val="183605888"/>
      </c:lineChart>
      <c:catAx>
        <c:axId val="18359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3604352"/>
        <c:crosses val="autoZero"/>
        <c:auto val="1"/>
        <c:lblAlgn val="ctr"/>
        <c:lblOffset val="100"/>
        <c:noMultiLvlLbl val="0"/>
      </c:catAx>
      <c:valAx>
        <c:axId val="183604352"/>
        <c:scaling>
          <c:orientation val="minMax"/>
          <c:max val="1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3598464"/>
        <c:crosses val="autoZero"/>
        <c:crossBetween val="between"/>
        <c:majorUnit val="200"/>
      </c:valAx>
      <c:valAx>
        <c:axId val="18360588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880064"/>
        <c:crosses val="max"/>
        <c:crossBetween val="between"/>
      </c:valAx>
      <c:catAx>
        <c:axId val="215880064"/>
        <c:scaling>
          <c:orientation val="minMax"/>
        </c:scaling>
        <c:delete val="1"/>
        <c:axPos val="b"/>
        <c:numFmt formatCode="General" sourceLinked="1"/>
        <c:majorTickMark val="none"/>
        <c:minorTickMark val="none"/>
        <c:tickLblPos val="none"/>
        <c:crossAx val="183605888"/>
        <c:crosses val="autoZero"/>
        <c:auto val="1"/>
        <c:lblAlgn val="ctr"/>
        <c:lblOffset val="100"/>
        <c:noMultiLvlLbl val="0"/>
      </c:catAx>
      <c:spPr>
        <a:noFill/>
        <a:ln>
          <a:noFill/>
        </a:ln>
        <a:effectLst/>
      </c:spPr>
    </c:plotArea>
    <c:legend>
      <c:legendPos val="b"/>
      <c:layout>
        <c:manualLayout>
          <c:xMode val="edge"/>
          <c:yMode val="edge"/>
          <c:x val="1.1575282854656208E-2"/>
          <c:y val="0.79644947529258803"/>
          <c:w val="0.81583986074847892"/>
          <c:h val="0.162042396032215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547E-2"/>
          <c:w val="0.80804307316570501"/>
          <c:h val="0.61867847769029227"/>
        </c:manualLayout>
      </c:layout>
      <c:lineChart>
        <c:grouping val="standard"/>
        <c:varyColors val="0"/>
        <c:ser>
          <c:idx val="0"/>
          <c:order val="0"/>
          <c:tx>
            <c:strRef>
              <c:f>Лист1!$B$1</c:f>
              <c:strCache>
                <c:ptCount val="1"/>
                <c:pt idx="0">
                  <c:v>Ընդամենը</c:v>
                </c:pt>
              </c:strCache>
            </c:strRef>
          </c:tx>
          <c:spPr>
            <a:effectLst/>
          </c:spPr>
          <c:marker>
            <c:symbol val="none"/>
          </c:marker>
          <c:cat>
            <c:strRef>
              <c:f>Лист1!$A$2:$A$11</c:f>
              <c:strCache>
                <c:ptCount val="10"/>
                <c:pt idx="0">
                  <c:v>I</c:v>
                </c:pt>
                <c:pt idx="1">
                  <c:v>I-II</c:v>
                </c:pt>
                <c:pt idx="2">
                  <c:v>I-III</c:v>
                </c:pt>
                <c:pt idx="3">
                  <c:v>I-IV</c:v>
                </c:pt>
                <c:pt idx="4">
                  <c:v>I-V</c:v>
                </c:pt>
                <c:pt idx="5">
                  <c:v>I-VI</c:v>
                </c:pt>
                <c:pt idx="6">
                  <c:v>I-VII</c:v>
                </c:pt>
                <c:pt idx="7">
                  <c:v>I-VIII</c:v>
                </c:pt>
                <c:pt idx="8">
                  <c:v>I-IX</c:v>
                </c:pt>
                <c:pt idx="9">
                  <c:v>I-X</c:v>
                </c:pt>
              </c:strCache>
            </c:strRef>
          </c:cat>
          <c:val>
            <c:numRef>
              <c:f>Лист1!$B$2:$B$11</c:f>
              <c:numCache>
                <c:formatCode>General</c:formatCode>
                <c:ptCount val="10"/>
                <c:pt idx="0">
                  <c:v>10.5</c:v>
                </c:pt>
                <c:pt idx="1">
                  <c:v>9.6</c:v>
                </c:pt>
                <c:pt idx="2">
                  <c:v>9.2000000000000011</c:v>
                </c:pt>
                <c:pt idx="3">
                  <c:v>7.5</c:v>
                </c:pt>
                <c:pt idx="4">
                  <c:v>6.3</c:v>
                </c:pt>
                <c:pt idx="5">
                  <c:v>5.4</c:v>
                </c:pt>
                <c:pt idx="6">
                  <c:v>5</c:v>
                </c:pt>
                <c:pt idx="7">
                  <c:v>4.8</c:v>
                </c:pt>
                <c:pt idx="8">
                  <c:v>4.7</c:v>
                </c:pt>
                <c:pt idx="9">
                  <c:v>4.2999999999999972</c:v>
                </c:pt>
              </c:numCache>
            </c:numRef>
          </c:val>
          <c:smooth val="0"/>
          <c:extLst>
            <c:ext xmlns:c16="http://schemas.microsoft.com/office/drawing/2014/chart" uri="{C3380CC4-5D6E-409C-BE32-E72D297353CC}">
              <c16:uniqueId val="{00000000-C502-470B-B28D-659EDF051367}"/>
            </c:ext>
          </c:extLst>
        </c:ser>
        <c:ser>
          <c:idx val="1"/>
          <c:order val="1"/>
          <c:tx>
            <c:strRef>
              <c:f>Лист1!$C$1</c:f>
              <c:strCache>
                <c:ptCount val="1"/>
                <c:pt idx="0">
                  <c:v>Պետական</c:v>
                </c:pt>
              </c:strCache>
            </c:strRef>
          </c:tx>
          <c:marker>
            <c:symbol val="none"/>
          </c:marker>
          <c:cat>
            <c:strRef>
              <c:f>Лист1!$A$2:$A$11</c:f>
              <c:strCache>
                <c:ptCount val="10"/>
                <c:pt idx="0">
                  <c:v>I</c:v>
                </c:pt>
                <c:pt idx="1">
                  <c:v>I-II</c:v>
                </c:pt>
                <c:pt idx="2">
                  <c:v>I-III</c:v>
                </c:pt>
                <c:pt idx="3">
                  <c:v>I-IV</c:v>
                </c:pt>
                <c:pt idx="4">
                  <c:v>I-V</c:v>
                </c:pt>
                <c:pt idx="5">
                  <c:v>I-VI</c:v>
                </c:pt>
                <c:pt idx="6">
                  <c:v>I-VII</c:v>
                </c:pt>
                <c:pt idx="7">
                  <c:v>I-VIII</c:v>
                </c:pt>
                <c:pt idx="8">
                  <c:v>I-IX</c:v>
                </c:pt>
                <c:pt idx="9">
                  <c:v>I-X</c:v>
                </c:pt>
              </c:strCache>
            </c:strRef>
          </c:cat>
          <c:val>
            <c:numRef>
              <c:f>Лист1!$C$2:$C$11</c:f>
              <c:numCache>
                <c:formatCode>General</c:formatCode>
                <c:ptCount val="10"/>
                <c:pt idx="0">
                  <c:v>12.1</c:v>
                </c:pt>
                <c:pt idx="1">
                  <c:v>11.1</c:v>
                </c:pt>
                <c:pt idx="2">
                  <c:v>10.5</c:v>
                </c:pt>
                <c:pt idx="3">
                  <c:v>9</c:v>
                </c:pt>
                <c:pt idx="4">
                  <c:v>8.4</c:v>
                </c:pt>
                <c:pt idx="5">
                  <c:v>8.3000000000000007</c:v>
                </c:pt>
                <c:pt idx="6">
                  <c:v>7.6</c:v>
                </c:pt>
                <c:pt idx="7">
                  <c:v>7.5</c:v>
                </c:pt>
                <c:pt idx="8">
                  <c:v>7.4</c:v>
                </c:pt>
                <c:pt idx="9">
                  <c:v>6.2999999999999972</c:v>
                </c:pt>
              </c:numCache>
            </c:numRef>
          </c:val>
          <c:smooth val="0"/>
          <c:extLst>
            <c:ext xmlns:c16="http://schemas.microsoft.com/office/drawing/2014/chart" uri="{C3380CC4-5D6E-409C-BE32-E72D297353CC}">
              <c16:uniqueId val="{00000001-C502-470B-B28D-659EDF051367}"/>
            </c:ext>
          </c:extLst>
        </c:ser>
        <c:ser>
          <c:idx val="2"/>
          <c:order val="2"/>
          <c:tx>
            <c:strRef>
              <c:f>Лист1!$D$1</c:f>
              <c:strCache>
                <c:ptCount val="1"/>
                <c:pt idx="0">
                  <c:v>Մասնավոր</c:v>
                </c:pt>
              </c:strCache>
            </c:strRef>
          </c:tx>
          <c:marker>
            <c:symbol val="none"/>
          </c:marker>
          <c:cat>
            <c:strRef>
              <c:f>Лист1!$A$2:$A$11</c:f>
              <c:strCache>
                <c:ptCount val="10"/>
                <c:pt idx="0">
                  <c:v>I</c:v>
                </c:pt>
                <c:pt idx="1">
                  <c:v>I-II</c:v>
                </c:pt>
                <c:pt idx="2">
                  <c:v>I-III</c:v>
                </c:pt>
                <c:pt idx="3">
                  <c:v>I-IV</c:v>
                </c:pt>
                <c:pt idx="4">
                  <c:v>I-V</c:v>
                </c:pt>
                <c:pt idx="5">
                  <c:v>I-VI</c:v>
                </c:pt>
                <c:pt idx="6">
                  <c:v>I-VII</c:v>
                </c:pt>
                <c:pt idx="7">
                  <c:v>I-VIII</c:v>
                </c:pt>
                <c:pt idx="8">
                  <c:v>I-IX</c:v>
                </c:pt>
                <c:pt idx="9">
                  <c:v>I-X</c:v>
                </c:pt>
              </c:strCache>
            </c:strRef>
          </c:cat>
          <c:val>
            <c:numRef>
              <c:f>Лист1!$D$2:$D$11</c:f>
              <c:numCache>
                <c:formatCode>General</c:formatCode>
                <c:ptCount val="10"/>
                <c:pt idx="0">
                  <c:v>8.8000000000000007</c:v>
                </c:pt>
                <c:pt idx="1">
                  <c:v>8</c:v>
                </c:pt>
                <c:pt idx="2">
                  <c:v>7.7</c:v>
                </c:pt>
                <c:pt idx="3">
                  <c:v>6.1</c:v>
                </c:pt>
                <c:pt idx="4">
                  <c:v>4.8</c:v>
                </c:pt>
                <c:pt idx="5">
                  <c:v>3.8</c:v>
                </c:pt>
                <c:pt idx="6">
                  <c:v>3.5</c:v>
                </c:pt>
                <c:pt idx="7">
                  <c:v>3.3</c:v>
                </c:pt>
                <c:pt idx="8">
                  <c:v>3.2</c:v>
                </c:pt>
                <c:pt idx="9">
                  <c:v>3.0999999999999943</c:v>
                </c:pt>
              </c:numCache>
            </c:numRef>
          </c:val>
          <c:smooth val="0"/>
          <c:extLst>
            <c:ext xmlns:c16="http://schemas.microsoft.com/office/drawing/2014/chart" uri="{C3380CC4-5D6E-409C-BE32-E72D297353CC}">
              <c16:uniqueId val="{00000002-C502-470B-B28D-659EDF051367}"/>
            </c:ext>
          </c:extLst>
        </c:ser>
        <c:dLbls>
          <c:showLegendKey val="0"/>
          <c:showVal val="0"/>
          <c:showCatName val="0"/>
          <c:showSerName val="0"/>
          <c:showPercent val="0"/>
          <c:showBubbleSize val="0"/>
        </c:dLbls>
        <c:smooth val="0"/>
        <c:axId val="216337024"/>
        <c:axId val="216347008"/>
      </c:lineChart>
      <c:catAx>
        <c:axId val="21633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347008"/>
        <c:crosses val="autoZero"/>
        <c:auto val="1"/>
        <c:lblAlgn val="ctr"/>
        <c:lblOffset val="100"/>
        <c:noMultiLvlLbl val="0"/>
      </c:catAx>
      <c:valAx>
        <c:axId val="216347008"/>
        <c:scaling>
          <c:orientation val="minMax"/>
          <c:max val="13"/>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337024"/>
        <c:crosses val="autoZero"/>
        <c:crossBetween val="between"/>
        <c:majorUnit val="1"/>
      </c:valAx>
      <c:spPr>
        <a:noFill/>
        <a:ln>
          <a:noFill/>
        </a:ln>
        <a:effectLst/>
      </c:spPr>
    </c:plotArea>
    <c:legend>
      <c:legendPos val="b"/>
      <c:layout>
        <c:manualLayout>
          <c:xMode val="edge"/>
          <c:yMode val="edge"/>
          <c:x val="5.8843537414965986E-2"/>
          <c:y val="0.80372399534053762"/>
          <c:w val="0.83130122127591199"/>
          <c:h val="9.297677610657950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3619698175608326"/>
          <c:h val="0.66128895652749531"/>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Sheet1!$B$1:$F$1</c:f>
              <c:strCache>
                <c:ptCount val="5"/>
                <c:pt idx="0">
                  <c:v>2017</c:v>
                </c:pt>
                <c:pt idx="1">
                  <c:v>2018</c:v>
                </c:pt>
                <c:pt idx="2">
                  <c:v>2019</c:v>
                </c:pt>
                <c:pt idx="3">
                  <c:v>2020*</c:v>
                </c:pt>
                <c:pt idx="4">
                  <c:v>2021*</c:v>
                </c:pt>
              </c:strCache>
            </c:strRef>
          </c:cat>
          <c:val>
            <c:numRef>
              <c:f>Sheet1!$B$3:$F$3</c:f>
              <c:numCache>
                <c:formatCode>0.0</c:formatCode>
                <c:ptCount val="5"/>
                <c:pt idx="0">
                  <c:v>-12.152420745985998</c:v>
                </c:pt>
                <c:pt idx="1">
                  <c:v>-14.119236548260039</c:v>
                </c:pt>
                <c:pt idx="2">
                  <c:v>-13.20469708218365</c:v>
                </c:pt>
                <c:pt idx="3">
                  <c:v>-11.874458452638637</c:v>
                </c:pt>
                <c:pt idx="4">
                  <c:v>-12.549689518658072</c:v>
                </c:pt>
              </c:numCache>
            </c:numRef>
          </c:val>
          <c:extLst>
            <c:ext xmlns:c16="http://schemas.microsoft.com/office/drawing/2014/chart" uri="{C3380CC4-5D6E-409C-BE32-E72D297353CC}">
              <c16:uniqueId val="{00000000-5E0F-4E43-86CD-A395A716BE10}"/>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Sheet1!$B$1:$F$1</c:f>
              <c:strCache>
                <c:ptCount val="5"/>
                <c:pt idx="0">
                  <c:v>2017</c:v>
                </c:pt>
                <c:pt idx="1">
                  <c:v>2018</c:v>
                </c:pt>
                <c:pt idx="2">
                  <c:v>2019</c:v>
                </c:pt>
                <c:pt idx="3">
                  <c:v>2020*</c:v>
                </c:pt>
                <c:pt idx="4">
                  <c:v>2021*</c:v>
                </c:pt>
              </c:strCache>
            </c:strRef>
          </c:cat>
          <c:val>
            <c:numRef>
              <c:f>Sheet1!$B$4:$F$4</c:f>
              <c:numCache>
                <c:formatCode>0.0</c:formatCode>
                <c:ptCount val="5"/>
                <c:pt idx="0">
                  <c:v>10.2304735028249</c:v>
                </c:pt>
                <c:pt idx="1">
                  <c:v>9.1200610226706065</c:v>
                </c:pt>
                <c:pt idx="2">
                  <c:v>8.3754137109130724</c:v>
                </c:pt>
                <c:pt idx="3">
                  <c:v>8.9860943796211963</c:v>
                </c:pt>
                <c:pt idx="4">
                  <c:v>9.4580637941839871</c:v>
                </c:pt>
              </c:numCache>
            </c:numRef>
          </c:val>
          <c:extLst>
            <c:ext xmlns:c16="http://schemas.microsoft.com/office/drawing/2014/chart" uri="{C3380CC4-5D6E-409C-BE32-E72D297353CC}">
              <c16:uniqueId val="{00000001-5E0F-4E43-86CD-A395A716BE10}"/>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Sheet1!$B$1:$F$1</c:f>
              <c:strCache>
                <c:ptCount val="5"/>
                <c:pt idx="0">
                  <c:v>2017</c:v>
                </c:pt>
                <c:pt idx="1">
                  <c:v>2018</c:v>
                </c:pt>
                <c:pt idx="2">
                  <c:v>2019</c:v>
                </c:pt>
                <c:pt idx="3">
                  <c:v>2020*</c:v>
                </c:pt>
                <c:pt idx="4">
                  <c:v>2021*</c:v>
                </c:pt>
              </c:strCache>
            </c:strRef>
          </c:cat>
          <c:val>
            <c:numRef>
              <c:f>Sheet1!$B$5:$F$5</c:f>
              <c:numCache>
                <c:formatCode>0.0</c:formatCode>
                <c:ptCount val="5"/>
                <c:pt idx="0">
                  <c:v>1.3828815313978948</c:v>
                </c:pt>
                <c:pt idx="1">
                  <c:v>0.4550013857759862</c:v>
                </c:pt>
                <c:pt idx="2">
                  <c:v>-0.18719851851663274</c:v>
                </c:pt>
                <c:pt idx="3">
                  <c:v>-0.47830662325954004</c:v>
                </c:pt>
                <c:pt idx="4">
                  <c:v>-0.77284195518592846</c:v>
                </c:pt>
              </c:numCache>
            </c:numRef>
          </c:val>
          <c:extLst>
            <c:ext xmlns:c16="http://schemas.microsoft.com/office/drawing/2014/chart" uri="{C3380CC4-5D6E-409C-BE32-E72D297353CC}">
              <c16:uniqueId val="{00000002-5E0F-4E43-86CD-A395A716BE10}"/>
            </c:ext>
          </c:extLst>
        </c:ser>
        <c:dLbls>
          <c:showLegendKey val="0"/>
          <c:showVal val="0"/>
          <c:showCatName val="0"/>
          <c:showSerName val="0"/>
          <c:showPercent val="0"/>
          <c:showBubbleSize val="0"/>
        </c:dLbls>
        <c:gapWidth val="150"/>
        <c:axId val="237924736"/>
        <c:axId val="237922944"/>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c:v>
                </c:pt>
                <c:pt idx="1">
                  <c:v>2018</c:v>
                </c:pt>
                <c:pt idx="2">
                  <c:v>2019</c:v>
                </c:pt>
                <c:pt idx="3">
                  <c:v>2020*</c:v>
                </c:pt>
                <c:pt idx="4">
                  <c:v>2021*</c:v>
                </c:pt>
              </c:strCache>
            </c:strRef>
          </c:cat>
          <c:val>
            <c:numRef>
              <c:f>Sheet1!$B$2:$F$2</c:f>
              <c:numCache>
                <c:formatCode>0.0</c:formatCode>
                <c:ptCount val="5"/>
                <c:pt idx="0">
                  <c:v>-1.5082447274155455</c:v>
                </c:pt>
                <c:pt idx="1">
                  <c:v>-6.9033442781658483</c:v>
                </c:pt>
                <c:pt idx="2">
                  <c:v>-7.2312880118406833</c:v>
                </c:pt>
                <c:pt idx="3">
                  <c:v>-5.8716253199741244</c:v>
                </c:pt>
                <c:pt idx="4">
                  <c:v>-6.1</c:v>
                </c:pt>
              </c:numCache>
            </c:numRef>
          </c:val>
          <c:smooth val="0"/>
          <c:extLst>
            <c:ext xmlns:c16="http://schemas.microsoft.com/office/drawing/2014/chart" uri="{C3380CC4-5D6E-409C-BE32-E72D297353CC}">
              <c16:uniqueId val="{00000003-5E0F-4E43-86CD-A395A716BE10}"/>
            </c:ext>
          </c:extLst>
        </c:ser>
        <c:dLbls>
          <c:showLegendKey val="0"/>
          <c:showVal val="0"/>
          <c:showCatName val="0"/>
          <c:showSerName val="0"/>
          <c:showPercent val="0"/>
          <c:showBubbleSize val="0"/>
        </c:dLbls>
        <c:marker val="1"/>
        <c:smooth val="0"/>
        <c:axId val="237927808"/>
        <c:axId val="237926272"/>
      </c:lineChart>
      <c:valAx>
        <c:axId val="237922944"/>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37924736"/>
        <c:crosses val="autoZero"/>
        <c:crossBetween val="between"/>
      </c:valAx>
      <c:catAx>
        <c:axId val="237924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7922944"/>
        <c:crosses val="autoZero"/>
        <c:auto val="1"/>
        <c:lblAlgn val="ctr"/>
        <c:lblOffset val="100"/>
        <c:noMultiLvlLbl val="0"/>
      </c:catAx>
      <c:valAx>
        <c:axId val="237926272"/>
        <c:scaling>
          <c:orientation val="minMax"/>
        </c:scaling>
        <c:delete val="1"/>
        <c:axPos val="r"/>
        <c:numFmt formatCode="0.0" sourceLinked="1"/>
        <c:majorTickMark val="out"/>
        <c:minorTickMark val="none"/>
        <c:tickLblPos val="none"/>
        <c:crossAx val="237927808"/>
        <c:crosses val="max"/>
        <c:crossBetween val="between"/>
      </c:valAx>
      <c:catAx>
        <c:axId val="237927808"/>
        <c:scaling>
          <c:orientation val="minMax"/>
        </c:scaling>
        <c:delete val="1"/>
        <c:axPos val="b"/>
        <c:numFmt formatCode="General" sourceLinked="1"/>
        <c:majorTickMark val="out"/>
        <c:minorTickMark val="none"/>
        <c:tickLblPos val="none"/>
        <c:crossAx val="237926272"/>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77E-3"/>
          <c:y val="0.8238687853548996"/>
          <c:w val="0.97570090670484499"/>
          <c:h val="0.1761313659321999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6378599935282063"/>
          <c:h val="0.73564911528916299"/>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c:v>
                </c:pt>
                <c:pt idx="1">
                  <c:v>2018</c:v>
                </c:pt>
                <c:pt idx="2">
                  <c:v>2019</c:v>
                </c:pt>
                <c:pt idx="3">
                  <c:v>2020*</c:v>
                </c:pt>
                <c:pt idx="4">
                  <c:v>2021*</c:v>
                </c:pt>
              </c:strCache>
            </c:strRef>
          </c:cat>
          <c:val>
            <c:numRef>
              <c:f>Sheet1!$B$2:$F$2</c:f>
              <c:numCache>
                <c:formatCode>0.0</c:formatCode>
                <c:ptCount val="5"/>
                <c:pt idx="0">
                  <c:v>38.248994637009204</c:v>
                </c:pt>
                <c:pt idx="1">
                  <c:v>39.390453622631902</c:v>
                </c:pt>
                <c:pt idx="2">
                  <c:v>41.304609571170197</c:v>
                </c:pt>
                <c:pt idx="3">
                  <c:v>31.034886251689805</c:v>
                </c:pt>
                <c:pt idx="4">
                  <c:v>33.68338958462359</c:v>
                </c:pt>
              </c:numCache>
            </c:numRef>
          </c:val>
          <c:extLst>
            <c:ext xmlns:c16="http://schemas.microsoft.com/office/drawing/2014/chart" uri="{C3380CC4-5D6E-409C-BE32-E72D297353CC}">
              <c16:uniqueId val="{00000000-4C2C-4C04-9D3B-A425BFC815B1}"/>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2017</c:v>
                </c:pt>
                <c:pt idx="1">
                  <c:v>2018</c:v>
                </c:pt>
                <c:pt idx="2">
                  <c:v>2019</c:v>
                </c:pt>
                <c:pt idx="3">
                  <c:v>2020*</c:v>
                </c:pt>
                <c:pt idx="4">
                  <c:v>2021*</c:v>
                </c:pt>
              </c:strCache>
            </c:strRef>
          </c:cat>
          <c:val>
            <c:numRef>
              <c:f>Sheet1!$B$3:$F$3</c:f>
              <c:numCache>
                <c:formatCode>0.0</c:formatCode>
                <c:ptCount val="5"/>
                <c:pt idx="0">
                  <c:v>49.018624636710904</c:v>
                </c:pt>
                <c:pt idx="1">
                  <c:v>53.054760649888529</c:v>
                </c:pt>
                <c:pt idx="2">
                  <c:v>54.696505171870513</c:v>
                </c:pt>
                <c:pt idx="3">
                  <c:v>43.387651327587974</c:v>
                </c:pt>
                <c:pt idx="4">
                  <c:v>47.005921058467592</c:v>
                </c:pt>
              </c:numCache>
            </c:numRef>
          </c:val>
          <c:extLst>
            <c:ext xmlns:c16="http://schemas.microsoft.com/office/drawing/2014/chart" uri="{C3380CC4-5D6E-409C-BE32-E72D297353CC}">
              <c16:uniqueId val="{00000001-4C2C-4C04-9D3B-A425BFC815B1}"/>
            </c:ext>
          </c:extLst>
        </c:ser>
        <c:dLbls>
          <c:showLegendKey val="0"/>
          <c:showVal val="0"/>
          <c:showCatName val="0"/>
          <c:showSerName val="0"/>
          <c:showPercent val="0"/>
          <c:showBubbleSize val="0"/>
        </c:dLbls>
        <c:gapWidth val="150"/>
        <c:axId val="243925376"/>
        <c:axId val="240036480"/>
      </c:barChart>
      <c:valAx>
        <c:axId val="240036480"/>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243925376"/>
        <c:crosses val="autoZero"/>
        <c:crossBetween val="between"/>
        <c:majorUnit val="10"/>
      </c:valAx>
      <c:catAx>
        <c:axId val="243925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0036480"/>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12E-2"/>
          <c:y val="0.85107968646776433"/>
          <c:w val="0.92111602488045008"/>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6"/>
          <c:y val="7.7192982456140605E-2"/>
          <c:w val="0.85358700104683449"/>
          <c:h val="0.53218566100289999"/>
        </c:manualLayout>
      </c:layout>
      <c:lineChart>
        <c:grouping val="standard"/>
        <c:varyColors val="0"/>
        <c:ser>
          <c:idx val="0"/>
          <c:order val="0"/>
          <c:tx>
            <c:strRef>
              <c:f>Sheet1!$A$2</c:f>
              <c:strCache>
                <c:ptCount val="1"/>
                <c:pt idx="0">
                  <c:v>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F400-419E-811F-0BEBA2CBB25E}"/>
                </c:ext>
              </c:extLst>
            </c:dLbl>
            <c:dLbl>
              <c:idx val="2"/>
              <c:delete val="1"/>
              <c:extLst>
                <c:ext xmlns:c15="http://schemas.microsoft.com/office/drawing/2012/chart" uri="{CE6537A1-D6FC-4f65-9D91-7224C49458BB}"/>
                <c:ext xmlns:c16="http://schemas.microsoft.com/office/drawing/2014/chart" uri="{C3380CC4-5D6E-409C-BE32-E72D297353CC}">
                  <c16:uniqueId val="{00000001-F400-419E-811F-0BEBA2CBB25E}"/>
                </c:ext>
              </c:extLst>
            </c:dLbl>
            <c:dLbl>
              <c:idx val="3"/>
              <c:delete val="1"/>
              <c:extLst>
                <c:ext xmlns:c15="http://schemas.microsoft.com/office/drawing/2012/chart" uri="{CE6537A1-D6FC-4f65-9D91-7224C49458BB}"/>
                <c:ext xmlns:c16="http://schemas.microsoft.com/office/drawing/2014/chart" uri="{C3380CC4-5D6E-409C-BE32-E72D297353CC}">
                  <c16:uniqueId val="{00000002-F400-419E-811F-0BEBA2CBB25E}"/>
                </c:ext>
              </c:extLst>
            </c:dLbl>
            <c:dLbl>
              <c:idx val="4"/>
              <c:delete val="1"/>
              <c:extLst>
                <c:ext xmlns:c15="http://schemas.microsoft.com/office/drawing/2012/chart" uri="{CE6537A1-D6FC-4f65-9D91-7224C49458BB}"/>
                <c:ext xmlns:c16="http://schemas.microsoft.com/office/drawing/2014/chart" uri="{C3380CC4-5D6E-409C-BE32-E72D297353CC}">
                  <c16:uniqueId val="{00000003-F400-419E-811F-0BEBA2CBB25E}"/>
                </c:ext>
              </c:extLst>
            </c:dLbl>
            <c:dLbl>
              <c:idx val="5"/>
              <c:layout>
                <c:manualLayout>
                  <c:x val="-6.1657032755298671E-2"/>
                  <c:y val="-5.6140350877192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00-419E-811F-0BEBA2CBB25E}"/>
                </c:ext>
              </c:extLst>
            </c:dLbl>
            <c:dLbl>
              <c:idx val="6"/>
              <c:layout>
                <c:manualLayout>
                  <c:x val="-4.6242774566473972E-2"/>
                  <c:y val="-8.4210526315789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00-419E-811F-0BEBA2CBB25E}"/>
                </c:ext>
              </c:extLst>
            </c:dLbl>
            <c:dLbl>
              <c:idx val="7"/>
              <c:layout>
                <c:manualLayout>
                  <c:x val="-4.238921001926782E-2"/>
                  <c:y val="-5.6140350877192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00-419E-811F-0BEBA2CBB25E}"/>
                </c:ext>
              </c:extLst>
            </c:dLbl>
            <c:dLbl>
              <c:idx val="8"/>
              <c:layout>
                <c:manualLayout>
                  <c:x val="-3.4682080924855488E-2"/>
                  <c:y val="-5.6140350877192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00-419E-811F-0BEBA2CBB25E}"/>
                </c:ext>
              </c:extLst>
            </c:dLbl>
            <c:dLbl>
              <c:idx val="9"/>
              <c:layout>
                <c:manualLayout>
                  <c:x val="0"/>
                  <c:y val="-6.3157894736842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00-419E-811F-0BEBA2CBB25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հունվար</c:v>
                </c:pt>
                <c:pt idx="1">
                  <c:v>փետրվար</c:v>
                </c:pt>
                <c:pt idx="2">
                  <c:v>մարտ</c:v>
                </c:pt>
                <c:pt idx="3">
                  <c:v>ապրիլ</c:v>
                </c:pt>
                <c:pt idx="4">
                  <c:v>մայիս</c:v>
                </c:pt>
                <c:pt idx="5">
                  <c:v>հունիս</c:v>
                </c:pt>
                <c:pt idx="6">
                  <c:v>հուլիս</c:v>
                </c:pt>
                <c:pt idx="7">
                  <c:v>օգոստոս</c:v>
                </c:pt>
                <c:pt idx="8">
                  <c:v>սեպտեմբեր</c:v>
                </c:pt>
                <c:pt idx="9">
                  <c:v>Հոկտեմբեր</c:v>
                </c:pt>
              </c:strCache>
            </c:strRef>
          </c:cat>
          <c:val>
            <c:numRef>
              <c:f>Sheet1!$B$2:$K$2</c:f>
              <c:numCache>
                <c:formatCode>0.0</c:formatCode>
                <c:ptCount val="10"/>
                <c:pt idx="0">
                  <c:v>22.5</c:v>
                </c:pt>
                <c:pt idx="1">
                  <c:v>3.0999999999999943</c:v>
                </c:pt>
                <c:pt idx="2">
                  <c:v>-16.400000000000006</c:v>
                </c:pt>
                <c:pt idx="3">
                  <c:v>-29.5</c:v>
                </c:pt>
                <c:pt idx="4">
                  <c:v>-8.3000000000000025</c:v>
                </c:pt>
                <c:pt idx="5">
                  <c:v>-0.20000000000000284</c:v>
                </c:pt>
                <c:pt idx="6">
                  <c:v>-5.2999999999999972</c:v>
                </c:pt>
                <c:pt idx="7">
                  <c:v>-3.0999999999999943</c:v>
                </c:pt>
                <c:pt idx="8">
                  <c:v>5.2999999999999972</c:v>
                </c:pt>
                <c:pt idx="9">
                  <c:v>-5.4000000000000075</c:v>
                </c:pt>
              </c:numCache>
            </c:numRef>
          </c:val>
          <c:smooth val="0"/>
          <c:extLst>
            <c:ext xmlns:c16="http://schemas.microsoft.com/office/drawing/2014/chart" uri="{C3380CC4-5D6E-409C-BE32-E72D297353CC}">
              <c16:uniqueId val="{00000009-F400-419E-811F-0BEBA2CBB25E}"/>
            </c:ext>
          </c:extLst>
        </c:ser>
        <c:ser>
          <c:idx val="1"/>
          <c:order val="1"/>
          <c:tx>
            <c:strRef>
              <c:f>Sheet1!$A$3</c:f>
              <c:strCache>
                <c:ptCount val="1"/>
                <c:pt idx="0">
                  <c:v>Կուտակային փոփոխություն</c:v>
                </c:pt>
              </c:strCache>
            </c:strRef>
          </c:tx>
          <c:spPr>
            <a:ln>
              <a:solidFill>
                <a:srgbClr val="C00000"/>
              </a:solidFill>
            </a:ln>
          </c:spPr>
          <c:marker>
            <c:spPr>
              <a:solidFill>
                <a:srgbClr val="C00000"/>
              </a:solidFill>
              <a:ln>
                <a:solidFill>
                  <a:srgbClr val="C00000"/>
                </a:solidFill>
              </a:ln>
            </c:spPr>
          </c:marker>
          <c:dLbls>
            <c:dLbl>
              <c:idx val="2"/>
              <c:delete val="1"/>
              <c:extLst>
                <c:ext xmlns:c15="http://schemas.microsoft.com/office/drawing/2012/chart" uri="{CE6537A1-D6FC-4f65-9D91-7224C49458BB}"/>
                <c:ext xmlns:c16="http://schemas.microsoft.com/office/drawing/2014/chart" uri="{C3380CC4-5D6E-409C-BE32-E72D297353CC}">
                  <c16:uniqueId val="{0000000A-F400-419E-811F-0BEBA2CBB25E}"/>
                </c:ext>
              </c:extLst>
            </c:dLbl>
            <c:dLbl>
              <c:idx val="3"/>
              <c:layout>
                <c:manualLayout>
                  <c:x val="-2.3121387283236993E-2"/>
                  <c:y val="-4.2105263157894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00-419E-811F-0BEBA2CBB25E}"/>
                </c:ext>
              </c:extLst>
            </c:dLbl>
            <c:dLbl>
              <c:idx val="4"/>
              <c:layout>
                <c:manualLayout>
                  <c:x val="-1.5414258188824592E-2"/>
                  <c:y val="4.912280701754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00-419E-811F-0BEBA2CBB25E}"/>
                </c:ext>
              </c:extLst>
            </c:dLbl>
            <c:dLbl>
              <c:idx val="5"/>
              <c:layout>
                <c:manualLayout>
                  <c:x val="-2.6974951830443159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00-419E-811F-0BEBA2CBB25E}"/>
                </c:ext>
              </c:extLst>
            </c:dLbl>
            <c:dLbl>
              <c:idx val="6"/>
              <c:layout>
                <c:manualLayout>
                  <c:x val="-3.0828516377649336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00-419E-811F-0BEBA2CBB25E}"/>
                </c:ext>
              </c:extLst>
            </c:dLbl>
            <c:dLbl>
              <c:idx val="7"/>
              <c:layout>
                <c:manualLayout>
                  <c:x val="-3.4682080924855488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00-419E-811F-0BEBA2CBB25E}"/>
                </c:ext>
              </c:extLst>
            </c:dLbl>
            <c:dLbl>
              <c:idx val="8"/>
              <c:layout>
                <c:manualLayout>
                  <c:x val="-4.238921001926782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00-419E-811F-0BEBA2CBB25E}"/>
                </c:ext>
              </c:extLst>
            </c:dLbl>
            <c:dLbl>
              <c:idx val="9"/>
              <c:layout>
                <c:manualLayout>
                  <c:x val="-2.31213872832369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00-419E-811F-0BEBA2CBB25E}"/>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հունվար</c:v>
                </c:pt>
                <c:pt idx="1">
                  <c:v>փետրվար</c:v>
                </c:pt>
                <c:pt idx="2">
                  <c:v>մարտ</c:v>
                </c:pt>
                <c:pt idx="3">
                  <c:v>ապրիլ</c:v>
                </c:pt>
                <c:pt idx="4">
                  <c:v>մայիս</c:v>
                </c:pt>
                <c:pt idx="5">
                  <c:v>հունիս</c:v>
                </c:pt>
                <c:pt idx="6">
                  <c:v>հուլիս</c:v>
                </c:pt>
                <c:pt idx="7">
                  <c:v>օգոստոս</c:v>
                </c:pt>
                <c:pt idx="8">
                  <c:v>սեպտեմբեր</c:v>
                </c:pt>
                <c:pt idx="9">
                  <c:v>Հոկտեմբեր</c:v>
                </c:pt>
              </c:strCache>
            </c:strRef>
          </c:cat>
          <c:val>
            <c:numRef>
              <c:f>Sheet1!$B$3:$K$3</c:f>
              <c:numCache>
                <c:formatCode>0.0</c:formatCode>
                <c:ptCount val="10"/>
                <c:pt idx="0">
                  <c:v>22.499999999999986</c:v>
                </c:pt>
                <c:pt idx="1">
                  <c:v>11.416410395303036</c:v>
                </c:pt>
                <c:pt idx="2">
                  <c:v>0.81622800785825689</c:v>
                </c:pt>
                <c:pt idx="3">
                  <c:v>-7.6166501323238709</c:v>
                </c:pt>
                <c:pt idx="4">
                  <c:v>-7.7659620141109542</c:v>
                </c:pt>
                <c:pt idx="5">
                  <c:v>-6.3481629478368546</c:v>
                </c:pt>
                <c:pt idx="6">
                  <c:v>-6.1723857062036114</c:v>
                </c:pt>
                <c:pt idx="7">
                  <c:v>-5.7250487398667786</c:v>
                </c:pt>
                <c:pt idx="8">
                  <c:v>-4.3147350810041871</c:v>
                </c:pt>
                <c:pt idx="9">
                  <c:v>-4.4344456679931739</c:v>
                </c:pt>
              </c:numCache>
            </c:numRef>
          </c:val>
          <c:smooth val="0"/>
          <c:extLst>
            <c:ext xmlns:c16="http://schemas.microsoft.com/office/drawing/2014/chart" uri="{C3380CC4-5D6E-409C-BE32-E72D297353CC}">
              <c16:uniqueId val="{00000012-F400-419E-811F-0BEBA2CBB25E}"/>
            </c:ext>
          </c:extLst>
        </c:ser>
        <c:dLbls>
          <c:showLegendKey val="0"/>
          <c:showVal val="0"/>
          <c:showCatName val="0"/>
          <c:showSerName val="0"/>
          <c:showPercent val="0"/>
          <c:showBubbleSize val="0"/>
        </c:dLbls>
        <c:marker val="1"/>
        <c:smooth val="0"/>
        <c:axId val="244206208"/>
        <c:axId val="244228480"/>
      </c:lineChart>
      <c:catAx>
        <c:axId val="244206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4228480"/>
        <c:crosses val="autoZero"/>
        <c:auto val="1"/>
        <c:lblAlgn val="ctr"/>
        <c:lblOffset val="100"/>
        <c:noMultiLvlLbl val="0"/>
      </c:catAx>
      <c:valAx>
        <c:axId val="244228480"/>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4206208"/>
        <c:crosses val="autoZero"/>
        <c:crossBetween val="between"/>
        <c:majorUnit val="10"/>
      </c:valAx>
      <c:spPr>
        <a:noFill/>
        <a:ln>
          <a:noFill/>
        </a:ln>
        <a:effectLst/>
      </c:spPr>
    </c:plotArea>
    <c:legend>
      <c:legendPos val="b"/>
      <c:layout>
        <c:manualLayout>
          <c:xMode val="edge"/>
          <c:yMode val="edge"/>
          <c:x val="1.7440690881381768E-2"/>
          <c:y val="0.80522613620665839"/>
          <c:w val="0.97802150537634414"/>
          <c:h val="0.15266860063544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5219217562778385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3.5292492463209917E-3"/>
                  <c:y val="-3.1518482064741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DD-4D61-8FDA-A3A496963F9C}"/>
                </c:ext>
              </c:extLst>
            </c:dLbl>
            <c:dLbl>
              <c:idx val="1"/>
              <c:layout>
                <c:manualLayout>
                  <c:x val="-2.1651349308890587E-2"/>
                  <c:y val="-4.421861329833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DD-4D61-8FDA-A3A496963F9C}"/>
                </c:ext>
              </c:extLst>
            </c:dLbl>
            <c:dLbl>
              <c:idx val="2"/>
              <c:layout>
                <c:manualLayout>
                  <c:x val="-3.4272527079625893E-2"/>
                  <c:y val="-6.5051946631671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DD-4D61-8FDA-A3A496963F9C}"/>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DD-4D61-8FDA-A3A496963F9C}"/>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DD-4D61-8FDA-A3A496963F9C}"/>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DD-4D61-8FDA-A3A496963F9C}"/>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DD-4D61-8FDA-A3A496963F9C}"/>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DD-4D61-8FDA-A3A496963F9C}"/>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DD-4D61-8FDA-A3A496963F9C}"/>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19.885675086609361</c:v>
                </c:pt>
                <c:pt idx="1">
                  <c:v>9.1877986710330486</c:v>
                </c:pt>
                <c:pt idx="2">
                  <c:v>2.0200304783728602</c:v>
                </c:pt>
                <c:pt idx="3">
                  <c:v>-6.2641499615951073</c:v>
                </c:pt>
                <c:pt idx="4">
                  <c:v>-6.6656202664939856</c:v>
                </c:pt>
                <c:pt idx="5">
                  <c:v>-5.936281601582893</c:v>
                </c:pt>
                <c:pt idx="6">
                  <c:v>-6.7918452391082393</c:v>
                </c:pt>
                <c:pt idx="7">
                  <c:v>-6.7788252542252678</c:v>
                </c:pt>
                <c:pt idx="8">
                  <c:v>-5.5965820097326864</c:v>
                </c:pt>
              </c:numCache>
            </c:numRef>
          </c:val>
          <c:smooth val="0"/>
          <c:extLst>
            <c:ext xmlns:c16="http://schemas.microsoft.com/office/drawing/2014/chart" uri="{C3380CC4-5D6E-409C-BE32-E72D297353CC}">
              <c16:uniqueId val="{00000009-E3DD-4D61-8FDA-A3A496963F9C}"/>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2.0928184897064437</c:v>
                </c:pt>
                <c:pt idx="1">
                  <c:v>1.9910393258365677</c:v>
                </c:pt>
                <c:pt idx="2">
                  <c:v>-1.2026907524868444</c:v>
                </c:pt>
                <c:pt idx="3">
                  <c:v>-1.4538056384508873</c:v>
                </c:pt>
                <c:pt idx="4">
                  <c:v>-1.1854779876294259</c:v>
                </c:pt>
                <c:pt idx="5">
                  <c:v>-0.44498202291839561</c:v>
                </c:pt>
                <c:pt idx="6">
                  <c:v>0.66753162987143355</c:v>
                </c:pt>
                <c:pt idx="7">
                  <c:v>1.1380707827005101</c:v>
                </c:pt>
                <c:pt idx="8">
                  <c:v>1.2697391240430562</c:v>
                </c:pt>
              </c:numCache>
            </c:numRef>
          </c:val>
          <c:smooth val="0"/>
          <c:extLst>
            <c:ext xmlns:c16="http://schemas.microsoft.com/office/drawing/2014/chart" uri="{C3380CC4-5D6E-409C-BE32-E72D297353CC}">
              <c16:uniqueId val="{0000000A-E3DD-4D61-8FDA-A3A496963F9C}"/>
            </c:ext>
          </c:extLst>
        </c:ser>
        <c:dLbls>
          <c:showLegendKey val="0"/>
          <c:showVal val="0"/>
          <c:showCatName val="0"/>
          <c:showSerName val="0"/>
          <c:showPercent val="0"/>
          <c:showBubbleSize val="0"/>
        </c:dLbls>
        <c:marker val="1"/>
        <c:smooth val="0"/>
        <c:axId val="246470912"/>
        <c:axId val="248058240"/>
      </c:lineChart>
      <c:catAx>
        <c:axId val="2464709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058240"/>
        <c:crosses val="autoZero"/>
        <c:auto val="1"/>
        <c:lblAlgn val="ctr"/>
        <c:lblOffset val="100"/>
        <c:noMultiLvlLbl val="0"/>
      </c:catAx>
      <c:valAx>
        <c:axId val="248058240"/>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6470912"/>
        <c:crosses val="autoZero"/>
        <c:crossBetween val="between"/>
        <c:majorUnit val="10"/>
      </c:valAx>
      <c:spPr>
        <a:noFill/>
        <a:ln>
          <a:noFill/>
        </a:ln>
        <a:effectLst/>
      </c:spPr>
    </c:plotArea>
    <c:legend>
      <c:legendPos val="b"/>
      <c:layout>
        <c:manualLayout>
          <c:xMode val="edge"/>
          <c:yMode val="edge"/>
          <c:x val="1.290348140444713E-2"/>
          <c:y val="0.77859664093712422"/>
          <c:w val="0.95869985292086213"/>
          <c:h val="0.187681884592012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5.2970640985983835</c:v>
                </c:pt>
                <c:pt idx="1">
                  <c:v>-0.61882603703583094</c:v>
                </c:pt>
                <c:pt idx="2">
                  <c:v>-4.1014559796523695</c:v>
                </c:pt>
                <c:pt idx="3">
                  <c:v>-9.6670349540168168</c:v>
                </c:pt>
                <c:pt idx="4">
                  <c:v>-12.196178446093562</c:v>
                </c:pt>
                <c:pt idx="5">
                  <c:v>-12.324011164131273</c:v>
                </c:pt>
                <c:pt idx="6">
                  <c:v>-13.102750913428171</c:v>
                </c:pt>
                <c:pt idx="7">
                  <c:v>-11.607733022678914</c:v>
                </c:pt>
                <c:pt idx="8">
                  <c:v>-12.622750203753014</c:v>
                </c:pt>
              </c:numCache>
            </c:numRef>
          </c:val>
          <c:smooth val="0"/>
          <c:extLst>
            <c:ext xmlns:c16="http://schemas.microsoft.com/office/drawing/2014/chart" uri="{C3380CC4-5D6E-409C-BE32-E72D297353CC}">
              <c16:uniqueId val="{00000000-B6F5-48D8-AD0A-0C2F33D49EE1}"/>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-1.6833167164980698</c:v>
                </c:pt>
                <c:pt idx="1">
                  <c:v>0.97922863509825242</c:v>
                </c:pt>
                <c:pt idx="2">
                  <c:v>-6.4397257877445269E-2</c:v>
                </c:pt>
                <c:pt idx="3">
                  <c:v>-0.75304595333331337</c:v>
                </c:pt>
                <c:pt idx="4">
                  <c:v>-0.27085183167069726</c:v>
                </c:pt>
                <c:pt idx="5">
                  <c:v>-0.44978913508936108</c:v>
                </c:pt>
                <c:pt idx="6">
                  <c:v>-0.5204661143815057</c:v>
                </c:pt>
                <c:pt idx="7">
                  <c:v>-1.1387041453480293</c:v>
                </c:pt>
                <c:pt idx="8">
                  <c:v>-1.2295554302907736</c:v>
                </c:pt>
              </c:numCache>
            </c:numRef>
          </c:val>
          <c:smooth val="0"/>
          <c:extLst>
            <c:ext xmlns:c16="http://schemas.microsoft.com/office/drawing/2014/chart" uri="{C3380CC4-5D6E-409C-BE32-E72D297353CC}">
              <c16:uniqueId val="{00000001-B6F5-48D8-AD0A-0C2F33D49EE1}"/>
            </c:ext>
          </c:extLst>
        </c:ser>
        <c:dLbls>
          <c:showLegendKey val="0"/>
          <c:showVal val="0"/>
          <c:showCatName val="0"/>
          <c:showSerName val="0"/>
          <c:showPercent val="0"/>
          <c:showBubbleSize val="0"/>
        </c:dLbls>
        <c:marker val="1"/>
        <c:smooth val="0"/>
        <c:axId val="248088832"/>
        <c:axId val="248091008"/>
      </c:lineChart>
      <c:catAx>
        <c:axId val="248088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091008"/>
        <c:crosses val="autoZero"/>
        <c:auto val="1"/>
        <c:lblAlgn val="ctr"/>
        <c:lblOffset val="100"/>
        <c:noMultiLvlLbl val="0"/>
      </c:catAx>
      <c:valAx>
        <c:axId val="248091008"/>
        <c:scaling>
          <c:orientation val="minMax"/>
          <c:max val="10"/>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088832"/>
        <c:crosses val="autoZero"/>
        <c:crossBetween val="between"/>
        <c:majorUnit val="5"/>
      </c:valAx>
      <c:spPr>
        <a:noFill/>
        <a:ln>
          <a:noFill/>
        </a:ln>
        <a:effectLst/>
      </c:spPr>
    </c:plotArea>
    <c:legend>
      <c:legendPos val="b"/>
      <c:layout>
        <c:manualLayout>
          <c:xMode val="edge"/>
          <c:yMode val="edge"/>
          <c:x val="3.9658303581617586E-2"/>
          <c:y val="0.84919510061242365"/>
          <c:w val="0.83083600954714498"/>
          <c:h val="0.1508048993875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6"/>
          <c:y val="0.12727272727272718"/>
          <c:w val="0.82715542910077555"/>
          <c:h val="0.45733767572247197"/>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#,##0.0;"–"#,##0.0</c:formatCode>
                <c:ptCount val="5"/>
                <c:pt idx="0">
                  <c:v>5.4489999999999998</c:v>
                </c:pt>
                <c:pt idx="1">
                  <c:v>3.7</c:v>
                </c:pt>
                <c:pt idx="2">
                  <c:v>1.1379999999999995</c:v>
                </c:pt>
                <c:pt idx="3">
                  <c:v>-10.148999999999999</c:v>
                </c:pt>
                <c:pt idx="4">
                  <c:v>7.9130000000000003</c:v>
                </c:pt>
              </c:numCache>
            </c:numRef>
          </c:val>
          <c:extLst>
            <c:ext xmlns:c16="http://schemas.microsoft.com/office/drawing/2014/chart" uri="{C3380CC4-5D6E-409C-BE32-E72D297353CC}">
              <c16:uniqueId val="{00000000-ABCA-4B8D-A5BB-946B4A4080A6}"/>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Sheet1!$D$2:$D$6</c:f>
              <c:numCache>
                <c:formatCode>#,##0.0;"–"#,##0.0</c:formatCode>
                <c:ptCount val="5"/>
                <c:pt idx="0">
                  <c:v>5.7610000000000001</c:v>
                </c:pt>
                <c:pt idx="1">
                  <c:v>4.0730000000000004</c:v>
                </c:pt>
                <c:pt idx="2">
                  <c:v>0.8520000000000002</c:v>
                </c:pt>
                <c:pt idx="3">
                  <c:v>-10.699</c:v>
                </c:pt>
                <c:pt idx="4">
                  <c:v>8.6550000000000029</c:v>
                </c:pt>
              </c:numCache>
            </c:numRef>
          </c:val>
          <c:extLst>
            <c:ext xmlns:c16="http://schemas.microsoft.com/office/drawing/2014/chart" uri="{C3380CC4-5D6E-409C-BE32-E72D297353CC}">
              <c16:uniqueId val="{00000001-ABCA-4B8D-A5BB-946B4A4080A6}"/>
            </c:ext>
          </c:extLst>
        </c:ser>
        <c:dLbls>
          <c:showLegendKey val="0"/>
          <c:showVal val="0"/>
          <c:showCatName val="0"/>
          <c:showSerName val="0"/>
          <c:showPercent val="0"/>
          <c:showBubbleSize val="0"/>
        </c:dLbls>
        <c:gapWidth val="150"/>
        <c:axId val="138999680"/>
        <c:axId val="144130432"/>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#,##0.0;"–"#,##0.0</c:formatCode>
                <c:ptCount val="5"/>
                <c:pt idx="0">
                  <c:v>5.6039999999999983</c:v>
                </c:pt>
                <c:pt idx="1">
                  <c:v>3.8859999999999997</c:v>
                </c:pt>
                <c:pt idx="2">
                  <c:v>0.995</c:v>
                </c:pt>
                <c:pt idx="3">
                  <c:v>-10.423</c:v>
                </c:pt>
                <c:pt idx="4">
                  <c:v>8.2810000000000006</c:v>
                </c:pt>
              </c:numCache>
            </c:numRef>
          </c:val>
          <c:smooth val="0"/>
          <c:extLst>
            <c:ext xmlns:c16="http://schemas.microsoft.com/office/drawing/2014/chart" uri="{C3380CC4-5D6E-409C-BE32-E72D297353CC}">
              <c16:uniqueId val="{00000002-ABCA-4B8D-A5BB-946B4A4080A6}"/>
            </c:ext>
          </c:extLst>
        </c:ser>
        <c:dLbls>
          <c:showLegendKey val="0"/>
          <c:showVal val="0"/>
          <c:showCatName val="0"/>
          <c:showSerName val="0"/>
          <c:showPercent val="0"/>
          <c:showBubbleSize val="0"/>
        </c:dLbls>
        <c:marker val="1"/>
        <c:smooth val="0"/>
        <c:axId val="138999680"/>
        <c:axId val="144130432"/>
      </c:lineChart>
      <c:catAx>
        <c:axId val="138999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30432"/>
        <c:crosses val="autoZero"/>
        <c:auto val="1"/>
        <c:lblAlgn val="ctr"/>
        <c:lblOffset val="100"/>
        <c:noMultiLvlLbl val="0"/>
      </c:catAx>
      <c:valAx>
        <c:axId val="14413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99680"/>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69"/>
          <c:w val="0.9400150504156628"/>
          <c:h val="0.1938294100671971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83"/>
          <c:y val="6.636500754147813E-2"/>
          <c:w val="0.8241503387657938"/>
          <c:h val="0.59055021348137959"/>
        </c:manualLayout>
      </c:layout>
      <c:lineChart>
        <c:grouping val="standard"/>
        <c:varyColors val="0"/>
        <c:ser>
          <c:idx val="0"/>
          <c:order val="0"/>
          <c:tx>
            <c:strRef>
              <c:f>Sheet1!$A$2</c:f>
              <c:strCache>
                <c:ptCount val="1"/>
                <c:pt idx="0">
                  <c:v>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Sheet1!$B$1:$K$1</c:f>
              <c:strCache>
                <c:ptCount val="10"/>
                <c:pt idx="0">
                  <c:v>հունվար</c:v>
                </c:pt>
                <c:pt idx="1">
                  <c:v>փետրվար</c:v>
                </c:pt>
                <c:pt idx="2">
                  <c:v>մարտ</c:v>
                </c:pt>
                <c:pt idx="3">
                  <c:v>ապրիլ</c:v>
                </c:pt>
                <c:pt idx="4">
                  <c:v>մայիս</c:v>
                </c:pt>
                <c:pt idx="5">
                  <c:v>հունիս</c:v>
                </c:pt>
                <c:pt idx="6">
                  <c:v>հուլիս </c:v>
                </c:pt>
                <c:pt idx="7">
                  <c:v>օգոստոս</c:v>
                </c:pt>
                <c:pt idx="8">
                  <c:v>սեպտեմբեր</c:v>
                </c:pt>
                <c:pt idx="9">
                  <c:v>Հոկտեմբեր</c:v>
                </c:pt>
              </c:strCache>
            </c:strRef>
          </c:cat>
          <c:val>
            <c:numRef>
              <c:f>Sheet1!$B$2:$K$2</c:f>
              <c:numCache>
                <c:formatCode>0.0</c:formatCode>
                <c:ptCount val="10"/>
                <c:pt idx="0">
                  <c:v>3.4000000000000057</c:v>
                </c:pt>
                <c:pt idx="1">
                  <c:v>-2.0999999999999943</c:v>
                </c:pt>
                <c:pt idx="2">
                  <c:v>-11.599999999999998</c:v>
                </c:pt>
                <c:pt idx="3">
                  <c:v>-26.79999999999999</c:v>
                </c:pt>
                <c:pt idx="4">
                  <c:v>-20.29999999999999</c:v>
                </c:pt>
                <c:pt idx="5">
                  <c:v>-14.099999999999998</c:v>
                </c:pt>
                <c:pt idx="6">
                  <c:v>-17.900000000000006</c:v>
                </c:pt>
                <c:pt idx="7">
                  <c:v>-3.2999999999999972</c:v>
                </c:pt>
                <c:pt idx="8">
                  <c:v>-21.599999999999987</c:v>
                </c:pt>
                <c:pt idx="9">
                  <c:v>-24.29999999999999</c:v>
                </c:pt>
              </c:numCache>
            </c:numRef>
          </c:val>
          <c:smooth val="0"/>
          <c:extLst>
            <c:ext xmlns:c16="http://schemas.microsoft.com/office/drawing/2014/chart" uri="{C3380CC4-5D6E-409C-BE32-E72D297353CC}">
              <c16:uniqueId val="{00000000-DAAB-49F1-8383-8491281070C1}"/>
            </c:ext>
          </c:extLst>
        </c:ser>
        <c:ser>
          <c:idx val="1"/>
          <c:order val="1"/>
          <c:tx>
            <c:strRef>
              <c:f>Sheet1!$A$3</c:f>
              <c:strCache>
                <c:ptCount val="1"/>
                <c:pt idx="0">
                  <c:v>Կուտակային փոփոխություն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հունվար</c:v>
                </c:pt>
                <c:pt idx="1">
                  <c:v>փետրվար</c:v>
                </c:pt>
                <c:pt idx="2">
                  <c:v>մարտ</c:v>
                </c:pt>
                <c:pt idx="3">
                  <c:v>ապրիլ</c:v>
                </c:pt>
                <c:pt idx="4">
                  <c:v>մայիս</c:v>
                </c:pt>
                <c:pt idx="5">
                  <c:v>հունիս</c:v>
                </c:pt>
                <c:pt idx="6">
                  <c:v>հուլիս </c:v>
                </c:pt>
                <c:pt idx="7">
                  <c:v>օգոստոս</c:v>
                </c:pt>
                <c:pt idx="8">
                  <c:v>սեպտեմբեր</c:v>
                </c:pt>
                <c:pt idx="9">
                  <c:v>Հոկտեմբեր</c:v>
                </c:pt>
              </c:strCache>
            </c:strRef>
          </c:cat>
          <c:val>
            <c:numRef>
              <c:f>Sheet1!$B$3:$K$3</c:f>
              <c:numCache>
                <c:formatCode>0.0</c:formatCode>
                <c:ptCount val="10"/>
                <c:pt idx="0">
                  <c:v>3.4334736160569861</c:v>
                </c:pt>
                <c:pt idx="1">
                  <c:v>0.34478208954264766</c:v>
                </c:pt>
                <c:pt idx="2">
                  <c:v>-4.1722577258128863</c:v>
                </c:pt>
                <c:pt idx="3">
                  <c:v>-10.354242462408369</c:v>
                </c:pt>
                <c:pt idx="4">
                  <c:v>-12.4508225605924</c:v>
                </c:pt>
                <c:pt idx="5">
                  <c:v>-12.754745541486686</c:v>
                </c:pt>
                <c:pt idx="6">
                  <c:v>-13.611155403517085</c:v>
                </c:pt>
                <c:pt idx="7">
                  <c:v>-12.24145726273785</c:v>
                </c:pt>
                <c:pt idx="8">
                  <c:v>-13.534737676171073</c:v>
                </c:pt>
                <c:pt idx="9">
                  <c:v>-14.896554420692539</c:v>
                </c:pt>
              </c:numCache>
            </c:numRef>
          </c:val>
          <c:smooth val="0"/>
          <c:extLst>
            <c:ext xmlns:c16="http://schemas.microsoft.com/office/drawing/2014/chart" uri="{C3380CC4-5D6E-409C-BE32-E72D297353CC}">
              <c16:uniqueId val="{00000001-DAAB-49F1-8383-8491281070C1}"/>
            </c:ext>
          </c:extLst>
        </c:ser>
        <c:dLbls>
          <c:showLegendKey val="0"/>
          <c:showVal val="0"/>
          <c:showCatName val="0"/>
          <c:showSerName val="0"/>
          <c:showPercent val="0"/>
          <c:showBubbleSize val="0"/>
        </c:dLbls>
        <c:marker val="1"/>
        <c:smooth val="0"/>
        <c:axId val="248155520"/>
        <c:axId val="248173696"/>
      </c:lineChart>
      <c:catAx>
        <c:axId val="2481555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173696"/>
        <c:crosses val="autoZero"/>
        <c:auto val="1"/>
        <c:lblAlgn val="ctr"/>
        <c:lblOffset val="100"/>
        <c:noMultiLvlLbl val="0"/>
      </c:catAx>
      <c:valAx>
        <c:axId val="248173696"/>
        <c:scaling>
          <c:orientation val="minMax"/>
          <c:max val="1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155520"/>
        <c:crosses val="autoZero"/>
        <c:crossBetween val="between"/>
        <c:majorUnit val="10"/>
      </c:valAx>
      <c:spPr>
        <a:noFill/>
        <a:ln>
          <a:noFill/>
        </a:ln>
        <a:effectLst/>
      </c:spPr>
    </c:plotArea>
    <c:legend>
      <c:legendPos val="b"/>
      <c:layout>
        <c:manualLayout>
          <c:xMode val="edge"/>
          <c:yMode val="edge"/>
          <c:x val="0"/>
          <c:y val="0.82552036199094836"/>
          <c:w val="1"/>
          <c:h val="0.14604882354307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623E-2"/>
          <c:w val="0.85282510140778012"/>
          <c:h val="0.74838039641596521"/>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2008</c:v>
                </c:pt>
                <c:pt idx="1">
                  <c:v>2009</c:v>
                </c:pt>
                <c:pt idx="2">
                  <c:v>2010</c:v>
                </c:pt>
                <c:pt idx="3">
                  <c:v>2017</c:v>
                </c:pt>
                <c:pt idx="4">
                  <c:v>2018</c:v>
                </c:pt>
                <c:pt idx="5">
                  <c:v>2019</c:v>
                </c:pt>
                <c:pt idx="6">
                  <c:v>2020</c:v>
                </c:pt>
                <c:pt idx="7">
                  <c:v>2021</c:v>
                </c:pt>
              </c:strCache>
            </c:strRef>
          </c:cat>
          <c:val>
            <c:numRef>
              <c:f>Sheet1!$B$2:$I$2</c:f>
              <c:numCache>
                <c:formatCode>#,##0.0</c:formatCode>
                <c:ptCount val="8"/>
                <c:pt idx="0">
                  <c:v>43.484016626524422</c:v>
                </c:pt>
                <c:pt idx="1">
                  <c:v>45.392875331824257</c:v>
                </c:pt>
                <c:pt idx="3" formatCode="0.0">
                  <c:v>49.018624636710904</c:v>
                </c:pt>
                <c:pt idx="4" formatCode="0.0">
                  <c:v>53.054760649888529</c:v>
                </c:pt>
                <c:pt idx="5" formatCode="0.0">
                  <c:v>54.696505171870513</c:v>
                </c:pt>
                <c:pt idx="6" formatCode="0.0">
                  <c:v>43.387651327587974</c:v>
                </c:pt>
                <c:pt idx="7" formatCode="0.0">
                  <c:v>47.005921058467592</c:v>
                </c:pt>
              </c:numCache>
            </c:numRef>
          </c:val>
          <c:extLst>
            <c:ext xmlns:c16="http://schemas.microsoft.com/office/drawing/2014/chart" uri="{C3380CC4-5D6E-409C-BE32-E72D297353CC}">
              <c16:uniqueId val="{00000000-944D-432B-B93F-74733D858423}"/>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2008</c:v>
                </c:pt>
                <c:pt idx="1">
                  <c:v>2009</c:v>
                </c:pt>
                <c:pt idx="2">
                  <c:v>2010</c:v>
                </c:pt>
                <c:pt idx="3">
                  <c:v>2017</c:v>
                </c:pt>
                <c:pt idx="4">
                  <c:v>2018</c:v>
                </c:pt>
                <c:pt idx="5">
                  <c:v>2019</c:v>
                </c:pt>
                <c:pt idx="6">
                  <c:v>2020</c:v>
                </c:pt>
                <c:pt idx="7">
                  <c:v>2021</c:v>
                </c:pt>
              </c:strCache>
            </c:strRef>
          </c:cat>
          <c:val>
            <c:numRef>
              <c:f>Sheet1!$B$3:$I$3</c:f>
              <c:numCache>
                <c:formatCode>#,##0.0</c:formatCode>
                <c:ptCount val="8"/>
                <c:pt idx="0">
                  <c:v>30.857488421341344</c:v>
                </c:pt>
                <c:pt idx="1">
                  <c:v>-22.589336831770666</c:v>
                </c:pt>
                <c:pt idx="3" formatCode="0.0">
                  <c:v>26.412123233885989</c:v>
                </c:pt>
                <c:pt idx="4" formatCode="0.0">
                  <c:v>16.97076225064837</c:v>
                </c:pt>
                <c:pt idx="5" formatCode="0.0">
                  <c:v>13.011374467138772</c:v>
                </c:pt>
                <c:pt idx="6" formatCode="0.0">
                  <c:v>-27.619005123551688</c:v>
                </c:pt>
                <c:pt idx="7" formatCode="0.0">
                  <c:v>9.2120466708132973</c:v>
                </c:pt>
              </c:numCache>
            </c:numRef>
          </c:val>
          <c:extLst>
            <c:ext xmlns:c16="http://schemas.microsoft.com/office/drawing/2014/chart" uri="{C3380CC4-5D6E-409C-BE32-E72D297353CC}">
              <c16:uniqueId val="{00000001-944D-432B-B93F-74733D858423}"/>
            </c:ext>
          </c:extLst>
        </c:ser>
        <c:dLbls>
          <c:showLegendKey val="0"/>
          <c:showVal val="0"/>
          <c:showCatName val="0"/>
          <c:showSerName val="0"/>
          <c:showPercent val="0"/>
          <c:showBubbleSize val="0"/>
        </c:dLbls>
        <c:gapWidth val="150"/>
        <c:axId val="254709120"/>
        <c:axId val="254715008"/>
      </c:barChart>
      <c:catAx>
        <c:axId val="2547091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4715008"/>
        <c:crosses val="autoZero"/>
        <c:auto val="1"/>
        <c:lblAlgn val="ctr"/>
        <c:lblOffset val="100"/>
        <c:noMultiLvlLbl val="0"/>
      </c:catAx>
      <c:valAx>
        <c:axId val="254715008"/>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4709120"/>
        <c:crosses val="autoZero"/>
        <c:crossBetween val="between"/>
        <c:majorUnit val="20"/>
      </c:valAx>
      <c:spPr>
        <a:noFill/>
        <a:ln>
          <a:noFill/>
        </a:ln>
        <a:effectLst/>
      </c:spPr>
    </c:plotArea>
    <c:legend>
      <c:legendPos val="b"/>
      <c:layout>
        <c:manualLayout>
          <c:xMode val="edge"/>
          <c:yMode val="edge"/>
          <c:x val="4.9999900955776971E-2"/>
          <c:y val="0.9160701503221188"/>
          <c:w val="0.92515703461595589"/>
          <c:h val="8.39298496778815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4"/>
          <c:y val="9.1389048471945289E-2"/>
          <c:w val="0.89352514220179968"/>
          <c:h val="0.74930440561882716"/>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2008</c:v>
                </c:pt>
                <c:pt idx="1">
                  <c:v>2009</c:v>
                </c:pt>
                <c:pt idx="2">
                  <c:v>2010</c:v>
                </c:pt>
                <c:pt idx="3">
                  <c:v>2017</c:v>
                </c:pt>
                <c:pt idx="4">
                  <c:v>2018</c:v>
                </c:pt>
                <c:pt idx="5">
                  <c:v>2019</c:v>
                </c:pt>
                <c:pt idx="6">
                  <c:v>2020</c:v>
                </c:pt>
                <c:pt idx="7">
                  <c:v>2021</c:v>
                </c:pt>
              </c:strCache>
            </c:strRef>
          </c:cat>
          <c:val>
            <c:numRef>
              <c:f>Sheet1!$B$2:$I$2</c:f>
              <c:numCache>
                <c:formatCode>#,##0.0</c:formatCode>
                <c:ptCount val="8"/>
                <c:pt idx="0">
                  <c:v>16.666308597664628</c:v>
                </c:pt>
                <c:pt idx="1">
                  <c:v>18.030732932534878</c:v>
                </c:pt>
                <c:pt idx="3" formatCode="0.0">
                  <c:v>38.248994637009204</c:v>
                </c:pt>
                <c:pt idx="4" formatCode="0.0">
                  <c:v>39.390453622631902</c:v>
                </c:pt>
                <c:pt idx="5" formatCode="0.0">
                  <c:v>41.304609571170197</c:v>
                </c:pt>
                <c:pt idx="6" formatCode="0.0">
                  <c:v>31.034886251689805</c:v>
                </c:pt>
                <c:pt idx="7" formatCode="0.0">
                  <c:v>33.68338958462359</c:v>
                </c:pt>
              </c:numCache>
            </c:numRef>
          </c:val>
          <c:extLst>
            <c:ext xmlns:c16="http://schemas.microsoft.com/office/drawing/2014/chart" uri="{C3380CC4-5D6E-409C-BE32-E72D297353CC}">
              <c16:uniqueId val="{00000000-CB10-4B5E-8693-962263549237}"/>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2008</c:v>
                </c:pt>
                <c:pt idx="1">
                  <c:v>2009</c:v>
                </c:pt>
                <c:pt idx="2">
                  <c:v>2010</c:v>
                </c:pt>
                <c:pt idx="3">
                  <c:v>2017</c:v>
                </c:pt>
                <c:pt idx="4">
                  <c:v>2018</c:v>
                </c:pt>
                <c:pt idx="5">
                  <c:v>2019</c:v>
                </c:pt>
                <c:pt idx="6">
                  <c:v>2020</c:v>
                </c:pt>
                <c:pt idx="7">
                  <c:v>2021</c:v>
                </c:pt>
              </c:strCache>
            </c:strRef>
          </c:cat>
          <c:val>
            <c:numRef>
              <c:f>Sheet1!$B$3:$I$3</c:f>
              <c:numCache>
                <c:formatCode>#,##0.0</c:formatCode>
                <c:ptCount val="8"/>
                <c:pt idx="0">
                  <c:v>-1.2609806646880775</c:v>
                </c:pt>
                <c:pt idx="1">
                  <c:v>-19.773709903356099</c:v>
                </c:pt>
                <c:pt idx="3" formatCode="0.0">
                  <c:v>23.729876355965253</c:v>
                </c:pt>
                <c:pt idx="4" formatCode="0.0">
                  <c:v>11.297405374927369</c:v>
                </c:pt>
                <c:pt idx="5" formatCode="0.0">
                  <c:v>14.946162729738472</c:v>
                </c:pt>
                <c:pt idx="6" formatCode="0.0">
                  <c:v>-31.440187472557021</c:v>
                </c:pt>
                <c:pt idx="7" formatCode="0.0">
                  <c:v>9.4081692553277527</c:v>
                </c:pt>
              </c:numCache>
            </c:numRef>
          </c:val>
          <c:extLst>
            <c:ext xmlns:c16="http://schemas.microsoft.com/office/drawing/2014/chart" uri="{C3380CC4-5D6E-409C-BE32-E72D297353CC}">
              <c16:uniqueId val="{00000001-CB10-4B5E-8693-962263549237}"/>
            </c:ext>
          </c:extLst>
        </c:ser>
        <c:dLbls>
          <c:showLegendKey val="0"/>
          <c:showVal val="0"/>
          <c:showCatName val="0"/>
          <c:showSerName val="0"/>
          <c:showPercent val="0"/>
          <c:showBubbleSize val="0"/>
        </c:dLbls>
        <c:gapWidth val="150"/>
        <c:axId val="246792192"/>
        <c:axId val="246793728"/>
      </c:barChart>
      <c:catAx>
        <c:axId val="2467921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793728"/>
        <c:crosses val="autoZero"/>
        <c:auto val="1"/>
        <c:lblAlgn val="ctr"/>
        <c:lblOffset val="100"/>
        <c:noMultiLvlLbl val="0"/>
      </c:catAx>
      <c:valAx>
        <c:axId val="246793728"/>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792192"/>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strRef>
              <c:f>Sheet1!$A$2:$A$966</c:f>
              <c:strCache>
                <c:ptCount val="468"/>
                <c:pt idx="0">
                  <c:v>8/1/2019</c:v>
                </c:pt>
                <c:pt idx="1">
                  <c:v>9/1/2019</c:v>
                </c:pt>
                <c:pt idx="2">
                  <c:v>10/1/2019</c:v>
                </c:pt>
                <c:pt idx="3">
                  <c:v>11/1/2019</c:v>
                </c:pt>
                <c:pt idx="4">
                  <c:v>14/01/2019</c:v>
                </c:pt>
                <c:pt idx="5">
                  <c:v>15/01/2019</c:v>
                </c:pt>
                <c:pt idx="6">
                  <c:v>16/01/2019</c:v>
                </c:pt>
                <c:pt idx="7">
                  <c:v>17/01/2019</c:v>
                </c:pt>
                <c:pt idx="8">
                  <c:v>18/01/2019</c:v>
                </c:pt>
                <c:pt idx="9">
                  <c:v>21/01/2019</c:v>
                </c:pt>
                <c:pt idx="10">
                  <c:v>22/01/2019</c:v>
                </c:pt>
                <c:pt idx="11">
                  <c:v>23/01/2019</c:v>
                </c:pt>
                <c:pt idx="12">
                  <c:v>24/01/2019</c:v>
                </c:pt>
                <c:pt idx="13">
                  <c:v>25/01/2019</c:v>
                </c:pt>
                <c:pt idx="14">
                  <c:v>29/01/2019</c:v>
                </c:pt>
                <c:pt idx="15">
                  <c:v>30/01/2019</c:v>
                </c:pt>
                <c:pt idx="16">
                  <c:v>31/01/2019</c:v>
                </c:pt>
                <c:pt idx="17">
                  <c:v>1/2/2019</c:v>
                </c:pt>
                <c:pt idx="18">
                  <c:v>4/2/2019</c:v>
                </c:pt>
                <c:pt idx="19">
                  <c:v>5/2/2019</c:v>
                </c:pt>
                <c:pt idx="20">
                  <c:v>6/2/2019</c:v>
                </c:pt>
                <c:pt idx="21">
                  <c:v>7/2/2019</c:v>
                </c:pt>
                <c:pt idx="22">
                  <c:v>8/2/2019</c:v>
                </c:pt>
                <c:pt idx="23">
                  <c:v>11/2/2019</c:v>
                </c:pt>
                <c:pt idx="24">
                  <c:v>12/2/2019</c:v>
                </c:pt>
                <c:pt idx="25">
                  <c:v>13/02/2019</c:v>
                </c:pt>
                <c:pt idx="26">
                  <c:v>14/02/2019</c:v>
                </c:pt>
                <c:pt idx="27">
                  <c:v>15/02/2019</c:v>
                </c:pt>
                <c:pt idx="28">
                  <c:v>18/02/2019</c:v>
                </c:pt>
                <c:pt idx="29">
                  <c:v>19/02/2019</c:v>
                </c:pt>
                <c:pt idx="30">
                  <c:v>20/02/2019</c:v>
                </c:pt>
                <c:pt idx="31">
                  <c:v>21/02/2019</c:v>
                </c:pt>
                <c:pt idx="32">
                  <c:v>22/02/2019</c:v>
                </c:pt>
                <c:pt idx="33">
                  <c:v>25/02/2019</c:v>
                </c:pt>
                <c:pt idx="34">
                  <c:v>26/02/2019</c:v>
                </c:pt>
                <c:pt idx="35">
                  <c:v>27/02/2019</c:v>
                </c:pt>
                <c:pt idx="36">
                  <c:v>28/02/2019</c:v>
                </c:pt>
                <c:pt idx="37">
                  <c:v>1/3/2019</c:v>
                </c:pt>
                <c:pt idx="38">
                  <c:v>4/3/2019</c:v>
                </c:pt>
                <c:pt idx="39">
                  <c:v>5/3/2019</c:v>
                </c:pt>
                <c:pt idx="40">
                  <c:v>6/3/2019</c:v>
                </c:pt>
                <c:pt idx="41">
                  <c:v>7/3/2019</c:v>
                </c:pt>
                <c:pt idx="42">
                  <c:v>11/3/2019</c:v>
                </c:pt>
                <c:pt idx="43">
                  <c:v>12/3/2019</c:v>
                </c:pt>
                <c:pt idx="44">
                  <c:v>13/03/2019</c:v>
                </c:pt>
                <c:pt idx="45">
                  <c:v>14/03/2019</c:v>
                </c:pt>
                <c:pt idx="46">
                  <c:v>15/03/2019</c:v>
                </c:pt>
                <c:pt idx="47">
                  <c:v>18/03/2019</c:v>
                </c:pt>
                <c:pt idx="48">
                  <c:v>19/03/2019</c:v>
                </c:pt>
                <c:pt idx="49">
                  <c:v>20/03/2019</c:v>
                </c:pt>
                <c:pt idx="50">
                  <c:v>21/03/2019</c:v>
                </c:pt>
                <c:pt idx="51">
                  <c:v>22/03/2019</c:v>
                </c:pt>
                <c:pt idx="52">
                  <c:v>25/03/2019</c:v>
                </c:pt>
                <c:pt idx="53">
                  <c:v>26/03/2019</c:v>
                </c:pt>
                <c:pt idx="54">
                  <c:v>27/03/2019</c:v>
                </c:pt>
                <c:pt idx="55">
                  <c:v>28/03/2019</c:v>
                </c:pt>
                <c:pt idx="56">
                  <c:v>29/03/2019</c:v>
                </c:pt>
                <c:pt idx="57">
                  <c:v>1/4/2019</c:v>
                </c:pt>
                <c:pt idx="58">
                  <c:v>2/4/2019</c:v>
                </c:pt>
                <c:pt idx="59">
                  <c:v>3/4/2019</c:v>
                </c:pt>
                <c:pt idx="60">
                  <c:v>4/4/2019</c:v>
                </c:pt>
                <c:pt idx="61">
                  <c:v>5/4/2019</c:v>
                </c:pt>
                <c:pt idx="62">
                  <c:v>8/4/2019</c:v>
                </c:pt>
                <c:pt idx="63">
                  <c:v>9/4/2019</c:v>
                </c:pt>
                <c:pt idx="64">
                  <c:v>10/4/2019</c:v>
                </c:pt>
                <c:pt idx="65">
                  <c:v>11/4/2019</c:v>
                </c:pt>
                <c:pt idx="66">
                  <c:v>12/4/2019</c:v>
                </c:pt>
                <c:pt idx="67">
                  <c:v>15/04/2019</c:v>
                </c:pt>
                <c:pt idx="68">
                  <c:v>16/04/2019</c:v>
                </c:pt>
                <c:pt idx="69">
                  <c:v>17/04/2019</c:v>
                </c:pt>
                <c:pt idx="70">
                  <c:v>18/04/2019</c:v>
                </c:pt>
                <c:pt idx="71">
                  <c:v>19/04/2019</c:v>
                </c:pt>
                <c:pt idx="72">
                  <c:v>22/04/2019</c:v>
                </c:pt>
                <c:pt idx="73">
                  <c:v>23/04/2019</c:v>
                </c:pt>
                <c:pt idx="74">
                  <c:v>25/04/2019</c:v>
                </c:pt>
                <c:pt idx="75">
                  <c:v>26/04/2019</c:v>
                </c:pt>
                <c:pt idx="76">
                  <c:v>29/04/2019</c:v>
                </c:pt>
                <c:pt idx="77">
                  <c:v>30/04/2019</c:v>
                </c:pt>
                <c:pt idx="78">
                  <c:v>2/5/2019</c:v>
                </c:pt>
                <c:pt idx="79">
                  <c:v>3/5/2019</c:v>
                </c:pt>
                <c:pt idx="80">
                  <c:v>6/5/2019</c:v>
                </c:pt>
                <c:pt idx="81">
                  <c:v>7/5/2019</c:v>
                </c:pt>
                <c:pt idx="82">
                  <c:v>8/5/2019</c:v>
                </c:pt>
                <c:pt idx="83">
                  <c:v>10/5/2019</c:v>
                </c:pt>
                <c:pt idx="84">
                  <c:v>13/05/2019</c:v>
                </c:pt>
                <c:pt idx="85">
                  <c:v>14/05/2019</c:v>
                </c:pt>
                <c:pt idx="86">
                  <c:v>15/05/2019</c:v>
                </c:pt>
                <c:pt idx="87">
                  <c:v>16/05/2019</c:v>
                </c:pt>
                <c:pt idx="88">
                  <c:v>17/05/2019</c:v>
                </c:pt>
                <c:pt idx="89">
                  <c:v>20/05/2019</c:v>
                </c:pt>
                <c:pt idx="90">
                  <c:v>21/05/2019</c:v>
                </c:pt>
                <c:pt idx="91">
                  <c:v>22/05/2019</c:v>
                </c:pt>
                <c:pt idx="92">
                  <c:v>23/05/2019</c:v>
                </c:pt>
                <c:pt idx="93">
                  <c:v>24/05/2019</c:v>
                </c:pt>
                <c:pt idx="94">
                  <c:v>27/05/2019</c:v>
                </c:pt>
                <c:pt idx="95">
                  <c:v>29/05/2019</c:v>
                </c:pt>
                <c:pt idx="96">
                  <c:v>30/05/2019</c:v>
                </c:pt>
                <c:pt idx="97">
                  <c:v>31/05/2019</c:v>
                </c:pt>
                <c:pt idx="98">
                  <c:v>3/6/2019</c:v>
                </c:pt>
                <c:pt idx="99">
                  <c:v>4/6/2019</c:v>
                </c:pt>
                <c:pt idx="100">
                  <c:v>5/6/2019</c:v>
                </c:pt>
                <c:pt idx="101">
                  <c:v>6/6/2019</c:v>
                </c:pt>
                <c:pt idx="102">
                  <c:v>7/6/2019</c:v>
                </c:pt>
                <c:pt idx="103">
                  <c:v>10/6/2019</c:v>
                </c:pt>
                <c:pt idx="104">
                  <c:v>11/6/2019</c:v>
                </c:pt>
                <c:pt idx="105">
                  <c:v>12/6/2019</c:v>
                </c:pt>
                <c:pt idx="106">
                  <c:v>13/06/2019</c:v>
                </c:pt>
                <c:pt idx="107">
                  <c:v>14/06/2019</c:v>
                </c:pt>
                <c:pt idx="108">
                  <c:v>17/06/2019</c:v>
                </c:pt>
                <c:pt idx="109">
                  <c:v>18/06/2019</c:v>
                </c:pt>
                <c:pt idx="110">
                  <c:v>19/06/2019</c:v>
                </c:pt>
                <c:pt idx="111">
                  <c:v>20/06/2019</c:v>
                </c:pt>
                <c:pt idx="112">
                  <c:v>21/06/2019</c:v>
                </c:pt>
                <c:pt idx="113">
                  <c:v>24/06/2019</c:v>
                </c:pt>
                <c:pt idx="114">
                  <c:v>25/06/2019</c:v>
                </c:pt>
                <c:pt idx="115">
                  <c:v>26/06/2019</c:v>
                </c:pt>
                <c:pt idx="116">
                  <c:v>27/06/2019</c:v>
                </c:pt>
                <c:pt idx="117">
                  <c:v>28/06/2019</c:v>
                </c:pt>
                <c:pt idx="118">
                  <c:v>1/7/2019</c:v>
                </c:pt>
                <c:pt idx="119">
                  <c:v>2/7/2019</c:v>
                </c:pt>
                <c:pt idx="120">
                  <c:v>3/7/2019</c:v>
                </c:pt>
                <c:pt idx="121">
                  <c:v>4/7/2019</c:v>
                </c:pt>
                <c:pt idx="122">
                  <c:v>8/7/2019</c:v>
                </c:pt>
                <c:pt idx="123">
                  <c:v>9/7/2019</c:v>
                </c:pt>
                <c:pt idx="124">
                  <c:v>10/7/2019</c:v>
                </c:pt>
                <c:pt idx="125">
                  <c:v>11/7/2019</c:v>
                </c:pt>
                <c:pt idx="126">
                  <c:v>12/7/2019</c:v>
                </c:pt>
                <c:pt idx="127">
                  <c:v>15/07/2019</c:v>
                </c:pt>
                <c:pt idx="128">
                  <c:v>16/07/2019</c:v>
                </c:pt>
                <c:pt idx="129">
                  <c:v>17/07/2019</c:v>
                </c:pt>
                <c:pt idx="130">
                  <c:v>18/07/2019</c:v>
                </c:pt>
                <c:pt idx="131">
                  <c:v>19/07/2019</c:v>
                </c:pt>
                <c:pt idx="132">
                  <c:v>22/07/2019</c:v>
                </c:pt>
                <c:pt idx="133">
                  <c:v>23/07/2019</c:v>
                </c:pt>
                <c:pt idx="134">
                  <c:v>24/07/2019</c:v>
                </c:pt>
                <c:pt idx="135">
                  <c:v>25/07/2019</c:v>
                </c:pt>
                <c:pt idx="136">
                  <c:v>26/07/2019</c:v>
                </c:pt>
                <c:pt idx="137">
                  <c:v>29/07/2019</c:v>
                </c:pt>
                <c:pt idx="138">
                  <c:v>30/07/2019</c:v>
                </c:pt>
                <c:pt idx="139">
                  <c:v>31/07/2019</c:v>
                </c:pt>
                <c:pt idx="140">
                  <c:v>1/8/2019</c:v>
                </c:pt>
                <c:pt idx="141">
                  <c:v>2/8/2019</c:v>
                </c:pt>
                <c:pt idx="142">
                  <c:v>5/8/2019</c:v>
                </c:pt>
                <c:pt idx="143">
                  <c:v>6/8/2019</c:v>
                </c:pt>
                <c:pt idx="144">
                  <c:v>7/8/2019</c:v>
                </c:pt>
                <c:pt idx="145">
                  <c:v>8/8/2019</c:v>
                </c:pt>
                <c:pt idx="146">
                  <c:v>9/8/2019</c:v>
                </c:pt>
                <c:pt idx="147">
                  <c:v>12/8/2019</c:v>
                </c:pt>
                <c:pt idx="148">
                  <c:v>13/08/2019</c:v>
                </c:pt>
                <c:pt idx="149">
                  <c:v>14/08/2019</c:v>
                </c:pt>
                <c:pt idx="150">
                  <c:v>15/08/2019</c:v>
                </c:pt>
                <c:pt idx="151">
                  <c:v>16/08/2019</c:v>
                </c:pt>
                <c:pt idx="152">
                  <c:v>19/08/2019</c:v>
                </c:pt>
                <c:pt idx="153">
                  <c:v>20/08/2019</c:v>
                </c:pt>
                <c:pt idx="154">
                  <c:v>21/08/2019</c:v>
                </c:pt>
                <c:pt idx="155">
                  <c:v>22/08/2019</c:v>
                </c:pt>
                <c:pt idx="156">
                  <c:v>23/08/2019</c:v>
                </c:pt>
                <c:pt idx="157">
                  <c:v>26/08/2019</c:v>
                </c:pt>
                <c:pt idx="158">
                  <c:v>27/08/2019</c:v>
                </c:pt>
                <c:pt idx="159">
                  <c:v>28/08/2019</c:v>
                </c:pt>
                <c:pt idx="160">
                  <c:v>29/08/2019</c:v>
                </c:pt>
                <c:pt idx="161">
                  <c:v>30/08/2019</c:v>
                </c:pt>
                <c:pt idx="162">
                  <c:v>2/9/2019</c:v>
                </c:pt>
                <c:pt idx="163">
                  <c:v>3/9/2019</c:v>
                </c:pt>
                <c:pt idx="164">
                  <c:v>4/9/2019</c:v>
                </c:pt>
                <c:pt idx="165">
                  <c:v>5/9/2019</c:v>
                </c:pt>
                <c:pt idx="166">
                  <c:v>6/9/2019</c:v>
                </c:pt>
                <c:pt idx="167">
                  <c:v>9/9/2019</c:v>
                </c:pt>
                <c:pt idx="168">
                  <c:v>10/9/2019</c:v>
                </c:pt>
                <c:pt idx="169">
                  <c:v>11/9/2019</c:v>
                </c:pt>
                <c:pt idx="170">
                  <c:v>12/9/2019</c:v>
                </c:pt>
                <c:pt idx="171">
                  <c:v>13/09/2019</c:v>
                </c:pt>
                <c:pt idx="172">
                  <c:v>16/09/2019</c:v>
                </c:pt>
                <c:pt idx="173">
                  <c:v>17/09/2019</c:v>
                </c:pt>
                <c:pt idx="174">
                  <c:v>18/09/2019</c:v>
                </c:pt>
                <c:pt idx="175">
                  <c:v>19/09/2019</c:v>
                </c:pt>
                <c:pt idx="176">
                  <c:v>20/09/2019</c:v>
                </c:pt>
                <c:pt idx="177">
                  <c:v>23/09/2019</c:v>
                </c:pt>
                <c:pt idx="178">
                  <c:v>24/09/2019</c:v>
                </c:pt>
                <c:pt idx="179">
                  <c:v>25/09/2019</c:v>
                </c:pt>
                <c:pt idx="180">
                  <c:v>26/09/2019</c:v>
                </c:pt>
                <c:pt idx="181">
                  <c:v>27/09/2019</c:v>
                </c:pt>
                <c:pt idx="182">
                  <c:v>30/09/2019</c:v>
                </c:pt>
                <c:pt idx="183">
                  <c:v>1/10/2019</c:v>
                </c:pt>
                <c:pt idx="184">
                  <c:v>2/10/2019</c:v>
                </c:pt>
                <c:pt idx="185">
                  <c:v>3/10/2019</c:v>
                </c:pt>
                <c:pt idx="186">
                  <c:v>4/10/2019</c:v>
                </c:pt>
                <c:pt idx="187">
                  <c:v>7/10/2019</c:v>
                </c:pt>
                <c:pt idx="188">
                  <c:v>8/10/2019</c:v>
                </c:pt>
                <c:pt idx="189">
                  <c:v>9/10/2019</c:v>
                </c:pt>
                <c:pt idx="190">
                  <c:v>10/10/2019</c:v>
                </c:pt>
                <c:pt idx="191">
                  <c:v>11/10/2019</c:v>
                </c:pt>
                <c:pt idx="192">
                  <c:v>14/10/2019</c:v>
                </c:pt>
                <c:pt idx="193">
                  <c:v>15/10/2019</c:v>
                </c:pt>
                <c:pt idx="194">
                  <c:v>16/10/2019</c:v>
                </c:pt>
                <c:pt idx="195">
                  <c:v>17/10/2019</c:v>
                </c:pt>
                <c:pt idx="196">
                  <c:v>18/10/2019</c:v>
                </c:pt>
                <c:pt idx="197">
                  <c:v>21/10/2019</c:v>
                </c:pt>
                <c:pt idx="198">
                  <c:v>22/10/2019</c:v>
                </c:pt>
                <c:pt idx="199">
                  <c:v>23/10/2019</c:v>
                </c:pt>
                <c:pt idx="200">
                  <c:v>24/10/2019</c:v>
                </c:pt>
                <c:pt idx="201">
                  <c:v>25/10/2019</c:v>
                </c:pt>
                <c:pt idx="202">
                  <c:v>28/10/2019</c:v>
                </c:pt>
                <c:pt idx="203">
                  <c:v>29/10/2019</c:v>
                </c:pt>
                <c:pt idx="204">
                  <c:v>30/10/2019</c:v>
                </c:pt>
                <c:pt idx="205">
                  <c:v>31/10/2019</c:v>
                </c:pt>
                <c:pt idx="206">
                  <c:v>1/11/2019</c:v>
                </c:pt>
                <c:pt idx="207">
                  <c:v>4/11/2019</c:v>
                </c:pt>
                <c:pt idx="208">
                  <c:v>5/11/2019</c:v>
                </c:pt>
                <c:pt idx="209">
                  <c:v>6/11/2019</c:v>
                </c:pt>
                <c:pt idx="210">
                  <c:v>7/11/2019</c:v>
                </c:pt>
                <c:pt idx="211">
                  <c:v>8/11/2019</c:v>
                </c:pt>
                <c:pt idx="212">
                  <c:v>11/11/2019</c:v>
                </c:pt>
                <c:pt idx="213">
                  <c:v>12/11/2019</c:v>
                </c:pt>
                <c:pt idx="214">
                  <c:v>13/11/2019</c:v>
                </c:pt>
                <c:pt idx="215">
                  <c:v>14/11/2019</c:v>
                </c:pt>
                <c:pt idx="216">
                  <c:v>15/11/2019</c:v>
                </c:pt>
                <c:pt idx="217">
                  <c:v>18/11/2019</c:v>
                </c:pt>
                <c:pt idx="218">
                  <c:v>19/11/2019</c:v>
                </c:pt>
                <c:pt idx="219">
                  <c:v>20/11/2019</c:v>
                </c:pt>
                <c:pt idx="220">
                  <c:v>21/11/2019</c:v>
                </c:pt>
                <c:pt idx="221">
                  <c:v>22/11/2019</c:v>
                </c:pt>
                <c:pt idx="222">
                  <c:v>25/11/2019</c:v>
                </c:pt>
                <c:pt idx="223">
                  <c:v>26/11/2019</c:v>
                </c:pt>
                <c:pt idx="224">
                  <c:v>27/11/2019</c:v>
                </c:pt>
                <c:pt idx="225">
                  <c:v>28/11/2019</c:v>
                </c:pt>
                <c:pt idx="226">
                  <c:v>29/11/2019</c:v>
                </c:pt>
                <c:pt idx="227">
                  <c:v>2/12/2019</c:v>
                </c:pt>
                <c:pt idx="228">
                  <c:v>3/12/2019</c:v>
                </c:pt>
                <c:pt idx="229">
                  <c:v>4/12/2019</c:v>
                </c:pt>
                <c:pt idx="230">
                  <c:v>5/12/2019</c:v>
                </c:pt>
                <c:pt idx="231">
                  <c:v>6/12/2019</c:v>
                </c:pt>
                <c:pt idx="232">
                  <c:v>9/12/2019</c:v>
                </c:pt>
                <c:pt idx="233">
                  <c:v>10/12/2019</c:v>
                </c:pt>
                <c:pt idx="234">
                  <c:v>11/12/2019</c:v>
                </c:pt>
                <c:pt idx="235">
                  <c:v>12/12/2019</c:v>
                </c:pt>
                <c:pt idx="236">
                  <c:v>13/12/2019</c:v>
                </c:pt>
                <c:pt idx="237">
                  <c:v>16/12/2019</c:v>
                </c:pt>
                <c:pt idx="238">
                  <c:v>17/12/2019</c:v>
                </c:pt>
                <c:pt idx="239">
                  <c:v>18/12/2019</c:v>
                </c:pt>
                <c:pt idx="240">
                  <c:v>19/12/2019</c:v>
                </c:pt>
                <c:pt idx="241">
                  <c:v>20/12/2019</c:v>
                </c:pt>
                <c:pt idx="242">
                  <c:v>23/12/2019</c:v>
                </c:pt>
                <c:pt idx="243">
                  <c:v>24/12/2019</c:v>
                </c:pt>
                <c:pt idx="244">
                  <c:v>25/12/2019</c:v>
                </c:pt>
                <c:pt idx="245">
                  <c:v>26/12/2019</c:v>
                </c:pt>
                <c:pt idx="246">
                  <c:v>27/12/2019</c:v>
                </c:pt>
                <c:pt idx="247">
                  <c:v>30/12/2019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pt idx="458">
                  <c:v>4/11/2020</c:v>
                </c:pt>
                <c:pt idx="459">
                  <c:v>5/11/2020</c:v>
                </c:pt>
                <c:pt idx="460">
                  <c:v>6/11/2020</c:v>
                </c:pt>
                <c:pt idx="461">
                  <c:v>9/11/2020</c:v>
                </c:pt>
                <c:pt idx="462">
                  <c:v>10/11/2020</c:v>
                </c:pt>
                <c:pt idx="463">
                  <c:v>11/11/2020</c:v>
                </c:pt>
                <c:pt idx="464">
                  <c:v>12/11/2020</c:v>
                </c:pt>
                <c:pt idx="465">
                  <c:v>13/11/2020</c:v>
                </c:pt>
                <c:pt idx="466">
                  <c:v>16/11/2020</c:v>
                </c:pt>
                <c:pt idx="467">
                  <c:v>17/11/2020</c:v>
                </c:pt>
              </c:strCache>
            </c:strRef>
          </c:cat>
          <c:val>
            <c:numRef>
              <c:f>Sheet1!$B$2:$B$966</c:f>
              <c:numCache>
                <c:formatCode>0</c:formatCode>
                <c:ptCount val="468"/>
                <c:pt idx="0">
                  <c:v>100</c:v>
                </c:pt>
                <c:pt idx="1">
                  <c:v>100.08671057249617</c:v>
                </c:pt>
                <c:pt idx="2">
                  <c:v>100.23742180564444</c:v>
                </c:pt>
                <c:pt idx="3">
                  <c:v>100.33239052790221</c:v>
                </c:pt>
                <c:pt idx="4">
                  <c:v>100.42116563783888</c:v>
                </c:pt>
                <c:pt idx="5">
                  <c:v>100.46658546152739</c:v>
                </c:pt>
                <c:pt idx="6">
                  <c:v>100.45626277432542</c:v>
                </c:pt>
                <c:pt idx="7">
                  <c:v>100.29729339141571</c:v>
                </c:pt>
                <c:pt idx="8">
                  <c:v>100.21677643124059</c:v>
                </c:pt>
                <c:pt idx="9">
                  <c:v>100.15277577058852</c:v>
                </c:pt>
                <c:pt idx="10">
                  <c:v>100.16516299523093</c:v>
                </c:pt>
                <c:pt idx="11">
                  <c:v>100.16722753267129</c:v>
                </c:pt>
                <c:pt idx="12">
                  <c:v>100.29109977909449</c:v>
                </c:pt>
                <c:pt idx="13">
                  <c:v>100.28490616677334</c:v>
                </c:pt>
                <c:pt idx="14">
                  <c:v>100.44800462456389</c:v>
                </c:pt>
                <c:pt idx="15">
                  <c:v>100.42942378760043</c:v>
                </c:pt>
                <c:pt idx="16">
                  <c:v>100.53884427194087</c:v>
                </c:pt>
                <c:pt idx="17">
                  <c:v>100.55742510890434</c:v>
                </c:pt>
                <c:pt idx="18">
                  <c:v>100.63381299419864</c:v>
                </c:pt>
                <c:pt idx="19">
                  <c:v>100.67716828044674</c:v>
                </c:pt>
                <c:pt idx="20">
                  <c:v>100.80310506431036</c:v>
                </c:pt>
                <c:pt idx="21">
                  <c:v>100.89188017424695</c:v>
                </c:pt>
                <c:pt idx="22">
                  <c:v>100.99510704626628</c:v>
                </c:pt>
                <c:pt idx="23">
                  <c:v>101.13136651733176</c:v>
                </c:pt>
                <c:pt idx="24">
                  <c:v>101.08388215620283</c:v>
                </c:pt>
                <c:pt idx="25">
                  <c:v>100.92491277329313</c:v>
                </c:pt>
                <c:pt idx="26">
                  <c:v>100.74736255341988</c:v>
                </c:pt>
                <c:pt idx="27">
                  <c:v>100.64826475628134</c:v>
                </c:pt>
                <c:pt idx="28">
                  <c:v>100.6317484567582</c:v>
                </c:pt>
                <c:pt idx="29">
                  <c:v>100.64620021884096</c:v>
                </c:pt>
                <c:pt idx="30">
                  <c:v>100.66478105580438</c:v>
                </c:pt>
                <c:pt idx="31">
                  <c:v>100.76387885294294</c:v>
                </c:pt>
                <c:pt idx="32">
                  <c:v>100.89600924912772</c:v>
                </c:pt>
                <c:pt idx="33">
                  <c:v>100.92078369841232</c:v>
                </c:pt>
                <c:pt idx="34">
                  <c:v>100.94142907281623</c:v>
                </c:pt>
                <c:pt idx="35">
                  <c:v>101.03433325763358</c:v>
                </c:pt>
                <c:pt idx="36">
                  <c:v>101.10452753060669</c:v>
                </c:pt>
                <c:pt idx="37">
                  <c:v>101.19949625286444</c:v>
                </c:pt>
                <c:pt idx="38">
                  <c:v>101.30272312488378</c:v>
                </c:pt>
                <c:pt idx="39">
                  <c:v>101.28620682536072</c:v>
                </c:pt>
                <c:pt idx="40">
                  <c:v>101.11278568036826</c:v>
                </c:pt>
                <c:pt idx="41">
                  <c:v>100.9723971344219</c:v>
                </c:pt>
                <c:pt idx="42">
                  <c:v>100.8671057249623</c:v>
                </c:pt>
                <c:pt idx="43">
                  <c:v>100.76800792782369</c:v>
                </c:pt>
                <c:pt idx="44">
                  <c:v>100.6152321572351</c:v>
                </c:pt>
                <c:pt idx="45">
                  <c:v>100.49135991081192</c:v>
                </c:pt>
                <c:pt idx="46">
                  <c:v>100.46658546152732</c:v>
                </c:pt>
                <c:pt idx="47">
                  <c:v>100.44387554968303</c:v>
                </c:pt>
                <c:pt idx="48">
                  <c:v>100.39226211367334</c:v>
                </c:pt>
                <c:pt idx="49">
                  <c:v>100.31793876581946</c:v>
                </c:pt>
                <c:pt idx="50">
                  <c:v>100.35716497718681</c:v>
                </c:pt>
                <c:pt idx="51">
                  <c:v>100.30761607861756</c:v>
                </c:pt>
                <c:pt idx="52">
                  <c:v>100.33239052790215</c:v>
                </c:pt>
                <c:pt idx="53">
                  <c:v>100.36748766438872</c:v>
                </c:pt>
                <c:pt idx="54">
                  <c:v>100.40052026343491</c:v>
                </c:pt>
                <c:pt idx="55">
                  <c:v>100.40052026343491</c:v>
                </c:pt>
                <c:pt idx="56">
                  <c:v>100.42735925015991</c:v>
                </c:pt>
                <c:pt idx="57">
                  <c:v>100.42323017527916</c:v>
                </c:pt>
                <c:pt idx="58">
                  <c:v>100.43355286248104</c:v>
                </c:pt>
                <c:pt idx="59">
                  <c:v>100.51200528521581</c:v>
                </c:pt>
                <c:pt idx="60">
                  <c:v>100.60284493259273</c:v>
                </c:pt>
                <c:pt idx="61">
                  <c:v>100.62968391931781</c:v>
                </c:pt>
                <c:pt idx="62">
                  <c:v>100.60903854491389</c:v>
                </c:pt>
                <c:pt idx="63">
                  <c:v>100.44800462456379</c:v>
                </c:pt>
                <c:pt idx="64">
                  <c:v>100.30142246629633</c:v>
                </c:pt>
                <c:pt idx="65">
                  <c:v>100.13213039618458</c:v>
                </c:pt>
                <c:pt idx="66">
                  <c:v>100.13419493362504</c:v>
                </c:pt>
                <c:pt idx="67">
                  <c:v>100.07845242273454</c:v>
                </c:pt>
                <c:pt idx="68">
                  <c:v>99.991741850238355</c:v>
                </c:pt>
                <c:pt idx="69">
                  <c:v>99.799739868282416</c:v>
                </c:pt>
                <c:pt idx="70">
                  <c:v>99.686190309061132</c:v>
                </c:pt>
                <c:pt idx="71">
                  <c:v>99.574705287280281</c:v>
                </c:pt>
                <c:pt idx="72">
                  <c:v>99.506575551747545</c:v>
                </c:pt>
                <c:pt idx="73">
                  <c:v>99.419864979251344</c:v>
                </c:pt>
                <c:pt idx="74">
                  <c:v>99.421929516691662</c:v>
                </c:pt>
                <c:pt idx="75">
                  <c:v>99.372380618122364</c:v>
                </c:pt>
                <c:pt idx="76">
                  <c:v>99.357928856039663</c:v>
                </c:pt>
                <c:pt idx="77">
                  <c:v>99.196894935689556</c:v>
                </c:pt>
                <c:pt idx="78">
                  <c:v>99.192765860808777</c:v>
                </c:pt>
                <c:pt idx="79">
                  <c:v>99.252637446579968</c:v>
                </c:pt>
                <c:pt idx="80">
                  <c:v>99.364122468360947</c:v>
                </c:pt>
                <c:pt idx="81">
                  <c:v>99.436381278774419</c:v>
                </c:pt>
                <c:pt idx="82">
                  <c:v>99.502446476866766</c:v>
                </c:pt>
                <c:pt idx="83">
                  <c:v>99.545801763114909</c:v>
                </c:pt>
                <c:pt idx="84">
                  <c:v>99.372380618122435</c:v>
                </c:pt>
                <c:pt idx="85">
                  <c:v>99.273282820983894</c:v>
                </c:pt>
                <c:pt idx="86">
                  <c:v>99.205153085451173</c:v>
                </c:pt>
                <c:pt idx="87">
                  <c:v>99.126700662716459</c:v>
                </c:pt>
                <c:pt idx="88">
                  <c:v>99.039990090220257</c:v>
                </c:pt>
                <c:pt idx="89">
                  <c:v>99.103990750872242</c:v>
                </c:pt>
                <c:pt idx="90">
                  <c:v>99.015215640935679</c:v>
                </c:pt>
                <c:pt idx="91">
                  <c:v>99.023473790697182</c:v>
                </c:pt>
                <c:pt idx="92">
                  <c:v>99.093668063670322</c:v>
                </c:pt>
                <c:pt idx="93">
                  <c:v>99.103990750872242</c:v>
                </c:pt>
                <c:pt idx="94">
                  <c:v>99.134958812478004</c:v>
                </c:pt>
                <c:pt idx="95">
                  <c:v>99.165926874083809</c:v>
                </c:pt>
                <c:pt idx="96">
                  <c:v>99.153539649441541</c:v>
                </c:pt>
                <c:pt idx="97">
                  <c:v>99.1184425129549</c:v>
                </c:pt>
                <c:pt idx="98">
                  <c:v>99.139087887358798</c:v>
                </c:pt>
                <c:pt idx="99">
                  <c:v>99.101926213431838</c:v>
                </c:pt>
                <c:pt idx="100">
                  <c:v>99.054441852302972</c:v>
                </c:pt>
                <c:pt idx="101">
                  <c:v>99.009022028614481</c:v>
                </c:pt>
                <c:pt idx="102">
                  <c:v>99.017280178376083</c:v>
                </c:pt>
                <c:pt idx="103">
                  <c:v>98.998699341412618</c:v>
                </c:pt>
                <c:pt idx="104">
                  <c:v>98.965666742366423</c:v>
                </c:pt>
                <c:pt idx="105">
                  <c:v>98.895472469393269</c:v>
                </c:pt>
                <c:pt idx="106">
                  <c:v>98.796374672254686</c:v>
                </c:pt>
                <c:pt idx="107">
                  <c:v>98.767471148089271</c:v>
                </c:pt>
                <c:pt idx="108">
                  <c:v>98.649792513987208</c:v>
                </c:pt>
                <c:pt idx="109">
                  <c:v>98.639469826785302</c:v>
                </c:pt>
                <c:pt idx="110">
                  <c:v>98.69314780023538</c:v>
                </c:pt>
                <c:pt idx="111">
                  <c:v>98.58785639077567</c:v>
                </c:pt>
                <c:pt idx="112">
                  <c:v>98.58785639077567</c:v>
                </c:pt>
                <c:pt idx="113">
                  <c:v>98.645663439106528</c:v>
                </c:pt>
                <c:pt idx="114">
                  <c:v>98.492887668517895</c:v>
                </c:pt>
                <c:pt idx="115">
                  <c:v>98.546565641968002</c:v>
                </c:pt>
                <c:pt idx="116">
                  <c:v>98.544501104527541</c:v>
                </c:pt>
                <c:pt idx="117">
                  <c:v>98.50114581827944</c:v>
                </c:pt>
                <c:pt idx="118">
                  <c:v>98.474306831554358</c:v>
                </c:pt>
                <c:pt idx="119">
                  <c:v>98.499081280839064</c:v>
                </c:pt>
                <c:pt idx="120">
                  <c:v>98.482564981316003</c:v>
                </c:pt>
                <c:pt idx="121">
                  <c:v>98.480500443875599</c:v>
                </c:pt>
                <c:pt idx="122">
                  <c:v>98.457790532031268</c:v>
                </c:pt>
                <c:pt idx="123">
                  <c:v>98.478435906435124</c:v>
                </c:pt>
                <c:pt idx="124">
                  <c:v>98.393789871379312</c:v>
                </c:pt>
                <c:pt idx="125">
                  <c:v>98.46604868179287</c:v>
                </c:pt>
                <c:pt idx="126">
                  <c:v>98.412370708342792</c:v>
                </c:pt>
                <c:pt idx="127">
                  <c:v>98.412370708342792</c:v>
                </c:pt>
                <c:pt idx="128">
                  <c:v>98.424757932985088</c:v>
                </c:pt>
                <c:pt idx="129">
                  <c:v>98.364886347213883</c:v>
                </c:pt>
                <c:pt idx="130">
                  <c:v>98.356628197452324</c:v>
                </c:pt>
                <c:pt idx="131">
                  <c:v>98.371079959535052</c:v>
                </c:pt>
                <c:pt idx="132">
                  <c:v>98.309143836323443</c:v>
                </c:pt>
                <c:pt idx="133">
                  <c:v>98.298821149121508</c:v>
                </c:pt>
                <c:pt idx="134">
                  <c:v>98.267853087515775</c:v>
                </c:pt>
                <c:pt idx="135">
                  <c:v>98.259594937754173</c:v>
                </c:pt>
                <c:pt idx="136">
                  <c:v>98.265788550075342</c:v>
                </c:pt>
                <c:pt idx="137">
                  <c:v>98.296756611681133</c:v>
                </c:pt>
                <c:pt idx="138">
                  <c:v>98.234820488469566</c:v>
                </c:pt>
                <c:pt idx="139">
                  <c:v>98.232755951029148</c:v>
                </c:pt>
                <c:pt idx="140">
                  <c:v>98.253401325433018</c:v>
                </c:pt>
                <c:pt idx="141">
                  <c:v>98.251336787992656</c:v>
                </c:pt>
                <c:pt idx="142">
                  <c:v>98.302950224002331</c:v>
                </c:pt>
                <c:pt idx="143">
                  <c:v>98.311208373763847</c:v>
                </c:pt>
                <c:pt idx="144">
                  <c:v>98.369015422094662</c:v>
                </c:pt>
                <c:pt idx="145">
                  <c:v>98.315337448644598</c:v>
                </c:pt>
                <c:pt idx="146">
                  <c:v>98.298821149121551</c:v>
                </c:pt>
                <c:pt idx="147">
                  <c:v>98.25133678799267</c:v>
                </c:pt>
                <c:pt idx="148">
                  <c:v>98.259594937754187</c:v>
                </c:pt>
                <c:pt idx="149">
                  <c:v>98.21830418894649</c:v>
                </c:pt>
                <c:pt idx="150">
                  <c:v>98.245143175671501</c:v>
                </c:pt>
                <c:pt idx="151">
                  <c:v>98.255465862873407</c:v>
                </c:pt>
                <c:pt idx="152">
                  <c:v>98.253401325433032</c:v>
                </c:pt>
                <c:pt idx="153">
                  <c:v>98.25133678799267</c:v>
                </c:pt>
                <c:pt idx="154">
                  <c:v>98.259594937754187</c:v>
                </c:pt>
                <c:pt idx="155">
                  <c:v>98.253401325433032</c:v>
                </c:pt>
                <c:pt idx="156">
                  <c:v>98.269917624956165</c:v>
                </c:pt>
                <c:pt idx="157">
                  <c:v>98.315337448644627</c:v>
                </c:pt>
                <c:pt idx="158">
                  <c:v>98.257530400313868</c:v>
                </c:pt>
                <c:pt idx="159">
                  <c:v>98.243078638231111</c:v>
                </c:pt>
                <c:pt idx="160">
                  <c:v>98.263724012634938</c:v>
                </c:pt>
                <c:pt idx="161">
                  <c:v>98.29262753680041</c:v>
                </c:pt>
                <c:pt idx="162">
                  <c:v>98.307079298883139</c:v>
                </c:pt>
                <c:pt idx="163">
                  <c:v>98.340111897929319</c:v>
                </c:pt>
                <c:pt idx="164">
                  <c:v>98.375209034415889</c:v>
                </c:pt>
                <c:pt idx="165">
                  <c:v>98.34217643536968</c:v>
                </c:pt>
                <c:pt idx="166">
                  <c:v>98.385531721617809</c:v>
                </c:pt>
                <c:pt idx="167">
                  <c:v>98.406177096021636</c:v>
                </c:pt>
                <c:pt idx="168">
                  <c:v>98.344240972810127</c:v>
                </c:pt>
                <c:pt idx="169">
                  <c:v>98.342176435369709</c:v>
                </c:pt>
                <c:pt idx="170">
                  <c:v>98.317401986085102</c:v>
                </c:pt>
                <c:pt idx="171">
                  <c:v>98.309143836323514</c:v>
                </c:pt>
                <c:pt idx="172">
                  <c:v>98.305014761442777</c:v>
                </c:pt>
                <c:pt idx="173">
                  <c:v>98.292627536800453</c:v>
                </c:pt>
                <c:pt idx="174">
                  <c:v>98.317401986085073</c:v>
                </c:pt>
                <c:pt idx="175">
                  <c:v>98.325660135846576</c:v>
                </c:pt>
                <c:pt idx="176">
                  <c:v>98.298821149121579</c:v>
                </c:pt>
                <c:pt idx="177">
                  <c:v>98.325660135846576</c:v>
                </c:pt>
                <c:pt idx="178">
                  <c:v>98.292627536800438</c:v>
                </c:pt>
                <c:pt idx="179">
                  <c:v>98.286433924479269</c:v>
                </c:pt>
                <c:pt idx="180">
                  <c:v>98.276111237277334</c:v>
                </c:pt>
                <c:pt idx="181">
                  <c:v>98.27198216239654</c:v>
                </c:pt>
                <c:pt idx="182">
                  <c:v>98.265788550075385</c:v>
                </c:pt>
                <c:pt idx="183">
                  <c:v>98.274046699836944</c:v>
                </c:pt>
                <c:pt idx="184">
                  <c:v>98.305014761442763</c:v>
                </c:pt>
                <c:pt idx="185">
                  <c:v>98.321531060965853</c:v>
                </c:pt>
                <c:pt idx="186">
                  <c:v>98.340111897929319</c:v>
                </c:pt>
                <c:pt idx="187">
                  <c:v>98.379338109296611</c:v>
                </c:pt>
                <c:pt idx="188">
                  <c:v>98.395854408819773</c:v>
                </c:pt>
                <c:pt idx="189">
                  <c:v>98.412370708342863</c:v>
                </c:pt>
                <c:pt idx="190">
                  <c:v>98.416499783223671</c:v>
                </c:pt>
                <c:pt idx="191">
                  <c:v>98.422693395544798</c:v>
                </c:pt>
                <c:pt idx="192">
                  <c:v>98.362821809773578</c:v>
                </c:pt>
                <c:pt idx="193">
                  <c:v>98.389660796498589</c:v>
                </c:pt>
                <c:pt idx="194">
                  <c:v>98.428887007865924</c:v>
                </c:pt>
                <c:pt idx="195">
                  <c:v>98.360757272333188</c:v>
                </c:pt>
                <c:pt idx="196">
                  <c:v>98.342176435369709</c:v>
                </c:pt>
                <c:pt idx="197">
                  <c:v>98.3380473604889</c:v>
                </c:pt>
                <c:pt idx="198">
                  <c:v>98.263724012635038</c:v>
                </c:pt>
                <c:pt idx="199">
                  <c:v>98.269917624956193</c:v>
                </c:pt>
                <c:pt idx="200">
                  <c:v>98.243078638231168</c:v>
                </c:pt>
                <c:pt idx="201">
                  <c:v>98.245143175671544</c:v>
                </c:pt>
                <c:pt idx="202">
                  <c:v>98.27817577471771</c:v>
                </c:pt>
                <c:pt idx="203">
                  <c:v>98.302950224002373</c:v>
                </c:pt>
                <c:pt idx="204">
                  <c:v>98.313272911204308</c:v>
                </c:pt>
                <c:pt idx="205">
                  <c:v>98.292627536800453</c:v>
                </c:pt>
                <c:pt idx="206">
                  <c:v>98.366950884654358</c:v>
                </c:pt>
                <c:pt idx="207">
                  <c:v>98.393789871379383</c:v>
                </c:pt>
                <c:pt idx="208">
                  <c:v>98.389660796498589</c:v>
                </c:pt>
                <c:pt idx="209">
                  <c:v>98.445403307389043</c:v>
                </c:pt>
                <c:pt idx="210">
                  <c:v>98.548630179408349</c:v>
                </c:pt>
                <c:pt idx="211">
                  <c:v>98.513533042921779</c:v>
                </c:pt>
                <c:pt idx="212">
                  <c:v>98.523855730123728</c:v>
                </c:pt>
                <c:pt idx="213">
                  <c:v>98.561017404050702</c:v>
                </c:pt>
                <c:pt idx="214">
                  <c:v>98.573404628693012</c:v>
                </c:pt>
                <c:pt idx="215">
                  <c:v>98.583727315894905</c:v>
                </c:pt>
                <c:pt idx="216">
                  <c:v>98.596114540537314</c:v>
                </c:pt>
                <c:pt idx="217">
                  <c:v>98.542436567087208</c:v>
                </c:pt>
                <c:pt idx="218">
                  <c:v>98.474306831554443</c:v>
                </c:pt>
                <c:pt idx="219">
                  <c:v>98.474306831554443</c:v>
                </c:pt>
                <c:pt idx="220">
                  <c:v>98.414435245783295</c:v>
                </c:pt>
                <c:pt idx="221">
                  <c:v>98.468113219233359</c:v>
                </c:pt>
                <c:pt idx="222">
                  <c:v>98.395854408819815</c:v>
                </c:pt>
                <c:pt idx="223">
                  <c:v>98.441274232508306</c:v>
                </c:pt>
                <c:pt idx="224">
                  <c:v>98.486694056196811</c:v>
                </c:pt>
                <c:pt idx="225">
                  <c:v>98.530049342444869</c:v>
                </c:pt>
                <c:pt idx="226">
                  <c:v>98.660115201189257</c:v>
                </c:pt>
                <c:pt idx="227">
                  <c:v>98.695212337675784</c:v>
                </c:pt>
                <c:pt idx="228">
                  <c:v>98.689018725354629</c:v>
                </c:pt>
                <c:pt idx="229">
                  <c:v>98.649792513987265</c:v>
                </c:pt>
                <c:pt idx="230">
                  <c:v>98.672502425831524</c:v>
                </c:pt>
                <c:pt idx="231">
                  <c:v>98.691083262795033</c:v>
                </c:pt>
                <c:pt idx="232">
                  <c:v>98.678696038152665</c:v>
                </c:pt>
                <c:pt idx="233">
                  <c:v>98.689018725354615</c:v>
                </c:pt>
                <c:pt idx="234">
                  <c:v>98.689018725354615</c:v>
                </c:pt>
                <c:pt idx="235">
                  <c:v>98.625018064702658</c:v>
                </c:pt>
                <c:pt idx="236">
                  <c:v>98.583727315894876</c:v>
                </c:pt>
                <c:pt idx="237">
                  <c:v>98.567211016371843</c:v>
                </c:pt>
                <c:pt idx="238">
                  <c:v>98.569275553812233</c:v>
                </c:pt>
                <c:pt idx="239">
                  <c:v>98.589920928216131</c:v>
                </c:pt>
                <c:pt idx="240">
                  <c:v>98.662179738629575</c:v>
                </c:pt>
                <c:pt idx="241">
                  <c:v>98.757148460887407</c:v>
                </c:pt>
                <c:pt idx="242">
                  <c:v>98.750954848566252</c:v>
                </c:pt>
                <c:pt idx="243">
                  <c:v>98.922311456118308</c:v>
                </c:pt>
                <c:pt idx="244">
                  <c:v>98.963602204926062</c:v>
                </c:pt>
                <c:pt idx="245">
                  <c:v>98.947085905402986</c:v>
                </c:pt>
                <c:pt idx="246">
                  <c:v>98.994570266531838</c:v>
                </c:pt>
                <c:pt idx="247">
                  <c:v>99.035861015339549</c:v>
                </c:pt>
                <c:pt idx="248">
                  <c:v>99.048248239981888</c:v>
                </c:pt>
                <c:pt idx="249">
                  <c:v>99.019344715816501</c:v>
                </c:pt>
                <c:pt idx="250">
                  <c:v>98.945021367962596</c:v>
                </c:pt>
                <c:pt idx="251">
                  <c:v>98.965666742366466</c:v>
                </c:pt>
                <c:pt idx="252">
                  <c:v>98.971860354687578</c:v>
                </c:pt>
                <c:pt idx="253">
                  <c:v>99.021409253256849</c:v>
                </c:pt>
                <c:pt idx="254">
                  <c:v>99.048248239981888</c:v>
                </c:pt>
                <c:pt idx="255">
                  <c:v>99.017280178376097</c:v>
                </c:pt>
                <c:pt idx="256">
                  <c:v>98.961537667485672</c:v>
                </c:pt>
                <c:pt idx="257">
                  <c:v>98.959473130045282</c:v>
                </c:pt>
                <c:pt idx="258">
                  <c:v>98.870698020108648</c:v>
                </c:pt>
                <c:pt idx="259">
                  <c:v>98.835600883622078</c:v>
                </c:pt>
                <c:pt idx="260">
                  <c:v>98.864504407787507</c:v>
                </c:pt>
                <c:pt idx="261">
                  <c:v>98.804632822016288</c:v>
                </c:pt>
                <c:pt idx="262">
                  <c:v>98.827342733860505</c:v>
                </c:pt>
                <c:pt idx="263">
                  <c:v>98.808761896897039</c:v>
                </c:pt>
                <c:pt idx="264">
                  <c:v>98.84179449594329</c:v>
                </c:pt>
                <c:pt idx="265">
                  <c:v>98.860375332906685</c:v>
                </c:pt>
                <c:pt idx="266">
                  <c:v>98.850052645704778</c:v>
                </c:pt>
                <c:pt idx="267">
                  <c:v>98.833536346181674</c:v>
                </c:pt>
                <c:pt idx="268">
                  <c:v>98.860375332906685</c:v>
                </c:pt>
                <c:pt idx="269">
                  <c:v>98.781922910172085</c:v>
                </c:pt>
                <c:pt idx="270">
                  <c:v>98.887214319631752</c:v>
                </c:pt>
                <c:pt idx="271">
                  <c:v>98.901666081714538</c:v>
                </c:pt>
                <c:pt idx="272">
                  <c:v>98.951214980283808</c:v>
                </c:pt>
                <c:pt idx="273">
                  <c:v>98.914053306356791</c:v>
                </c:pt>
                <c:pt idx="274">
                  <c:v>98.901666081714509</c:v>
                </c:pt>
                <c:pt idx="275">
                  <c:v>98.901666081714509</c:v>
                </c:pt>
                <c:pt idx="276">
                  <c:v>98.881020707310597</c:v>
                </c:pt>
                <c:pt idx="277">
                  <c:v>98.814955509218251</c:v>
                </c:pt>
                <c:pt idx="278">
                  <c:v>98.761277535768173</c:v>
                </c:pt>
                <c:pt idx="279">
                  <c:v>98.757148460887407</c:v>
                </c:pt>
                <c:pt idx="280">
                  <c:v>98.771600222970122</c:v>
                </c:pt>
                <c:pt idx="281">
                  <c:v>98.753019386006613</c:v>
                </c:pt>
                <c:pt idx="282">
                  <c:v>98.76540661064891</c:v>
                </c:pt>
                <c:pt idx="283">
                  <c:v>98.786051985052794</c:v>
                </c:pt>
                <c:pt idx="284">
                  <c:v>98.808761896896996</c:v>
                </c:pt>
                <c:pt idx="285">
                  <c:v>98.85005264570475</c:v>
                </c:pt>
                <c:pt idx="286">
                  <c:v>98.864504407787464</c:v>
                </c:pt>
                <c:pt idx="287">
                  <c:v>98.916117843797124</c:v>
                </c:pt>
                <c:pt idx="288">
                  <c:v>99.015215640935736</c:v>
                </c:pt>
                <c:pt idx="289">
                  <c:v>99.060635464624198</c:v>
                </c:pt>
                <c:pt idx="290">
                  <c:v>99.19689493568967</c:v>
                </c:pt>
                <c:pt idx="291">
                  <c:v>99.529285463591918</c:v>
                </c:pt>
                <c:pt idx="292">
                  <c:v>99.723351982988248</c:v>
                </c:pt>
                <c:pt idx="293">
                  <c:v>99.991741850238498</c:v>
                </c:pt>
                <c:pt idx="294">
                  <c:v>100.71845902925456</c:v>
                </c:pt>
                <c:pt idx="295">
                  <c:v>101.12104383012986</c:v>
                </c:pt>
                <c:pt idx="296">
                  <c:v>101.31923942440703</c:v>
                </c:pt>
                <c:pt idx="297">
                  <c:v>101.27175506327812</c:v>
                </c:pt>
                <c:pt idx="298">
                  <c:v>101.6206618907034</c:v>
                </c:pt>
                <c:pt idx="299">
                  <c:v>101.90143898259598</c:v>
                </c:pt>
                <c:pt idx="300">
                  <c:v>102.19666783657122</c:v>
                </c:pt>
                <c:pt idx="301">
                  <c:v>102.2833784090675</c:v>
                </c:pt>
                <c:pt idx="302">
                  <c:v>102.38660528108682</c:v>
                </c:pt>
                <c:pt idx="303">
                  <c:v>102.6570596857775</c:v>
                </c:pt>
                <c:pt idx="304">
                  <c:v>102.90273964118343</c:v>
                </c:pt>
                <c:pt idx="305">
                  <c:v>103.39203501455495</c:v>
                </c:pt>
                <c:pt idx="306">
                  <c:v>104.14972025517686</c:v>
                </c:pt>
                <c:pt idx="307">
                  <c:v>104.25088258975578</c:v>
                </c:pt>
                <c:pt idx="308">
                  <c:v>104.15591386749799</c:v>
                </c:pt>
                <c:pt idx="309">
                  <c:v>103.84003963911893</c:v>
                </c:pt>
                <c:pt idx="310">
                  <c:v>103.54687532258396</c:v>
                </c:pt>
                <c:pt idx="311">
                  <c:v>103.09680616057975</c:v>
                </c:pt>
                <c:pt idx="312">
                  <c:v>102.5208002147119</c:v>
                </c:pt>
                <c:pt idx="313">
                  <c:v>101.80234118545739</c:v>
                </c:pt>
                <c:pt idx="314">
                  <c:v>101.40594999690322</c:v>
                </c:pt>
                <c:pt idx="315">
                  <c:v>100.4459400871235</c:v>
                </c:pt>
                <c:pt idx="316">
                  <c:v>100.23742180564447</c:v>
                </c:pt>
                <c:pt idx="317">
                  <c:v>100.36129405206766</c:v>
                </c:pt>
                <c:pt idx="318">
                  <c:v>100.04129074880781</c:v>
                </c:pt>
                <c:pt idx="319">
                  <c:v>99.915353964944217</c:v>
                </c:pt>
                <c:pt idx="320">
                  <c:v>99.618060573528467</c:v>
                </c:pt>
                <c:pt idx="321">
                  <c:v>99.277411895864759</c:v>
                </c:pt>
                <c:pt idx="322">
                  <c:v>99.058570927183737</c:v>
                </c:pt>
                <c:pt idx="323">
                  <c:v>99.029667403018394</c:v>
                </c:pt>
                <c:pt idx="324">
                  <c:v>99.011086566054885</c:v>
                </c:pt>
                <c:pt idx="325">
                  <c:v>99.021409253256849</c:v>
                </c:pt>
                <c:pt idx="326">
                  <c:v>98.998699341412646</c:v>
                </c:pt>
                <c:pt idx="327">
                  <c:v>98.949150442843347</c:v>
                </c:pt>
                <c:pt idx="328">
                  <c:v>99.097797138551073</c:v>
                </c:pt>
                <c:pt idx="329">
                  <c:v>99.23612114705702</c:v>
                </c:pt>
                <c:pt idx="330">
                  <c:v>99.504511014307283</c:v>
                </c:pt>
                <c:pt idx="331">
                  <c:v>99.746061894832465</c:v>
                </c:pt>
                <c:pt idx="332">
                  <c:v>99.946322026549907</c:v>
                </c:pt>
                <c:pt idx="333">
                  <c:v>100.34064867766375</c:v>
                </c:pt>
                <c:pt idx="334">
                  <c:v>100.57394140842739</c:v>
                </c:pt>
                <c:pt idx="335">
                  <c:v>100.67923281788708</c:v>
                </c:pt>
                <c:pt idx="336">
                  <c:v>100.93523546049506</c:v>
                </c:pt>
                <c:pt idx="337">
                  <c:v>100.72671717901601</c:v>
                </c:pt>
                <c:pt idx="338">
                  <c:v>100.31174515349829</c:v>
                </c:pt>
                <c:pt idx="339">
                  <c:v>100.05780704833079</c:v>
                </c:pt>
                <c:pt idx="340">
                  <c:v>99.84722422941141</c:v>
                </c:pt>
                <c:pt idx="341">
                  <c:v>99.444639428536036</c:v>
                </c:pt>
                <c:pt idx="342">
                  <c:v>99.508640089187992</c:v>
                </c:pt>
                <c:pt idx="343">
                  <c:v>99.560253525197709</c:v>
                </c:pt>
                <c:pt idx="344">
                  <c:v>99.717158370667036</c:v>
                </c:pt>
                <c:pt idx="345">
                  <c:v>99.886450440778731</c:v>
                </c:pt>
                <c:pt idx="346">
                  <c:v>99.905031277742211</c:v>
                </c:pt>
                <c:pt idx="347">
                  <c:v>99.72128744554783</c:v>
                </c:pt>
                <c:pt idx="348">
                  <c:v>99.611866961207369</c:v>
                </c:pt>
                <c:pt idx="349">
                  <c:v>99.589157049363095</c:v>
                </c:pt>
                <c:pt idx="350">
                  <c:v>99.533414538472655</c:v>
                </c:pt>
                <c:pt idx="351">
                  <c:v>99.457026653178374</c:v>
                </c:pt>
                <c:pt idx="352">
                  <c:v>99.390961455085986</c:v>
                </c:pt>
                <c:pt idx="353">
                  <c:v>99.35173524371865</c:v>
                </c:pt>
                <c:pt idx="354">
                  <c:v>99.310444494910925</c:v>
                </c:pt>
                <c:pt idx="355">
                  <c:v>99.430187666453307</c:v>
                </c:pt>
                <c:pt idx="356">
                  <c:v>99.467349340380323</c:v>
                </c:pt>
                <c:pt idx="357">
                  <c:v>99.388896917645567</c:v>
                </c:pt>
                <c:pt idx="358">
                  <c:v>99.359993393480138</c:v>
                </c:pt>
                <c:pt idx="359">
                  <c:v>99.165926874083809</c:v>
                </c:pt>
                <c:pt idx="360">
                  <c:v>99.083345376468358</c:v>
                </c:pt>
                <c:pt idx="361">
                  <c:v>99.029667403018394</c:v>
                </c:pt>
                <c:pt idx="362">
                  <c:v>98.889278857072071</c:v>
                </c:pt>
                <c:pt idx="363">
                  <c:v>98.980118504449109</c:v>
                </c:pt>
                <c:pt idx="364">
                  <c:v>99.114313438074234</c:v>
                </c:pt>
                <c:pt idx="365">
                  <c:v>99.366187005801379</c:v>
                </c:pt>
                <c:pt idx="366">
                  <c:v>99.498317401986114</c:v>
                </c:pt>
                <c:pt idx="367">
                  <c:v>99.601544274005434</c:v>
                </c:pt>
                <c:pt idx="368">
                  <c:v>99.585027974482315</c:v>
                </c:pt>
                <c:pt idx="369">
                  <c:v>99.618060573528496</c:v>
                </c:pt>
                <c:pt idx="370">
                  <c:v>99.791481718520984</c:v>
                </c:pt>
                <c:pt idx="371">
                  <c:v>99.890579515659525</c:v>
                </c:pt>
                <c:pt idx="372">
                  <c:v>99.995870925119291</c:v>
                </c:pt>
                <c:pt idx="373">
                  <c:v>100.15484030802899</c:v>
                </c:pt>
                <c:pt idx="374">
                  <c:v>100.28284162933302</c:v>
                </c:pt>
                <c:pt idx="375">
                  <c:v>100.46039184920626</c:v>
                </c:pt>
                <c:pt idx="376">
                  <c:v>100.48723083593127</c:v>
                </c:pt>
                <c:pt idx="377">
                  <c:v>100.44800462456392</c:v>
                </c:pt>
                <c:pt idx="378">
                  <c:v>100.25806718004836</c:v>
                </c:pt>
                <c:pt idx="379">
                  <c:v>100.02683898672504</c:v>
                </c:pt>
                <c:pt idx="380">
                  <c:v>99.849288766851799</c:v>
                </c:pt>
                <c:pt idx="381">
                  <c:v>99.638705947932408</c:v>
                </c:pt>
                <c:pt idx="382">
                  <c:v>99.677932159299715</c:v>
                </c:pt>
                <c:pt idx="383">
                  <c:v>99.861675991494138</c:v>
                </c:pt>
                <c:pt idx="384">
                  <c:v>99.956644713751885</c:v>
                </c:pt>
                <c:pt idx="385">
                  <c:v>100.16929207011171</c:v>
                </c:pt>
                <c:pt idx="386">
                  <c:v>100.18993744451558</c:v>
                </c:pt>
                <c:pt idx="387">
                  <c:v>100.12387224642315</c:v>
                </c:pt>
                <c:pt idx="388">
                  <c:v>100.0557425108904</c:v>
                </c:pt>
                <c:pt idx="389">
                  <c:v>100.01032268720196</c:v>
                </c:pt>
                <c:pt idx="390">
                  <c:v>100.16309845779053</c:v>
                </c:pt>
                <c:pt idx="391">
                  <c:v>100.19819559427712</c:v>
                </c:pt>
                <c:pt idx="392">
                  <c:v>100.30142246629644</c:v>
                </c:pt>
                <c:pt idx="393">
                  <c:v>100.26632532980989</c:v>
                </c:pt>
                <c:pt idx="394">
                  <c:v>100.23742180564447</c:v>
                </c:pt>
                <c:pt idx="395">
                  <c:v>100.1672275326713</c:v>
                </c:pt>
                <c:pt idx="396">
                  <c:v>100.13006585874435</c:v>
                </c:pt>
                <c:pt idx="397">
                  <c:v>100.17755021987327</c:v>
                </c:pt>
                <c:pt idx="398">
                  <c:v>100.19613105683669</c:v>
                </c:pt>
                <c:pt idx="399">
                  <c:v>100.13006585874435</c:v>
                </c:pt>
                <c:pt idx="400">
                  <c:v>100.16516299523094</c:v>
                </c:pt>
                <c:pt idx="401">
                  <c:v>100.0949687222578</c:v>
                </c:pt>
                <c:pt idx="402">
                  <c:v>100.05780704833084</c:v>
                </c:pt>
                <c:pt idx="403">
                  <c:v>99.966967400953862</c:v>
                </c:pt>
                <c:pt idx="404">
                  <c:v>99.985548237917342</c:v>
                </c:pt>
                <c:pt idx="405">
                  <c:v>100.07225881041353</c:v>
                </c:pt>
                <c:pt idx="406">
                  <c:v>100.14038854594635</c:v>
                </c:pt>
                <c:pt idx="407">
                  <c:v>100.18167929475408</c:v>
                </c:pt>
                <c:pt idx="408">
                  <c:v>100.27664801701182</c:v>
                </c:pt>
                <c:pt idx="409">
                  <c:v>100.5780704833083</c:v>
                </c:pt>
                <c:pt idx="410">
                  <c:v>100.54916695914291</c:v>
                </c:pt>
                <c:pt idx="411">
                  <c:v>100.59252224539101</c:v>
                </c:pt>
                <c:pt idx="412">
                  <c:v>100.58426409562946</c:v>
                </c:pt>
                <c:pt idx="413">
                  <c:v>100.5140698226563</c:v>
                </c:pt>
                <c:pt idx="414">
                  <c:v>100.60284493259287</c:v>
                </c:pt>
                <c:pt idx="415">
                  <c:v>100.64207114396025</c:v>
                </c:pt>
                <c:pt idx="416">
                  <c:v>100.74942709086039</c:v>
                </c:pt>
                <c:pt idx="417">
                  <c:v>100.77420154014504</c:v>
                </c:pt>
                <c:pt idx="418">
                  <c:v>100.86710572496244</c:v>
                </c:pt>
                <c:pt idx="419">
                  <c:v>100.91665462353173</c:v>
                </c:pt>
                <c:pt idx="420">
                  <c:v>100.81755682639314</c:v>
                </c:pt>
                <c:pt idx="421">
                  <c:v>100.68129735532764</c:v>
                </c:pt>
                <c:pt idx="422">
                  <c:v>100.41290748807747</c:v>
                </c:pt>
                <c:pt idx="423">
                  <c:v>100.19406651939644</c:v>
                </c:pt>
                <c:pt idx="424">
                  <c:v>100.11561409666173</c:v>
                </c:pt>
                <c:pt idx="425">
                  <c:v>100.00619361232127</c:v>
                </c:pt>
                <c:pt idx="426">
                  <c:v>100.18374383219445</c:v>
                </c:pt>
                <c:pt idx="427">
                  <c:v>100.18993744451568</c:v>
                </c:pt>
                <c:pt idx="428">
                  <c:v>100.2167764312407</c:v>
                </c:pt>
                <c:pt idx="429">
                  <c:v>100.19613105683678</c:v>
                </c:pt>
                <c:pt idx="430">
                  <c:v>100.18580836963484</c:v>
                </c:pt>
                <c:pt idx="431">
                  <c:v>100.26632532980999</c:v>
                </c:pt>
                <c:pt idx="432">
                  <c:v>100.67097466812574</c:v>
                </c:pt>
                <c:pt idx="433">
                  <c:v>100.83407312591629</c:v>
                </c:pt>
                <c:pt idx="434">
                  <c:v>100.8691702624028</c:v>
                </c:pt>
                <c:pt idx="435">
                  <c:v>100.87329933728358</c:v>
                </c:pt>
                <c:pt idx="436">
                  <c:v>100.87123479984322</c:v>
                </c:pt>
                <c:pt idx="437">
                  <c:v>101.19123810310309</c:v>
                </c:pt>
                <c:pt idx="438">
                  <c:v>101.19743171542423</c:v>
                </c:pt>
                <c:pt idx="439">
                  <c:v>101.39975638458215</c:v>
                </c:pt>
                <c:pt idx="440">
                  <c:v>101.35846563577444</c:v>
                </c:pt>
                <c:pt idx="441">
                  <c:v>101.09007576852416</c:v>
                </c:pt>
                <c:pt idx="442">
                  <c:v>101.36672378553601</c:v>
                </c:pt>
                <c:pt idx="443">
                  <c:v>101.43898259594951</c:v>
                </c:pt>
                <c:pt idx="444">
                  <c:v>101.50917686892267</c:v>
                </c:pt>
                <c:pt idx="445">
                  <c:v>101.60621012862079</c:v>
                </c:pt>
                <c:pt idx="446">
                  <c:v>101.65782356463049</c:v>
                </c:pt>
                <c:pt idx="447">
                  <c:v>101.8498255465864</c:v>
                </c:pt>
                <c:pt idx="448">
                  <c:v>102.06453744038663</c:v>
                </c:pt>
                <c:pt idx="449">
                  <c:v>102.05215021574431</c:v>
                </c:pt>
                <c:pt idx="450">
                  <c:v>101.99021409253272</c:v>
                </c:pt>
                <c:pt idx="451">
                  <c:v>101.83124470962296</c:v>
                </c:pt>
                <c:pt idx="452">
                  <c:v>101.81885748498063</c:v>
                </c:pt>
                <c:pt idx="453">
                  <c:v>101.7218242252825</c:v>
                </c:pt>
                <c:pt idx="454">
                  <c:v>101.81266387265941</c:v>
                </c:pt>
                <c:pt idx="455">
                  <c:v>101.90556805747681</c:v>
                </c:pt>
                <c:pt idx="456">
                  <c:v>101.93860065652301</c:v>
                </c:pt>
                <c:pt idx="457">
                  <c:v>101.91795528211921</c:v>
                </c:pt>
                <c:pt idx="458">
                  <c:v>101.884922683073</c:v>
                </c:pt>
                <c:pt idx="459">
                  <c:v>101.96131056836732</c:v>
                </c:pt>
                <c:pt idx="460">
                  <c:v>101.93447158164227</c:v>
                </c:pt>
                <c:pt idx="461">
                  <c:v>101.9365361190826</c:v>
                </c:pt>
                <c:pt idx="462">
                  <c:v>102.01498854181737</c:v>
                </c:pt>
                <c:pt idx="463">
                  <c:v>102.14505440056168</c:v>
                </c:pt>
                <c:pt idx="464">
                  <c:v>102.31434647067337</c:v>
                </c:pt>
                <c:pt idx="465">
                  <c:v>102.38866981852728</c:v>
                </c:pt>
                <c:pt idx="466">
                  <c:v>102.63641431137367</c:v>
                </c:pt>
                <c:pt idx="467">
                  <c:v>102.68596320994298</c:v>
                </c:pt>
              </c:numCache>
            </c:numRef>
          </c:val>
          <c:smooth val="0"/>
          <c:extLst>
            <c:ext xmlns:c16="http://schemas.microsoft.com/office/drawing/2014/chart" uri="{C3380CC4-5D6E-409C-BE32-E72D297353CC}">
              <c16:uniqueId val="{00000000-FCCC-4543-8000-6EEE235E3B8B}"/>
            </c:ext>
          </c:extLst>
        </c:ser>
        <c:ser>
          <c:idx val="1"/>
          <c:order val="1"/>
          <c:tx>
            <c:strRef>
              <c:f>Sheet1!$C$1</c:f>
              <c:strCache>
                <c:ptCount val="1"/>
                <c:pt idx="0">
                  <c:v>RUB/AMD</c:v>
                </c:pt>
              </c:strCache>
            </c:strRef>
          </c:tx>
          <c:spPr>
            <a:ln w="28575" cap="rnd">
              <a:solidFill>
                <a:srgbClr val="FFC000"/>
              </a:solidFill>
              <a:round/>
            </a:ln>
            <a:effectLst/>
          </c:spPr>
          <c:marker>
            <c:symbol val="none"/>
          </c:marker>
          <c:cat>
            <c:strRef>
              <c:f>Sheet1!$A$2:$A$966</c:f>
              <c:strCache>
                <c:ptCount val="468"/>
                <c:pt idx="0">
                  <c:v>8/1/2019</c:v>
                </c:pt>
                <c:pt idx="1">
                  <c:v>9/1/2019</c:v>
                </c:pt>
                <c:pt idx="2">
                  <c:v>10/1/2019</c:v>
                </c:pt>
                <c:pt idx="3">
                  <c:v>11/1/2019</c:v>
                </c:pt>
                <c:pt idx="4">
                  <c:v>14/01/2019</c:v>
                </c:pt>
                <c:pt idx="5">
                  <c:v>15/01/2019</c:v>
                </c:pt>
                <c:pt idx="6">
                  <c:v>16/01/2019</c:v>
                </c:pt>
                <c:pt idx="7">
                  <c:v>17/01/2019</c:v>
                </c:pt>
                <c:pt idx="8">
                  <c:v>18/01/2019</c:v>
                </c:pt>
                <c:pt idx="9">
                  <c:v>21/01/2019</c:v>
                </c:pt>
                <c:pt idx="10">
                  <c:v>22/01/2019</c:v>
                </c:pt>
                <c:pt idx="11">
                  <c:v>23/01/2019</c:v>
                </c:pt>
                <c:pt idx="12">
                  <c:v>24/01/2019</c:v>
                </c:pt>
                <c:pt idx="13">
                  <c:v>25/01/2019</c:v>
                </c:pt>
                <c:pt idx="14">
                  <c:v>29/01/2019</c:v>
                </c:pt>
                <c:pt idx="15">
                  <c:v>30/01/2019</c:v>
                </c:pt>
                <c:pt idx="16">
                  <c:v>31/01/2019</c:v>
                </c:pt>
                <c:pt idx="17">
                  <c:v>1/2/2019</c:v>
                </c:pt>
                <c:pt idx="18">
                  <c:v>4/2/2019</c:v>
                </c:pt>
                <c:pt idx="19">
                  <c:v>5/2/2019</c:v>
                </c:pt>
                <c:pt idx="20">
                  <c:v>6/2/2019</c:v>
                </c:pt>
                <c:pt idx="21">
                  <c:v>7/2/2019</c:v>
                </c:pt>
                <c:pt idx="22">
                  <c:v>8/2/2019</c:v>
                </c:pt>
                <c:pt idx="23">
                  <c:v>11/2/2019</c:v>
                </c:pt>
                <c:pt idx="24">
                  <c:v>12/2/2019</c:v>
                </c:pt>
                <c:pt idx="25">
                  <c:v>13/02/2019</c:v>
                </c:pt>
                <c:pt idx="26">
                  <c:v>14/02/2019</c:v>
                </c:pt>
                <c:pt idx="27">
                  <c:v>15/02/2019</c:v>
                </c:pt>
                <c:pt idx="28">
                  <c:v>18/02/2019</c:v>
                </c:pt>
                <c:pt idx="29">
                  <c:v>19/02/2019</c:v>
                </c:pt>
                <c:pt idx="30">
                  <c:v>20/02/2019</c:v>
                </c:pt>
                <c:pt idx="31">
                  <c:v>21/02/2019</c:v>
                </c:pt>
                <c:pt idx="32">
                  <c:v>22/02/2019</c:v>
                </c:pt>
                <c:pt idx="33">
                  <c:v>25/02/2019</c:v>
                </c:pt>
                <c:pt idx="34">
                  <c:v>26/02/2019</c:v>
                </c:pt>
                <c:pt idx="35">
                  <c:v>27/02/2019</c:v>
                </c:pt>
                <c:pt idx="36">
                  <c:v>28/02/2019</c:v>
                </c:pt>
                <c:pt idx="37">
                  <c:v>1/3/2019</c:v>
                </c:pt>
                <c:pt idx="38">
                  <c:v>4/3/2019</c:v>
                </c:pt>
                <c:pt idx="39">
                  <c:v>5/3/2019</c:v>
                </c:pt>
                <c:pt idx="40">
                  <c:v>6/3/2019</c:v>
                </c:pt>
                <c:pt idx="41">
                  <c:v>7/3/2019</c:v>
                </c:pt>
                <c:pt idx="42">
                  <c:v>11/3/2019</c:v>
                </c:pt>
                <c:pt idx="43">
                  <c:v>12/3/2019</c:v>
                </c:pt>
                <c:pt idx="44">
                  <c:v>13/03/2019</c:v>
                </c:pt>
                <c:pt idx="45">
                  <c:v>14/03/2019</c:v>
                </c:pt>
                <c:pt idx="46">
                  <c:v>15/03/2019</c:v>
                </c:pt>
                <c:pt idx="47">
                  <c:v>18/03/2019</c:v>
                </c:pt>
                <c:pt idx="48">
                  <c:v>19/03/2019</c:v>
                </c:pt>
                <c:pt idx="49">
                  <c:v>20/03/2019</c:v>
                </c:pt>
                <c:pt idx="50">
                  <c:v>21/03/2019</c:v>
                </c:pt>
                <c:pt idx="51">
                  <c:v>22/03/2019</c:v>
                </c:pt>
                <c:pt idx="52">
                  <c:v>25/03/2019</c:v>
                </c:pt>
                <c:pt idx="53">
                  <c:v>26/03/2019</c:v>
                </c:pt>
                <c:pt idx="54">
                  <c:v>27/03/2019</c:v>
                </c:pt>
                <c:pt idx="55">
                  <c:v>28/03/2019</c:v>
                </c:pt>
                <c:pt idx="56">
                  <c:v>29/03/2019</c:v>
                </c:pt>
                <c:pt idx="57">
                  <c:v>1/4/2019</c:v>
                </c:pt>
                <c:pt idx="58">
                  <c:v>2/4/2019</c:v>
                </c:pt>
                <c:pt idx="59">
                  <c:v>3/4/2019</c:v>
                </c:pt>
                <c:pt idx="60">
                  <c:v>4/4/2019</c:v>
                </c:pt>
                <c:pt idx="61">
                  <c:v>5/4/2019</c:v>
                </c:pt>
                <c:pt idx="62">
                  <c:v>8/4/2019</c:v>
                </c:pt>
                <c:pt idx="63">
                  <c:v>9/4/2019</c:v>
                </c:pt>
                <c:pt idx="64">
                  <c:v>10/4/2019</c:v>
                </c:pt>
                <c:pt idx="65">
                  <c:v>11/4/2019</c:v>
                </c:pt>
                <c:pt idx="66">
                  <c:v>12/4/2019</c:v>
                </c:pt>
                <c:pt idx="67">
                  <c:v>15/04/2019</c:v>
                </c:pt>
                <c:pt idx="68">
                  <c:v>16/04/2019</c:v>
                </c:pt>
                <c:pt idx="69">
                  <c:v>17/04/2019</c:v>
                </c:pt>
                <c:pt idx="70">
                  <c:v>18/04/2019</c:v>
                </c:pt>
                <c:pt idx="71">
                  <c:v>19/04/2019</c:v>
                </c:pt>
                <c:pt idx="72">
                  <c:v>22/04/2019</c:v>
                </c:pt>
                <c:pt idx="73">
                  <c:v>23/04/2019</c:v>
                </c:pt>
                <c:pt idx="74">
                  <c:v>25/04/2019</c:v>
                </c:pt>
                <c:pt idx="75">
                  <c:v>26/04/2019</c:v>
                </c:pt>
                <c:pt idx="76">
                  <c:v>29/04/2019</c:v>
                </c:pt>
                <c:pt idx="77">
                  <c:v>30/04/2019</c:v>
                </c:pt>
                <c:pt idx="78">
                  <c:v>2/5/2019</c:v>
                </c:pt>
                <c:pt idx="79">
                  <c:v>3/5/2019</c:v>
                </c:pt>
                <c:pt idx="80">
                  <c:v>6/5/2019</c:v>
                </c:pt>
                <c:pt idx="81">
                  <c:v>7/5/2019</c:v>
                </c:pt>
                <c:pt idx="82">
                  <c:v>8/5/2019</c:v>
                </c:pt>
                <c:pt idx="83">
                  <c:v>10/5/2019</c:v>
                </c:pt>
                <c:pt idx="84">
                  <c:v>13/05/2019</c:v>
                </c:pt>
                <c:pt idx="85">
                  <c:v>14/05/2019</c:v>
                </c:pt>
                <c:pt idx="86">
                  <c:v>15/05/2019</c:v>
                </c:pt>
                <c:pt idx="87">
                  <c:v>16/05/2019</c:v>
                </c:pt>
                <c:pt idx="88">
                  <c:v>17/05/2019</c:v>
                </c:pt>
                <c:pt idx="89">
                  <c:v>20/05/2019</c:v>
                </c:pt>
                <c:pt idx="90">
                  <c:v>21/05/2019</c:v>
                </c:pt>
                <c:pt idx="91">
                  <c:v>22/05/2019</c:v>
                </c:pt>
                <c:pt idx="92">
                  <c:v>23/05/2019</c:v>
                </c:pt>
                <c:pt idx="93">
                  <c:v>24/05/2019</c:v>
                </c:pt>
                <c:pt idx="94">
                  <c:v>27/05/2019</c:v>
                </c:pt>
                <c:pt idx="95">
                  <c:v>29/05/2019</c:v>
                </c:pt>
                <c:pt idx="96">
                  <c:v>30/05/2019</c:v>
                </c:pt>
                <c:pt idx="97">
                  <c:v>31/05/2019</c:v>
                </c:pt>
                <c:pt idx="98">
                  <c:v>3/6/2019</c:v>
                </c:pt>
                <c:pt idx="99">
                  <c:v>4/6/2019</c:v>
                </c:pt>
                <c:pt idx="100">
                  <c:v>5/6/2019</c:v>
                </c:pt>
                <c:pt idx="101">
                  <c:v>6/6/2019</c:v>
                </c:pt>
                <c:pt idx="102">
                  <c:v>7/6/2019</c:v>
                </c:pt>
                <c:pt idx="103">
                  <c:v>10/6/2019</c:v>
                </c:pt>
                <c:pt idx="104">
                  <c:v>11/6/2019</c:v>
                </c:pt>
                <c:pt idx="105">
                  <c:v>12/6/2019</c:v>
                </c:pt>
                <c:pt idx="106">
                  <c:v>13/06/2019</c:v>
                </c:pt>
                <c:pt idx="107">
                  <c:v>14/06/2019</c:v>
                </c:pt>
                <c:pt idx="108">
                  <c:v>17/06/2019</c:v>
                </c:pt>
                <c:pt idx="109">
                  <c:v>18/06/2019</c:v>
                </c:pt>
                <c:pt idx="110">
                  <c:v>19/06/2019</c:v>
                </c:pt>
                <c:pt idx="111">
                  <c:v>20/06/2019</c:v>
                </c:pt>
                <c:pt idx="112">
                  <c:v>21/06/2019</c:v>
                </c:pt>
                <c:pt idx="113">
                  <c:v>24/06/2019</c:v>
                </c:pt>
                <c:pt idx="114">
                  <c:v>25/06/2019</c:v>
                </c:pt>
                <c:pt idx="115">
                  <c:v>26/06/2019</c:v>
                </c:pt>
                <c:pt idx="116">
                  <c:v>27/06/2019</c:v>
                </c:pt>
                <c:pt idx="117">
                  <c:v>28/06/2019</c:v>
                </c:pt>
                <c:pt idx="118">
                  <c:v>1/7/2019</c:v>
                </c:pt>
                <c:pt idx="119">
                  <c:v>2/7/2019</c:v>
                </c:pt>
                <c:pt idx="120">
                  <c:v>3/7/2019</c:v>
                </c:pt>
                <c:pt idx="121">
                  <c:v>4/7/2019</c:v>
                </c:pt>
                <c:pt idx="122">
                  <c:v>8/7/2019</c:v>
                </c:pt>
                <c:pt idx="123">
                  <c:v>9/7/2019</c:v>
                </c:pt>
                <c:pt idx="124">
                  <c:v>10/7/2019</c:v>
                </c:pt>
                <c:pt idx="125">
                  <c:v>11/7/2019</c:v>
                </c:pt>
                <c:pt idx="126">
                  <c:v>12/7/2019</c:v>
                </c:pt>
                <c:pt idx="127">
                  <c:v>15/07/2019</c:v>
                </c:pt>
                <c:pt idx="128">
                  <c:v>16/07/2019</c:v>
                </c:pt>
                <c:pt idx="129">
                  <c:v>17/07/2019</c:v>
                </c:pt>
                <c:pt idx="130">
                  <c:v>18/07/2019</c:v>
                </c:pt>
                <c:pt idx="131">
                  <c:v>19/07/2019</c:v>
                </c:pt>
                <c:pt idx="132">
                  <c:v>22/07/2019</c:v>
                </c:pt>
                <c:pt idx="133">
                  <c:v>23/07/2019</c:v>
                </c:pt>
                <c:pt idx="134">
                  <c:v>24/07/2019</c:v>
                </c:pt>
                <c:pt idx="135">
                  <c:v>25/07/2019</c:v>
                </c:pt>
                <c:pt idx="136">
                  <c:v>26/07/2019</c:v>
                </c:pt>
                <c:pt idx="137">
                  <c:v>29/07/2019</c:v>
                </c:pt>
                <c:pt idx="138">
                  <c:v>30/07/2019</c:v>
                </c:pt>
                <c:pt idx="139">
                  <c:v>31/07/2019</c:v>
                </c:pt>
                <c:pt idx="140">
                  <c:v>1/8/2019</c:v>
                </c:pt>
                <c:pt idx="141">
                  <c:v>2/8/2019</c:v>
                </c:pt>
                <c:pt idx="142">
                  <c:v>5/8/2019</c:v>
                </c:pt>
                <c:pt idx="143">
                  <c:v>6/8/2019</c:v>
                </c:pt>
                <c:pt idx="144">
                  <c:v>7/8/2019</c:v>
                </c:pt>
                <c:pt idx="145">
                  <c:v>8/8/2019</c:v>
                </c:pt>
                <c:pt idx="146">
                  <c:v>9/8/2019</c:v>
                </c:pt>
                <c:pt idx="147">
                  <c:v>12/8/2019</c:v>
                </c:pt>
                <c:pt idx="148">
                  <c:v>13/08/2019</c:v>
                </c:pt>
                <c:pt idx="149">
                  <c:v>14/08/2019</c:v>
                </c:pt>
                <c:pt idx="150">
                  <c:v>15/08/2019</c:v>
                </c:pt>
                <c:pt idx="151">
                  <c:v>16/08/2019</c:v>
                </c:pt>
                <c:pt idx="152">
                  <c:v>19/08/2019</c:v>
                </c:pt>
                <c:pt idx="153">
                  <c:v>20/08/2019</c:v>
                </c:pt>
                <c:pt idx="154">
                  <c:v>21/08/2019</c:v>
                </c:pt>
                <c:pt idx="155">
                  <c:v>22/08/2019</c:v>
                </c:pt>
                <c:pt idx="156">
                  <c:v>23/08/2019</c:v>
                </c:pt>
                <c:pt idx="157">
                  <c:v>26/08/2019</c:v>
                </c:pt>
                <c:pt idx="158">
                  <c:v>27/08/2019</c:v>
                </c:pt>
                <c:pt idx="159">
                  <c:v>28/08/2019</c:v>
                </c:pt>
                <c:pt idx="160">
                  <c:v>29/08/2019</c:v>
                </c:pt>
                <c:pt idx="161">
                  <c:v>30/08/2019</c:v>
                </c:pt>
                <c:pt idx="162">
                  <c:v>2/9/2019</c:v>
                </c:pt>
                <c:pt idx="163">
                  <c:v>3/9/2019</c:v>
                </c:pt>
                <c:pt idx="164">
                  <c:v>4/9/2019</c:v>
                </c:pt>
                <c:pt idx="165">
                  <c:v>5/9/2019</c:v>
                </c:pt>
                <c:pt idx="166">
                  <c:v>6/9/2019</c:v>
                </c:pt>
                <c:pt idx="167">
                  <c:v>9/9/2019</c:v>
                </c:pt>
                <c:pt idx="168">
                  <c:v>10/9/2019</c:v>
                </c:pt>
                <c:pt idx="169">
                  <c:v>11/9/2019</c:v>
                </c:pt>
                <c:pt idx="170">
                  <c:v>12/9/2019</c:v>
                </c:pt>
                <c:pt idx="171">
                  <c:v>13/09/2019</c:v>
                </c:pt>
                <c:pt idx="172">
                  <c:v>16/09/2019</c:v>
                </c:pt>
                <c:pt idx="173">
                  <c:v>17/09/2019</c:v>
                </c:pt>
                <c:pt idx="174">
                  <c:v>18/09/2019</c:v>
                </c:pt>
                <c:pt idx="175">
                  <c:v>19/09/2019</c:v>
                </c:pt>
                <c:pt idx="176">
                  <c:v>20/09/2019</c:v>
                </c:pt>
                <c:pt idx="177">
                  <c:v>23/09/2019</c:v>
                </c:pt>
                <c:pt idx="178">
                  <c:v>24/09/2019</c:v>
                </c:pt>
                <c:pt idx="179">
                  <c:v>25/09/2019</c:v>
                </c:pt>
                <c:pt idx="180">
                  <c:v>26/09/2019</c:v>
                </c:pt>
                <c:pt idx="181">
                  <c:v>27/09/2019</c:v>
                </c:pt>
                <c:pt idx="182">
                  <c:v>30/09/2019</c:v>
                </c:pt>
                <c:pt idx="183">
                  <c:v>1/10/2019</c:v>
                </c:pt>
                <c:pt idx="184">
                  <c:v>2/10/2019</c:v>
                </c:pt>
                <c:pt idx="185">
                  <c:v>3/10/2019</c:v>
                </c:pt>
                <c:pt idx="186">
                  <c:v>4/10/2019</c:v>
                </c:pt>
                <c:pt idx="187">
                  <c:v>7/10/2019</c:v>
                </c:pt>
                <c:pt idx="188">
                  <c:v>8/10/2019</c:v>
                </c:pt>
                <c:pt idx="189">
                  <c:v>9/10/2019</c:v>
                </c:pt>
                <c:pt idx="190">
                  <c:v>10/10/2019</c:v>
                </c:pt>
                <c:pt idx="191">
                  <c:v>11/10/2019</c:v>
                </c:pt>
                <c:pt idx="192">
                  <c:v>14/10/2019</c:v>
                </c:pt>
                <c:pt idx="193">
                  <c:v>15/10/2019</c:v>
                </c:pt>
                <c:pt idx="194">
                  <c:v>16/10/2019</c:v>
                </c:pt>
                <c:pt idx="195">
                  <c:v>17/10/2019</c:v>
                </c:pt>
                <c:pt idx="196">
                  <c:v>18/10/2019</c:v>
                </c:pt>
                <c:pt idx="197">
                  <c:v>21/10/2019</c:v>
                </c:pt>
                <c:pt idx="198">
                  <c:v>22/10/2019</c:v>
                </c:pt>
                <c:pt idx="199">
                  <c:v>23/10/2019</c:v>
                </c:pt>
                <c:pt idx="200">
                  <c:v>24/10/2019</c:v>
                </c:pt>
                <c:pt idx="201">
                  <c:v>25/10/2019</c:v>
                </c:pt>
                <c:pt idx="202">
                  <c:v>28/10/2019</c:v>
                </c:pt>
                <c:pt idx="203">
                  <c:v>29/10/2019</c:v>
                </c:pt>
                <c:pt idx="204">
                  <c:v>30/10/2019</c:v>
                </c:pt>
                <c:pt idx="205">
                  <c:v>31/10/2019</c:v>
                </c:pt>
                <c:pt idx="206">
                  <c:v>1/11/2019</c:v>
                </c:pt>
                <c:pt idx="207">
                  <c:v>4/11/2019</c:v>
                </c:pt>
                <c:pt idx="208">
                  <c:v>5/11/2019</c:v>
                </c:pt>
                <c:pt idx="209">
                  <c:v>6/11/2019</c:v>
                </c:pt>
                <c:pt idx="210">
                  <c:v>7/11/2019</c:v>
                </c:pt>
                <c:pt idx="211">
                  <c:v>8/11/2019</c:v>
                </c:pt>
                <c:pt idx="212">
                  <c:v>11/11/2019</c:v>
                </c:pt>
                <c:pt idx="213">
                  <c:v>12/11/2019</c:v>
                </c:pt>
                <c:pt idx="214">
                  <c:v>13/11/2019</c:v>
                </c:pt>
                <c:pt idx="215">
                  <c:v>14/11/2019</c:v>
                </c:pt>
                <c:pt idx="216">
                  <c:v>15/11/2019</c:v>
                </c:pt>
                <c:pt idx="217">
                  <c:v>18/11/2019</c:v>
                </c:pt>
                <c:pt idx="218">
                  <c:v>19/11/2019</c:v>
                </c:pt>
                <c:pt idx="219">
                  <c:v>20/11/2019</c:v>
                </c:pt>
                <c:pt idx="220">
                  <c:v>21/11/2019</c:v>
                </c:pt>
                <c:pt idx="221">
                  <c:v>22/11/2019</c:v>
                </c:pt>
                <c:pt idx="222">
                  <c:v>25/11/2019</c:v>
                </c:pt>
                <c:pt idx="223">
                  <c:v>26/11/2019</c:v>
                </c:pt>
                <c:pt idx="224">
                  <c:v>27/11/2019</c:v>
                </c:pt>
                <c:pt idx="225">
                  <c:v>28/11/2019</c:v>
                </c:pt>
                <c:pt idx="226">
                  <c:v>29/11/2019</c:v>
                </c:pt>
                <c:pt idx="227">
                  <c:v>2/12/2019</c:v>
                </c:pt>
                <c:pt idx="228">
                  <c:v>3/12/2019</c:v>
                </c:pt>
                <c:pt idx="229">
                  <c:v>4/12/2019</c:v>
                </c:pt>
                <c:pt idx="230">
                  <c:v>5/12/2019</c:v>
                </c:pt>
                <c:pt idx="231">
                  <c:v>6/12/2019</c:v>
                </c:pt>
                <c:pt idx="232">
                  <c:v>9/12/2019</c:v>
                </c:pt>
                <c:pt idx="233">
                  <c:v>10/12/2019</c:v>
                </c:pt>
                <c:pt idx="234">
                  <c:v>11/12/2019</c:v>
                </c:pt>
                <c:pt idx="235">
                  <c:v>12/12/2019</c:v>
                </c:pt>
                <c:pt idx="236">
                  <c:v>13/12/2019</c:v>
                </c:pt>
                <c:pt idx="237">
                  <c:v>16/12/2019</c:v>
                </c:pt>
                <c:pt idx="238">
                  <c:v>17/12/2019</c:v>
                </c:pt>
                <c:pt idx="239">
                  <c:v>18/12/2019</c:v>
                </c:pt>
                <c:pt idx="240">
                  <c:v>19/12/2019</c:v>
                </c:pt>
                <c:pt idx="241">
                  <c:v>20/12/2019</c:v>
                </c:pt>
                <c:pt idx="242">
                  <c:v>23/12/2019</c:v>
                </c:pt>
                <c:pt idx="243">
                  <c:v>24/12/2019</c:v>
                </c:pt>
                <c:pt idx="244">
                  <c:v>25/12/2019</c:v>
                </c:pt>
                <c:pt idx="245">
                  <c:v>26/12/2019</c:v>
                </c:pt>
                <c:pt idx="246">
                  <c:v>27/12/2019</c:v>
                </c:pt>
                <c:pt idx="247">
                  <c:v>30/12/2019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pt idx="458">
                  <c:v>4/11/2020</c:v>
                </c:pt>
                <c:pt idx="459">
                  <c:v>5/11/2020</c:v>
                </c:pt>
                <c:pt idx="460">
                  <c:v>6/11/2020</c:v>
                </c:pt>
                <c:pt idx="461">
                  <c:v>9/11/2020</c:v>
                </c:pt>
                <c:pt idx="462">
                  <c:v>10/11/2020</c:v>
                </c:pt>
                <c:pt idx="463">
                  <c:v>11/11/2020</c:v>
                </c:pt>
                <c:pt idx="464">
                  <c:v>12/11/2020</c:v>
                </c:pt>
                <c:pt idx="465">
                  <c:v>13/11/2020</c:v>
                </c:pt>
                <c:pt idx="466">
                  <c:v>16/11/2020</c:v>
                </c:pt>
                <c:pt idx="467">
                  <c:v>17/11/2020</c:v>
                </c:pt>
              </c:strCache>
            </c:strRef>
          </c:cat>
          <c:val>
            <c:numRef>
              <c:f>Sheet1!$C$2:$C$966</c:f>
              <c:numCache>
                <c:formatCode>0</c:formatCode>
                <c:ptCount val="468"/>
                <c:pt idx="0">
                  <c:v>100</c:v>
                </c:pt>
                <c:pt idx="1">
                  <c:v>100.27700831024927</c:v>
                </c:pt>
                <c:pt idx="2">
                  <c:v>100.27700831024927</c:v>
                </c:pt>
                <c:pt idx="3">
                  <c:v>100.5540166204986</c:v>
                </c:pt>
                <c:pt idx="4">
                  <c:v>100.13850415512462</c:v>
                </c:pt>
                <c:pt idx="5">
                  <c:v>100.41551246537401</c:v>
                </c:pt>
                <c:pt idx="6">
                  <c:v>100.96952908587265</c:v>
                </c:pt>
                <c:pt idx="7">
                  <c:v>101.10803324099722</c:v>
                </c:pt>
                <c:pt idx="8">
                  <c:v>101.24653739612185</c:v>
                </c:pt>
                <c:pt idx="9">
                  <c:v>101.24653739612185</c:v>
                </c:pt>
                <c:pt idx="10">
                  <c:v>100.96952908587265</c:v>
                </c:pt>
                <c:pt idx="11">
                  <c:v>101.52354570637118</c:v>
                </c:pt>
                <c:pt idx="12">
                  <c:v>101.93905817174517</c:v>
                </c:pt>
                <c:pt idx="13">
                  <c:v>101.66204986149583</c:v>
                </c:pt>
                <c:pt idx="14">
                  <c:v>101.66204986149583</c:v>
                </c:pt>
                <c:pt idx="15">
                  <c:v>102.07756232686978</c:v>
                </c:pt>
                <c:pt idx="16">
                  <c:v>103.46260387811638</c:v>
                </c:pt>
                <c:pt idx="17">
                  <c:v>102.90858725761774</c:v>
                </c:pt>
                <c:pt idx="18">
                  <c:v>102.90858725761774</c:v>
                </c:pt>
                <c:pt idx="19">
                  <c:v>103.18559556786705</c:v>
                </c:pt>
                <c:pt idx="20">
                  <c:v>102.90858725761774</c:v>
                </c:pt>
                <c:pt idx="21">
                  <c:v>102.49307479224379</c:v>
                </c:pt>
                <c:pt idx="22">
                  <c:v>102.63157894736841</c:v>
                </c:pt>
                <c:pt idx="23">
                  <c:v>103.18559556786704</c:v>
                </c:pt>
                <c:pt idx="24">
                  <c:v>103.32409972299168</c:v>
                </c:pt>
                <c:pt idx="25">
                  <c:v>103.04709141274239</c:v>
                </c:pt>
                <c:pt idx="26">
                  <c:v>101.24653739612185</c:v>
                </c:pt>
                <c:pt idx="27">
                  <c:v>101.38504155124652</c:v>
                </c:pt>
                <c:pt idx="28">
                  <c:v>101.93905817174516</c:v>
                </c:pt>
                <c:pt idx="29">
                  <c:v>101.93905817174516</c:v>
                </c:pt>
                <c:pt idx="30">
                  <c:v>102.63157894736844</c:v>
                </c:pt>
                <c:pt idx="31">
                  <c:v>103.18559556786705</c:v>
                </c:pt>
                <c:pt idx="32">
                  <c:v>103.32409972299168</c:v>
                </c:pt>
                <c:pt idx="33">
                  <c:v>103.73961218836571</c:v>
                </c:pt>
                <c:pt idx="34">
                  <c:v>103.18559556786707</c:v>
                </c:pt>
                <c:pt idx="35">
                  <c:v>103.04709141274242</c:v>
                </c:pt>
                <c:pt idx="36">
                  <c:v>103.04709141274242</c:v>
                </c:pt>
                <c:pt idx="37">
                  <c:v>103.04709141274242</c:v>
                </c:pt>
                <c:pt idx="38">
                  <c:v>103.32409972299169</c:v>
                </c:pt>
                <c:pt idx="39">
                  <c:v>103.32409972299169</c:v>
                </c:pt>
                <c:pt idx="40">
                  <c:v>102.90858725761775</c:v>
                </c:pt>
                <c:pt idx="41">
                  <c:v>102.77008310249305</c:v>
                </c:pt>
                <c:pt idx="42">
                  <c:v>102.4930747922438</c:v>
                </c:pt>
                <c:pt idx="43">
                  <c:v>102.77008310249305</c:v>
                </c:pt>
                <c:pt idx="44">
                  <c:v>103.04709141274243</c:v>
                </c:pt>
                <c:pt idx="45">
                  <c:v>103.04709141274243</c:v>
                </c:pt>
                <c:pt idx="46">
                  <c:v>103.18559556786707</c:v>
                </c:pt>
                <c:pt idx="47">
                  <c:v>104.2936288088643</c:v>
                </c:pt>
                <c:pt idx="48">
                  <c:v>104.84764542936297</c:v>
                </c:pt>
                <c:pt idx="49">
                  <c:v>104.57063711911357</c:v>
                </c:pt>
                <c:pt idx="50">
                  <c:v>105.81717451523549</c:v>
                </c:pt>
                <c:pt idx="51">
                  <c:v>104.98614958448756</c:v>
                </c:pt>
                <c:pt idx="52">
                  <c:v>104.70914127423826</c:v>
                </c:pt>
                <c:pt idx="53">
                  <c:v>104.70914127423826</c:v>
                </c:pt>
                <c:pt idx="54">
                  <c:v>104.01662049861503</c:v>
                </c:pt>
                <c:pt idx="55">
                  <c:v>103.87811634349028</c:v>
                </c:pt>
                <c:pt idx="56">
                  <c:v>104.15512465373961</c:v>
                </c:pt>
                <c:pt idx="57">
                  <c:v>103.04709141274242</c:v>
                </c:pt>
                <c:pt idx="58">
                  <c:v>102.90858725761775</c:v>
                </c:pt>
                <c:pt idx="59">
                  <c:v>103.46260387811641</c:v>
                </c:pt>
                <c:pt idx="60">
                  <c:v>103.18559556786708</c:v>
                </c:pt>
                <c:pt idx="61">
                  <c:v>103.18559556786708</c:v>
                </c:pt>
                <c:pt idx="62">
                  <c:v>103.18559556786708</c:v>
                </c:pt>
                <c:pt idx="63">
                  <c:v>104.15512465373965</c:v>
                </c:pt>
                <c:pt idx="64">
                  <c:v>104.01662049861505</c:v>
                </c:pt>
                <c:pt idx="65">
                  <c:v>104.43213296398895</c:v>
                </c:pt>
                <c:pt idx="66">
                  <c:v>104.43213296398895</c:v>
                </c:pt>
                <c:pt idx="67">
                  <c:v>104.5706371191136</c:v>
                </c:pt>
                <c:pt idx="68">
                  <c:v>104.43213296398898</c:v>
                </c:pt>
                <c:pt idx="69">
                  <c:v>104.70914127423829</c:v>
                </c:pt>
                <c:pt idx="70">
                  <c:v>104.43213296398898</c:v>
                </c:pt>
                <c:pt idx="71">
                  <c:v>104.43213296398898</c:v>
                </c:pt>
                <c:pt idx="72">
                  <c:v>104.70914127423829</c:v>
                </c:pt>
                <c:pt idx="73">
                  <c:v>104.70914127423829</c:v>
                </c:pt>
                <c:pt idx="74">
                  <c:v>102.77008310249307</c:v>
                </c:pt>
                <c:pt idx="75">
                  <c:v>102.9085872576178</c:v>
                </c:pt>
                <c:pt idx="76">
                  <c:v>103.04709141274246</c:v>
                </c:pt>
                <c:pt idx="77">
                  <c:v>103.32409972299175</c:v>
                </c:pt>
                <c:pt idx="78">
                  <c:v>101.93905817174523</c:v>
                </c:pt>
                <c:pt idx="79">
                  <c:v>101.80055401662054</c:v>
                </c:pt>
                <c:pt idx="80">
                  <c:v>102.35457063711917</c:v>
                </c:pt>
                <c:pt idx="81">
                  <c:v>102.21606648199455</c:v>
                </c:pt>
                <c:pt idx="82">
                  <c:v>102.35457063711917</c:v>
                </c:pt>
                <c:pt idx="83">
                  <c:v>102.49307479224383</c:v>
                </c:pt>
                <c:pt idx="84">
                  <c:v>102.07756232686984</c:v>
                </c:pt>
                <c:pt idx="85">
                  <c:v>101.93905817174522</c:v>
                </c:pt>
                <c:pt idx="86">
                  <c:v>102.6315789473685</c:v>
                </c:pt>
                <c:pt idx="87">
                  <c:v>103.04709141274246</c:v>
                </c:pt>
                <c:pt idx="88">
                  <c:v>102.90858725761778</c:v>
                </c:pt>
                <c:pt idx="89">
                  <c:v>103.04709141274246</c:v>
                </c:pt>
                <c:pt idx="90">
                  <c:v>103.04709141274246</c:v>
                </c:pt>
                <c:pt idx="91">
                  <c:v>103.46260387811643</c:v>
                </c:pt>
                <c:pt idx="92">
                  <c:v>102.77008310249307</c:v>
                </c:pt>
                <c:pt idx="93">
                  <c:v>103.04709141274246</c:v>
                </c:pt>
                <c:pt idx="94">
                  <c:v>103.1855955678671</c:v>
                </c:pt>
                <c:pt idx="95">
                  <c:v>102.21606648199455</c:v>
                </c:pt>
                <c:pt idx="96">
                  <c:v>102.49307479224383</c:v>
                </c:pt>
                <c:pt idx="97">
                  <c:v>101.52354570637125</c:v>
                </c:pt>
                <c:pt idx="98">
                  <c:v>101.8005540166205</c:v>
                </c:pt>
                <c:pt idx="99">
                  <c:v>101.9390581717452</c:v>
                </c:pt>
                <c:pt idx="100">
                  <c:v>102.21606648199452</c:v>
                </c:pt>
                <c:pt idx="101">
                  <c:v>101.93905817174519</c:v>
                </c:pt>
                <c:pt idx="102">
                  <c:v>102.0775623268698</c:v>
                </c:pt>
                <c:pt idx="103">
                  <c:v>102.63157894736845</c:v>
                </c:pt>
                <c:pt idx="104">
                  <c:v>102.90858725761777</c:v>
                </c:pt>
                <c:pt idx="105">
                  <c:v>102.49307479224382</c:v>
                </c:pt>
                <c:pt idx="106">
                  <c:v>102.49307479224382</c:v>
                </c:pt>
                <c:pt idx="107">
                  <c:v>102.90858725761777</c:v>
                </c:pt>
                <c:pt idx="108">
                  <c:v>102.90858725761777</c:v>
                </c:pt>
                <c:pt idx="109">
                  <c:v>102.90858725761777</c:v>
                </c:pt>
                <c:pt idx="110">
                  <c:v>103.46260387811643</c:v>
                </c:pt>
                <c:pt idx="111">
                  <c:v>104.57063711911358</c:v>
                </c:pt>
                <c:pt idx="112">
                  <c:v>104.84764542936298</c:v>
                </c:pt>
                <c:pt idx="113">
                  <c:v>105.26315789473685</c:v>
                </c:pt>
                <c:pt idx="114">
                  <c:v>105.40166204986157</c:v>
                </c:pt>
                <c:pt idx="115">
                  <c:v>104.70914127423826</c:v>
                </c:pt>
                <c:pt idx="116">
                  <c:v>104.84764542936298</c:v>
                </c:pt>
                <c:pt idx="117">
                  <c:v>104.84764542936298</c:v>
                </c:pt>
                <c:pt idx="118">
                  <c:v>104.57063711911358</c:v>
                </c:pt>
                <c:pt idx="119">
                  <c:v>104.43213296398895</c:v>
                </c:pt>
                <c:pt idx="120">
                  <c:v>104.01662049861505</c:v>
                </c:pt>
                <c:pt idx="121">
                  <c:v>104.15512465373961</c:v>
                </c:pt>
                <c:pt idx="122">
                  <c:v>103.4626038781164</c:v>
                </c:pt>
                <c:pt idx="123">
                  <c:v>103.4626038781164</c:v>
                </c:pt>
                <c:pt idx="124">
                  <c:v>103.60110803324099</c:v>
                </c:pt>
                <c:pt idx="125">
                  <c:v>104.84764542936296</c:v>
                </c:pt>
                <c:pt idx="126">
                  <c:v>104.70914127423823</c:v>
                </c:pt>
                <c:pt idx="127">
                  <c:v>105.40166204986154</c:v>
                </c:pt>
                <c:pt idx="128">
                  <c:v>105.26315789473685</c:v>
                </c:pt>
                <c:pt idx="129">
                  <c:v>104.98614958448756</c:v>
                </c:pt>
                <c:pt idx="130">
                  <c:v>104.84764542936296</c:v>
                </c:pt>
                <c:pt idx="131">
                  <c:v>104.70914127423823</c:v>
                </c:pt>
                <c:pt idx="132">
                  <c:v>104.70914127423823</c:v>
                </c:pt>
                <c:pt idx="133">
                  <c:v>104.43213296398891</c:v>
                </c:pt>
                <c:pt idx="134">
                  <c:v>104.57063711911357</c:v>
                </c:pt>
                <c:pt idx="135">
                  <c:v>104.43213296398895</c:v>
                </c:pt>
                <c:pt idx="136">
                  <c:v>104.43213296398895</c:v>
                </c:pt>
                <c:pt idx="137">
                  <c:v>103.87811634349028</c:v>
                </c:pt>
                <c:pt idx="138">
                  <c:v>104.01662049861505</c:v>
                </c:pt>
                <c:pt idx="139">
                  <c:v>103.8781163434903</c:v>
                </c:pt>
                <c:pt idx="140">
                  <c:v>103.3240997229917</c:v>
                </c:pt>
                <c:pt idx="141">
                  <c:v>101.52354570637124</c:v>
                </c:pt>
                <c:pt idx="142">
                  <c:v>101.52354570637124</c:v>
                </c:pt>
                <c:pt idx="143">
                  <c:v>101.10803324099727</c:v>
                </c:pt>
                <c:pt idx="144">
                  <c:v>101.52354570637121</c:v>
                </c:pt>
                <c:pt idx="145">
                  <c:v>101.10803324099726</c:v>
                </c:pt>
                <c:pt idx="146">
                  <c:v>100.69252077562328</c:v>
                </c:pt>
                <c:pt idx="147">
                  <c:v>100.69252077562328</c:v>
                </c:pt>
                <c:pt idx="148">
                  <c:v>100.41551246537404</c:v>
                </c:pt>
                <c:pt idx="149">
                  <c:v>100.96952908587269</c:v>
                </c:pt>
                <c:pt idx="150">
                  <c:v>99.584487534626035</c:v>
                </c:pt>
                <c:pt idx="151">
                  <c:v>100.00000000000004</c:v>
                </c:pt>
                <c:pt idx="152">
                  <c:v>98.614958448753512</c:v>
                </c:pt>
                <c:pt idx="153">
                  <c:v>98.753462603878162</c:v>
                </c:pt>
                <c:pt idx="154">
                  <c:v>99.722991689750742</c:v>
                </c:pt>
                <c:pt idx="155">
                  <c:v>100.41551246537406</c:v>
                </c:pt>
                <c:pt idx="156">
                  <c:v>100.41551246537406</c:v>
                </c:pt>
                <c:pt idx="157">
                  <c:v>99.861495844875392</c:v>
                </c:pt>
                <c:pt idx="158">
                  <c:v>99.307479224376777</c:v>
                </c:pt>
                <c:pt idx="159">
                  <c:v>98.753462603878162</c:v>
                </c:pt>
                <c:pt idx="160">
                  <c:v>98.891966759002827</c:v>
                </c:pt>
                <c:pt idx="161">
                  <c:v>99.307479224376777</c:v>
                </c:pt>
                <c:pt idx="162">
                  <c:v>98.891966759002827</c:v>
                </c:pt>
                <c:pt idx="163">
                  <c:v>98.614958448753512</c:v>
                </c:pt>
                <c:pt idx="164">
                  <c:v>99.445983379501428</c:v>
                </c:pt>
                <c:pt idx="165">
                  <c:v>100.00000000000003</c:v>
                </c:pt>
                <c:pt idx="166">
                  <c:v>100.00000000000003</c:v>
                </c:pt>
                <c:pt idx="167">
                  <c:v>100.831024930748</c:v>
                </c:pt>
                <c:pt idx="168">
                  <c:v>100.831024930748</c:v>
                </c:pt>
                <c:pt idx="169">
                  <c:v>100.831024930748</c:v>
                </c:pt>
                <c:pt idx="170">
                  <c:v>101.38504155124656</c:v>
                </c:pt>
                <c:pt idx="171">
                  <c:v>102.63157894736848</c:v>
                </c:pt>
                <c:pt idx="172">
                  <c:v>102.9085872576178</c:v>
                </c:pt>
                <c:pt idx="173">
                  <c:v>102.7700831024931</c:v>
                </c:pt>
                <c:pt idx="174">
                  <c:v>102.35457063711918</c:v>
                </c:pt>
                <c:pt idx="175">
                  <c:v>102.7700831024931</c:v>
                </c:pt>
                <c:pt idx="176">
                  <c:v>103.46260387811644</c:v>
                </c:pt>
                <c:pt idx="177">
                  <c:v>103.04709141274246</c:v>
                </c:pt>
                <c:pt idx="178">
                  <c:v>103.60110803324108</c:v>
                </c:pt>
                <c:pt idx="179">
                  <c:v>102.49307479224386</c:v>
                </c:pt>
                <c:pt idx="180">
                  <c:v>102.49307479224386</c:v>
                </c:pt>
                <c:pt idx="181">
                  <c:v>102.49307479224386</c:v>
                </c:pt>
                <c:pt idx="182">
                  <c:v>101.66204986149589</c:v>
                </c:pt>
                <c:pt idx="183">
                  <c:v>101.38504155124659</c:v>
                </c:pt>
                <c:pt idx="184">
                  <c:v>100.83102493074803</c:v>
                </c:pt>
                <c:pt idx="185">
                  <c:v>101.38504155124659</c:v>
                </c:pt>
                <c:pt idx="186">
                  <c:v>101.80055401662054</c:v>
                </c:pt>
                <c:pt idx="187">
                  <c:v>101.66204986149589</c:v>
                </c:pt>
                <c:pt idx="188">
                  <c:v>101.52354570637127</c:v>
                </c:pt>
                <c:pt idx="189">
                  <c:v>101.80055401662052</c:v>
                </c:pt>
                <c:pt idx="190">
                  <c:v>101.93905817174522</c:v>
                </c:pt>
                <c:pt idx="191">
                  <c:v>102.77008310249307</c:v>
                </c:pt>
                <c:pt idx="192">
                  <c:v>102.77008310249307</c:v>
                </c:pt>
                <c:pt idx="193">
                  <c:v>102.49307479224383</c:v>
                </c:pt>
                <c:pt idx="194">
                  <c:v>102.77008310249307</c:v>
                </c:pt>
                <c:pt idx="195">
                  <c:v>103.1855955678671</c:v>
                </c:pt>
                <c:pt idx="196">
                  <c:v>103.1855955678671</c:v>
                </c:pt>
                <c:pt idx="197">
                  <c:v>103.60110803324105</c:v>
                </c:pt>
                <c:pt idx="198">
                  <c:v>103.60110803324105</c:v>
                </c:pt>
                <c:pt idx="199">
                  <c:v>103.18559556786708</c:v>
                </c:pt>
                <c:pt idx="200">
                  <c:v>103.04709141274243</c:v>
                </c:pt>
                <c:pt idx="201">
                  <c:v>103.04709141274243</c:v>
                </c:pt>
                <c:pt idx="202">
                  <c:v>103.60110803324105</c:v>
                </c:pt>
                <c:pt idx="203">
                  <c:v>103.04709141274243</c:v>
                </c:pt>
                <c:pt idx="204">
                  <c:v>103.3240997229917</c:v>
                </c:pt>
                <c:pt idx="205">
                  <c:v>103.04709141274243</c:v>
                </c:pt>
                <c:pt idx="206">
                  <c:v>103.18559556786707</c:v>
                </c:pt>
                <c:pt idx="207">
                  <c:v>103.18559556786707</c:v>
                </c:pt>
                <c:pt idx="208">
                  <c:v>104.2936288088643</c:v>
                </c:pt>
                <c:pt idx="209">
                  <c:v>103.601108033241</c:v>
                </c:pt>
                <c:pt idx="210">
                  <c:v>103.8781163434903</c:v>
                </c:pt>
                <c:pt idx="211">
                  <c:v>103.46260387811641</c:v>
                </c:pt>
                <c:pt idx="212">
                  <c:v>103.46260387811641</c:v>
                </c:pt>
                <c:pt idx="213">
                  <c:v>103.3240997229917</c:v>
                </c:pt>
                <c:pt idx="214">
                  <c:v>102.77008310249306</c:v>
                </c:pt>
                <c:pt idx="215">
                  <c:v>103.18559556786708</c:v>
                </c:pt>
                <c:pt idx="216">
                  <c:v>103.601108033241</c:v>
                </c:pt>
                <c:pt idx="217">
                  <c:v>103.601108033241</c:v>
                </c:pt>
                <c:pt idx="218">
                  <c:v>103.7396121883657</c:v>
                </c:pt>
                <c:pt idx="219">
                  <c:v>103.32409972299168</c:v>
                </c:pt>
                <c:pt idx="220">
                  <c:v>103.46260387811637</c:v>
                </c:pt>
                <c:pt idx="221">
                  <c:v>103.73961218836568</c:v>
                </c:pt>
                <c:pt idx="222">
                  <c:v>103.46260387811637</c:v>
                </c:pt>
                <c:pt idx="223">
                  <c:v>103.18559556786704</c:v>
                </c:pt>
                <c:pt idx="224">
                  <c:v>103.32409972299168</c:v>
                </c:pt>
                <c:pt idx="225">
                  <c:v>103.18559556786704</c:v>
                </c:pt>
                <c:pt idx="226">
                  <c:v>103.32409972299168</c:v>
                </c:pt>
                <c:pt idx="227">
                  <c:v>102.90858725761773</c:v>
                </c:pt>
                <c:pt idx="228">
                  <c:v>103.32409972299168</c:v>
                </c:pt>
                <c:pt idx="229">
                  <c:v>103.46260387811634</c:v>
                </c:pt>
                <c:pt idx="230">
                  <c:v>103.73961218836565</c:v>
                </c:pt>
                <c:pt idx="231">
                  <c:v>103.87811634349023</c:v>
                </c:pt>
                <c:pt idx="232">
                  <c:v>103.73961218836565</c:v>
                </c:pt>
                <c:pt idx="233">
                  <c:v>104.15512465373955</c:v>
                </c:pt>
                <c:pt idx="234">
                  <c:v>104.29362880886421</c:v>
                </c:pt>
                <c:pt idx="235">
                  <c:v>104.70914127423819</c:v>
                </c:pt>
                <c:pt idx="236">
                  <c:v>106.09418282548467</c:v>
                </c:pt>
                <c:pt idx="237">
                  <c:v>105.40166204986149</c:v>
                </c:pt>
                <c:pt idx="238">
                  <c:v>105.54016620498612</c:v>
                </c:pt>
                <c:pt idx="239">
                  <c:v>105.67867036011073</c:v>
                </c:pt>
                <c:pt idx="240">
                  <c:v>105.95567867036007</c:v>
                </c:pt>
                <c:pt idx="241">
                  <c:v>106.50969529085869</c:v>
                </c:pt>
                <c:pt idx="242">
                  <c:v>106.37119113573397</c:v>
                </c:pt>
                <c:pt idx="243">
                  <c:v>106.92520775623261</c:v>
                </c:pt>
                <c:pt idx="244">
                  <c:v>107.61772853185586</c:v>
                </c:pt>
                <c:pt idx="245">
                  <c:v>107.47922437673124</c:v>
                </c:pt>
                <c:pt idx="246">
                  <c:v>107.2022160664819</c:v>
                </c:pt>
                <c:pt idx="247">
                  <c:v>107.61772853185587</c:v>
                </c:pt>
                <c:pt idx="248">
                  <c:v>107.3407202216066</c:v>
                </c:pt>
                <c:pt idx="249">
                  <c:v>108.58725761772847</c:v>
                </c:pt>
                <c:pt idx="250">
                  <c:v>108.17174515235442</c:v>
                </c:pt>
                <c:pt idx="251">
                  <c:v>108.86426592797783</c:v>
                </c:pt>
                <c:pt idx="252">
                  <c:v>108.17174515235442</c:v>
                </c:pt>
                <c:pt idx="253">
                  <c:v>107.89473684210516</c:v>
                </c:pt>
                <c:pt idx="254">
                  <c:v>107.89473684210516</c:v>
                </c:pt>
                <c:pt idx="255">
                  <c:v>108.17174515235442</c:v>
                </c:pt>
                <c:pt idx="256">
                  <c:v>107.75623268698054</c:v>
                </c:pt>
                <c:pt idx="257">
                  <c:v>107.34072022160657</c:v>
                </c:pt>
                <c:pt idx="258">
                  <c:v>107.06371191135727</c:v>
                </c:pt>
                <c:pt idx="259">
                  <c:v>107.06371191135727</c:v>
                </c:pt>
                <c:pt idx="260">
                  <c:v>107.34072022160659</c:v>
                </c:pt>
                <c:pt idx="261">
                  <c:v>105.95567867036006</c:v>
                </c:pt>
                <c:pt idx="262">
                  <c:v>105.40166204986147</c:v>
                </c:pt>
                <c:pt idx="263">
                  <c:v>104.70914127423816</c:v>
                </c:pt>
                <c:pt idx="264">
                  <c:v>104.70914127423816</c:v>
                </c:pt>
                <c:pt idx="265">
                  <c:v>103.73961218836563</c:v>
                </c:pt>
                <c:pt idx="266">
                  <c:v>104.84764542936287</c:v>
                </c:pt>
                <c:pt idx="267">
                  <c:v>105.81717451523539</c:v>
                </c:pt>
                <c:pt idx="268">
                  <c:v>104.98614958448749</c:v>
                </c:pt>
                <c:pt idx="269">
                  <c:v>103.87811634349021</c:v>
                </c:pt>
                <c:pt idx="270">
                  <c:v>103.73961218836563</c:v>
                </c:pt>
                <c:pt idx="271">
                  <c:v>103.87811634349021</c:v>
                </c:pt>
                <c:pt idx="272">
                  <c:v>105.12465373961216</c:v>
                </c:pt>
                <c:pt idx="273">
                  <c:v>104.15512465373955</c:v>
                </c:pt>
                <c:pt idx="274">
                  <c:v>104.43213296398885</c:v>
                </c:pt>
                <c:pt idx="275">
                  <c:v>104.84764542936287</c:v>
                </c:pt>
                <c:pt idx="276">
                  <c:v>104.01662049861491</c:v>
                </c:pt>
                <c:pt idx="277">
                  <c:v>104.29362880886418</c:v>
                </c:pt>
                <c:pt idx="278">
                  <c:v>103.87811634349016</c:v>
                </c:pt>
                <c:pt idx="279">
                  <c:v>102.90858725761764</c:v>
                </c:pt>
                <c:pt idx="280">
                  <c:v>102.90858725761764</c:v>
                </c:pt>
                <c:pt idx="281">
                  <c:v>101.24653739612175</c:v>
                </c:pt>
                <c:pt idx="282">
                  <c:v>100.83102493074787</c:v>
                </c:pt>
                <c:pt idx="283">
                  <c:v>100.83102493074787</c:v>
                </c:pt>
                <c:pt idx="284">
                  <c:v>98.19944598337942</c:v>
                </c:pt>
                <c:pt idx="285">
                  <c:v>99.584487534625907</c:v>
                </c:pt>
                <c:pt idx="286">
                  <c:v>99.861495844875265</c:v>
                </c:pt>
                <c:pt idx="287">
                  <c:v>100.96952908587255</c:v>
                </c:pt>
                <c:pt idx="288">
                  <c:v>100.13850415512452</c:v>
                </c:pt>
                <c:pt idx="289">
                  <c:v>97.50692520775614</c:v>
                </c:pt>
                <c:pt idx="290">
                  <c:v>90.166204986149495</c:v>
                </c:pt>
                <c:pt idx="291">
                  <c:v>92.79778393351792</c:v>
                </c:pt>
                <c:pt idx="292">
                  <c:v>93.490304709141213</c:v>
                </c:pt>
                <c:pt idx="293">
                  <c:v>90.027700831024788</c:v>
                </c:pt>
                <c:pt idx="294">
                  <c:v>92.936288088642598</c:v>
                </c:pt>
                <c:pt idx="295">
                  <c:v>90.720221606648124</c:v>
                </c:pt>
                <c:pt idx="296">
                  <c:v>90.858725761772774</c:v>
                </c:pt>
                <c:pt idx="297">
                  <c:v>87.257617728531784</c:v>
                </c:pt>
                <c:pt idx="298">
                  <c:v>85.180055401661988</c:v>
                </c:pt>
                <c:pt idx="299">
                  <c:v>87.811634349030427</c:v>
                </c:pt>
                <c:pt idx="300">
                  <c:v>84.903047091412674</c:v>
                </c:pt>
                <c:pt idx="301">
                  <c:v>87.119113573407134</c:v>
                </c:pt>
                <c:pt idx="302">
                  <c:v>88.642659279778371</c:v>
                </c:pt>
                <c:pt idx="303">
                  <c:v>87.950138504155049</c:v>
                </c:pt>
                <c:pt idx="304">
                  <c:v>88.642659279778385</c:v>
                </c:pt>
                <c:pt idx="305">
                  <c:v>87.257617728531812</c:v>
                </c:pt>
                <c:pt idx="306">
                  <c:v>89.473684210526258</c:v>
                </c:pt>
                <c:pt idx="307">
                  <c:v>88.6426592797784</c:v>
                </c:pt>
                <c:pt idx="308">
                  <c:v>89.058171745152308</c:v>
                </c:pt>
                <c:pt idx="309">
                  <c:v>90.858725761772803</c:v>
                </c:pt>
                <c:pt idx="310">
                  <c:v>91.135734072022075</c:v>
                </c:pt>
                <c:pt idx="311">
                  <c:v>91.689750692520676</c:v>
                </c:pt>
                <c:pt idx="312">
                  <c:v>90.858725761772803</c:v>
                </c:pt>
                <c:pt idx="313">
                  <c:v>92.243767313019319</c:v>
                </c:pt>
                <c:pt idx="314">
                  <c:v>92.382271468143998</c:v>
                </c:pt>
                <c:pt idx="315">
                  <c:v>91.412742382271418</c:v>
                </c:pt>
                <c:pt idx="316">
                  <c:v>91.551246537396082</c:v>
                </c:pt>
                <c:pt idx="317">
                  <c:v>90.99722991689751</c:v>
                </c:pt>
                <c:pt idx="318">
                  <c:v>90.581717451523488</c:v>
                </c:pt>
                <c:pt idx="319">
                  <c:v>90.304709141274202</c:v>
                </c:pt>
                <c:pt idx="320">
                  <c:v>89.889196675900237</c:v>
                </c:pt>
                <c:pt idx="321">
                  <c:v>86.980609418282526</c:v>
                </c:pt>
                <c:pt idx="322">
                  <c:v>86.703601108033183</c:v>
                </c:pt>
                <c:pt idx="323">
                  <c:v>88.365650969529042</c:v>
                </c:pt>
                <c:pt idx="324">
                  <c:v>89.335180055401565</c:v>
                </c:pt>
                <c:pt idx="325">
                  <c:v>89.889196675900237</c:v>
                </c:pt>
                <c:pt idx="326">
                  <c:v>90.166204986149566</c:v>
                </c:pt>
                <c:pt idx="327">
                  <c:v>90.858725761772803</c:v>
                </c:pt>
                <c:pt idx="328">
                  <c:v>88.088642659279742</c:v>
                </c:pt>
                <c:pt idx="329">
                  <c:v>89.889196675900237</c:v>
                </c:pt>
                <c:pt idx="330">
                  <c:v>89.750692520775587</c:v>
                </c:pt>
                <c:pt idx="331">
                  <c:v>90.720221606648167</c:v>
                </c:pt>
                <c:pt idx="332">
                  <c:v>91.135734072022075</c:v>
                </c:pt>
                <c:pt idx="333">
                  <c:v>91.274238227146782</c:v>
                </c:pt>
                <c:pt idx="334">
                  <c:v>91.828254847645383</c:v>
                </c:pt>
                <c:pt idx="335">
                  <c:v>92.105263157894655</c:v>
                </c:pt>
                <c:pt idx="336">
                  <c:v>91.828254847645383</c:v>
                </c:pt>
                <c:pt idx="337">
                  <c:v>92.105263157894655</c:v>
                </c:pt>
                <c:pt idx="338">
                  <c:v>92.382271468143983</c:v>
                </c:pt>
                <c:pt idx="339">
                  <c:v>92.797783933517934</c:v>
                </c:pt>
                <c:pt idx="340">
                  <c:v>93.213296398891899</c:v>
                </c:pt>
                <c:pt idx="341">
                  <c:v>94.044321329639814</c:v>
                </c:pt>
                <c:pt idx="342">
                  <c:v>92.936288088642613</c:v>
                </c:pt>
                <c:pt idx="343">
                  <c:v>92.936288088642613</c:v>
                </c:pt>
                <c:pt idx="344">
                  <c:v>93.628808864265807</c:v>
                </c:pt>
                <c:pt idx="345">
                  <c:v>94.3213296398891</c:v>
                </c:pt>
                <c:pt idx="346">
                  <c:v>94.598337950138387</c:v>
                </c:pt>
                <c:pt idx="347">
                  <c:v>95.844875346260281</c:v>
                </c:pt>
                <c:pt idx="348">
                  <c:v>97.229916897506797</c:v>
                </c:pt>
                <c:pt idx="349">
                  <c:v>97.645429362880776</c:v>
                </c:pt>
                <c:pt idx="350">
                  <c:v>96.537396121883546</c:v>
                </c:pt>
                <c:pt idx="351">
                  <c:v>97.091412742382204</c:v>
                </c:pt>
                <c:pt idx="352">
                  <c:v>97.783933518005469</c:v>
                </c:pt>
                <c:pt idx="353">
                  <c:v>96.814404432132903</c:v>
                </c:pt>
                <c:pt idx="354">
                  <c:v>96.814404432132903</c:v>
                </c:pt>
                <c:pt idx="355">
                  <c:v>96.814404432132903</c:v>
                </c:pt>
                <c:pt idx="356">
                  <c:v>95.983379501384945</c:v>
                </c:pt>
                <c:pt idx="357">
                  <c:v>94.736842105263079</c:v>
                </c:pt>
                <c:pt idx="358">
                  <c:v>95.567867036011009</c:v>
                </c:pt>
                <c:pt idx="359">
                  <c:v>95.290858725761709</c:v>
                </c:pt>
                <c:pt idx="360">
                  <c:v>95.983379501384945</c:v>
                </c:pt>
                <c:pt idx="361">
                  <c:v>95.706371191135659</c:v>
                </c:pt>
                <c:pt idx="362">
                  <c:v>95.567867036011009</c:v>
                </c:pt>
                <c:pt idx="363">
                  <c:v>96.537396121883589</c:v>
                </c:pt>
                <c:pt idx="364">
                  <c:v>96.260387811634246</c:v>
                </c:pt>
                <c:pt idx="365">
                  <c:v>96.121883656509596</c:v>
                </c:pt>
                <c:pt idx="366">
                  <c:v>96.260387811634246</c:v>
                </c:pt>
                <c:pt idx="367">
                  <c:v>95.429362880886359</c:v>
                </c:pt>
                <c:pt idx="368">
                  <c:v>94.321329639889129</c:v>
                </c:pt>
                <c:pt idx="369">
                  <c:v>94.044321329639828</c:v>
                </c:pt>
                <c:pt idx="370">
                  <c:v>95.290858725761709</c:v>
                </c:pt>
                <c:pt idx="371">
                  <c:v>94.321329639889129</c:v>
                </c:pt>
                <c:pt idx="372">
                  <c:v>93.351800554016549</c:v>
                </c:pt>
                <c:pt idx="373">
                  <c:v>93.074792243767249</c:v>
                </c:pt>
                <c:pt idx="374">
                  <c:v>94.459833795013807</c:v>
                </c:pt>
                <c:pt idx="375">
                  <c:v>95.152354570637058</c:v>
                </c:pt>
                <c:pt idx="376">
                  <c:v>94.736842105263108</c:v>
                </c:pt>
                <c:pt idx="377">
                  <c:v>95.013850415512422</c:v>
                </c:pt>
                <c:pt idx="378">
                  <c:v>94.459833795013807</c:v>
                </c:pt>
                <c:pt idx="379">
                  <c:v>94.598337950138458</c:v>
                </c:pt>
                <c:pt idx="380">
                  <c:v>94.044321329639843</c:v>
                </c:pt>
                <c:pt idx="381">
                  <c:v>93.074792243767249</c:v>
                </c:pt>
                <c:pt idx="382">
                  <c:v>93.213296398891913</c:v>
                </c:pt>
                <c:pt idx="383">
                  <c:v>94.598337950138458</c:v>
                </c:pt>
                <c:pt idx="384">
                  <c:v>94.598337950138458</c:v>
                </c:pt>
                <c:pt idx="385">
                  <c:v>94.459833795013807</c:v>
                </c:pt>
                <c:pt idx="386">
                  <c:v>94.182825484764479</c:v>
                </c:pt>
                <c:pt idx="387">
                  <c:v>93.905817174515178</c:v>
                </c:pt>
                <c:pt idx="388">
                  <c:v>92.936288088642627</c:v>
                </c:pt>
                <c:pt idx="389">
                  <c:v>92.659279778393312</c:v>
                </c:pt>
                <c:pt idx="390">
                  <c:v>91.412742382271418</c:v>
                </c:pt>
                <c:pt idx="391">
                  <c:v>90.99722991689751</c:v>
                </c:pt>
                <c:pt idx="392">
                  <c:v>90.99722991689751</c:v>
                </c:pt>
                <c:pt idx="393">
                  <c:v>91.274238227146768</c:v>
                </c:pt>
                <c:pt idx="394">
                  <c:v>92.243767313019319</c:v>
                </c:pt>
                <c:pt idx="395">
                  <c:v>91.689750692520676</c:v>
                </c:pt>
                <c:pt idx="396">
                  <c:v>91.135734072022075</c:v>
                </c:pt>
                <c:pt idx="397">
                  <c:v>91.274238227146782</c:v>
                </c:pt>
                <c:pt idx="398">
                  <c:v>92.243767313019333</c:v>
                </c:pt>
                <c:pt idx="399">
                  <c:v>91.966759002770047</c:v>
                </c:pt>
                <c:pt idx="400">
                  <c:v>91.412742382271418</c:v>
                </c:pt>
                <c:pt idx="401">
                  <c:v>91.551246537396082</c:v>
                </c:pt>
                <c:pt idx="402">
                  <c:v>91.412742382271418</c:v>
                </c:pt>
                <c:pt idx="403">
                  <c:v>91.689750692520704</c:v>
                </c:pt>
                <c:pt idx="404">
                  <c:v>91.412742382271418</c:v>
                </c:pt>
                <c:pt idx="405">
                  <c:v>90.858725761772817</c:v>
                </c:pt>
                <c:pt idx="406">
                  <c:v>90.443213296398909</c:v>
                </c:pt>
                <c:pt idx="407">
                  <c:v>90.581717451523488</c:v>
                </c:pt>
                <c:pt idx="408">
                  <c:v>90.027700831024845</c:v>
                </c:pt>
                <c:pt idx="409">
                  <c:v>89.058171745152308</c:v>
                </c:pt>
                <c:pt idx="410">
                  <c:v>89.889196675900266</c:v>
                </c:pt>
                <c:pt idx="411">
                  <c:v>90.581717451523488</c:v>
                </c:pt>
                <c:pt idx="412">
                  <c:v>91.551246537396082</c:v>
                </c:pt>
                <c:pt idx="413">
                  <c:v>91.412742382271418</c:v>
                </c:pt>
                <c:pt idx="414">
                  <c:v>91.274238227146782</c:v>
                </c:pt>
                <c:pt idx="415">
                  <c:v>89.612188365650894</c:v>
                </c:pt>
                <c:pt idx="416">
                  <c:v>90.166204986149566</c:v>
                </c:pt>
                <c:pt idx="417">
                  <c:v>88.919667590027714</c:v>
                </c:pt>
                <c:pt idx="418">
                  <c:v>88.504155124653693</c:v>
                </c:pt>
                <c:pt idx="419">
                  <c:v>89.196675900277029</c:v>
                </c:pt>
                <c:pt idx="420">
                  <c:v>89.750692520775601</c:v>
                </c:pt>
                <c:pt idx="421">
                  <c:v>90.166204986149566</c:v>
                </c:pt>
                <c:pt idx="422">
                  <c:v>89.473684210526258</c:v>
                </c:pt>
                <c:pt idx="423">
                  <c:v>89.473684210526258</c:v>
                </c:pt>
                <c:pt idx="424">
                  <c:v>89.889196675900266</c:v>
                </c:pt>
                <c:pt idx="425">
                  <c:v>89.473684210526258</c:v>
                </c:pt>
                <c:pt idx="426">
                  <c:v>89.473684210526258</c:v>
                </c:pt>
                <c:pt idx="427">
                  <c:v>88.504155124653678</c:v>
                </c:pt>
                <c:pt idx="428">
                  <c:v>88.088642659279756</c:v>
                </c:pt>
                <c:pt idx="429">
                  <c:v>86.980609418282526</c:v>
                </c:pt>
                <c:pt idx="430">
                  <c:v>86.980609418282526</c:v>
                </c:pt>
                <c:pt idx="431">
                  <c:v>85.318559556786639</c:v>
                </c:pt>
                <c:pt idx="432">
                  <c:v>85.041551246537367</c:v>
                </c:pt>
                <c:pt idx="433">
                  <c:v>86.426592797783869</c:v>
                </c:pt>
                <c:pt idx="434">
                  <c:v>87.534626038781141</c:v>
                </c:pt>
                <c:pt idx="435">
                  <c:v>86.149584487534582</c:v>
                </c:pt>
                <c:pt idx="436">
                  <c:v>86.426592797783854</c:v>
                </c:pt>
                <c:pt idx="437">
                  <c:v>86.565096952908519</c:v>
                </c:pt>
                <c:pt idx="438">
                  <c:v>86.703601108033212</c:v>
                </c:pt>
                <c:pt idx="439">
                  <c:v>87.257617728531812</c:v>
                </c:pt>
                <c:pt idx="440">
                  <c:v>88.08864265927977</c:v>
                </c:pt>
                <c:pt idx="441">
                  <c:v>87.950138504155078</c:v>
                </c:pt>
                <c:pt idx="442">
                  <c:v>88.227146814404364</c:v>
                </c:pt>
                <c:pt idx="443">
                  <c:v>88.08864265927977</c:v>
                </c:pt>
                <c:pt idx="444">
                  <c:v>87.257617728531841</c:v>
                </c:pt>
                <c:pt idx="445">
                  <c:v>87.119113573407191</c:v>
                </c:pt>
                <c:pt idx="446">
                  <c:v>87.811634349030484</c:v>
                </c:pt>
                <c:pt idx="447">
                  <c:v>87.673130193905749</c:v>
                </c:pt>
                <c:pt idx="448">
                  <c:v>88.781163434903078</c:v>
                </c:pt>
                <c:pt idx="449">
                  <c:v>88.919667590027714</c:v>
                </c:pt>
                <c:pt idx="450">
                  <c:v>89.612188365650908</c:v>
                </c:pt>
                <c:pt idx="451">
                  <c:v>89.335180055401608</c:v>
                </c:pt>
                <c:pt idx="452">
                  <c:v>89.196675900277029</c:v>
                </c:pt>
                <c:pt idx="453">
                  <c:v>87.396121883656463</c:v>
                </c:pt>
                <c:pt idx="454">
                  <c:v>86.011080332409904</c:v>
                </c:pt>
                <c:pt idx="455">
                  <c:v>86.426592797783869</c:v>
                </c:pt>
                <c:pt idx="456">
                  <c:v>85.180055401662045</c:v>
                </c:pt>
                <c:pt idx="457">
                  <c:v>85.872576177285254</c:v>
                </c:pt>
                <c:pt idx="458">
                  <c:v>86.288088642659218</c:v>
                </c:pt>
                <c:pt idx="459">
                  <c:v>87.950138504155078</c:v>
                </c:pt>
                <c:pt idx="460">
                  <c:v>88.08864265927977</c:v>
                </c:pt>
                <c:pt idx="461">
                  <c:v>88.642659279778414</c:v>
                </c:pt>
                <c:pt idx="462">
                  <c:v>89.750692520775615</c:v>
                </c:pt>
                <c:pt idx="463">
                  <c:v>90.027700831024873</c:v>
                </c:pt>
                <c:pt idx="464">
                  <c:v>89.335180055401608</c:v>
                </c:pt>
                <c:pt idx="465">
                  <c:v>88.919667590027728</c:v>
                </c:pt>
                <c:pt idx="466">
                  <c:v>89.612188365650908</c:v>
                </c:pt>
                <c:pt idx="467">
                  <c:v>89.889196675900294</c:v>
                </c:pt>
              </c:numCache>
            </c:numRef>
          </c:val>
          <c:smooth val="0"/>
          <c:extLst>
            <c:ext xmlns:c16="http://schemas.microsoft.com/office/drawing/2014/chart" uri="{C3380CC4-5D6E-409C-BE32-E72D297353CC}">
              <c16:uniqueId val="{00000001-FCCC-4543-8000-6EEE235E3B8B}"/>
            </c:ext>
          </c:extLst>
        </c:ser>
        <c:ser>
          <c:idx val="2"/>
          <c:order val="2"/>
          <c:tx>
            <c:strRef>
              <c:f>Sheet1!$D$1</c:f>
              <c:strCache>
                <c:ptCount val="1"/>
                <c:pt idx="0">
                  <c:v>EUR/AMD</c:v>
                </c:pt>
              </c:strCache>
            </c:strRef>
          </c:tx>
          <c:spPr>
            <a:ln w="28575" cap="rnd">
              <a:solidFill>
                <a:srgbClr val="C00000"/>
              </a:solidFill>
              <a:round/>
            </a:ln>
            <a:effectLst/>
          </c:spPr>
          <c:marker>
            <c:symbol val="none"/>
          </c:marker>
          <c:cat>
            <c:strRef>
              <c:f>Sheet1!$A$2:$A$966</c:f>
              <c:strCache>
                <c:ptCount val="468"/>
                <c:pt idx="0">
                  <c:v>8/1/2019</c:v>
                </c:pt>
                <c:pt idx="1">
                  <c:v>9/1/2019</c:v>
                </c:pt>
                <c:pt idx="2">
                  <c:v>10/1/2019</c:v>
                </c:pt>
                <c:pt idx="3">
                  <c:v>11/1/2019</c:v>
                </c:pt>
                <c:pt idx="4">
                  <c:v>14/01/2019</c:v>
                </c:pt>
                <c:pt idx="5">
                  <c:v>15/01/2019</c:v>
                </c:pt>
                <c:pt idx="6">
                  <c:v>16/01/2019</c:v>
                </c:pt>
                <c:pt idx="7">
                  <c:v>17/01/2019</c:v>
                </c:pt>
                <c:pt idx="8">
                  <c:v>18/01/2019</c:v>
                </c:pt>
                <c:pt idx="9">
                  <c:v>21/01/2019</c:v>
                </c:pt>
                <c:pt idx="10">
                  <c:v>22/01/2019</c:v>
                </c:pt>
                <c:pt idx="11">
                  <c:v>23/01/2019</c:v>
                </c:pt>
                <c:pt idx="12">
                  <c:v>24/01/2019</c:v>
                </c:pt>
                <c:pt idx="13">
                  <c:v>25/01/2019</c:v>
                </c:pt>
                <c:pt idx="14">
                  <c:v>29/01/2019</c:v>
                </c:pt>
                <c:pt idx="15">
                  <c:v>30/01/2019</c:v>
                </c:pt>
                <c:pt idx="16">
                  <c:v>31/01/2019</c:v>
                </c:pt>
                <c:pt idx="17">
                  <c:v>1/2/2019</c:v>
                </c:pt>
                <c:pt idx="18">
                  <c:v>4/2/2019</c:v>
                </c:pt>
                <c:pt idx="19">
                  <c:v>5/2/2019</c:v>
                </c:pt>
                <c:pt idx="20">
                  <c:v>6/2/2019</c:v>
                </c:pt>
                <c:pt idx="21">
                  <c:v>7/2/2019</c:v>
                </c:pt>
                <c:pt idx="22">
                  <c:v>8/2/2019</c:v>
                </c:pt>
                <c:pt idx="23">
                  <c:v>11/2/2019</c:v>
                </c:pt>
                <c:pt idx="24">
                  <c:v>12/2/2019</c:v>
                </c:pt>
                <c:pt idx="25">
                  <c:v>13/02/2019</c:v>
                </c:pt>
                <c:pt idx="26">
                  <c:v>14/02/2019</c:v>
                </c:pt>
                <c:pt idx="27">
                  <c:v>15/02/2019</c:v>
                </c:pt>
                <c:pt idx="28">
                  <c:v>18/02/2019</c:v>
                </c:pt>
                <c:pt idx="29">
                  <c:v>19/02/2019</c:v>
                </c:pt>
                <c:pt idx="30">
                  <c:v>20/02/2019</c:v>
                </c:pt>
                <c:pt idx="31">
                  <c:v>21/02/2019</c:v>
                </c:pt>
                <c:pt idx="32">
                  <c:v>22/02/2019</c:v>
                </c:pt>
                <c:pt idx="33">
                  <c:v>25/02/2019</c:v>
                </c:pt>
                <c:pt idx="34">
                  <c:v>26/02/2019</c:v>
                </c:pt>
                <c:pt idx="35">
                  <c:v>27/02/2019</c:v>
                </c:pt>
                <c:pt idx="36">
                  <c:v>28/02/2019</c:v>
                </c:pt>
                <c:pt idx="37">
                  <c:v>1/3/2019</c:v>
                </c:pt>
                <c:pt idx="38">
                  <c:v>4/3/2019</c:v>
                </c:pt>
                <c:pt idx="39">
                  <c:v>5/3/2019</c:v>
                </c:pt>
                <c:pt idx="40">
                  <c:v>6/3/2019</c:v>
                </c:pt>
                <c:pt idx="41">
                  <c:v>7/3/2019</c:v>
                </c:pt>
                <c:pt idx="42">
                  <c:v>11/3/2019</c:v>
                </c:pt>
                <c:pt idx="43">
                  <c:v>12/3/2019</c:v>
                </c:pt>
                <c:pt idx="44">
                  <c:v>13/03/2019</c:v>
                </c:pt>
                <c:pt idx="45">
                  <c:v>14/03/2019</c:v>
                </c:pt>
                <c:pt idx="46">
                  <c:v>15/03/2019</c:v>
                </c:pt>
                <c:pt idx="47">
                  <c:v>18/03/2019</c:v>
                </c:pt>
                <c:pt idx="48">
                  <c:v>19/03/2019</c:v>
                </c:pt>
                <c:pt idx="49">
                  <c:v>20/03/2019</c:v>
                </c:pt>
                <c:pt idx="50">
                  <c:v>21/03/2019</c:v>
                </c:pt>
                <c:pt idx="51">
                  <c:v>22/03/2019</c:v>
                </c:pt>
                <c:pt idx="52">
                  <c:v>25/03/2019</c:v>
                </c:pt>
                <c:pt idx="53">
                  <c:v>26/03/2019</c:v>
                </c:pt>
                <c:pt idx="54">
                  <c:v>27/03/2019</c:v>
                </c:pt>
                <c:pt idx="55">
                  <c:v>28/03/2019</c:v>
                </c:pt>
                <c:pt idx="56">
                  <c:v>29/03/2019</c:v>
                </c:pt>
                <c:pt idx="57">
                  <c:v>1/4/2019</c:v>
                </c:pt>
                <c:pt idx="58">
                  <c:v>2/4/2019</c:v>
                </c:pt>
                <c:pt idx="59">
                  <c:v>3/4/2019</c:v>
                </c:pt>
                <c:pt idx="60">
                  <c:v>4/4/2019</c:v>
                </c:pt>
                <c:pt idx="61">
                  <c:v>5/4/2019</c:v>
                </c:pt>
                <c:pt idx="62">
                  <c:v>8/4/2019</c:v>
                </c:pt>
                <c:pt idx="63">
                  <c:v>9/4/2019</c:v>
                </c:pt>
                <c:pt idx="64">
                  <c:v>10/4/2019</c:v>
                </c:pt>
                <c:pt idx="65">
                  <c:v>11/4/2019</c:v>
                </c:pt>
                <c:pt idx="66">
                  <c:v>12/4/2019</c:v>
                </c:pt>
                <c:pt idx="67">
                  <c:v>15/04/2019</c:v>
                </c:pt>
                <c:pt idx="68">
                  <c:v>16/04/2019</c:v>
                </c:pt>
                <c:pt idx="69">
                  <c:v>17/04/2019</c:v>
                </c:pt>
                <c:pt idx="70">
                  <c:v>18/04/2019</c:v>
                </c:pt>
                <c:pt idx="71">
                  <c:v>19/04/2019</c:v>
                </c:pt>
                <c:pt idx="72">
                  <c:v>22/04/2019</c:v>
                </c:pt>
                <c:pt idx="73">
                  <c:v>23/04/2019</c:v>
                </c:pt>
                <c:pt idx="74">
                  <c:v>25/04/2019</c:v>
                </c:pt>
                <c:pt idx="75">
                  <c:v>26/04/2019</c:v>
                </c:pt>
                <c:pt idx="76">
                  <c:v>29/04/2019</c:v>
                </c:pt>
                <c:pt idx="77">
                  <c:v>30/04/2019</c:v>
                </c:pt>
                <c:pt idx="78">
                  <c:v>2/5/2019</c:v>
                </c:pt>
                <c:pt idx="79">
                  <c:v>3/5/2019</c:v>
                </c:pt>
                <c:pt idx="80">
                  <c:v>6/5/2019</c:v>
                </c:pt>
                <c:pt idx="81">
                  <c:v>7/5/2019</c:v>
                </c:pt>
                <c:pt idx="82">
                  <c:v>8/5/2019</c:v>
                </c:pt>
                <c:pt idx="83">
                  <c:v>10/5/2019</c:v>
                </c:pt>
                <c:pt idx="84">
                  <c:v>13/05/2019</c:v>
                </c:pt>
                <c:pt idx="85">
                  <c:v>14/05/2019</c:v>
                </c:pt>
                <c:pt idx="86">
                  <c:v>15/05/2019</c:v>
                </c:pt>
                <c:pt idx="87">
                  <c:v>16/05/2019</c:v>
                </c:pt>
                <c:pt idx="88">
                  <c:v>17/05/2019</c:v>
                </c:pt>
                <c:pt idx="89">
                  <c:v>20/05/2019</c:v>
                </c:pt>
                <c:pt idx="90">
                  <c:v>21/05/2019</c:v>
                </c:pt>
                <c:pt idx="91">
                  <c:v>22/05/2019</c:v>
                </c:pt>
                <c:pt idx="92">
                  <c:v>23/05/2019</c:v>
                </c:pt>
                <c:pt idx="93">
                  <c:v>24/05/2019</c:v>
                </c:pt>
                <c:pt idx="94">
                  <c:v>27/05/2019</c:v>
                </c:pt>
                <c:pt idx="95">
                  <c:v>29/05/2019</c:v>
                </c:pt>
                <c:pt idx="96">
                  <c:v>30/05/2019</c:v>
                </c:pt>
                <c:pt idx="97">
                  <c:v>31/05/2019</c:v>
                </c:pt>
                <c:pt idx="98">
                  <c:v>3/6/2019</c:v>
                </c:pt>
                <c:pt idx="99">
                  <c:v>4/6/2019</c:v>
                </c:pt>
                <c:pt idx="100">
                  <c:v>5/6/2019</c:v>
                </c:pt>
                <c:pt idx="101">
                  <c:v>6/6/2019</c:v>
                </c:pt>
                <c:pt idx="102">
                  <c:v>7/6/2019</c:v>
                </c:pt>
                <c:pt idx="103">
                  <c:v>10/6/2019</c:v>
                </c:pt>
                <c:pt idx="104">
                  <c:v>11/6/2019</c:v>
                </c:pt>
                <c:pt idx="105">
                  <c:v>12/6/2019</c:v>
                </c:pt>
                <c:pt idx="106">
                  <c:v>13/06/2019</c:v>
                </c:pt>
                <c:pt idx="107">
                  <c:v>14/06/2019</c:v>
                </c:pt>
                <c:pt idx="108">
                  <c:v>17/06/2019</c:v>
                </c:pt>
                <c:pt idx="109">
                  <c:v>18/06/2019</c:v>
                </c:pt>
                <c:pt idx="110">
                  <c:v>19/06/2019</c:v>
                </c:pt>
                <c:pt idx="111">
                  <c:v>20/06/2019</c:v>
                </c:pt>
                <c:pt idx="112">
                  <c:v>21/06/2019</c:v>
                </c:pt>
                <c:pt idx="113">
                  <c:v>24/06/2019</c:v>
                </c:pt>
                <c:pt idx="114">
                  <c:v>25/06/2019</c:v>
                </c:pt>
                <c:pt idx="115">
                  <c:v>26/06/2019</c:v>
                </c:pt>
                <c:pt idx="116">
                  <c:v>27/06/2019</c:v>
                </c:pt>
                <c:pt idx="117">
                  <c:v>28/06/2019</c:v>
                </c:pt>
                <c:pt idx="118">
                  <c:v>1/7/2019</c:v>
                </c:pt>
                <c:pt idx="119">
                  <c:v>2/7/2019</c:v>
                </c:pt>
                <c:pt idx="120">
                  <c:v>3/7/2019</c:v>
                </c:pt>
                <c:pt idx="121">
                  <c:v>4/7/2019</c:v>
                </c:pt>
                <c:pt idx="122">
                  <c:v>8/7/2019</c:v>
                </c:pt>
                <c:pt idx="123">
                  <c:v>9/7/2019</c:v>
                </c:pt>
                <c:pt idx="124">
                  <c:v>10/7/2019</c:v>
                </c:pt>
                <c:pt idx="125">
                  <c:v>11/7/2019</c:v>
                </c:pt>
                <c:pt idx="126">
                  <c:v>12/7/2019</c:v>
                </c:pt>
                <c:pt idx="127">
                  <c:v>15/07/2019</c:v>
                </c:pt>
                <c:pt idx="128">
                  <c:v>16/07/2019</c:v>
                </c:pt>
                <c:pt idx="129">
                  <c:v>17/07/2019</c:v>
                </c:pt>
                <c:pt idx="130">
                  <c:v>18/07/2019</c:v>
                </c:pt>
                <c:pt idx="131">
                  <c:v>19/07/2019</c:v>
                </c:pt>
                <c:pt idx="132">
                  <c:v>22/07/2019</c:v>
                </c:pt>
                <c:pt idx="133">
                  <c:v>23/07/2019</c:v>
                </c:pt>
                <c:pt idx="134">
                  <c:v>24/07/2019</c:v>
                </c:pt>
                <c:pt idx="135">
                  <c:v>25/07/2019</c:v>
                </c:pt>
                <c:pt idx="136">
                  <c:v>26/07/2019</c:v>
                </c:pt>
                <c:pt idx="137">
                  <c:v>29/07/2019</c:v>
                </c:pt>
                <c:pt idx="138">
                  <c:v>30/07/2019</c:v>
                </c:pt>
                <c:pt idx="139">
                  <c:v>31/07/2019</c:v>
                </c:pt>
                <c:pt idx="140">
                  <c:v>1/8/2019</c:v>
                </c:pt>
                <c:pt idx="141">
                  <c:v>2/8/2019</c:v>
                </c:pt>
                <c:pt idx="142">
                  <c:v>5/8/2019</c:v>
                </c:pt>
                <c:pt idx="143">
                  <c:v>6/8/2019</c:v>
                </c:pt>
                <c:pt idx="144">
                  <c:v>7/8/2019</c:v>
                </c:pt>
                <c:pt idx="145">
                  <c:v>8/8/2019</c:v>
                </c:pt>
                <c:pt idx="146">
                  <c:v>9/8/2019</c:v>
                </c:pt>
                <c:pt idx="147">
                  <c:v>12/8/2019</c:v>
                </c:pt>
                <c:pt idx="148">
                  <c:v>13/08/2019</c:v>
                </c:pt>
                <c:pt idx="149">
                  <c:v>14/08/2019</c:v>
                </c:pt>
                <c:pt idx="150">
                  <c:v>15/08/2019</c:v>
                </c:pt>
                <c:pt idx="151">
                  <c:v>16/08/2019</c:v>
                </c:pt>
                <c:pt idx="152">
                  <c:v>19/08/2019</c:v>
                </c:pt>
                <c:pt idx="153">
                  <c:v>20/08/2019</c:v>
                </c:pt>
                <c:pt idx="154">
                  <c:v>21/08/2019</c:v>
                </c:pt>
                <c:pt idx="155">
                  <c:v>22/08/2019</c:v>
                </c:pt>
                <c:pt idx="156">
                  <c:v>23/08/2019</c:v>
                </c:pt>
                <c:pt idx="157">
                  <c:v>26/08/2019</c:v>
                </c:pt>
                <c:pt idx="158">
                  <c:v>27/08/2019</c:v>
                </c:pt>
                <c:pt idx="159">
                  <c:v>28/08/2019</c:v>
                </c:pt>
                <c:pt idx="160">
                  <c:v>29/08/2019</c:v>
                </c:pt>
                <c:pt idx="161">
                  <c:v>30/08/2019</c:v>
                </c:pt>
                <c:pt idx="162">
                  <c:v>2/9/2019</c:v>
                </c:pt>
                <c:pt idx="163">
                  <c:v>3/9/2019</c:v>
                </c:pt>
                <c:pt idx="164">
                  <c:v>4/9/2019</c:v>
                </c:pt>
                <c:pt idx="165">
                  <c:v>5/9/2019</c:v>
                </c:pt>
                <c:pt idx="166">
                  <c:v>6/9/2019</c:v>
                </c:pt>
                <c:pt idx="167">
                  <c:v>9/9/2019</c:v>
                </c:pt>
                <c:pt idx="168">
                  <c:v>10/9/2019</c:v>
                </c:pt>
                <c:pt idx="169">
                  <c:v>11/9/2019</c:v>
                </c:pt>
                <c:pt idx="170">
                  <c:v>12/9/2019</c:v>
                </c:pt>
                <c:pt idx="171">
                  <c:v>13/09/2019</c:v>
                </c:pt>
                <c:pt idx="172">
                  <c:v>16/09/2019</c:v>
                </c:pt>
                <c:pt idx="173">
                  <c:v>17/09/2019</c:v>
                </c:pt>
                <c:pt idx="174">
                  <c:v>18/09/2019</c:v>
                </c:pt>
                <c:pt idx="175">
                  <c:v>19/09/2019</c:v>
                </c:pt>
                <c:pt idx="176">
                  <c:v>20/09/2019</c:v>
                </c:pt>
                <c:pt idx="177">
                  <c:v>23/09/2019</c:v>
                </c:pt>
                <c:pt idx="178">
                  <c:v>24/09/2019</c:v>
                </c:pt>
                <c:pt idx="179">
                  <c:v>25/09/2019</c:v>
                </c:pt>
                <c:pt idx="180">
                  <c:v>26/09/2019</c:v>
                </c:pt>
                <c:pt idx="181">
                  <c:v>27/09/2019</c:v>
                </c:pt>
                <c:pt idx="182">
                  <c:v>30/09/2019</c:v>
                </c:pt>
                <c:pt idx="183">
                  <c:v>1/10/2019</c:v>
                </c:pt>
                <c:pt idx="184">
                  <c:v>2/10/2019</c:v>
                </c:pt>
                <c:pt idx="185">
                  <c:v>3/10/2019</c:v>
                </c:pt>
                <c:pt idx="186">
                  <c:v>4/10/2019</c:v>
                </c:pt>
                <c:pt idx="187">
                  <c:v>7/10/2019</c:v>
                </c:pt>
                <c:pt idx="188">
                  <c:v>8/10/2019</c:v>
                </c:pt>
                <c:pt idx="189">
                  <c:v>9/10/2019</c:v>
                </c:pt>
                <c:pt idx="190">
                  <c:v>10/10/2019</c:v>
                </c:pt>
                <c:pt idx="191">
                  <c:v>11/10/2019</c:v>
                </c:pt>
                <c:pt idx="192">
                  <c:v>14/10/2019</c:v>
                </c:pt>
                <c:pt idx="193">
                  <c:v>15/10/2019</c:v>
                </c:pt>
                <c:pt idx="194">
                  <c:v>16/10/2019</c:v>
                </c:pt>
                <c:pt idx="195">
                  <c:v>17/10/2019</c:v>
                </c:pt>
                <c:pt idx="196">
                  <c:v>18/10/2019</c:v>
                </c:pt>
                <c:pt idx="197">
                  <c:v>21/10/2019</c:v>
                </c:pt>
                <c:pt idx="198">
                  <c:v>22/10/2019</c:v>
                </c:pt>
                <c:pt idx="199">
                  <c:v>23/10/2019</c:v>
                </c:pt>
                <c:pt idx="200">
                  <c:v>24/10/2019</c:v>
                </c:pt>
                <c:pt idx="201">
                  <c:v>25/10/2019</c:v>
                </c:pt>
                <c:pt idx="202">
                  <c:v>28/10/2019</c:v>
                </c:pt>
                <c:pt idx="203">
                  <c:v>29/10/2019</c:v>
                </c:pt>
                <c:pt idx="204">
                  <c:v>30/10/2019</c:v>
                </c:pt>
                <c:pt idx="205">
                  <c:v>31/10/2019</c:v>
                </c:pt>
                <c:pt idx="206">
                  <c:v>1/11/2019</c:v>
                </c:pt>
                <c:pt idx="207">
                  <c:v>4/11/2019</c:v>
                </c:pt>
                <c:pt idx="208">
                  <c:v>5/11/2019</c:v>
                </c:pt>
                <c:pt idx="209">
                  <c:v>6/11/2019</c:v>
                </c:pt>
                <c:pt idx="210">
                  <c:v>7/11/2019</c:v>
                </c:pt>
                <c:pt idx="211">
                  <c:v>8/11/2019</c:v>
                </c:pt>
                <c:pt idx="212">
                  <c:v>11/11/2019</c:v>
                </c:pt>
                <c:pt idx="213">
                  <c:v>12/11/2019</c:v>
                </c:pt>
                <c:pt idx="214">
                  <c:v>13/11/2019</c:v>
                </c:pt>
                <c:pt idx="215">
                  <c:v>14/11/2019</c:v>
                </c:pt>
                <c:pt idx="216">
                  <c:v>15/11/2019</c:v>
                </c:pt>
                <c:pt idx="217">
                  <c:v>18/11/2019</c:v>
                </c:pt>
                <c:pt idx="218">
                  <c:v>19/11/2019</c:v>
                </c:pt>
                <c:pt idx="219">
                  <c:v>20/11/2019</c:v>
                </c:pt>
                <c:pt idx="220">
                  <c:v>21/11/2019</c:v>
                </c:pt>
                <c:pt idx="221">
                  <c:v>22/11/2019</c:v>
                </c:pt>
                <c:pt idx="222">
                  <c:v>25/11/2019</c:v>
                </c:pt>
                <c:pt idx="223">
                  <c:v>26/11/2019</c:v>
                </c:pt>
                <c:pt idx="224">
                  <c:v>27/11/2019</c:v>
                </c:pt>
                <c:pt idx="225">
                  <c:v>28/11/2019</c:v>
                </c:pt>
                <c:pt idx="226">
                  <c:v>29/11/2019</c:v>
                </c:pt>
                <c:pt idx="227">
                  <c:v>2/12/2019</c:v>
                </c:pt>
                <c:pt idx="228">
                  <c:v>3/12/2019</c:v>
                </c:pt>
                <c:pt idx="229">
                  <c:v>4/12/2019</c:v>
                </c:pt>
                <c:pt idx="230">
                  <c:v>5/12/2019</c:v>
                </c:pt>
                <c:pt idx="231">
                  <c:v>6/12/2019</c:v>
                </c:pt>
                <c:pt idx="232">
                  <c:v>9/12/2019</c:v>
                </c:pt>
                <c:pt idx="233">
                  <c:v>10/12/2019</c:v>
                </c:pt>
                <c:pt idx="234">
                  <c:v>11/12/2019</c:v>
                </c:pt>
                <c:pt idx="235">
                  <c:v>12/12/2019</c:v>
                </c:pt>
                <c:pt idx="236">
                  <c:v>13/12/2019</c:v>
                </c:pt>
                <c:pt idx="237">
                  <c:v>16/12/2019</c:v>
                </c:pt>
                <c:pt idx="238">
                  <c:v>17/12/2019</c:v>
                </c:pt>
                <c:pt idx="239">
                  <c:v>18/12/2019</c:v>
                </c:pt>
                <c:pt idx="240">
                  <c:v>19/12/2019</c:v>
                </c:pt>
                <c:pt idx="241">
                  <c:v>20/12/2019</c:v>
                </c:pt>
                <c:pt idx="242">
                  <c:v>23/12/2019</c:v>
                </c:pt>
                <c:pt idx="243">
                  <c:v>24/12/2019</c:v>
                </c:pt>
                <c:pt idx="244">
                  <c:v>25/12/2019</c:v>
                </c:pt>
                <c:pt idx="245">
                  <c:v>26/12/2019</c:v>
                </c:pt>
                <c:pt idx="246">
                  <c:v>27/12/2019</c:v>
                </c:pt>
                <c:pt idx="247">
                  <c:v>30/12/2019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pt idx="458">
                  <c:v>4/11/2020</c:v>
                </c:pt>
                <c:pt idx="459">
                  <c:v>5/11/2020</c:v>
                </c:pt>
                <c:pt idx="460">
                  <c:v>6/11/2020</c:v>
                </c:pt>
                <c:pt idx="461">
                  <c:v>9/11/2020</c:v>
                </c:pt>
                <c:pt idx="462">
                  <c:v>10/11/2020</c:v>
                </c:pt>
                <c:pt idx="463">
                  <c:v>11/11/2020</c:v>
                </c:pt>
                <c:pt idx="464">
                  <c:v>12/11/2020</c:v>
                </c:pt>
                <c:pt idx="465">
                  <c:v>13/11/2020</c:v>
                </c:pt>
                <c:pt idx="466">
                  <c:v>16/11/2020</c:v>
                </c:pt>
                <c:pt idx="467">
                  <c:v>17/11/2020</c:v>
                </c:pt>
              </c:strCache>
            </c:strRef>
          </c:cat>
          <c:val>
            <c:numRef>
              <c:f>Sheet1!$D$2:$D$966</c:f>
              <c:numCache>
                <c:formatCode>0</c:formatCode>
                <c:ptCount val="468"/>
                <c:pt idx="0">
                  <c:v>100</c:v>
                </c:pt>
                <c:pt idx="1">
                  <c:v>100.20015868436244</c:v>
                </c:pt>
                <c:pt idx="2">
                  <c:v>100.85833814195034</c:v>
                </c:pt>
                <c:pt idx="3">
                  <c:v>100.93587709174844</c:v>
                </c:pt>
                <c:pt idx="4">
                  <c:v>100.53375649163303</c:v>
                </c:pt>
                <c:pt idx="5">
                  <c:v>100.33359780727065</c:v>
                </c:pt>
                <c:pt idx="6">
                  <c:v>100.10458742065785</c:v>
                </c:pt>
                <c:pt idx="7">
                  <c:v>99.796234852856315</c:v>
                </c:pt>
                <c:pt idx="8">
                  <c:v>99.787218695903121</c:v>
                </c:pt>
                <c:pt idx="9">
                  <c:v>99.478866128101558</c:v>
                </c:pt>
                <c:pt idx="10">
                  <c:v>99.385098095787654</c:v>
                </c:pt>
                <c:pt idx="11">
                  <c:v>99.343623773802705</c:v>
                </c:pt>
                <c:pt idx="12">
                  <c:v>99.388704558568904</c:v>
                </c:pt>
                <c:pt idx="13">
                  <c:v>99.22461050201963</c:v>
                </c:pt>
                <c:pt idx="14">
                  <c:v>100.37687536064625</c:v>
                </c:pt>
                <c:pt idx="15">
                  <c:v>100.27950086555104</c:v>
                </c:pt>
                <c:pt idx="16">
                  <c:v>100.82768320830932</c:v>
                </c:pt>
                <c:pt idx="17">
                  <c:v>100.74112810155799</c:v>
                </c:pt>
                <c:pt idx="18">
                  <c:v>100.58064050778994</c:v>
                </c:pt>
                <c:pt idx="19">
                  <c:v>100.42195614541259</c:v>
                </c:pt>
                <c:pt idx="20">
                  <c:v>100.2650750144258</c:v>
                </c:pt>
                <c:pt idx="21">
                  <c:v>99.938690132717852</c:v>
                </c:pt>
                <c:pt idx="22">
                  <c:v>99.909838430467389</c:v>
                </c:pt>
                <c:pt idx="23">
                  <c:v>99.841315637622642</c:v>
                </c:pt>
                <c:pt idx="24">
                  <c:v>99.538372763993067</c:v>
                </c:pt>
                <c:pt idx="25">
                  <c:v>99.769186381996562</c:v>
                </c:pt>
                <c:pt idx="26">
                  <c:v>99.188545874206554</c:v>
                </c:pt>
                <c:pt idx="27">
                  <c:v>99.197562031159848</c:v>
                </c:pt>
                <c:pt idx="28">
                  <c:v>99.453620888632472</c:v>
                </c:pt>
                <c:pt idx="29">
                  <c:v>99.370672244662458</c:v>
                </c:pt>
                <c:pt idx="30">
                  <c:v>99.758366993652615</c:v>
                </c:pt>
                <c:pt idx="31">
                  <c:v>99.671811886901295</c:v>
                </c:pt>
                <c:pt idx="32">
                  <c:v>99.926067512983224</c:v>
                </c:pt>
                <c:pt idx="33">
                  <c:v>100.0378678592037</c:v>
                </c:pt>
                <c:pt idx="34">
                  <c:v>100.20015868436244</c:v>
                </c:pt>
                <c:pt idx="35">
                  <c:v>100.56621465666476</c:v>
                </c:pt>
                <c:pt idx="36">
                  <c:v>100.59145989613387</c:v>
                </c:pt>
                <c:pt idx="37">
                  <c:v>100.39490767455278</c:v>
                </c:pt>
                <c:pt idx="38">
                  <c:v>100.36425274091172</c:v>
                </c:pt>
                <c:pt idx="39">
                  <c:v>100.19655222158103</c:v>
                </c:pt>
                <c:pt idx="40">
                  <c:v>99.796234852856273</c:v>
                </c:pt>
                <c:pt idx="41">
                  <c:v>99.727712060011513</c:v>
                </c:pt>
                <c:pt idx="42">
                  <c:v>99.130842469705712</c:v>
                </c:pt>
                <c:pt idx="43">
                  <c:v>99.217397576456989</c:v>
                </c:pt>
                <c:pt idx="44">
                  <c:v>99.278707443739137</c:v>
                </c:pt>
                <c:pt idx="45">
                  <c:v>99.278707443739137</c:v>
                </c:pt>
                <c:pt idx="46">
                  <c:v>99.350836699365274</c:v>
                </c:pt>
                <c:pt idx="47">
                  <c:v>99.565421234852849</c:v>
                </c:pt>
                <c:pt idx="48">
                  <c:v>99.549192152336957</c:v>
                </c:pt>
                <c:pt idx="49">
                  <c:v>99.440998268897914</c:v>
                </c:pt>
                <c:pt idx="50">
                  <c:v>99.980164454702901</c:v>
                </c:pt>
                <c:pt idx="51">
                  <c:v>99.037074437391809</c:v>
                </c:pt>
                <c:pt idx="52">
                  <c:v>99.192152336987846</c:v>
                </c:pt>
                <c:pt idx="53">
                  <c:v>99.201168493941196</c:v>
                </c:pt>
                <c:pt idx="54">
                  <c:v>98.918061165608776</c:v>
                </c:pt>
                <c:pt idx="55">
                  <c:v>98.698066935949242</c:v>
                </c:pt>
                <c:pt idx="56">
                  <c:v>98.330207732256184</c:v>
                </c:pt>
                <c:pt idx="57">
                  <c:v>98.553808424697081</c:v>
                </c:pt>
                <c:pt idx="58">
                  <c:v>98.27430755914601</c:v>
                </c:pt>
                <c:pt idx="59">
                  <c:v>98.728721869590316</c:v>
                </c:pt>
                <c:pt idx="60">
                  <c:v>98.651182919792319</c:v>
                </c:pt>
                <c:pt idx="61">
                  <c:v>98.687247547605352</c:v>
                </c:pt>
                <c:pt idx="62">
                  <c:v>98.762983266012782</c:v>
                </c:pt>
                <c:pt idx="63">
                  <c:v>98.91265147143686</c:v>
                </c:pt>
                <c:pt idx="64">
                  <c:v>98.793638199653785</c:v>
                </c:pt>
                <c:pt idx="65">
                  <c:v>98.634953837276456</c:v>
                </c:pt>
                <c:pt idx="66">
                  <c:v>98.952322562031185</c:v>
                </c:pt>
                <c:pt idx="67">
                  <c:v>98.889209463358412</c:v>
                </c:pt>
                <c:pt idx="68">
                  <c:v>98.611511829197966</c:v>
                </c:pt>
                <c:pt idx="69">
                  <c:v>98.561021350259708</c:v>
                </c:pt>
                <c:pt idx="70">
                  <c:v>97.960545297172601</c:v>
                </c:pt>
                <c:pt idx="71">
                  <c:v>97.800057703404505</c:v>
                </c:pt>
                <c:pt idx="72">
                  <c:v>97.767599538372835</c:v>
                </c:pt>
                <c:pt idx="73">
                  <c:v>97.735141373341079</c:v>
                </c:pt>
                <c:pt idx="74">
                  <c:v>96.694676860934848</c:v>
                </c:pt>
                <c:pt idx="75">
                  <c:v>96.664021927293746</c:v>
                </c:pt>
                <c:pt idx="76">
                  <c:v>96.865983843046749</c:v>
                </c:pt>
                <c:pt idx="77">
                  <c:v>97.134665320253944</c:v>
                </c:pt>
                <c:pt idx="78">
                  <c:v>97.017455279861565</c:v>
                </c:pt>
                <c:pt idx="79">
                  <c:v>96.703693017888114</c:v>
                </c:pt>
                <c:pt idx="80">
                  <c:v>97.158107328332406</c:v>
                </c:pt>
                <c:pt idx="81">
                  <c:v>97.289743219850038</c:v>
                </c:pt>
                <c:pt idx="82">
                  <c:v>97.34564339296027</c:v>
                </c:pt>
                <c:pt idx="83">
                  <c:v>97.666618580496319</c:v>
                </c:pt>
                <c:pt idx="84">
                  <c:v>97.549408540103954</c:v>
                </c:pt>
                <c:pt idx="85">
                  <c:v>97.424985574148963</c:v>
                </c:pt>
                <c:pt idx="86">
                  <c:v>97.05532313906528</c:v>
                </c:pt>
                <c:pt idx="87">
                  <c:v>97.064339296018545</c:v>
                </c:pt>
                <c:pt idx="88">
                  <c:v>96.573860357761134</c:v>
                </c:pt>
                <c:pt idx="89">
                  <c:v>96.584679746105124</c:v>
                </c:pt>
                <c:pt idx="90">
                  <c:v>96.436814772071642</c:v>
                </c:pt>
                <c:pt idx="91">
                  <c:v>96.591892671667722</c:v>
                </c:pt>
                <c:pt idx="92">
                  <c:v>96.375504904789437</c:v>
                </c:pt>
                <c:pt idx="93">
                  <c:v>96.860574148874889</c:v>
                </c:pt>
                <c:pt idx="94">
                  <c:v>96.918277553375773</c:v>
                </c:pt>
                <c:pt idx="95">
                  <c:v>96.635170225043382</c:v>
                </c:pt>
                <c:pt idx="96">
                  <c:v>96.501731102135096</c:v>
                </c:pt>
                <c:pt idx="97">
                  <c:v>96.546811886901452</c:v>
                </c:pt>
                <c:pt idx="98">
                  <c:v>96.757789959607763</c:v>
                </c:pt>
                <c:pt idx="99">
                  <c:v>97.361872475476147</c:v>
                </c:pt>
                <c:pt idx="100">
                  <c:v>97.608915175995477</c:v>
                </c:pt>
                <c:pt idx="101">
                  <c:v>97.158107328332463</c:v>
                </c:pt>
                <c:pt idx="102">
                  <c:v>97.329414310444378</c:v>
                </c:pt>
                <c:pt idx="103">
                  <c:v>97.769402769763545</c:v>
                </c:pt>
                <c:pt idx="104">
                  <c:v>97.841532025389611</c:v>
                </c:pt>
                <c:pt idx="105">
                  <c:v>97.857761107905446</c:v>
                </c:pt>
                <c:pt idx="106">
                  <c:v>97.423182342758295</c:v>
                </c:pt>
                <c:pt idx="107">
                  <c:v>97.204991344489414</c:v>
                </c:pt>
                <c:pt idx="108">
                  <c:v>96.599105597230377</c:v>
                </c:pt>
                <c:pt idx="109">
                  <c:v>96.355669359492339</c:v>
                </c:pt>
                <c:pt idx="110">
                  <c:v>96.572057126370538</c:v>
                </c:pt>
                <c:pt idx="111">
                  <c:v>97.3384304673977</c:v>
                </c:pt>
                <c:pt idx="112">
                  <c:v>97.278923831506162</c:v>
                </c:pt>
                <c:pt idx="113">
                  <c:v>98.153491055972452</c:v>
                </c:pt>
                <c:pt idx="114">
                  <c:v>97.899235429890496</c:v>
                </c:pt>
                <c:pt idx="115">
                  <c:v>97.771206001154212</c:v>
                </c:pt>
                <c:pt idx="116">
                  <c:v>97.906448355453065</c:v>
                </c:pt>
                <c:pt idx="117">
                  <c:v>97.949725908828782</c:v>
                </c:pt>
                <c:pt idx="118">
                  <c:v>97.406953260242531</c:v>
                </c:pt>
                <c:pt idx="119">
                  <c:v>97.268104443162301</c:v>
                </c:pt>
                <c:pt idx="120">
                  <c:v>97.087781304097049</c:v>
                </c:pt>
                <c:pt idx="121">
                  <c:v>97.069748990190519</c:v>
                </c:pt>
                <c:pt idx="122">
                  <c:v>96.564844200807997</c:v>
                </c:pt>
                <c:pt idx="123">
                  <c:v>96.353866128101672</c:v>
                </c:pt>
                <c:pt idx="124">
                  <c:v>96.451240623196924</c:v>
                </c:pt>
                <c:pt idx="125">
                  <c:v>96.88221292556274</c:v>
                </c:pt>
                <c:pt idx="126">
                  <c:v>96.761396422389069</c:v>
                </c:pt>
                <c:pt idx="127">
                  <c:v>96.9507357184075</c:v>
                </c:pt>
                <c:pt idx="128">
                  <c:v>96.557631275245413</c:v>
                </c:pt>
                <c:pt idx="129">
                  <c:v>96.370095210617549</c:v>
                </c:pt>
                <c:pt idx="130">
                  <c:v>96.490911713791249</c:v>
                </c:pt>
                <c:pt idx="131">
                  <c:v>96.566647432198593</c:v>
                </c:pt>
                <c:pt idx="132">
                  <c:v>96.325014425851208</c:v>
                </c:pt>
                <c:pt idx="133">
                  <c:v>95.962564916330194</c:v>
                </c:pt>
                <c:pt idx="134">
                  <c:v>95.605525100981055</c:v>
                </c:pt>
                <c:pt idx="135">
                  <c:v>95.520773225620417</c:v>
                </c:pt>
                <c:pt idx="136">
                  <c:v>95.630770340450155</c:v>
                </c:pt>
                <c:pt idx="137">
                  <c:v>95.506347374495164</c:v>
                </c:pt>
                <c:pt idx="138">
                  <c:v>95.634376803231476</c:v>
                </c:pt>
                <c:pt idx="139">
                  <c:v>95.621754183496904</c:v>
                </c:pt>
                <c:pt idx="140">
                  <c:v>94.736367570686738</c:v>
                </c:pt>
                <c:pt idx="141">
                  <c:v>95.223240046162857</c:v>
                </c:pt>
                <c:pt idx="142">
                  <c:v>95.728144835545393</c:v>
                </c:pt>
                <c:pt idx="143">
                  <c:v>96.180755914599018</c:v>
                </c:pt>
                <c:pt idx="144">
                  <c:v>96.106823427582341</c:v>
                </c:pt>
                <c:pt idx="145">
                  <c:v>96.265507789959713</c:v>
                </c:pt>
                <c:pt idx="146">
                  <c:v>96.187968840161659</c:v>
                </c:pt>
                <c:pt idx="147">
                  <c:v>95.971581073283417</c:v>
                </c:pt>
                <c:pt idx="148">
                  <c:v>96.151904212348654</c:v>
                </c:pt>
                <c:pt idx="149">
                  <c:v>95.894042123485349</c:v>
                </c:pt>
                <c:pt idx="150">
                  <c:v>95.683064050779109</c:v>
                </c:pt>
                <c:pt idx="151">
                  <c:v>95.113242931333076</c:v>
                </c:pt>
                <c:pt idx="152">
                  <c:v>95.239469128678692</c:v>
                </c:pt>
                <c:pt idx="153">
                  <c:v>95.100620311598462</c:v>
                </c:pt>
                <c:pt idx="154">
                  <c:v>95.228649740334802</c:v>
                </c:pt>
                <c:pt idx="155">
                  <c:v>95.102423542989115</c:v>
                </c:pt>
                <c:pt idx="156">
                  <c:v>94.922100403923906</c:v>
                </c:pt>
                <c:pt idx="157">
                  <c:v>95.455856895556906</c:v>
                </c:pt>
                <c:pt idx="158">
                  <c:v>95.288156376226269</c:v>
                </c:pt>
                <c:pt idx="159">
                  <c:v>95.14389786497415</c:v>
                </c:pt>
                <c:pt idx="160">
                  <c:v>95.069965377957416</c:v>
                </c:pt>
                <c:pt idx="161">
                  <c:v>94.797677437968957</c:v>
                </c:pt>
                <c:pt idx="162">
                  <c:v>94.134088286208979</c:v>
                </c:pt>
                <c:pt idx="163">
                  <c:v>93.984420080784886</c:v>
                </c:pt>
                <c:pt idx="164">
                  <c:v>94.671451240623284</c:v>
                </c:pt>
                <c:pt idx="165">
                  <c:v>94.862593768032426</c:v>
                </c:pt>
                <c:pt idx="166">
                  <c:v>94.792267743796984</c:v>
                </c:pt>
                <c:pt idx="167">
                  <c:v>94.873413156376316</c:v>
                </c:pt>
                <c:pt idx="168">
                  <c:v>94.882429313329538</c:v>
                </c:pt>
                <c:pt idx="169">
                  <c:v>94.638993075591557</c:v>
                </c:pt>
                <c:pt idx="170">
                  <c:v>94.702106174264372</c:v>
                </c:pt>
                <c:pt idx="171">
                  <c:v>95.320614541258095</c:v>
                </c:pt>
                <c:pt idx="172">
                  <c:v>94.94734564339312</c:v>
                </c:pt>
                <c:pt idx="173">
                  <c:v>94.574076745528103</c:v>
                </c:pt>
                <c:pt idx="174">
                  <c:v>94.889642238892208</c:v>
                </c:pt>
                <c:pt idx="175">
                  <c:v>94.983410271206125</c:v>
                </c:pt>
                <c:pt idx="176">
                  <c:v>94.84636468551659</c:v>
                </c:pt>
                <c:pt idx="177">
                  <c:v>94.30539526832095</c:v>
                </c:pt>
                <c:pt idx="178">
                  <c:v>94.428015002885246</c:v>
                </c:pt>
                <c:pt idx="179">
                  <c:v>94.422605308713329</c:v>
                </c:pt>
                <c:pt idx="180">
                  <c:v>93.863603577611187</c:v>
                </c:pt>
                <c:pt idx="181">
                  <c:v>93.773442008078561</c:v>
                </c:pt>
                <c:pt idx="182">
                  <c:v>93.733770917484151</c:v>
                </c:pt>
                <c:pt idx="183">
                  <c:v>93.501154068090145</c:v>
                </c:pt>
                <c:pt idx="184">
                  <c:v>93.753606462781363</c:v>
                </c:pt>
                <c:pt idx="185">
                  <c:v>94.000649163300736</c:v>
                </c:pt>
                <c:pt idx="186">
                  <c:v>94.301788805539587</c:v>
                </c:pt>
                <c:pt idx="187">
                  <c:v>94.30539526832095</c:v>
                </c:pt>
                <c:pt idx="188">
                  <c:v>94.433424697057291</c:v>
                </c:pt>
                <c:pt idx="189">
                  <c:v>94.415392383150703</c:v>
                </c:pt>
                <c:pt idx="190">
                  <c:v>94.813906520484764</c:v>
                </c:pt>
                <c:pt idx="191">
                  <c:v>94.73456433929617</c:v>
                </c:pt>
                <c:pt idx="192">
                  <c:v>94.822922677438072</c:v>
                </c:pt>
                <c:pt idx="193">
                  <c:v>94.64981246393549</c:v>
                </c:pt>
                <c:pt idx="194">
                  <c:v>94.886035776110887</c:v>
                </c:pt>
                <c:pt idx="195">
                  <c:v>95.515363531448472</c:v>
                </c:pt>
                <c:pt idx="196">
                  <c:v>95.601918638199749</c:v>
                </c:pt>
                <c:pt idx="197">
                  <c:v>95.922893825735812</c:v>
                </c:pt>
                <c:pt idx="198">
                  <c:v>95.636180034622114</c:v>
                </c:pt>
                <c:pt idx="199">
                  <c:v>95.376514714368241</c:v>
                </c:pt>
                <c:pt idx="200">
                  <c:v>95.495527986151302</c:v>
                </c:pt>
                <c:pt idx="201">
                  <c:v>95.378317945758837</c:v>
                </c:pt>
                <c:pt idx="202">
                  <c:v>95.212420657818896</c:v>
                </c:pt>
                <c:pt idx="203">
                  <c:v>95.098817080207823</c:v>
                </c:pt>
                <c:pt idx="204">
                  <c:v>95.427005193306513</c:v>
                </c:pt>
                <c:pt idx="205">
                  <c:v>95.879616272360181</c:v>
                </c:pt>
                <c:pt idx="206">
                  <c:v>95.780438545874276</c:v>
                </c:pt>
                <c:pt idx="207">
                  <c:v>95.951745527986233</c:v>
                </c:pt>
                <c:pt idx="208">
                  <c:v>95.646999422966047</c:v>
                </c:pt>
                <c:pt idx="209">
                  <c:v>95.365695326024294</c:v>
                </c:pt>
                <c:pt idx="210">
                  <c:v>95.354875937680376</c:v>
                </c:pt>
                <c:pt idx="211">
                  <c:v>94.98521350259675</c:v>
                </c:pt>
                <c:pt idx="212">
                  <c:v>94.909477784189363</c:v>
                </c:pt>
                <c:pt idx="213">
                  <c:v>94.996032890940668</c:v>
                </c:pt>
                <c:pt idx="214">
                  <c:v>94.853577611079132</c:v>
                </c:pt>
                <c:pt idx="215">
                  <c:v>94.734564339296156</c:v>
                </c:pt>
                <c:pt idx="216">
                  <c:v>94.900461627236126</c:v>
                </c:pt>
                <c:pt idx="217">
                  <c:v>95.210617426428257</c:v>
                </c:pt>
                <c:pt idx="218">
                  <c:v>95.196191575303033</c:v>
                </c:pt>
                <c:pt idx="219">
                  <c:v>95.152914021927373</c:v>
                </c:pt>
                <c:pt idx="220">
                  <c:v>95.293566070398285</c:v>
                </c:pt>
                <c:pt idx="221">
                  <c:v>95.138488170802134</c:v>
                </c:pt>
                <c:pt idx="222">
                  <c:v>94.638993075591529</c:v>
                </c:pt>
                <c:pt idx="223">
                  <c:v>94.709319099826985</c:v>
                </c:pt>
                <c:pt idx="224">
                  <c:v>94.700302942873719</c:v>
                </c:pt>
                <c:pt idx="225">
                  <c:v>94.785054818234343</c:v>
                </c:pt>
                <c:pt idx="226">
                  <c:v>94.833742065781905</c:v>
                </c:pt>
                <c:pt idx="227">
                  <c:v>94.952755337564952</c:v>
                </c:pt>
                <c:pt idx="228">
                  <c:v>95.542412002308239</c:v>
                </c:pt>
                <c:pt idx="229">
                  <c:v>95.417989036353262</c:v>
                </c:pt>
                <c:pt idx="230">
                  <c:v>95.59470571263715</c:v>
                </c:pt>
                <c:pt idx="231">
                  <c:v>95.656015579919313</c:v>
                </c:pt>
                <c:pt idx="232">
                  <c:v>95.367498557414933</c:v>
                </c:pt>
                <c:pt idx="233">
                  <c:v>95.481102135026049</c:v>
                </c:pt>
                <c:pt idx="234">
                  <c:v>95.533395845354946</c:v>
                </c:pt>
                <c:pt idx="235">
                  <c:v>95.850764570109718</c:v>
                </c:pt>
                <c:pt idx="236">
                  <c:v>96.274523946913007</c:v>
                </c:pt>
                <c:pt idx="237">
                  <c:v>95.863387189844289</c:v>
                </c:pt>
                <c:pt idx="238">
                  <c:v>95.976990767455362</c:v>
                </c:pt>
                <c:pt idx="239">
                  <c:v>95.876009809578889</c:v>
                </c:pt>
                <c:pt idx="240">
                  <c:v>95.973384304674056</c:v>
                </c:pt>
                <c:pt idx="241">
                  <c:v>95.892238892094653</c:v>
                </c:pt>
                <c:pt idx="242">
                  <c:v>95.601918638199749</c:v>
                </c:pt>
                <c:pt idx="243">
                  <c:v>95.690276976341679</c:v>
                </c:pt>
                <c:pt idx="244">
                  <c:v>95.868796884016248</c:v>
                </c:pt>
                <c:pt idx="245">
                  <c:v>95.86158395845365</c:v>
                </c:pt>
                <c:pt idx="246">
                  <c:v>96.305178880553981</c:v>
                </c:pt>
                <c:pt idx="247">
                  <c:v>96.880409694172101</c:v>
                </c:pt>
                <c:pt idx="248">
                  <c:v>96.321407963069888</c:v>
                </c:pt>
                <c:pt idx="249">
                  <c:v>95.991416618580601</c:v>
                </c:pt>
                <c:pt idx="250">
                  <c:v>95.894042123485335</c:v>
                </c:pt>
                <c:pt idx="251">
                  <c:v>96.059939411425361</c:v>
                </c:pt>
                <c:pt idx="252">
                  <c:v>96.222230236584025</c:v>
                </c:pt>
                <c:pt idx="253">
                  <c:v>96.234852856318639</c:v>
                </c:pt>
                <c:pt idx="254">
                  <c:v>96.494518176572541</c:v>
                </c:pt>
                <c:pt idx="255">
                  <c:v>96.240262550490598</c:v>
                </c:pt>
                <c:pt idx="256">
                  <c:v>95.857977495672372</c:v>
                </c:pt>
                <c:pt idx="257">
                  <c:v>95.899451817657308</c:v>
                </c:pt>
                <c:pt idx="258">
                  <c:v>95.794864396999543</c:v>
                </c:pt>
                <c:pt idx="259">
                  <c:v>95.683064050779109</c:v>
                </c:pt>
                <c:pt idx="260">
                  <c:v>95.288156376226254</c:v>
                </c:pt>
                <c:pt idx="261">
                  <c:v>94.945542412002411</c:v>
                </c:pt>
                <c:pt idx="262">
                  <c:v>95.115046162723658</c:v>
                </c:pt>
                <c:pt idx="263">
                  <c:v>95.17455279861521</c:v>
                </c:pt>
                <c:pt idx="264">
                  <c:v>95.207010963646965</c:v>
                </c:pt>
                <c:pt idx="265">
                  <c:v>95.612738026543624</c:v>
                </c:pt>
                <c:pt idx="266">
                  <c:v>95.446840738603683</c:v>
                </c:pt>
                <c:pt idx="267">
                  <c:v>95.172749567224528</c:v>
                </c:pt>
                <c:pt idx="268">
                  <c:v>94.990623196768723</c:v>
                </c:pt>
                <c:pt idx="269">
                  <c:v>94.518176572417858</c:v>
                </c:pt>
                <c:pt idx="270">
                  <c:v>94.575879976918728</c:v>
                </c:pt>
                <c:pt idx="271">
                  <c:v>94.26211771494529</c:v>
                </c:pt>
                <c:pt idx="272">
                  <c:v>94.370311598384347</c:v>
                </c:pt>
                <c:pt idx="273">
                  <c:v>94.015075014425904</c:v>
                </c:pt>
                <c:pt idx="274">
                  <c:v>93.68328043854595</c:v>
                </c:pt>
                <c:pt idx="275">
                  <c:v>93.665248124639405</c:v>
                </c:pt>
                <c:pt idx="276">
                  <c:v>93.474105597230334</c:v>
                </c:pt>
                <c:pt idx="277">
                  <c:v>93.237882285054908</c:v>
                </c:pt>
                <c:pt idx="278">
                  <c:v>93.171162723600773</c:v>
                </c:pt>
                <c:pt idx="279">
                  <c:v>93.236079053664227</c:v>
                </c:pt>
                <c:pt idx="280">
                  <c:v>93.326240623196853</c:v>
                </c:pt>
                <c:pt idx="281">
                  <c:v>93.310011540680989</c:v>
                </c:pt>
                <c:pt idx="282">
                  <c:v>93.933929601846657</c:v>
                </c:pt>
                <c:pt idx="283">
                  <c:v>94.332443739180675</c:v>
                </c:pt>
                <c:pt idx="284">
                  <c:v>95.313401615695412</c:v>
                </c:pt>
                <c:pt idx="285">
                  <c:v>95.64519619157538</c:v>
                </c:pt>
                <c:pt idx="286">
                  <c:v>96.092397576457046</c:v>
                </c:pt>
                <c:pt idx="287">
                  <c:v>96.384521061742745</c:v>
                </c:pt>
                <c:pt idx="288">
                  <c:v>96.636973456433935</c:v>
                </c:pt>
                <c:pt idx="289">
                  <c:v>97.727928447778496</c:v>
                </c:pt>
                <c:pt idx="290">
                  <c:v>98.762983266012796</c:v>
                </c:pt>
                <c:pt idx="291">
                  <c:v>98.658395845354889</c:v>
                </c:pt>
                <c:pt idx="292">
                  <c:v>98.476269474899112</c:v>
                </c:pt>
                <c:pt idx="293">
                  <c:v>98.182342758222745</c:v>
                </c:pt>
                <c:pt idx="294">
                  <c:v>98.202178303519943</c:v>
                </c:pt>
                <c:pt idx="295">
                  <c:v>98.858554529717324</c:v>
                </c:pt>
                <c:pt idx="296">
                  <c:v>98.149884593191032</c:v>
                </c:pt>
                <c:pt idx="297">
                  <c:v>97.361872475476076</c:v>
                </c:pt>
                <c:pt idx="298">
                  <c:v>96.002236006924406</c:v>
                </c:pt>
                <c:pt idx="299">
                  <c:v>95.412579342181218</c:v>
                </c:pt>
                <c:pt idx="300">
                  <c:v>95.349466243508417</c:v>
                </c:pt>
                <c:pt idx="301">
                  <c:v>96.921884016157009</c:v>
                </c:pt>
                <c:pt idx="302">
                  <c:v>96.966964800923307</c:v>
                </c:pt>
                <c:pt idx="303">
                  <c:v>98.155294287363006</c:v>
                </c:pt>
                <c:pt idx="304">
                  <c:v>98.856751298326614</c:v>
                </c:pt>
                <c:pt idx="305">
                  <c:v>99.960328909405703</c:v>
                </c:pt>
                <c:pt idx="306">
                  <c:v>99.79984131563765</c:v>
                </c:pt>
                <c:pt idx="307">
                  <c:v>99.550995383727681</c:v>
                </c:pt>
                <c:pt idx="308">
                  <c:v>99.469849971148378</c:v>
                </c:pt>
                <c:pt idx="309">
                  <c:v>98.070542412002325</c:v>
                </c:pt>
                <c:pt idx="310">
                  <c:v>97.80366416618584</c:v>
                </c:pt>
                <c:pt idx="311">
                  <c:v>97.926283900750164</c:v>
                </c:pt>
                <c:pt idx="312">
                  <c:v>97.271710905943465</c:v>
                </c:pt>
                <c:pt idx="313">
                  <c:v>96.759593190998302</c:v>
                </c:pt>
                <c:pt idx="314">
                  <c:v>96.941719561454164</c:v>
                </c:pt>
                <c:pt idx="315">
                  <c:v>95.935516445470327</c:v>
                </c:pt>
                <c:pt idx="316">
                  <c:v>95.80568378534339</c:v>
                </c:pt>
                <c:pt idx="317">
                  <c:v>95.845354875937701</c:v>
                </c:pt>
                <c:pt idx="318">
                  <c:v>94.990623196768667</c:v>
                </c:pt>
                <c:pt idx="319">
                  <c:v>94.390147143681475</c:v>
                </c:pt>
                <c:pt idx="320">
                  <c:v>94.649812463935405</c:v>
                </c:pt>
                <c:pt idx="321">
                  <c:v>93.935732833237154</c:v>
                </c:pt>
                <c:pt idx="322">
                  <c:v>93.935732833237154</c:v>
                </c:pt>
                <c:pt idx="323">
                  <c:v>93.19821119446047</c:v>
                </c:pt>
                <c:pt idx="324">
                  <c:v>93.804096941719592</c:v>
                </c:pt>
                <c:pt idx="325">
                  <c:v>94.081794575879982</c:v>
                </c:pt>
                <c:pt idx="326">
                  <c:v>93.870816503173685</c:v>
                </c:pt>
                <c:pt idx="327">
                  <c:v>93.901471436814788</c:v>
                </c:pt>
                <c:pt idx="328">
                  <c:v>94.657025389497974</c:v>
                </c:pt>
                <c:pt idx="329">
                  <c:v>94.0168782458165</c:v>
                </c:pt>
                <c:pt idx="330">
                  <c:v>93.731967686093498</c:v>
                </c:pt>
                <c:pt idx="331">
                  <c:v>94.081794575879982</c:v>
                </c:pt>
                <c:pt idx="332">
                  <c:v>94.620960761684927</c:v>
                </c:pt>
                <c:pt idx="333">
                  <c:v>94.887839007501427</c:v>
                </c:pt>
                <c:pt idx="334">
                  <c:v>95.039310444316243</c:v>
                </c:pt>
                <c:pt idx="335">
                  <c:v>95.331433929601843</c:v>
                </c:pt>
                <c:pt idx="336">
                  <c:v>95.282746682054196</c:v>
                </c:pt>
                <c:pt idx="337">
                  <c:v>95.104226774379697</c:v>
                </c:pt>
                <c:pt idx="338">
                  <c:v>94.676860934795158</c:v>
                </c:pt>
                <c:pt idx="339">
                  <c:v>95.661425274091187</c:v>
                </c:pt>
                <c:pt idx="340">
                  <c:v>95.493724754760564</c:v>
                </c:pt>
                <c:pt idx="341">
                  <c:v>95.223240046162744</c:v>
                </c:pt>
                <c:pt idx="342">
                  <c:v>94.658828620888599</c:v>
                </c:pt>
                <c:pt idx="343">
                  <c:v>94.707515868436246</c:v>
                </c:pt>
                <c:pt idx="344">
                  <c:v>94.952755337564881</c:v>
                </c:pt>
                <c:pt idx="345">
                  <c:v>95.64519619157528</c:v>
                </c:pt>
                <c:pt idx="346">
                  <c:v>96.231246393537205</c:v>
                </c:pt>
                <c:pt idx="347">
                  <c:v>96.793854587420654</c:v>
                </c:pt>
                <c:pt idx="348">
                  <c:v>97.244662435083697</c:v>
                </c:pt>
                <c:pt idx="349">
                  <c:v>97.534982688978701</c:v>
                </c:pt>
                <c:pt idx="350">
                  <c:v>97.351053087132186</c:v>
                </c:pt>
                <c:pt idx="351">
                  <c:v>98.456433929601843</c:v>
                </c:pt>
                <c:pt idx="352">
                  <c:v>98.036281015579888</c:v>
                </c:pt>
                <c:pt idx="353">
                  <c:v>97.762189844200805</c:v>
                </c:pt>
                <c:pt idx="354">
                  <c:v>98.528563185227924</c:v>
                </c:pt>
                <c:pt idx="355">
                  <c:v>98.847735141373334</c:v>
                </c:pt>
                <c:pt idx="356">
                  <c:v>98.371682054241177</c:v>
                </c:pt>
                <c:pt idx="357">
                  <c:v>97.661208886324289</c:v>
                </c:pt>
                <c:pt idx="358">
                  <c:v>98.326601269474878</c:v>
                </c:pt>
                <c:pt idx="359">
                  <c:v>97.286136757068633</c:v>
                </c:pt>
                <c:pt idx="360">
                  <c:v>97.351053087132186</c:v>
                </c:pt>
                <c:pt idx="361">
                  <c:v>96.979587420657808</c:v>
                </c:pt>
                <c:pt idx="362">
                  <c:v>96.849754760530885</c:v>
                </c:pt>
                <c:pt idx="363">
                  <c:v>97.578260242354318</c:v>
                </c:pt>
                <c:pt idx="364">
                  <c:v>97.866777264858626</c:v>
                </c:pt>
                <c:pt idx="365">
                  <c:v>97.439411425274145</c:v>
                </c:pt>
                <c:pt idx="366">
                  <c:v>97.498918061165668</c:v>
                </c:pt>
                <c:pt idx="367">
                  <c:v>98.068739180611658</c:v>
                </c:pt>
                <c:pt idx="368">
                  <c:v>97.453837276399284</c:v>
                </c:pt>
                <c:pt idx="369">
                  <c:v>97.511540680900239</c:v>
                </c:pt>
                <c:pt idx="370">
                  <c:v>98.360862665897329</c:v>
                </c:pt>
                <c:pt idx="371">
                  <c:v>97.969561454125795</c:v>
                </c:pt>
                <c:pt idx="372">
                  <c:v>98.649379688401609</c:v>
                </c:pt>
                <c:pt idx="373">
                  <c:v>98.622331217541728</c:v>
                </c:pt>
                <c:pt idx="374">
                  <c:v>98.739541257934192</c:v>
                </c:pt>
                <c:pt idx="375">
                  <c:v>99.397720715522212</c:v>
                </c:pt>
                <c:pt idx="376">
                  <c:v>99.109203693017918</c:v>
                </c:pt>
                <c:pt idx="377">
                  <c:v>99.305755914598905</c:v>
                </c:pt>
                <c:pt idx="378">
                  <c:v>99.477062896710848</c:v>
                </c:pt>
                <c:pt idx="379">
                  <c:v>99.834102712059945</c:v>
                </c:pt>
                <c:pt idx="380">
                  <c:v>99.237233121754173</c:v>
                </c:pt>
                <c:pt idx="381">
                  <c:v>99.316575302942852</c:v>
                </c:pt>
                <c:pt idx="382">
                  <c:v>99.729515291402166</c:v>
                </c:pt>
                <c:pt idx="383">
                  <c:v>99.825086555106708</c:v>
                </c:pt>
                <c:pt idx="384">
                  <c:v>100.79342181188689</c:v>
                </c:pt>
                <c:pt idx="385">
                  <c:v>101.41914310444319</c:v>
                </c:pt>
                <c:pt idx="386">
                  <c:v>101.48405943450666</c:v>
                </c:pt>
                <c:pt idx="387">
                  <c:v>102.3712492787075</c:v>
                </c:pt>
                <c:pt idx="388">
                  <c:v>102.47583669936527</c:v>
                </c:pt>
                <c:pt idx="389">
                  <c:v>102.64714368147729</c:v>
                </c:pt>
                <c:pt idx="390">
                  <c:v>102.83107328332372</c:v>
                </c:pt>
                <c:pt idx="391">
                  <c:v>103.76875360646278</c:v>
                </c:pt>
                <c:pt idx="392">
                  <c:v>102.88517022504328</c:v>
                </c:pt>
                <c:pt idx="393">
                  <c:v>103.28729082515872</c:v>
                </c:pt>
                <c:pt idx="394">
                  <c:v>103.7994085401039</c:v>
                </c:pt>
                <c:pt idx="395">
                  <c:v>103.75252452394696</c:v>
                </c:pt>
                <c:pt idx="396">
                  <c:v>103.35581361800348</c:v>
                </c:pt>
                <c:pt idx="397">
                  <c:v>102.90680900173112</c:v>
                </c:pt>
                <c:pt idx="398">
                  <c:v>103.17008078476631</c:v>
                </c:pt>
                <c:pt idx="399">
                  <c:v>102.89238315060589</c:v>
                </c:pt>
                <c:pt idx="400">
                  <c:v>103.5325302942874</c:v>
                </c:pt>
                <c:pt idx="401">
                  <c:v>103.12860646278129</c:v>
                </c:pt>
                <c:pt idx="402">
                  <c:v>103.59564339296021</c:v>
                </c:pt>
                <c:pt idx="403">
                  <c:v>103.91301211771493</c:v>
                </c:pt>
                <c:pt idx="404">
                  <c:v>104.26464223889212</c:v>
                </c:pt>
                <c:pt idx="405">
                  <c:v>103.45318811309863</c:v>
                </c:pt>
                <c:pt idx="406">
                  <c:v>103.31433929601849</c:v>
                </c:pt>
                <c:pt idx="407">
                  <c:v>103.54154645124071</c:v>
                </c:pt>
                <c:pt idx="408">
                  <c:v>103.59564339296021</c:v>
                </c:pt>
                <c:pt idx="409">
                  <c:v>103.81022792844786</c:v>
                </c:pt>
                <c:pt idx="410">
                  <c:v>103.8498990190422</c:v>
                </c:pt>
                <c:pt idx="411">
                  <c:v>104.44857184073867</c:v>
                </c:pt>
                <c:pt idx="412">
                  <c:v>104.68659838430469</c:v>
                </c:pt>
                <c:pt idx="413">
                  <c:v>105.1301933064051</c:v>
                </c:pt>
                <c:pt idx="414">
                  <c:v>104.31873918061169</c:v>
                </c:pt>
                <c:pt idx="415">
                  <c:v>103.92924120023089</c:v>
                </c:pt>
                <c:pt idx="416">
                  <c:v>104.30431332948648</c:v>
                </c:pt>
                <c:pt idx="417">
                  <c:v>104.09153202538955</c:v>
                </c:pt>
                <c:pt idx="418">
                  <c:v>103.84448932487022</c:v>
                </c:pt>
                <c:pt idx="419">
                  <c:v>103.70023081361805</c:v>
                </c:pt>
                <c:pt idx="420">
                  <c:v>104.24300346220436</c:v>
                </c:pt>
                <c:pt idx="421">
                  <c:v>104.4089007501443</c:v>
                </c:pt>
                <c:pt idx="422">
                  <c:v>103.98153491055973</c:v>
                </c:pt>
                <c:pt idx="423">
                  <c:v>103.9743219849972</c:v>
                </c:pt>
                <c:pt idx="424">
                  <c:v>103.85711194460478</c:v>
                </c:pt>
                <c:pt idx="425">
                  <c:v>103.07090305828048</c:v>
                </c:pt>
                <c:pt idx="426">
                  <c:v>103.68219849971149</c:v>
                </c:pt>
                <c:pt idx="427">
                  <c:v>102.70845354875941</c:v>
                </c:pt>
                <c:pt idx="428">
                  <c:v>102.5353433352568</c:v>
                </c:pt>
                <c:pt idx="429">
                  <c:v>101.89339296018466</c:v>
                </c:pt>
                <c:pt idx="430">
                  <c:v>101.89158972879403</c:v>
                </c:pt>
                <c:pt idx="431">
                  <c:v>101.98175129832663</c:v>
                </c:pt>
                <c:pt idx="432">
                  <c:v>102.78959896133878</c:v>
                </c:pt>
                <c:pt idx="433">
                  <c:v>103.10516445470286</c:v>
                </c:pt>
                <c:pt idx="434">
                  <c:v>103.49285920369304</c:v>
                </c:pt>
                <c:pt idx="435">
                  <c:v>103.24221004039246</c:v>
                </c:pt>
                <c:pt idx="436">
                  <c:v>103.575807847663</c:v>
                </c:pt>
                <c:pt idx="437">
                  <c:v>104.09874495095215</c:v>
                </c:pt>
                <c:pt idx="438">
                  <c:v>103.92743796884022</c:v>
                </c:pt>
                <c:pt idx="439">
                  <c:v>104.12759665320259</c:v>
                </c:pt>
                <c:pt idx="440">
                  <c:v>104.41250721292558</c:v>
                </c:pt>
                <c:pt idx="441">
                  <c:v>104.21415175995389</c:v>
                </c:pt>
                <c:pt idx="442">
                  <c:v>104.35841027120605</c:v>
                </c:pt>
                <c:pt idx="443">
                  <c:v>103.94547028274674</c:v>
                </c:pt>
                <c:pt idx="444">
                  <c:v>103.83186670513568</c:v>
                </c:pt>
                <c:pt idx="445">
                  <c:v>103.913012117715</c:v>
                </c:pt>
                <c:pt idx="446">
                  <c:v>104.3908684362378</c:v>
                </c:pt>
                <c:pt idx="447">
                  <c:v>105.02560588574732</c:v>
                </c:pt>
                <c:pt idx="448">
                  <c:v>105.57559145989617</c:v>
                </c:pt>
                <c:pt idx="449">
                  <c:v>105.4475620311599</c:v>
                </c:pt>
                <c:pt idx="450">
                  <c:v>105.53411713791121</c:v>
                </c:pt>
                <c:pt idx="451">
                  <c:v>105.02380265435664</c:v>
                </c:pt>
                <c:pt idx="452">
                  <c:v>104.99314772071563</c:v>
                </c:pt>
                <c:pt idx="453">
                  <c:v>104.35119734564348</c:v>
                </c:pt>
                <c:pt idx="454">
                  <c:v>104.28447778418935</c:v>
                </c:pt>
                <c:pt idx="455">
                  <c:v>103.88055395268326</c:v>
                </c:pt>
                <c:pt idx="456">
                  <c:v>103.64793710328912</c:v>
                </c:pt>
                <c:pt idx="457">
                  <c:v>104.1077611079054</c:v>
                </c:pt>
                <c:pt idx="458">
                  <c:v>103.88596364685523</c:v>
                </c:pt>
                <c:pt idx="459">
                  <c:v>105.00577034045011</c:v>
                </c:pt>
                <c:pt idx="460">
                  <c:v>105.52149451817664</c:v>
                </c:pt>
                <c:pt idx="461">
                  <c:v>105.71083381419511</c:v>
                </c:pt>
                <c:pt idx="462">
                  <c:v>105.1951096364686</c:v>
                </c:pt>
                <c:pt idx="463">
                  <c:v>105.21314195037519</c:v>
                </c:pt>
                <c:pt idx="464">
                  <c:v>105.53952683208314</c:v>
                </c:pt>
                <c:pt idx="465">
                  <c:v>105.77755337564926</c:v>
                </c:pt>
                <c:pt idx="466">
                  <c:v>106.18508366993662</c:v>
                </c:pt>
                <c:pt idx="467">
                  <c:v>106.43392960184666</c:v>
                </c:pt>
              </c:numCache>
            </c:numRef>
          </c:val>
          <c:smooth val="0"/>
          <c:extLst>
            <c:ext xmlns:c16="http://schemas.microsoft.com/office/drawing/2014/chart" uri="{C3380CC4-5D6E-409C-BE32-E72D297353CC}">
              <c16:uniqueId val="{00000002-FCCC-4543-8000-6EEE235E3B8B}"/>
            </c:ext>
          </c:extLst>
        </c:ser>
        <c:dLbls>
          <c:showLegendKey val="0"/>
          <c:showVal val="0"/>
          <c:showCatName val="0"/>
          <c:showSerName val="0"/>
          <c:showPercent val="0"/>
          <c:showBubbleSize val="0"/>
        </c:dLbls>
        <c:smooth val="0"/>
        <c:axId val="249395072"/>
        <c:axId val="249396608"/>
      </c:lineChart>
      <c:catAx>
        <c:axId val="24939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9396608"/>
        <c:crosses val="autoZero"/>
        <c:auto val="1"/>
        <c:lblAlgn val="ctr"/>
        <c:lblOffset val="100"/>
        <c:noMultiLvlLbl val="0"/>
      </c:catAx>
      <c:valAx>
        <c:axId val="249396608"/>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201</a:t>
                </a:r>
                <a:r>
                  <a:rPr lang="en-US" sz="900"/>
                  <a:t>9</a:t>
                </a:r>
                <a:r>
                  <a:rPr lang="hy-AM" sz="900"/>
                  <a:t> 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395072"/>
        <c:crosses val="autoZero"/>
        <c:crossBetween val="between"/>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Sheet1!$A$2:$A$46</c:f>
              <c:strCache>
                <c:ptCount val="21"/>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strCache>
            </c:strRef>
          </c:cat>
          <c:val>
            <c:numRef>
              <c:f>Sheet1!$B$2:$B$46</c:f>
              <c:numCache>
                <c:formatCode>0.0</c:formatCode>
                <c:ptCount val="21"/>
                <c:pt idx="0">
                  <c:v>8.8099258497907709</c:v>
                </c:pt>
                <c:pt idx="1">
                  <c:v>9.3685223571217371</c:v>
                </c:pt>
                <c:pt idx="2">
                  <c:v>9.5781551715601214</c:v>
                </c:pt>
                <c:pt idx="3">
                  <c:v>9.408407907657562</c:v>
                </c:pt>
                <c:pt idx="4">
                  <c:v>9.2151681993298773</c:v>
                </c:pt>
                <c:pt idx="5">
                  <c:v>8.6043401989768817</c:v>
                </c:pt>
                <c:pt idx="6">
                  <c:v>7.6990018453279685</c:v>
                </c:pt>
                <c:pt idx="7">
                  <c:v>6.5052274962660732</c:v>
                </c:pt>
                <c:pt idx="8">
                  <c:v>5.3823907455012829</c:v>
                </c:pt>
                <c:pt idx="9">
                  <c:v>4.5993552843656307</c:v>
                </c:pt>
                <c:pt idx="10">
                  <c:v>3.9949444277952177</c:v>
                </c:pt>
                <c:pt idx="11">
                  <c:v>3.5068203044597928</c:v>
                </c:pt>
                <c:pt idx="12">
                  <c:v>-2.6246542068686409</c:v>
                </c:pt>
                <c:pt idx="13">
                  <c:v>-1.4553084915558538</c:v>
                </c:pt>
                <c:pt idx="14">
                  <c:v>-0.3976232971104568</c:v>
                </c:pt>
                <c:pt idx="15">
                  <c:v>0.76205314050565676</c:v>
                </c:pt>
                <c:pt idx="16">
                  <c:v>1.2758480875794183</c:v>
                </c:pt>
                <c:pt idx="17">
                  <c:v>1.5440919000124604</c:v>
                </c:pt>
                <c:pt idx="18">
                  <c:v>1.7990829349974153</c:v>
                </c:pt>
                <c:pt idx="19">
                  <c:v>1.8760635159516714</c:v>
                </c:pt>
                <c:pt idx="20">
                  <c:v>2.034608934288753</c:v>
                </c:pt>
              </c:numCache>
            </c:numRef>
          </c:val>
          <c:smooth val="0"/>
          <c:extLst>
            <c:ext xmlns:c16="http://schemas.microsoft.com/office/drawing/2014/chart" uri="{C3380CC4-5D6E-409C-BE32-E72D297353CC}">
              <c16:uniqueId val="{00000000-3BBA-432A-B99E-AB67A09B0906}"/>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Sheet1!$A$2:$A$46</c:f>
              <c:strCache>
                <c:ptCount val="21"/>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strCache>
            </c:strRef>
          </c:cat>
          <c:val>
            <c:numRef>
              <c:f>Sheet1!$C$2:$C$46</c:f>
              <c:numCache>
                <c:formatCode>0.0</c:formatCode>
                <c:ptCount val="21"/>
                <c:pt idx="0">
                  <c:v>13.911940986629801</c:v>
                </c:pt>
                <c:pt idx="1">
                  <c:v>13.91882772582666</c:v>
                </c:pt>
                <c:pt idx="2">
                  <c:v>14.057335408280069</c:v>
                </c:pt>
                <c:pt idx="3">
                  <c:v>13.851763012712894</c:v>
                </c:pt>
                <c:pt idx="4">
                  <c:v>13.471660226961575</c:v>
                </c:pt>
                <c:pt idx="5">
                  <c:v>12.668478840878119</c:v>
                </c:pt>
                <c:pt idx="6">
                  <c:v>11.711452488663681</c:v>
                </c:pt>
                <c:pt idx="7">
                  <c:v>10.532033900645899</c:v>
                </c:pt>
                <c:pt idx="8">
                  <c:v>9.3252693710836958</c:v>
                </c:pt>
                <c:pt idx="9">
                  <c:v>8.4146451275956053</c:v>
                </c:pt>
                <c:pt idx="10">
                  <c:v>7.7115163890451726</c:v>
                </c:pt>
                <c:pt idx="11">
                  <c:v>7.1842207482216907</c:v>
                </c:pt>
                <c:pt idx="12">
                  <c:v>1.342372424027787</c:v>
                </c:pt>
                <c:pt idx="13">
                  <c:v>2.8146367883014003</c:v>
                </c:pt>
                <c:pt idx="14">
                  <c:v>3.7042048645174379</c:v>
                </c:pt>
                <c:pt idx="15">
                  <c:v>4.4462422679543643</c:v>
                </c:pt>
                <c:pt idx="16">
                  <c:v>4.5995656487116889</c:v>
                </c:pt>
                <c:pt idx="17">
                  <c:v>4.5979060917240986</c:v>
                </c:pt>
                <c:pt idx="18">
                  <c:v>4.7121392797519643</c:v>
                </c:pt>
                <c:pt idx="19">
                  <c:v>4.6430460514533394</c:v>
                </c:pt>
                <c:pt idx="20">
                  <c:v>4.7427412112947724</c:v>
                </c:pt>
              </c:numCache>
            </c:numRef>
          </c:val>
          <c:smooth val="0"/>
          <c:extLst>
            <c:ext xmlns:c16="http://schemas.microsoft.com/office/drawing/2014/chart" uri="{C3380CC4-5D6E-409C-BE32-E72D297353CC}">
              <c16:uniqueId val="{00000001-3BBA-432A-B99E-AB67A09B0906}"/>
            </c:ext>
          </c:extLst>
        </c:ser>
        <c:dLbls>
          <c:showLegendKey val="0"/>
          <c:showVal val="0"/>
          <c:showCatName val="0"/>
          <c:showSerName val="0"/>
          <c:showPercent val="0"/>
          <c:showBubbleSize val="0"/>
        </c:dLbls>
        <c:smooth val="0"/>
        <c:axId val="254692352"/>
        <c:axId val="249107200"/>
      </c:lineChart>
      <c:catAx>
        <c:axId val="254692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107200"/>
        <c:crosses val="autoZero"/>
        <c:auto val="1"/>
        <c:lblAlgn val="ctr"/>
        <c:lblOffset val="100"/>
        <c:noMultiLvlLbl val="0"/>
      </c:catAx>
      <c:valAx>
        <c:axId val="24910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69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32"/>
          <c:w val="0.84290099330804158"/>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Sheet1!$C$2:$C$47</c:f>
              <c:numCache>
                <c:formatCode>0.0</c:formatCode>
                <c:ptCount val="16"/>
                <c:pt idx="0">
                  <c:v>1.3982565421665476</c:v>
                </c:pt>
                <c:pt idx="1">
                  <c:v>2.0768222170414887</c:v>
                </c:pt>
                <c:pt idx="2">
                  <c:v>1.1926305800832318</c:v>
                </c:pt>
                <c:pt idx="3">
                  <c:v>2.2618855829164746</c:v>
                </c:pt>
                <c:pt idx="4">
                  <c:v>1.8984840000000003</c:v>
                </c:pt>
                <c:pt idx="5">
                  <c:v>-0.89628000000000019</c:v>
                </c:pt>
                <c:pt idx="6">
                  <c:v>2.159219999999999</c:v>
                </c:pt>
                <c:pt idx="7">
                  <c:v>0.65184000000000053</c:v>
                </c:pt>
                <c:pt idx="8">
                  <c:v>1.4224399999999995</c:v>
                </c:pt>
                <c:pt idx="9">
                  <c:v>1.9020999999999999</c:v>
                </c:pt>
                <c:pt idx="10">
                  <c:v>-0.57890000000000019</c:v>
                </c:pt>
                <c:pt idx="11">
                  <c:v>-0.13645500000000008</c:v>
                </c:pt>
                <c:pt idx="12">
                  <c:v>-1.1761594000000004</c:v>
                </c:pt>
                <c:pt idx="13">
                  <c:v>0.78459999999999996</c:v>
                </c:pt>
                <c:pt idx="14">
                  <c:v>0.34734000000000015</c:v>
                </c:pt>
                <c:pt idx="15">
                  <c:v>0.24810000000000001</c:v>
                </c:pt>
              </c:numCache>
            </c:numRef>
          </c:val>
          <c:extLst>
            <c:ext xmlns:c16="http://schemas.microsoft.com/office/drawing/2014/chart" uri="{C3380CC4-5D6E-409C-BE32-E72D297353CC}">
              <c16:uniqueId val="{00000000-4CA5-41EF-BDDA-0D39240D156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Sheet1!$D$2:$D$47</c:f>
              <c:numCache>
                <c:formatCode>0.0</c:formatCode>
                <c:ptCount val="16"/>
                <c:pt idx="0">
                  <c:v>9.6798629569375252E-2</c:v>
                </c:pt>
                <c:pt idx="1">
                  <c:v>0.16059772633100888</c:v>
                </c:pt>
                <c:pt idx="2">
                  <c:v>0.16719763289255724</c:v>
                </c:pt>
                <c:pt idx="3">
                  <c:v>0.17599750830795499</c:v>
                </c:pt>
                <c:pt idx="4">
                  <c:v>0.15984000000000007</c:v>
                </c:pt>
                <c:pt idx="5">
                  <c:v>0.19872000000000001</c:v>
                </c:pt>
                <c:pt idx="6">
                  <c:v>0.21600000000000008</c:v>
                </c:pt>
                <c:pt idx="7">
                  <c:v>0.16847999999999999</c:v>
                </c:pt>
                <c:pt idx="8">
                  <c:v>0.19976000000000008</c:v>
                </c:pt>
                <c:pt idx="9">
                  <c:v>0.18160000000000001</c:v>
                </c:pt>
                <c:pt idx="10">
                  <c:v>0.21338000000000001</c:v>
                </c:pt>
                <c:pt idx="11">
                  <c:v>0.20702399999999999</c:v>
                </c:pt>
                <c:pt idx="12">
                  <c:v>0.45172999999999996</c:v>
                </c:pt>
                <c:pt idx="13">
                  <c:v>0.46287000000000011</c:v>
                </c:pt>
                <c:pt idx="14">
                  <c:v>0.44492000000000015</c:v>
                </c:pt>
                <c:pt idx="15">
                  <c:v>0.44038000000000016</c:v>
                </c:pt>
              </c:numCache>
            </c:numRef>
          </c:val>
          <c:extLst>
            <c:ext xmlns:c16="http://schemas.microsoft.com/office/drawing/2014/chart" uri="{C3380CC4-5D6E-409C-BE32-E72D297353CC}">
              <c16:uniqueId val="{00000001-4CA5-41EF-BDDA-0D39240D156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Sheet1!$E$2:$E$47</c:f>
              <c:numCache>
                <c:formatCode>0.0</c:formatCode>
                <c:ptCount val="16"/>
                <c:pt idx="0">
                  <c:v>-0.74167100978775335</c:v>
                </c:pt>
                <c:pt idx="1">
                  <c:v>-0.62300364822171272</c:v>
                </c:pt>
                <c:pt idx="2">
                  <c:v>-0.1483342019575507</c:v>
                </c:pt>
                <c:pt idx="3">
                  <c:v>0.36024020475405172</c:v>
                </c:pt>
                <c:pt idx="4">
                  <c:v>1.0925</c:v>
                </c:pt>
                <c:pt idx="5">
                  <c:v>1.1580500000000005</c:v>
                </c:pt>
                <c:pt idx="6">
                  <c:v>0.8521500000000003</c:v>
                </c:pt>
                <c:pt idx="7">
                  <c:v>0.69920000000000004</c:v>
                </c:pt>
                <c:pt idx="8">
                  <c:v>0.20015999999999998</c:v>
                </c:pt>
                <c:pt idx="9">
                  <c:v>0.4225600000000001</c:v>
                </c:pt>
                <c:pt idx="10">
                  <c:v>0.53376000000000001</c:v>
                </c:pt>
                <c:pt idx="11">
                  <c:v>0.31136000000000014</c:v>
                </c:pt>
                <c:pt idx="12">
                  <c:v>0.27800000000000002</c:v>
                </c:pt>
                <c:pt idx="13">
                  <c:v>-4.2020000000000023E-2</c:v>
                </c:pt>
                <c:pt idx="14">
                  <c:v>0.11119999999999998</c:v>
                </c:pt>
                <c:pt idx="15">
                  <c:v>0.13344000000000006</c:v>
                </c:pt>
              </c:numCache>
            </c:numRef>
          </c:val>
          <c:extLst>
            <c:ext xmlns:c16="http://schemas.microsoft.com/office/drawing/2014/chart" uri="{C3380CC4-5D6E-409C-BE32-E72D297353CC}">
              <c16:uniqueId val="{00000002-4CA5-41EF-BDDA-0D39240D156A}"/>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Sheet1!$F$2:$F$47</c:f>
              <c:numCache>
                <c:formatCode>0.0</c:formatCode>
                <c:ptCount val="16"/>
                <c:pt idx="0">
                  <c:v>-0.86539100949568815</c:v>
                </c:pt>
                <c:pt idx="1">
                  <c:v>-0.46597977434383198</c:v>
                </c:pt>
                <c:pt idx="2">
                  <c:v>-0.16642134797993996</c:v>
                </c:pt>
                <c:pt idx="3">
                  <c:v>-0.16642134797993996</c:v>
                </c:pt>
                <c:pt idx="4">
                  <c:v>0.59543999999999975</c:v>
                </c:pt>
                <c:pt idx="5">
                  <c:v>0.46312000000000009</c:v>
                </c:pt>
                <c:pt idx="6">
                  <c:v>0.23155999999999999</c:v>
                </c:pt>
                <c:pt idx="7">
                  <c:v>0.26464000000000004</c:v>
                </c:pt>
                <c:pt idx="8">
                  <c:v>3.1870000000000016E-2</c:v>
                </c:pt>
                <c:pt idx="9">
                  <c:v>3.1870000000000016E-2</c:v>
                </c:pt>
                <c:pt idx="10">
                  <c:v>0.35057000000000016</c:v>
                </c:pt>
                <c:pt idx="11">
                  <c:v>0.33782200000000023</c:v>
                </c:pt>
                <c:pt idx="12">
                  <c:v>0.39837500000000026</c:v>
                </c:pt>
                <c:pt idx="13">
                  <c:v>0.46241000000000015</c:v>
                </c:pt>
                <c:pt idx="14">
                  <c:v>0.44618000000000002</c:v>
                </c:pt>
                <c:pt idx="15">
                  <c:v>0.44618000000000002</c:v>
                </c:pt>
              </c:numCache>
            </c:numRef>
          </c:val>
          <c:extLst>
            <c:ext xmlns:c16="http://schemas.microsoft.com/office/drawing/2014/chart" uri="{C3380CC4-5D6E-409C-BE32-E72D297353CC}">
              <c16:uniqueId val="{00000003-4CA5-41EF-BDDA-0D39240D156A}"/>
            </c:ext>
          </c:extLst>
        </c:ser>
        <c:dLbls>
          <c:showLegendKey val="0"/>
          <c:showVal val="0"/>
          <c:showCatName val="0"/>
          <c:showSerName val="0"/>
          <c:showPercent val="0"/>
          <c:showBubbleSize val="0"/>
        </c:dLbls>
        <c:gapWidth val="100"/>
        <c:overlap val="100"/>
        <c:axId val="249069568"/>
        <c:axId val="249071104"/>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4CA5-41EF-BDDA-0D39240D156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4CA5-41EF-BDDA-0D39240D156A}"/>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4CA5-41EF-BDDA-0D39240D156A}"/>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A5-41EF-BDDA-0D39240D156A}"/>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A5-41EF-BDDA-0D39240D156A}"/>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A5-41EF-BDDA-0D39240D156A}"/>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A5-41EF-BDDA-0D39240D156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Sheet1!$B$2:$B$47</c:f>
              <c:numCache>
                <c:formatCode>0.0</c:formatCode>
                <c:ptCount val="16"/>
                <c:pt idx="0">
                  <c:v>-0.11200684754751915</c:v>
                </c:pt>
                <c:pt idx="1">
                  <c:v>1.1484365208069534</c:v>
                </c:pt>
                <c:pt idx="2">
                  <c:v>1.045072663038298</c:v>
                </c:pt>
                <c:pt idx="3">
                  <c:v>2.6317019479985402</c:v>
                </c:pt>
                <c:pt idx="4">
                  <c:v>3.746264</c:v>
                </c:pt>
                <c:pt idx="5">
                  <c:v>0.92360999999999982</c:v>
                </c:pt>
                <c:pt idx="6">
                  <c:v>3.4589300000000001</c:v>
                </c:pt>
                <c:pt idx="7">
                  <c:v>1.78416</c:v>
                </c:pt>
                <c:pt idx="8">
                  <c:v>1.8542299999999998</c:v>
                </c:pt>
                <c:pt idx="9">
                  <c:v>2.5381299999999998</c:v>
                </c:pt>
                <c:pt idx="10">
                  <c:v>0.5188100000000001</c:v>
                </c:pt>
                <c:pt idx="11">
                  <c:v>0.71975100000000025</c:v>
                </c:pt>
                <c:pt idx="12">
                  <c:v>-5.8054400000000075E-2</c:v>
                </c:pt>
                <c:pt idx="13">
                  <c:v>1.6678599999999999</c:v>
                </c:pt>
                <c:pt idx="14">
                  <c:v>1.3506399999999998</c:v>
                </c:pt>
                <c:pt idx="15">
                  <c:v>1.2690999999999995</c:v>
                </c:pt>
              </c:numCache>
            </c:numRef>
          </c:val>
          <c:smooth val="0"/>
          <c:extLst>
            <c:ext xmlns:c16="http://schemas.microsoft.com/office/drawing/2014/chart" uri="{C3380CC4-5D6E-409C-BE32-E72D297353CC}">
              <c16:uniqueId val="{00000008-4CA5-41EF-BDDA-0D39240D156A}"/>
            </c:ext>
          </c:extLst>
        </c:ser>
        <c:dLbls>
          <c:showLegendKey val="0"/>
          <c:showVal val="0"/>
          <c:showCatName val="0"/>
          <c:showSerName val="0"/>
          <c:showPercent val="0"/>
          <c:showBubbleSize val="0"/>
        </c:dLbls>
        <c:marker val="1"/>
        <c:smooth val="0"/>
        <c:axId val="249069568"/>
        <c:axId val="249071104"/>
      </c:lineChart>
      <c:catAx>
        <c:axId val="2490695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49071104"/>
        <c:crosses val="autoZero"/>
        <c:auto val="1"/>
        <c:lblAlgn val="ctr"/>
        <c:lblOffset val="100"/>
        <c:noMultiLvlLbl val="0"/>
      </c:catAx>
      <c:valAx>
        <c:axId val="24907110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490695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908"/>
          <c:y val="0"/>
        </c:manualLayout>
      </c:layout>
      <c:overlay val="0"/>
      <c:spPr>
        <a:noFill/>
        <a:ln>
          <a:noFill/>
        </a:ln>
        <a:effectLst/>
      </c:spPr>
    </c:title>
    <c:autoTitleDeleted val="0"/>
    <c:plotArea>
      <c:layout>
        <c:manualLayout>
          <c:layoutTarget val="inner"/>
          <c:xMode val="edge"/>
          <c:yMode val="edge"/>
          <c:x val="0.11270836908098351"/>
          <c:y val="0.12480519374330552"/>
          <c:w val="0.84290099330804158"/>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Sheet1!$C$2:$C$47</c:f>
              <c:numCache>
                <c:formatCode>0.0</c:formatCode>
                <c:ptCount val="16"/>
                <c:pt idx="0">
                  <c:v>1.1515053876665682</c:v>
                </c:pt>
                <c:pt idx="1">
                  <c:v>1.7437081584665173</c:v>
                </c:pt>
                <c:pt idx="2">
                  <c:v>1.5421947156248674</c:v>
                </c:pt>
                <c:pt idx="3">
                  <c:v>1.6861328890831893</c:v>
                </c:pt>
                <c:pt idx="4">
                  <c:v>1.7110799999999995</c:v>
                </c:pt>
                <c:pt idx="5">
                  <c:v>0.75369000000000064</c:v>
                </c:pt>
                <c:pt idx="6">
                  <c:v>0.97776000000000018</c:v>
                </c:pt>
                <c:pt idx="7">
                  <c:v>0.93701999999999996</c:v>
                </c:pt>
                <c:pt idx="8">
                  <c:v>0.99239999999999973</c:v>
                </c:pt>
                <c:pt idx="9">
                  <c:v>1.4472499999999995</c:v>
                </c:pt>
                <c:pt idx="10">
                  <c:v>1.0130749999999995</c:v>
                </c:pt>
                <c:pt idx="11">
                  <c:v>0.76497500000000052</c:v>
                </c:pt>
                <c:pt idx="12">
                  <c:v>-1.2156899999999995</c:v>
                </c:pt>
                <c:pt idx="13">
                  <c:v>-0.43004000000000014</c:v>
                </c:pt>
                <c:pt idx="14">
                  <c:v>-0.12404999999999998</c:v>
                </c:pt>
                <c:pt idx="15">
                  <c:v>-8.2700000000000023E-2</c:v>
                </c:pt>
              </c:numCache>
            </c:numRef>
          </c:val>
          <c:extLst>
            <c:ext xmlns:c16="http://schemas.microsoft.com/office/drawing/2014/chart" uri="{C3380CC4-5D6E-409C-BE32-E72D297353CC}">
              <c16:uniqueId val="{00000000-B11A-4F87-9A25-41C51FB80C2E}"/>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Sheet1!$D$2:$D$47</c:f>
              <c:numCache>
                <c:formatCode>0.0</c:formatCode>
                <c:ptCount val="16"/>
                <c:pt idx="0">
                  <c:v>7.4798941030880917E-2</c:v>
                </c:pt>
                <c:pt idx="1">
                  <c:v>0.11175841777555143</c:v>
                </c:pt>
                <c:pt idx="2">
                  <c:v>0.12539822466941788</c:v>
                </c:pt>
                <c:pt idx="3">
                  <c:v>0.14079800664636413</c:v>
                </c:pt>
                <c:pt idx="4">
                  <c:v>0.16416</c:v>
                </c:pt>
                <c:pt idx="5">
                  <c:v>0.16632000000000002</c:v>
                </c:pt>
                <c:pt idx="6">
                  <c:v>0.18576000000000006</c:v>
                </c:pt>
                <c:pt idx="7">
                  <c:v>0.18144000000000013</c:v>
                </c:pt>
                <c:pt idx="8">
                  <c:v>0.18614000000000003</c:v>
                </c:pt>
                <c:pt idx="9">
                  <c:v>0.19068000000000002</c:v>
                </c:pt>
                <c:pt idx="10">
                  <c:v>0.19295000000000001</c:v>
                </c:pt>
                <c:pt idx="11">
                  <c:v>0.19295000000000001</c:v>
                </c:pt>
                <c:pt idx="12">
                  <c:v>0.36093000000000008</c:v>
                </c:pt>
                <c:pt idx="13">
                  <c:v>0.40240500000000007</c:v>
                </c:pt>
                <c:pt idx="14">
                  <c:v>0.41283000000000014</c:v>
                </c:pt>
                <c:pt idx="15">
                  <c:v>0.40866000000000002</c:v>
                </c:pt>
              </c:numCache>
            </c:numRef>
          </c:val>
          <c:extLst>
            <c:ext xmlns:c16="http://schemas.microsoft.com/office/drawing/2014/chart" uri="{C3380CC4-5D6E-409C-BE32-E72D297353CC}">
              <c16:uniqueId val="{00000001-B11A-4F87-9A25-41C51FB80C2E}"/>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Sheet1!$E$2:$E$47</c:f>
              <c:numCache>
                <c:formatCode>0.0</c:formatCode>
                <c:ptCount val="16"/>
                <c:pt idx="0">
                  <c:v>-0.74167100978775335</c:v>
                </c:pt>
                <c:pt idx="1">
                  <c:v>-0.65690860866915346</c:v>
                </c:pt>
                <c:pt idx="2">
                  <c:v>-0.55095560727090265</c:v>
                </c:pt>
                <c:pt idx="3">
                  <c:v>-0.38143080503370186</c:v>
                </c:pt>
                <c:pt idx="4">
                  <c:v>0.96140000000000014</c:v>
                </c:pt>
                <c:pt idx="5">
                  <c:v>1.0378749999999997</c:v>
                </c:pt>
                <c:pt idx="6">
                  <c:v>1.0488000000000002</c:v>
                </c:pt>
                <c:pt idx="7">
                  <c:v>0.98325000000000007</c:v>
                </c:pt>
                <c:pt idx="8">
                  <c:v>0.17792000000000005</c:v>
                </c:pt>
                <c:pt idx="9">
                  <c:v>0.26688000000000012</c:v>
                </c:pt>
                <c:pt idx="10">
                  <c:v>0.34472000000000008</c:v>
                </c:pt>
                <c:pt idx="11">
                  <c:v>0.32248000000000027</c:v>
                </c:pt>
                <c:pt idx="12">
                  <c:v>0.36696000000000012</c:v>
                </c:pt>
                <c:pt idx="13">
                  <c:v>0.19959500000000008</c:v>
                </c:pt>
                <c:pt idx="14">
                  <c:v>0.16808000000000003</c:v>
                </c:pt>
                <c:pt idx="15">
                  <c:v>0.16808000000000003</c:v>
                </c:pt>
              </c:numCache>
            </c:numRef>
          </c:val>
          <c:extLst>
            <c:ext xmlns:c16="http://schemas.microsoft.com/office/drawing/2014/chart" uri="{C3380CC4-5D6E-409C-BE32-E72D297353CC}">
              <c16:uniqueId val="{00000002-B11A-4F87-9A25-41C51FB80C2E}"/>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Sheet1!$F$2:$F$47</c:f>
              <c:numCache>
                <c:formatCode>0.0</c:formatCode>
                <c:ptCount val="16"/>
                <c:pt idx="0">
                  <c:v>-0.83210673989969963</c:v>
                </c:pt>
                <c:pt idx="1">
                  <c:v>-0.73225393111173587</c:v>
                </c:pt>
                <c:pt idx="2">
                  <c:v>-0.47929348218222706</c:v>
                </c:pt>
                <c:pt idx="3">
                  <c:v>-0.43269550474784407</c:v>
                </c:pt>
                <c:pt idx="4">
                  <c:v>0.46312000000000009</c:v>
                </c:pt>
                <c:pt idx="5">
                  <c:v>0.47966000000000003</c:v>
                </c:pt>
                <c:pt idx="6">
                  <c:v>0.43004000000000009</c:v>
                </c:pt>
                <c:pt idx="7">
                  <c:v>0.3969600000000002</c:v>
                </c:pt>
                <c:pt idx="8">
                  <c:v>0.12748000000000001</c:v>
                </c:pt>
                <c:pt idx="9">
                  <c:v>6.3740000000000019E-2</c:v>
                </c:pt>
                <c:pt idx="10">
                  <c:v>9.5610000000000028E-2</c:v>
                </c:pt>
                <c:pt idx="11">
                  <c:v>0.14660200000000001</c:v>
                </c:pt>
                <c:pt idx="12">
                  <c:v>0.43024500000000004</c:v>
                </c:pt>
                <c:pt idx="13">
                  <c:v>0.39837500000000026</c:v>
                </c:pt>
                <c:pt idx="14">
                  <c:v>0.41431000000000018</c:v>
                </c:pt>
                <c:pt idx="15">
                  <c:v>0.41431000000000018</c:v>
                </c:pt>
              </c:numCache>
            </c:numRef>
          </c:val>
          <c:extLst>
            <c:ext xmlns:c16="http://schemas.microsoft.com/office/drawing/2014/chart" uri="{C3380CC4-5D6E-409C-BE32-E72D297353CC}">
              <c16:uniqueId val="{00000003-B11A-4F87-9A25-41C51FB80C2E}"/>
            </c:ext>
          </c:extLst>
        </c:ser>
        <c:dLbls>
          <c:showLegendKey val="0"/>
          <c:showVal val="0"/>
          <c:showCatName val="0"/>
          <c:showSerName val="0"/>
          <c:showPercent val="0"/>
          <c:showBubbleSize val="0"/>
        </c:dLbls>
        <c:gapWidth val="100"/>
        <c:overlap val="100"/>
        <c:axId val="249287424"/>
        <c:axId val="24928896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B11A-4F87-9A25-41C51FB80C2E}"/>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B11A-4F87-9A25-41C51FB80C2E}"/>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B11A-4F87-9A25-41C51FB80C2E}"/>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1A-4F87-9A25-41C51FB80C2E}"/>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1A-4F87-9A25-41C51FB80C2E}"/>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1A-4F87-9A25-41C51FB80C2E}"/>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1A-4F87-9A25-41C51FB80C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Sheet1!$B$2:$B$47</c:f>
              <c:numCache>
                <c:formatCode>0.0</c:formatCode>
                <c:ptCount val="16"/>
                <c:pt idx="0">
                  <c:v>-0.34747342099000422</c:v>
                </c:pt>
                <c:pt idx="1">
                  <c:v>0.46630403646117979</c:v>
                </c:pt>
                <c:pt idx="2">
                  <c:v>0.63734385084115663</c:v>
                </c:pt>
                <c:pt idx="3">
                  <c:v>1.0128045859480073</c:v>
                </c:pt>
                <c:pt idx="4">
                  <c:v>3.29976</c:v>
                </c:pt>
                <c:pt idx="5">
                  <c:v>2.4375449999999992</c:v>
                </c:pt>
                <c:pt idx="6">
                  <c:v>2.64236</c:v>
                </c:pt>
                <c:pt idx="7">
                  <c:v>2.4986699999999993</c:v>
                </c:pt>
                <c:pt idx="8">
                  <c:v>1.4839399999999994</c:v>
                </c:pt>
                <c:pt idx="9">
                  <c:v>1.9685500000000002</c:v>
                </c:pt>
                <c:pt idx="10">
                  <c:v>1.6463550000000005</c:v>
                </c:pt>
                <c:pt idx="11">
                  <c:v>1.4270069999999997</c:v>
                </c:pt>
                <c:pt idx="12">
                  <c:v>-5.7554999999999974E-2</c:v>
                </c:pt>
                <c:pt idx="13">
                  <c:v>0.53033499999999967</c:v>
                </c:pt>
                <c:pt idx="14">
                  <c:v>0.87117000000000033</c:v>
                </c:pt>
                <c:pt idx="15">
                  <c:v>0.9083500000000001</c:v>
                </c:pt>
              </c:numCache>
            </c:numRef>
          </c:val>
          <c:smooth val="0"/>
          <c:extLst>
            <c:ext xmlns:c16="http://schemas.microsoft.com/office/drawing/2014/chart" uri="{C3380CC4-5D6E-409C-BE32-E72D297353CC}">
              <c16:uniqueId val="{00000008-B11A-4F87-9A25-41C51FB80C2E}"/>
            </c:ext>
          </c:extLst>
        </c:ser>
        <c:dLbls>
          <c:showLegendKey val="0"/>
          <c:showVal val="0"/>
          <c:showCatName val="0"/>
          <c:showSerName val="0"/>
          <c:showPercent val="0"/>
          <c:showBubbleSize val="0"/>
        </c:dLbls>
        <c:marker val="1"/>
        <c:smooth val="0"/>
        <c:axId val="249287424"/>
        <c:axId val="249288960"/>
      </c:lineChart>
      <c:catAx>
        <c:axId val="2492874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49288960"/>
        <c:crosses val="autoZero"/>
        <c:auto val="1"/>
        <c:lblAlgn val="ctr"/>
        <c:lblOffset val="100"/>
        <c:noMultiLvlLbl val="0"/>
      </c:catAx>
      <c:valAx>
        <c:axId val="24928896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492874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58"/>
          <c:h val="1.90308418654875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B7C7-4B8B-9172-42F2C1642880}"/>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B7C7-4B8B-9172-42F2C1642880}"/>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B7C7-4B8B-9172-42F2C1642880}"/>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B7C7-4B8B-9172-42F2C1642880}"/>
            </c:ext>
          </c:extLst>
        </c:ser>
        <c:dLbls>
          <c:showLegendKey val="0"/>
          <c:showVal val="0"/>
          <c:showCatName val="0"/>
          <c:showSerName val="0"/>
          <c:showPercent val="0"/>
          <c:showBubbleSize val="0"/>
        </c:dLbls>
        <c:gapWidth val="100"/>
        <c:overlap val="100"/>
        <c:axId val="250544896"/>
        <c:axId val="250546432"/>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B7C7-4B8B-9172-42F2C1642880}"/>
            </c:ext>
          </c:extLst>
        </c:ser>
        <c:dLbls>
          <c:showLegendKey val="0"/>
          <c:showVal val="0"/>
          <c:showCatName val="0"/>
          <c:showSerName val="0"/>
          <c:showPercent val="0"/>
          <c:showBubbleSize val="0"/>
        </c:dLbls>
        <c:marker val="1"/>
        <c:smooth val="0"/>
        <c:axId val="250544896"/>
        <c:axId val="250546432"/>
      </c:lineChart>
      <c:catAx>
        <c:axId val="250544896"/>
        <c:scaling>
          <c:orientation val="minMax"/>
        </c:scaling>
        <c:delete val="1"/>
        <c:axPos val="b"/>
        <c:numFmt formatCode="General" sourceLinked="1"/>
        <c:majorTickMark val="out"/>
        <c:minorTickMark val="none"/>
        <c:tickLblPos val="none"/>
        <c:crossAx val="250546432"/>
        <c:crosses val="autoZero"/>
        <c:auto val="1"/>
        <c:lblAlgn val="ctr"/>
        <c:lblOffset val="100"/>
        <c:noMultiLvlLbl val="0"/>
      </c:catAx>
      <c:valAx>
        <c:axId val="250546432"/>
        <c:scaling>
          <c:orientation val="minMax"/>
        </c:scaling>
        <c:delete val="1"/>
        <c:axPos val="l"/>
        <c:numFmt formatCode="General" sourceLinked="1"/>
        <c:majorTickMark val="none"/>
        <c:minorTickMark val="none"/>
        <c:tickLblPos val="none"/>
        <c:crossAx val="250544896"/>
        <c:crosses val="autoZero"/>
        <c:crossBetween val="between"/>
      </c:valAx>
      <c:spPr>
        <a:noFill/>
        <a:ln>
          <a:noFill/>
        </a:ln>
        <a:effectLst/>
      </c:spPr>
    </c:plotArea>
    <c:legend>
      <c:legendPos val="b"/>
      <c:layout>
        <c:manualLayout>
          <c:xMode val="edge"/>
          <c:yMode val="edge"/>
          <c:x val="2.4091860941327401E-2"/>
          <c:y val="0.10991302557768538"/>
          <c:w val="0.95949541633383117"/>
          <c:h val="0.876928860454944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1100"/>
              <a:t>Գնաճի կանխատեսումները և նպատակային միջակայքը</a:t>
            </a:r>
            <a:r>
              <a:rPr lang="en-US" sz="1100"/>
              <a:t>, %</a:t>
            </a:r>
          </a:p>
        </c:rich>
      </c:tx>
      <c:layout>
        <c:manualLayout>
          <c:xMode val="edge"/>
          <c:yMode val="edge"/>
          <c:x val="0.21738990489660437"/>
          <c:y val="1.2091606196284284E-2"/>
        </c:manualLayout>
      </c:layout>
      <c:overlay val="0"/>
      <c:spPr>
        <a:noFill/>
        <a:ln>
          <a:noFill/>
        </a:ln>
        <a:effectLst/>
      </c:spPr>
    </c:title>
    <c:autoTitleDeleted val="0"/>
    <c:plotArea>
      <c:layout>
        <c:manualLayout>
          <c:layoutTarget val="inner"/>
          <c:xMode val="edge"/>
          <c:yMode val="edge"/>
          <c:x val="4.286978223573859E-2"/>
          <c:y val="0.15820767267105321"/>
          <c:w val="0.93497959351939874"/>
          <c:h val="0.6595433789954338"/>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F5-47E2-BBA5-AA113BA8F774}"/>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F5-47E2-BBA5-AA113BA8F77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5"/>
                <c:pt idx="0">
                  <c:v>2017</c:v>
                </c:pt>
                <c:pt idx="1">
                  <c:v>2018</c:v>
                </c:pt>
                <c:pt idx="2">
                  <c:v>2019</c:v>
                </c:pt>
                <c:pt idx="3">
                  <c:v>2020</c:v>
                </c:pt>
                <c:pt idx="4">
                  <c:v>2021</c:v>
                </c:pt>
              </c:numCache>
            </c:numRef>
          </c:cat>
          <c:val>
            <c:numRef>
              <c:f>Sheet1!$B$2:$B$8</c:f>
              <c:numCache>
                <c:formatCode>0.0</c:formatCode>
                <c:ptCount val="5"/>
                <c:pt idx="0">
                  <c:v>2.6391820853362873</c:v>
                </c:pt>
                <c:pt idx="1">
                  <c:v>1.7710353790077846</c:v>
                </c:pt>
                <c:pt idx="2">
                  <c:v>0.74073867036182184</c:v>
                </c:pt>
                <c:pt idx="3">
                  <c:v>2.5</c:v>
                </c:pt>
                <c:pt idx="4">
                  <c:v>1.7</c:v>
                </c:pt>
              </c:numCache>
            </c:numRef>
          </c:val>
          <c:smooth val="0"/>
          <c:extLst>
            <c:ext xmlns:c16="http://schemas.microsoft.com/office/drawing/2014/chart" uri="{C3380CC4-5D6E-409C-BE32-E72D297353CC}">
              <c16:uniqueId val="{00000002-AFF5-47E2-BBA5-AA113BA8F774}"/>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F5-47E2-BBA5-AA113BA8F774}"/>
                </c:ext>
              </c:extLst>
            </c:dLbl>
            <c:dLbl>
              <c:idx val="2"/>
              <c:layout>
                <c:manualLayout>
                  <c:x val="-3.1735803463552259E-2"/>
                  <c:y val="-6.4261437908497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F5-47E2-BBA5-AA113BA8F774}"/>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5"/>
                <c:pt idx="0">
                  <c:v>2017</c:v>
                </c:pt>
                <c:pt idx="1">
                  <c:v>2018</c:v>
                </c:pt>
                <c:pt idx="2">
                  <c:v>2019</c:v>
                </c:pt>
                <c:pt idx="3">
                  <c:v>2020</c:v>
                </c:pt>
                <c:pt idx="4">
                  <c:v>2021</c:v>
                </c:pt>
              </c:numCache>
            </c:numRef>
          </c:cat>
          <c:val>
            <c:numRef>
              <c:f>Sheet1!$C$2:$C$8</c:f>
              <c:numCache>
                <c:formatCode>0.0</c:formatCode>
                <c:ptCount val="5"/>
                <c:pt idx="0">
                  <c:v>0.9650508397638764</c:v>
                </c:pt>
                <c:pt idx="1">
                  <c:v>2.54906807309463</c:v>
                </c:pt>
                <c:pt idx="2">
                  <c:v>1.4309835696169277</c:v>
                </c:pt>
                <c:pt idx="3">
                  <c:v>1.5</c:v>
                </c:pt>
                <c:pt idx="4">
                  <c:v>1.9000000000000001</c:v>
                </c:pt>
              </c:numCache>
            </c:numRef>
          </c:val>
          <c:smooth val="0"/>
          <c:extLst>
            <c:ext xmlns:c16="http://schemas.microsoft.com/office/drawing/2014/chart" uri="{C3380CC4-5D6E-409C-BE32-E72D297353CC}">
              <c16:uniqueId val="{00000005-AFF5-47E2-BBA5-AA113BA8F774}"/>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Sheet1!$A$2:$A$8</c:f>
              <c:numCache>
                <c:formatCode>General</c:formatCode>
                <c:ptCount val="5"/>
                <c:pt idx="0">
                  <c:v>2017</c:v>
                </c:pt>
                <c:pt idx="1">
                  <c:v>2018</c:v>
                </c:pt>
                <c:pt idx="2">
                  <c:v>2019</c:v>
                </c:pt>
                <c:pt idx="3">
                  <c:v>2020</c:v>
                </c:pt>
                <c:pt idx="4">
                  <c:v>2021</c:v>
                </c:pt>
              </c:numCache>
            </c:numRef>
          </c:cat>
          <c:val>
            <c:numRef>
              <c:f>Sheet1!$D$2:$D$8</c:f>
              <c:numCache>
                <c:formatCode>General</c:formatCode>
                <c:ptCount val="5"/>
                <c:pt idx="0">
                  <c:v>4</c:v>
                </c:pt>
                <c:pt idx="1">
                  <c:v>4</c:v>
                </c:pt>
                <c:pt idx="2">
                  <c:v>4</c:v>
                </c:pt>
                <c:pt idx="3">
                  <c:v>4</c:v>
                </c:pt>
                <c:pt idx="4">
                  <c:v>4</c:v>
                </c:pt>
              </c:numCache>
            </c:numRef>
          </c:val>
          <c:smooth val="0"/>
          <c:extLst>
            <c:ext xmlns:c16="http://schemas.microsoft.com/office/drawing/2014/chart" uri="{C3380CC4-5D6E-409C-BE32-E72D297353CC}">
              <c16:uniqueId val="{00000006-AFF5-47E2-BBA5-AA113BA8F774}"/>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Sheet1!$A$2:$A$8</c:f>
              <c:numCache>
                <c:formatCode>General</c:formatCode>
                <c:ptCount val="5"/>
                <c:pt idx="0">
                  <c:v>2017</c:v>
                </c:pt>
                <c:pt idx="1">
                  <c:v>2018</c:v>
                </c:pt>
                <c:pt idx="2">
                  <c:v>2019</c:v>
                </c:pt>
                <c:pt idx="3">
                  <c:v>2020</c:v>
                </c:pt>
                <c:pt idx="4">
                  <c:v>2021</c:v>
                </c:pt>
              </c:numCache>
            </c:numRef>
          </c:cat>
          <c:val>
            <c:numRef>
              <c:f>Sheet1!$E$2:$E$8</c:f>
              <c:numCache>
                <c:formatCode>General</c:formatCode>
                <c:ptCount val="5"/>
                <c:pt idx="0">
                  <c:v>5.5</c:v>
                </c:pt>
                <c:pt idx="1">
                  <c:v>5.5</c:v>
                </c:pt>
                <c:pt idx="2">
                  <c:v>5.5</c:v>
                </c:pt>
                <c:pt idx="3">
                  <c:v>5.5</c:v>
                </c:pt>
                <c:pt idx="4">
                  <c:v>5.5</c:v>
                </c:pt>
              </c:numCache>
            </c:numRef>
          </c:val>
          <c:smooth val="0"/>
          <c:extLst>
            <c:ext xmlns:c16="http://schemas.microsoft.com/office/drawing/2014/chart" uri="{C3380CC4-5D6E-409C-BE32-E72D297353CC}">
              <c16:uniqueId val="{00000007-AFF5-47E2-BBA5-AA113BA8F774}"/>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Sheet1!$A$2:$A$8</c:f>
              <c:numCache>
                <c:formatCode>General</c:formatCode>
                <c:ptCount val="5"/>
                <c:pt idx="0">
                  <c:v>2017</c:v>
                </c:pt>
                <c:pt idx="1">
                  <c:v>2018</c:v>
                </c:pt>
                <c:pt idx="2">
                  <c:v>2019</c:v>
                </c:pt>
                <c:pt idx="3">
                  <c:v>2020</c:v>
                </c:pt>
                <c:pt idx="4">
                  <c:v>2021</c:v>
                </c:pt>
              </c:numCache>
            </c:numRef>
          </c:cat>
          <c:val>
            <c:numRef>
              <c:f>Sheet1!$F$2:$F$8</c:f>
              <c:numCache>
                <c:formatCode>General</c:formatCode>
                <c:ptCount val="5"/>
                <c:pt idx="0">
                  <c:v>2.5</c:v>
                </c:pt>
                <c:pt idx="1">
                  <c:v>2.5</c:v>
                </c:pt>
                <c:pt idx="2">
                  <c:v>2.5</c:v>
                </c:pt>
                <c:pt idx="3">
                  <c:v>2.5</c:v>
                </c:pt>
                <c:pt idx="4">
                  <c:v>2.5</c:v>
                </c:pt>
              </c:numCache>
            </c:numRef>
          </c:val>
          <c:smooth val="0"/>
          <c:extLst>
            <c:ext xmlns:c16="http://schemas.microsoft.com/office/drawing/2014/chart" uri="{C3380CC4-5D6E-409C-BE32-E72D297353CC}">
              <c16:uniqueId val="{00000008-AFF5-47E2-BBA5-AA113BA8F774}"/>
            </c:ext>
          </c:extLst>
        </c:ser>
        <c:dLbls>
          <c:showLegendKey val="0"/>
          <c:showVal val="0"/>
          <c:showCatName val="0"/>
          <c:showSerName val="0"/>
          <c:showPercent val="0"/>
          <c:showBubbleSize val="0"/>
        </c:dLbls>
        <c:marker val="1"/>
        <c:smooth val="0"/>
        <c:axId val="250792576"/>
        <c:axId val="250802560"/>
      </c:lineChart>
      <c:catAx>
        <c:axId val="2507925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50802560"/>
        <c:crosses val="autoZero"/>
        <c:auto val="1"/>
        <c:lblAlgn val="ctr"/>
        <c:lblOffset val="100"/>
        <c:noMultiLvlLbl val="0"/>
      </c:catAx>
      <c:valAx>
        <c:axId val="2508025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5079257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30210629128467448"/>
          <c:y val="0.9088850537518427"/>
          <c:w val="0.39578741743065565"/>
          <c:h val="8.19825261568332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overlay val="0"/>
      <c:spPr>
        <a:noFill/>
        <a:ln>
          <a:noFill/>
        </a:ln>
        <a:effectLst/>
      </c:spPr>
    </c:title>
    <c:autoTitleDeleted val="0"/>
    <c:plotArea>
      <c:layout>
        <c:manualLayout>
          <c:layoutTarget val="inner"/>
          <c:xMode val="edge"/>
          <c:yMode val="edge"/>
          <c:x val="0.11873660719946239"/>
          <c:y val="0.19546619172603483"/>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Sheet1!$B$2:$B$46</c:f>
              <c:numCache>
                <c:formatCode>0.0</c:formatCode>
                <c:ptCount val="45"/>
                <c:pt idx="0">
                  <c:v>6.25</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5.75</c:v>
                </c:pt>
                <c:pt idx="25">
                  <c:v>5.75</c:v>
                </c:pt>
                <c:pt idx="26">
                  <c:v>5.75</c:v>
                </c:pt>
                <c:pt idx="27">
                  <c:v>5.75</c:v>
                </c:pt>
                <c:pt idx="28">
                  <c:v>5.75</c:v>
                </c:pt>
                <c:pt idx="29">
                  <c:v>5.75</c:v>
                </c:pt>
                <c:pt idx="30">
                  <c:v>5.75</c:v>
                </c:pt>
                <c:pt idx="31">
                  <c:v>5.75</c:v>
                </c:pt>
                <c:pt idx="32">
                  <c:v>5.5</c:v>
                </c:pt>
                <c:pt idx="33">
                  <c:v>5.5</c:v>
                </c:pt>
                <c:pt idx="34">
                  <c:v>5.5</c:v>
                </c:pt>
                <c:pt idx="35">
                  <c:v>5.5</c:v>
                </c:pt>
                <c:pt idx="36">
                  <c:v>5.5</c:v>
                </c:pt>
                <c:pt idx="37">
                  <c:v>5.5</c:v>
                </c:pt>
                <c:pt idx="38">
                  <c:v>5.25</c:v>
                </c:pt>
                <c:pt idx="39">
                  <c:v>5</c:v>
                </c:pt>
                <c:pt idx="40">
                  <c:v>5</c:v>
                </c:pt>
                <c:pt idx="41">
                  <c:v>4.5</c:v>
                </c:pt>
                <c:pt idx="42">
                  <c:v>4.5</c:v>
                </c:pt>
                <c:pt idx="43">
                  <c:v>4.5</c:v>
                </c:pt>
                <c:pt idx="44">
                  <c:v>4.25</c:v>
                </c:pt>
              </c:numCache>
            </c:numRef>
          </c:val>
          <c:smooth val="0"/>
          <c:extLst>
            <c:ext xmlns:c16="http://schemas.microsoft.com/office/drawing/2014/chart" uri="{C3380CC4-5D6E-409C-BE32-E72D297353CC}">
              <c16:uniqueId val="{00000000-ED34-42D4-9197-2B2234532EE4}"/>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Sheet1!$C$2:$C$46</c:f>
              <c:numCache>
                <c:formatCode>0.0</c:formatCode>
                <c:ptCount val="45"/>
                <c:pt idx="0">
                  <c:v>6.02</c:v>
                </c:pt>
                <c:pt idx="1">
                  <c:v>6.1199999999999983</c:v>
                </c:pt>
                <c:pt idx="2">
                  <c:v>6.03</c:v>
                </c:pt>
                <c:pt idx="3">
                  <c:v>6.04</c:v>
                </c:pt>
                <c:pt idx="4">
                  <c:v>5.89</c:v>
                </c:pt>
                <c:pt idx="5">
                  <c:v>5.64</c:v>
                </c:pt>
                <c:pt idx="6">
                  <c:v>5.6</c:v>
                </c:pt>
                <c:pt idx="7">
                  <c:v>5.24</c:v>
                </c:pt>
                <c:pt idx="8">
                  <c:v>5.1899999999999995</c:v>
                </c:pt>
                <c:pt idx="9">
                  <c:v>5.7</c:v>
                </c:pt>
                <c:pt idx="10">
                  <c:v>5.8599999999999985</c:v>
                </c:pt>
                <c:pt idx="11">
                  <c:v>6.1199999999999983</c:v>
                </c:pt>
                <c:pt idx="12">
                  <c:v>6.03</c:v>
                </c:pt>
                <c:pt idx="13">
                  <c:v>5.85</c:v>
                </c:pt>
                <c:pt idx="14">
                  <c:v>5.99</c:v>
                </c:pt>
                <c:pt idx="15">
                  <c:v>5.9300000000000015</c:v>
                </c:pt>
                <c:pt idx="16">
                  <c:v>6.23</c:v>
                </c:pt>
                <c:pt idx="17">
                  <c:v>6.45</c:v>
                </c:pt>
                <c:pt idx="18">
                  <c:v>6.22</c:v>
                </c:pt>
                <c:pt idx="19">
                  <c:v>6.17</c:v>
                </c:pt>
                <c:pt idx="20">
                  <c:v>6.14</c:v>
                </c:pt>
                <c:pt idx="21">
                  <c:v>6.1</c:v>
                </c:pt>
                <c:pt idx="22">
                  <c:v>6.1599999999999984</c:v>
                </c:pt>
                <c:pt idx="23">
                  <c:v>6.22</c:v>
                </c:pt>
                <c:pt idx="24">
                  <c:v>6.1499999999999995</c:v>
                </c:pt>
                <c:pt idx="25">
                  <c:v>5.8</c:v>
                </c:pt>
                <c:pt idx="26">
                  <c:v>5.84</c:v>
                </c:pt>
                <c:pt idx="27">
                  <c:v>5.95</c:v>
                </c:pt>
                <c:pt idx="28">
                  <c:v>5.83</c:v>
                </c:pt>
                <c:pt idx="29">
                  <c:v>5.84</c:v>
                </c:pt>
                <c:pt idx="30">
                  <c:v>5.81</c:v>
                </c:pt>
                <c:pt idx="31">
                  <c:v>5.83</c:v>
                </c:pt>
                <c:pt idx="32">
                  <c:v>5.68</c:v>
                </c:pt>
                <c:pt idx="33">
                  <c:v>5.59</c:v>
                </c:pt>
                <c:pt idx="34">
                  <c:v>5.5</c:v>
                </c:pt>
                <c:pt idx="35">
                  <c:v>5.56</c:v>
                </c:pt>
                <c:pt idx="36">
                  <c:v>5.55</c:v>
                </c:pt>
                <c:pt idx="37">
                  <c:v>5.54</c:v>
                </c:pt>
                <c:pt idx="38">
                  <c:v>5.33</c:v>
                </c:pt>
                <c:pt idx="39">
                  <c:v>5.2700000000000014</c:v>
                </c:pt>
                <c:pt idx="40">
                  <c:v>5.1499999999999995</c:v>
                </c:pt>
                <c:pt idx="41">
                  <c:v>4.9000000000000004</c:v>
                </c:pt>
                <c:pt idx="42">
                  <c:v>4.5999999999999996</c:v>
                </c:pt>
                <c:pt idx="43">
                  <c:v>4.5999999999999996</c:v>
                </c:pt>
                <c:pt idx="44">
                  <c:v>4.3899999999999997</c:v>
                </c:pt>
              </c:numCache>
            </c:numRef>
          </c:val>
          <c:smooth val="0"/>
          <c:extLst>
            <c:ext xmlns:c16="http://schemas.microsoft.com/office/drawing/2014/chart" uri="{C3380CC4-5D6E-409C-BE32-E72D297353CC}">
              <c16:uniqueId val="{00000001-ED34-42D4-9197-2B2234532EE4}"/>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Sheet1!$D$2:$D$46</c:f>
              <c:numCache>
                <c:formatCode>0.0</c:formatCode>
                <c:ptCount val="45"/>
                <c:pt idx="0">
                  <c:v>7.8422000000000001</c:v>
                </c:pt>
                <c:pt idx="1">
                  <c:v>7.8104999999999984</c:v>
                </c:pt>
                <c:pt idx="2">
                  <c:v>7.1676999999999982</c:v>
                </c:pt>
                <c:pt idx="3">
                  <c:v>6.7956000000000003</c:v>
                </c:pt>
                <c:pt idx="4">
                  <c:v>6.7788000000000004</c:v>
                </c:pt>
                <c:pt idx="5">
                  <c:v>6.7080000000000002</c:v>
                </c:pt>
                <c:pt idx="6">
                  <c:v>6.6270999999999978</c:v>
                </c:pt>
                <c:pt idx="7">
                  <c:v>6.6393000000000004</c:v>
                </c:pt>
                <c:pt idx="8">
                  <c:v>6.5145999999999979</c:v>
                </c:pt>
                <c:pt idx="9">
                  <c:v>6.397599999999998</c:v>
                </c:pt>
                <c:pt idx="10">
                  <c:v>6.2988</c:v>
                </c:pt>
                <c:pt idx="11">
                  <c:v>6.2483000000000004</c:v>
                </c:pt>
                <c:pt idx="12">
                  <c:v>6.2997000000000014</c:v>
                </c:pt>
                <c:pt idx="13">
                  <c:v>6.2244999999999981</c:v>
                </c:pt>
                <c:pt idx="14">
                  <c:v>6.3673999999999982</c:v>
                </c:pt>
                <c:pt idx="15">
                  <c:v>6.478200000000002</c:v>
                </c:pt>
                <c:pt idx="16">
                  <c:v>6.5214999999999996</c:v>
                </c:pt>
                <c:pt idx="17">
                  <c:v>6.5461999999999998</c:v>
                </c:pt>
                <c:pt idx="18">
                  <c:v>6.5838999999999999</c:v>
                </c:pt>
                <c:pt idx="19">
                  <c:v>6.5258999999999983</c:v>
                </c:pt>
                <c:pt idx="20">
                  <c:v>6.6818</c:v>
                </c:pt>
                <c:pt idx="21">
                  <c:v>6.6275999999999975</c:v>
                </c:pt>
                <c:pt idx="22">
                  <c:v>6.6434999999999995</c:v>
                </c:pt>
                <c:pt idx="23">
                  <c:v>6.626599999999998</c:v>
                </c:pt>
                <c:pt idx="24">
                  <c:v>6.6568999999999985</c:v>
                </c:pt>
                <c:pt idx="25">
                  <c:v>6.5744999999999996</c:v>
                </c:pt>
                <c:pt idx="26">
                  <c:v>6.5628999999999982</c:v>
                </c:pt>
                <c:pt idx="27">
                  <c:v>6.4889000000000001</c:v>
                </c:pt>
                <c:pt idx="28">
                  <c:v>6.2850999999999999</c:v>
                </c:pt>
                <c:pt idx="29">
                  <c:v>6.2453000000000003</c:v>
                </c:pt>
                <c:pt idx="30">
                  <c:v>6.2606000000000002</c:v>
                </c:pt>
                <c:pt idx="31">
                  <c:v>6.2698999999999998</c:v>
                </c:pt>
                <c:pt idx="32">
                  <c:v>6.1853999999999996</c:v>
                </c:pt>
                <c:pt idx="33">
                  <c:v>6.0438999999999998</c:v>
                </c:pt>
                <c:pt idx="34">
                  <c:v>6.0017000000000014</c:v>
                </c:pt>
                <c:pt idx="35">
                  <c:v>5.9264000000000001</c:v>
                </c:pt>
                <c:pt idx="36">
                  <c:v>5.8770999999999995</c:v>
                </c:pt>
                <c:pt idx="37">
                  <c:v>5.7817000000000016</c:v>
                </c:pt>
                <c:pt idx="38">
                  <c:v>5.7742000000000004</c:v>
                </c:pt>
                <c:pt idx="39">
                  <c:v>5.8629999999999987</c:v>
                </c:pt>
                <c:pt idx="40">
                  <c:v>5.8614999999999995</c:v>
                </c:pt>
                <c:pt idx="41" formatCode="#,##0.0">
                  <c:v>5.471700000000002</c:v>
                </c:pt>
                <c:pt idx="42" formatCode="#,##0.0">
                  <c:v>5.6485196666666653</c:v>
                </c:pt>
                <c:pt idx="43">
                  <c:v>5.6142999999999983</c:v>
                </c:pt>
                <c:pt idx="44">
                  <c:v>5.5646999999999984</c:v>
                </c:pt>
              </c:numCache>
            </c:numRef>
          </c:val>
          <c:smooth val="0"/>
          <c:extLst>
            <c:ext xmlns:c16="http://schemas.microsoft.com/office/drawing/2014/chart" uri="{C3380CC4-5D6E-409C-BE32-E72D297353CC}">
              <c16:uniqueId val="{00000002-ED34-42D4-9197-2B2234532EE4}"/>
            </c:ext>
          </c:extLst>
        </c:ser>
        <c:dLbls>
          <c:showLegendKey val="0"/>
          <c:showVal val="0"/>
          <c:showCatName val="0"/>
          <c:showSerName val="0"/>
          <c:showPercent val="0"/>
          <c:showBubbleSize val="0"/>
        </c:dLbls>
        <c:smooth val="0"/>
        <c:axId val="250813440"/>
        <c:axId val="250827520"/>
      </c:lineChart>
      <c:catAx>
        <c:axId val="2508134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250827520"/>
        <c:crosses val="autoZero"/>
        <c:auto val="1"/>
        <c:lblAlgn val="ctr"/>
        <c:lblOffset val="100"/>
        <c:noMultiLvlLbl val="0"/>
      </c:catAx>
      <c:valAx>
        <c:axId val="250827520"/>
        <c:scaling>
          <c:orientation val="minMax"/>
          <c:min val="4"/>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25081344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187468485524"/>
          <c:y val="8.4670157857062181E-2"/>
          <c:w val="0.74419421398306151"/>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strRef>
              <c:f>Sheet1!$A$2:$A$469</c:f>
              <c:strCache>
                <c:ptCount val="458"/>
                <c:pt idx="0">
                  <c:v>1/8/2019</c:v>
                </c:pt>
                <c:pt idx="1">
                  <c:v>1/9/2019</c:v>
                </c:pt>
                <c:pt idx="2">
                  <c:v>1/10/2019</c:v>
                </c:pt>
                <c:pt idx="3">
                  <c:v>1/11/2019</c:v>
                </c:pt>
                <c:pt idx="4">
                  <c:v>1/14/2019</c:v>
                </c:pt>
                <c:pt idx="5">
                  <c:v>1/15/2019</c:v>
                </c:pt>
                <c:pt idx="6">
                  <c:v>1/16/2019</c:v>
                </c:pt>
                <c:pt idx="7">
                  <c:v>1/17/2019</c:v>
                </c:pt>
                <c:pt idx="8">
                  <c:v>1/18/2019</c:v>
                </c:pt>
                <c:pt idx="9">
                  <c:v>1/21/2019</c:v>
                </c:pt>
                <c:pt idx="10">
                  <c:v>1/22/2019</c:v>
                </c:pt>
                <c:pt idx="11">
                  <c:v>1/23/2019</c:v>
                </c:pt>
                <c:pt idx="12">
                  <c:v>1/24/2019</c:v>
                </c:pt>
                <c:pt idx="13">
                  <c:v>1/25/2019</c:v>
                </c:pt>
                <c:pt idx="14">
                  <c:v>1/29/2019</c:v>
                </c:pt>
                <c:pt idx="15">
                  <c:v>1/30/2019</c:v>
                </c:pt>
                <c:pt idx="16">
                  <c:v>1/31/2019</c:v>
                </c:pt>
                <c:pt idx="17">
                  <c:v>2/1/2019</c:v>
                </c:pt>
                <c:pt idx="18">
                  <c:v>2/4/2019</c:v>
                </c:pt>
                <c:pt idx="19">
                  <c:v>2/5/2019</c:v>
                </c:pt>
                <c:pt idx="20">
                  <c:v>2/6/2019</c:v>
                </c:pt>
                <c:pt idx="21">
                  <c:v>2/7/2019</c:v>
                </c:pt>
                <c:pt idx="22">
                  <c:v>2/8/2019</c:v>
                </c:pt>
                <c:pt idx="23">
                  <c:v>2/11/2019</c:v>
                </c:pt>
                <c:pt idx="24">
                  <c:v>2/12/2019</c:v>
                </c:pt>
                <c:pt idx="25">
                  <c:v>2/13/2019</c:v>
                </c:pt>
                <c:pt idx="26">
                  <c:v>2/14/2019</c:v>
                </c:pt>
                <c:pt idx="27">
                  <c:v>2/15/2019</c:v>
                </c:pt>
                <c:pt idx="28">
                  <c:v>2/18/2019</c:v>
                </c:pt>
                <c:pt idx="29">
                  <c:v>2/19/2019</c:v>
                </c:pt>
                <c:pt idx="30">
                  <c:v>2/20/2019</c:v>
                </c:pt>
                <c:pt idx="31">
                  <c:v>2/21/2019</c:v>
                </c:pt>
                <c:pt idx="32">
                  <c:v>2/22/2019</c:v>
                </c:pt>
                <c:pt idx="33">
                  <c:v>2/25/2019</c:v>
                </c:pt>
                <c:pt idx="34">
                  <c:v>2/26/2019</c:v>
                </c:pt>
                <c:pt idx="35">
                  <c:v>2/27/2019</c:v>
                </c:pt>
                <c:pt idx="36">
                  <c:v>2/28/2019</c:v>
                </c:pt>
                <c:pt idx="37">
                  <c:v>3/1/2019</c:v>
                </c:pt>
                <c:pt idx="38">
                  <c:v>3/4/2019</c:v>
                </c:pt>
                <c:pt idx="39">
                  <c:v>3/5/2019</c:v>
                </c:pt>
                <c:pt idx="40">
                  <c:v>3/6/2019</c:v>
                </c:pt>
                <c:pt idx="41">
                  <c:v>3/7/2019</c:v>
                </c:pt>
                <c:pt idx="42">
                  <c:v>3/11/2019</c:v>
                </c:pt>
                <c:pt idx="43">
                  <c:v>3/12/2019</c:v>
                </c:pt>
                <c:pt idx="44">
                  <c:v>3/13/2019</c:v>
                </c:pt>
                <c:pt idx="45">
                  <c:v>3/14/2019</c:v>
                </c:pt>
                <c:pt idx="46">
                  <c:v>3/15/2019</c:v>
                </c:pt>
                <c:pt idx="47">
                  <c:v>3/18/2019</c:v>
                </c:pt>
                <c:pt idx="48">
                  <c:v>3/19/2019</c:v>
                </c:pt>
                <c:pt idx="49">
                  <c:v>3/20/2019</c:v>
                </c:pt>
                <c:pt idx="50">
                  <c:v>3/21/2019</c:v>
                </c:pt>
                <c:pt idx="51">
                  <c:v>3/22/2019</c:v>
                </c:pt>
                <c:pt idx="52">
                  <c:v>3/25/2019</c:v>
                </c:pt>
                <c:pt idx="53">
                  <c:v>3/26/2019</c:v>
                </c:pt>
                <c:pt idx="54">
                  <c:v>3/27/2019</c:v>
                </c:pt>
                <c:pt idx="55">
                  <c:v>3/28/2019</c:v>
                </c:pt>
                <c:pt idx="56">
                  <c:v>3/29/2019</c:v>
                </c:pt>
                <c:pt idx="57">
                  <c:v>4/1/2019</c:v>
                </c:pt>
                <c:pt idx="58">
                  <c:v>4/2/2019</c:v>
                </c:pt>
                <c:pt idx="59">
                  <c:v>4/3/2019</c:v>
                </c:pt>
                <c:pt idx="60">
                  <c:v>4/4/2019</c:v>
                </c:pt>
                <c:pt idx="61">
                  <c:v>4/5/2019</c:v>
                </c:pt>
                <c:pt idx="62">
                  <c:v>4/8/2019</c:v>
                </c:pt>
                <c:pt idx="63">
                  <c:v>4/9/2019</c:v>
                </c:pt>
                <c:pt idx="64">
                  <c:v>4/10/2019</c:v>
                </c:pt>
                <c:pt idx="65">
                  <c:v>4/11/2019</c:v>
                </c:pt>
                <c:pt idx="66">
                  <c:v>4/12/2019</c:v>
                </c:pt>
                <c:pt idx="67">
                  <c:v>4/15/2019</c:v>
                </c:pt>
                <c:pt idx="68">
                  <c:v>4/16/2019</c:v>
                </c:pt>
                <c:pt idx="69">
                  <c:v>4/17/2019</c:v>
                </c:pt>
                <c:pt idx="70">
                  <c:v>4/18/2019</c:v>
                </c:pt>
                <c:pt idx="71">
                  <c:v>4/19/2019</c:v>
                </c:pt>
                <c:pt idx="72">
                  <c:v>4/22/2019</c:v>
                </c:pt>
                <c:pt idx="73">
                  <c:v>4/23/2019</c:v>
                </c:pt>
                <c:pt idx="74">
                  <c:v>4/25/2019</c:v>
                </c:pt>
                <c:pt idx="75">
                  <c:v>4/26/2019</c:v>
                </c:pt>
                <c:pt idx="76">
                  <c:v>4/29/2019</c:v>
                </c:pt>
                <c:pt idx="77">
                  <c:v>4/30/2019</c:v>
                </c:pt>
                <c:pt idx="78">
                  <c:v>5/2/2019</c:v>
                </c:pt>
                <c:pt idx="79">
                  <c:v>5/3/2019</c:v>
                </c:pt>
                <c:pt idx="80">
                  <c:v>5/6/2019</c:v>
                </c:pt>
                <c:pt idx="81">
                  <c:v>5/7/2019</c:v>
                </c:pt>
                <c:pt idx="82">
                  <c:v>5/8/2019</c:v>
                </c:pt>
                <c:pt idx="83">
                  <c:v>5/10/2019</c:v>
                </c:pt>
                <c:pt idx="84">
                  <c:v>5/13/2019</c:v>
                </c:pt>
                <c:pt idx="85">
                  <c:v>5/14/2019</c:v>
                </c:pt>
                <c:pt idx="86">
                  <c:v>5/15/2019</c:v>
                </c:pt>
                <c:pt idx="87">
                  <c:v>5/16/2019</c:v>
                </c:pt>
                <c:pt idx="88">
                  <c:v>5/17/2019</c:v>
                </c:pt>
                <c:pt idx="89">
                  <c:v>5/20/2019</c:v>
                </c:pt>
                <c:pt idx="90">
                  <c:v>5/21/2019</c:v>
                </c:pt>
                <c:pt idx="91">
                  <c:v>5/22/2019</c:v>
                </c:pt>
                <c:pt idx="92">
                  <c:v>5/23/2019</c:v>
                </c:pt>
                <c:pt idx="93">
                  <c:v>5/24/2019</c:v>
                </c:pt>
                <c:pt idx="94">
                  <c:v>5/27/2019</c:v>
                </c:pt>
                <c:pt idx="95">
                  <c:v>5/29/2019</c:v>
                </c:pt>
                <c:pt idx="96">
                  <c:v>5/30/2019</c:v>
                </c:pt>
                <c:pt idx="97">
                  <c:v>5/31/2019</c:v>
                </c:pt>
                <c:pt idx="98">
                  <c:v>6/3/2019</c:v>
                </c:pt>
                <c:pt idx="99">
                  <c:v>6/4/2019</c:v>
                </c:pt>
                <c:pt idx="100">
                  <c:v>6/5/2019</c:v>
                </c:pt>
                <c:pt idx="101">
                  <c:v>6/6/2019</c:v>
                </c:pt>
                <c:pt idx="102">
                  <c:v>6/7/2019</c:v>
                </c:pt>
                <c:pt idx="103">
                  <c:v>6/10/2019</c:v>
                </c:pt>
                <c:pt idx="104">
                  <c:v>6/11/2019</c:v>
                </c:pt>
                <c:pt idx="105">
                  <c:v>6/12/2019</c:v>
                </c:pt>
                <c:pt idx="106">
                  <c:v>6/13/2019</c:v>
                </c:pt>
                <c:pt idx="107">
                  <c:v>6/14/2019</c:v>
                </c:pt>
                <c:pt idx="108">
                  <c:v>6/17/2019</c:v>
                </c:pt>
                <c:pt idx="109">
                  <c:v>6/18/2019</c:v>
                </c:pt>
                <c:pt idx="110">
                  <c:v>6/19/2019</c:v>
                </c:pt>
                <c:pt idx="111">
                  <c:v>6/20/2019</c:v>
                </c:pt>
                <c:pt idx="112">
                  <c:v>6/21/2019</c:v>
                </c:pt>
                <c:pt idx="113">
                  <c:v>6/24/2019</c:v>
                </c:pt>
                <c:pt idx="114">
                  <c:v>6/25/2019</c:v>
                </c:pt>
                <c:pt idx="115">
                  <c:v>6/26/2019</c:v>
                </c:pt>
                <c:pt idx="116">
                  <c:v>6/27/2019</c:v>
                </c:pt>
                <c:pt idx="117">
                  <c:v>6/28/2019</c:v>
                </c:pt>
                <c:pt idx="118">
                  <c:v>7/1/2019</c:v>
                </c:pt>
                <c:pt idx="119">
                  <c:v>7/2/2019</c:v>
                </c:pt>
                <c:pt idx="120">
                  <c:v>7/3/2019</c:v>
                </c:pt>
                <c:pt idx="121">
                  <c:v>7/4/2019</c:v>
                </c:pt>
                <c:pt idx="122">
                  <c:v>7/8/2019</c:v>
                </c:pt>
                <c:pt idx="123">
                  <c:v>7/9/2019</c:v>
                </c:pt>
                <c:pt idx="124">
                  <c:v>7/10/2019</c:v>
                </c:pt>
                <c:pt idx="125">
                  <c:v>7/11/2019</c:v>
                </c:pt>
                <c:pt idx="126">
                  <c:v>7/12/2019</c:v>
                </c:pt>
                <c:pt idx="127">
                  <c:v>7/15/2019</c:v>
                </c:pt>
                <c:pt idx="128">
                  <c:v>7/16/2019</c:v>
                </c:pt>
                <c:pt idx="129">
                  <c:v>7/17/2019</c:v>
                </c:pt>
                <c:pt idx="130">
                  <c:v>7/18/2019</c:v>
                </c:pt>
                <c:pt idx="131">
                  <c:v>7/19/2019</c:v>
                </c:pt>
                <c:pt idx="132">
                  <c:v>7/22/2019</c:v>
                </c:pt>
                <c:pt idx="133">
                  <c:v>7/23/2019</c:v>
                </c:pt>
                <c:pt idx="134">
                  <c:v>7/24/2019</c:v>
                </c:pt>
                <c:pt idx="135">
                  <c:v>7/25/2019</c:v>
                </c:pt>
                <c:pt idx="136">
                  <c:v>7/26/2019</c:v>
                </c:pt>
                <c:pt idx="137">
                  <c:v>7/29/2019</c:v>
                </c:pt>
                <c:pt idx="138">
                  <c:v>7/30/2019</c:v>
                </c:pt>
                <c:pt idx="139">
                  <c:v>7/31/2019</c:v>
                </c:pt>
                <c:pt idx="140">
                  <c:v>8/1/2019</c:v>
                </c:pt>
                <c:pt idx="141">
                  <c:v>8/2/2019</c:v>
                </c:pt>
                <c:pt idx="142">
                  <c:v>8/5/2019</c:v>
                </c:pt>
                <c:pt idx="143">
                  <c:v>8/6/2019</c:v>
                </c:pt>
                <c:pt idx="144">
                  <c:v>8/7/2019</c:v>
                </c:pt>
                <c:pt idx="145">
                  <c:v>8/8/2019</c:v>
                </c:pt>
                <c:pt idx="146">
                  <c:v>8/9/2019</c:v>
                </c:pt>
                <c:pt idx="147">
                  <c:v>8/12/2019</c:v>
                </c:pt>
                <c:pt idx="148">
                  <c:v>8/13/2019</c:v>
                </c:pt>
                <c:pt idx="149">
                  <c:v>8/14/2019</c:v>
                </c:pt>
                <c:pt idx="150">
                  <c:v>8/15/2019</c:v>
                </c:pt>
                <c:pt idx="151">
                  <c:v>8/16/2019</c:v>
                </c:pt>
                <c:pt idx="152">
                  <c:v>8/19/2019</c:v>
                </c:pt>
                <c:pt idx="153">
                  <c:v>8/20/2019</c:v>
                </c:pt>
                <c:pt idx="154">
                  <c:v>8/21/2019</c:v>
                </c:pt>
                <c:pt idx="155">
                  <c:v>8/22/2019</c:v>
                </c:pt>
                <c:pt idx="156">
                  <c:v>8/23/2019</c:v>
                </c:pt>
                <c:pt idx="157">
                  <c:v>8/26/2019</c:v>
                </c:pt>
                <c:pt idx="158">
                  <c:v>8/27/2019</c:v>
                </c:pt>
                <c:pt idx="159">
                  <c:v>8/28/2019</c:v>
                </c:pt>
                <c:pt idx="160">
                  <c:v>8/29/2019</c:v>
                </c:pt>
                <c:pt idx="161">
                  <c:v>8/30/2019</c:v>
                </c:pt>
                <c:pt idx="162">
                  <c:v>9/2/2019</c:v>
                </c:pt>
                <c:pt idx="163">
                  <c:v>9/3/2019</c:v>
                </c:pt>
                <c:pt idx="164">
                  <c:v>9/4/2019</c:v>
                </c:pt>
                <c:pt idx="165">
                  <c:v>9/5/2019</c:v>
                </c:pt>
                <c:pt idx="166">
                  <c:v>9/6/2019</c:v>
                </c:pt>
                <c:pt idx="167">
                  <c:v>9/9/2019</c:v>
                </c:pt>
                <c:pt idx="168">
                  <c:v>9/10/2019</c:v>
                </c:pt>
                <c:pt idx="169">
                  <c:v>9/11/2019</c:v>
                </c:pt>
                <c:pt idx="170">
                  <c:v>9/12/2019</c:v>
                </c:pt>
                <c:pt idx="171">
                  <c:v>9/13/2019</c:v>
                </c:pt>
                <c:pt idx="172">
                  <c:v>9/16/2019</c:v>
                </c:pt>
                <c:pt idx="173">
                  <c:v>9/17/2019</c:v>
                </c:pt>
                <c:pt idx="174">
                  <c:v>9/18/2019</c:v>
                </c:pt>
                <c:pt idx="175">
                  <c:v>9/19/2019</c:v>
                </c:pt>
                <c:pt idx="176">
                  <c:v>9/20/2019</c:v>
                </c:pt>
                <c:pt idx="177">
                  <c:v>9/23/2019</c:v>
                </c:pt>
                <c:pt idx="178">
                  <c:v>9/24/2019</c:v>
                </c:pt>
                <c:pt idx="179">
                  <c:v>9/25/2019</c:v>
                </c:pt>
                <c:pt idx="180">
                  <c:v>9/26/2019</c:v>
                </c:pt>
                <c:pt idx="181">
                  <c:v>9/27/2019</c:v>
                </c:pt>
                <c:pt idx="182">
                  <c:v>9/30/2019</c:v>
                </c:pt>
                <c:pt idx="183">
                  <c:v>10/1/2019</c:v>
                </c:pt>
                <c:pt idx="184">
                  <c:v>10/2/2019</c:v>
                </c:pt>
                <c:pt idx="185">
                  <c:v>10/3/2019</c:v>
                </c:pt>
                <c:pt idx="186">
                  <c:v>10/4/2019</c:v>
                </c:pt>
                <c:pt idx="187">
                  <c:v>10/7/2019</c:v>
                </c:pt>
                <c:pt idx="188">
                  <c:v>10/8/2019</c:v>
                </c:pt>
                <c:pt idx="189">
                  <c:v>10/9/2019</c:v>
                </c:pt>
                <c:pt idx="190">
                  <c:v>10/10/2019</c:v>
                </c:pt>
                <c:pt idx="191">
                  <c:v>10/11/2019</c:v>
                </c:pt>
                <c:pt idx="192">
                  <c:v>10/14/2019</c:v>
                </c:pt>
                <c:pt idx="193">
                  <c:v>10/15/2019</c:v>
                </c:pt>
                <c:pt idx="194">
                  <c:v>10/16/2019</c:v>
                </c:pt>
                <c:pt idx="195">
                  <c:v>10/17/2019</c:v>
                </c:pt>
                <c:pt idx="196">
                  <c:v>10/18/2019</c:v>
                </c:pt>
                <c:pt idx="197">
                  <c:v>10/21/2019</c:v>
                </c:pt>
                <c:pt idx="198">
                  <c:v>10/22/2019</c:v>
                </c:pt>
                <c:pt idx="199">
                  <c:v>10/23/2019</c:v>
                </c:pt>
                <c:pt idx="200">
                  <c:v>10/24/2019</c:v>
                </c:pt>
                <c:pt idx="201">
                  <c:v>10/25/2019</c:v>
                </c:pt>
                <c:pt idx="202">
                  <c:v>10/28/2019</c:v>
                </c:pt>
                <c:pt idx="203">
                  <c:v>10/29/2019</c:v>
                </c:pt>
                <c:pt idx="204">
                  <c:v>10/30/2019</c:v>
                </c:pt>
                <c:pt idx="205">
                  <c:v>10/31/2019</c:v>
                </c:pt>
                <c:pt idx="206">
                  <c:v>11/1/2019</c:v>
                </c:pt>
                <c:pt idx="207">
                  <c:v>11/4/2019</c:v>
                </c:pt>
                <c:pt idx="208">
                  <c:v>11/5/2019</c:v>
                </c:pt>
                <c:pt idx="209">
                  <c:v>11/6/2019</c:v>
                </c:pt>
                <c:pt idx="210">
                  <c:v>11/7/2019</c:v>
                </c:pt>
                <c:pt idx="211">
                  <c:v>11/8/2019</c:v>
                </c:pt>
                <c:pt idx="212">
                  <c:v>11/11/2019</c:v>
                </c:pt>
                <c:pt idx="213">
                  <c:v>11/12/2019</c:v>
                </c:pt>
                <c:pt idx="214">
                  <c:v>11/13/2019</c:v>
                </c:pt>
                <c:pt idx="215">
                  <c:v>11/14/2019</c:v>
                </c:pt>
                <c:pt idx="216">
                  <c:v>11/15/2019</c:v>
                </c:pt>
                <c:pt idx="217">
                  <c:v>11/18/2019</c:v>
                </c:pt>
                <c:pt idx="218">
                  <c:v>11/19/2019</c:v>
                </c:pt>
                <c:pt idx="219">
                  <c:v>11/20/2019</c:v>
                </c:pt>
                <c:pt idx="220">
                  <c:v>11/21/2019</c:v>
                </c:pt>
                <c:pt idx="221">
                  <c:v>11/22/2019</c:v>
                </c:pt>
                <c:pt idx="222">
                  <c:v>11/25/2019</c:v>
                </c:pt>
                <c:pt idx="223">
                  <c:v>11/26/2019</c:v>
                </c:pt>
                <c:pt idx="224">
                  <c:v>11/27/2019</c:v>
                </c:pt>
                <c:pt idx="225">
                  <c:v>11/28/2019</c:v>
                </c:pt>
                <c:pt idx="226">
                  <c:v>11/29/2019</c:v>
                </c:pt>
                <c:pt idx="227">
                  <c:v>12/2/2019</c:v>
                </c:pt>
                <c:pt idx="228">
                  <c:v>12/3/2019</c:v>
                </c:pt>
                <c:pt idx="229">
                  <c:v>12/4/2019</c:v>
                </c:pt>
                <c:pt idx="230">
                  <c:v>12/5/2019</c:v>
                </c:pt>
                <c:pt idx="231">
                  <c:v>12/6/2019</c:v>
                </c:pt>
                <c:pt idx="232">
                  <c:v>12/9/2019</c:v>
                </c:pt>
                <c:pt idx="233">
                  <c:v>12/10/2019</c:v>
                </c:pt>
                <c:pt idx="234">
                  <c:v>12/11/2019</c:v>
                </c:pt>
                <c:pt idx="235">
                  <c:v>12/12/2019</c:v>
                </c:pt>
                <c:pt idx="236">
                  <c:v>12/13/2019</c:v>
                </c:pt>
                <c:pt idx="237">
                  <c:v>12/16/2019</c:v>
                </c:pt>
                <c:pt idx="238">
                  <c:v>12/17/2019</c:v>
                </c:pt>
                <c:pt idx="239">
                  <c:v>12/18/2019</c:v>
                </c:pt>
                <c:pt idx="240">
                  <c:v>12/19/2019</c:v>
                </c:pt>
                <c:pt idx="241">
                  <c:v>12/20/2019</c:v>
                </c:pt>
                <c:pt idx="242">
                  <c:v>12/23/2019</c:v>
                </c:pt>
                <c:pt idx="243">
                  <c:v>12/24/2019</c:v>
                </c:pt>
                <c:pt idx="244">
                  <c:v>12/25/2019</c:v>
                </c:pt>
                <c:pt idx="245">
                  <c:v>12/26/2019</c:v>
                </c:pt>
                <c:pt idx="246">
                  <c:v>12/27/2019</c:v>
                </c:pt>
                <c:pt idx="247">
                  <c:v>12/30/2019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strCache>
            </c:strRef>
          </c:cat>
          <c:val>
            <c:numRef>
              <c:f>Sheet1!$B$2:$B$469</c:f>
              <c:numCache>
                <c:formatCode>0</c:formatCode>
                <c:ptCount val="458"/>
                <c:pt idx="0">
                  <c:v>100</c:v>
                </c:pt>
                <c:pt idx="1">
                  <c:v>99.507342491710091</c:v>
                </c:pt>
                <c:pt idx="2">
                  <c:v>99.366130558183514</c:v>
                </c:pt>
                <c:pt idx="3">
                  <c:v>99.496344948450357</c:v>
                </c:pt>
                <c:pt idx="4">
                  <c:v>99.373965150201059</c:v>
                </c:pt>
                <c:pt idx="5">
                  <c:v>99.664716115767817</c:v>
                </c:pt>
                <c:pt idx="6">
                  <c:v>99.300368724591038</c:v>
                </c:pt>
                <c:pt idx="7">
                  <c:v>99.339502183268451</c:v>
                </c:pt>
                <c:pt idx="8">
                  <c:v>99.479068005304043</c:v>
                </c:pt>
                <c:pt idx="9">
                  <c:v>99.712025316455637</c:v>
                </c:pt>
                <c:pt idx="10">
                  <c:v>99.832076547747278</c:v>
                </c:pt>
                <c:pt idx="11">
                  <c:v>99.488491048593332</c:v>
                </c:pt>
                <c:pt idx="12">
                  <c:v>99.23781928128254</c:v>
                </c:pt>
                <c:pt idx="13">
                  <c:v>99.02107132194655</c:v>
                </c:pt>
                <c:pt idx="14">
                  <c:v>98.927803331187903</c:v>
                </c:pt>
                <c:pt idx="15">
                  <c:v>98.293611180434254</c:v>
                </c:pt>
                <c:pt idx="16">
                  <c:v>98.01994058266321</c:v>
                </c:pt>
                <c:pt idx="17">
                  <c:v>98.18334787485972</c:v>
                </c:pt>
                <c:pt idx="18">
                  <c:v>98.275216767512973</c:v>
                </c:pt>
                <c:pt idx="19">
                  <c:v>98.258361269197792</c:v>
                </c:pt>
                <c:pt idx="20">
                  <c:v>98.706221414698334</c:v>
                </c:pt>
                <c:pt idx="21">
                  <c:v>98.938675542437281</c:v>
                </c:pt>
                <c:pt idx="22">
                  <c:v>98.844012234334556</c:v>
                </c:pt>
                <c:pt idx="23">
                  <c:v>99.403747870528065</c:v>
                </c:pt>
                <c:pt idx="24">
                  <c:v>98.811465127947827</c:v>
                </c:pt>
                <c:pt idx="25">
                  <c:v>99.623751106614321</c:v>
                </c:pt>
                <c:pt idx="26">
                  <c:v>99.697827840972025</c:v>
                </c:pt>
                <c:pt idx="27">
                  <c:v>99.362997067263706</c:v>
                </c:pt>
                <c:pt idx="28">
                  <c:v>99.579672587067819</c:v>
                </c:pt>
                <c:pt idx="29">
                  <c:v>98.961981186890483</c:v>
                </c:pt>
                <c:pt idx="30">
                  <c:v>98.941782327450824</c:v>
                </c:pt>
                <c:pt idx="31">
                  <c:v>99.23469387755101</c:v>
                </c:pt>
                <c:pt idx="32">
                  <c:v>98.932462557694066</c:v>
                </c:pt>
                <c:pt idx="33">
                  <c:v>98.792876403085202</c:v>
                </c:pt>
                <c:pt idx="34">
                  <c:v>98.741793453565464</c:v>
                </c:pt>
                <c:pt idx="35">
                  <c:v>98.741793453565464</c:v>
                </c:pt>
                <c:pt idx="36">
                  <c:v>99.08490566037743</c:v>
                </c:pt>
                <c:pt idx="37">
                  <c:v>99.480638388558248</c:v>
                </c:pt>
                <c:pt idx="38">
                  <c:v>99.469646746851012</c:v>
                </c:pt>
                <c:pt idx="39">
                  <c:v>99.460227272727295</c:v>
                </c:pt>
                <c:pt idx="40">
                  <c:v>99.704137330907372</c:v>
                </c:pt>
                <c:pt idx="41">
                  <c:v>100.58417927600077</c:v>
                </c:pt>
                <c:pt idx="42">
                  <c:v>99.893794087342499</c:v>
                </c:pt>
                <c:pt idx="43">
                  <c:v>99.790973871733968</c:v>
                </c:pt>
                <c:pt idx="44">
                  <c:v>99.710447619499689</c:v>
                </c:pt>
                <c:pt idx="45">
                  <c:v>99.863717038539505</c:v>
                </c:pt>
                <c:pt idx="46">
                  <c:v>99.44139367544031</c:v>
                </c:pt>
                <c:pt idx="47">
                  <c:v>99.100487498034255</c:v>
                </c:pt>
                <c:pt idx="48">
                  <c:v>99.217507675352337</c:v>
                </c:pt>
                <c:pt idx="49">
                  <c:v>98.374935606238012</c:v>
                </c:pt>
                <c:pt idx="50">
                  <c:v>98.844012234334556</c:v>
                </c:pt>
                <c:pt idx="51">
                  <c:v>100.42709163346611</c:v>
                </c:pt>
                <c:pt idx="52">
                  <c:v>99.674174364165509</c:v>
                </c:pt>
                <c:pt idx="53">
                  <c:v>99.754642014784736</c:v>
                </c:pt>
                <c:pt idx="54">
                  <c:v>100.41588986089202</c:v>
                </c:pt>
                <c:pt idx="55">
                  <c:v>100.66290752839321</c:v>
                </c:pt>
                <c:pt idx="56">
                  <c:v>100.78042539581004</c:v>
                </c:pt>
                <c:pt idx="57">
                  <c:v>100.02698369867146</c:v>
                </c:pt>
                <c:pt idx="58">
                  <c:v>100.04127508255017</c:v>
                </c:pt>
                <c:pt idx="59">
                  <c:v>99.922304850397182</c:v>
                </c:pt>
                <c:pt idx="60">
                  <c:v>99.876378851274183</c:v>
                </c:pt>
                <c:pt idx="61">
                  <c:v>99.922304850397182</c:v>
                </c:pt>
                <c:pt idx="62">
                  <c:v>99.838403041825103</c:v>
                </c:pt>
                <c:pt idx="63">
                  <c:v>99.800456100342075</c:v>
                </c:pt>
                <c:pt idx="64">
                  <c:v>99.391205602170231</c:v>
                </c:pt>
                <c:pt idx="65">
                  <c:v>99.735696763472347</c:v>
                </c:pt>
                <c:pt idx="66">
                  <c:v>99.735696763472347</c:v>
                </c:pt>
                <c:pt idx="67">
                  <c:v>99.783073390863748</c:v>
                </c:pt>
                <c:pt idx="68">
                  <c:v>99.784653386958865</c:v>
                </c:pt>
                <c:pt idx="69">
                  <c:v>99.773594464938824</c:v>
                </c:pt>
                <c:pt idx="70">
                  <c:v>99.909631391200946</c:v>
                </c:pt>
                <c:pt idx="71">
                  <c:v>99.901712111604269</c:v>
                </c:pt>
                <c:pt idx="72">
                  <c:v>100.10961254348756</c:v>
                </c:pt>
                <c:pt idx="73">
                  <c:v>100.43029259896733</c:v>
                </c:pt>
                <c:pt idx="74">
                  <c:v>101.16872692245941</c:v>
                </c:pt>
                <c:pt idx="75">
                  <c:v>101.01790551913182</c:v>
                </c:pt>
                <c:pt idx="76">
                  <c:v>101.08920579412569</c:v>
                </c:pt>
                <c:pt idx="77">
                  <c:v>100.90791180285341</c:v>
                </c:pt>
                <c:pt idx="78">
                  <c:v>101.4831634378473</c:v>
                </c:pt>
                <c:pt idx="79">
                  <c:v>100.95964369823297</c:v>
                </c:pt>
                <c:pt idx="80">
                  <c:v>101.48806647985313</c:v>
                </c:pt>
                <c:pt idx="81">
                  <c:v>101.82752435891224</c:v>
                </c:pt>
                <c:pt idx="82">
                  <c:v>101.82423370873661</c:v>
                </c:pt>
                <c:pt idx="83">
                  <c:v>101.53385106177296</c:v>
                </c:pt>
                <c:pt idx="84">
                  <c:v>102.20240025948749</c:v>
                </c:pt>
                <c:pt idx="85">
                  <c:v>102.05509400961958</c:v>
                </c:pt>
                <c:pt idx="86">
                  <c:v>101.98077483250796</c:v>
                </c:pt>
                <c:pt idx="87">
                  <c:v>102.39503444689976</c:v>
                </c:pt>
                <c:pt idx="88">
                  <c:v>102.83616187989556</c:v>
                </c:pt>
                <c:pt idx="89">
                  <c:v>102.51663385986889</c:v>
                </c:pt>
                <c:pt idx="90">
                  <c:v>102.38338938441291</c:v>
                </c:pt>
                <c:pt idx="91">
                  <c:v>102.45329951714383</c:v>
                </c:pt>
                <c:pt idx="92">
                  <c:v>102.62347940788507</c:v>
                </c:pt>
                <c:pt idx="93">
                  <c:v>102.18748479787251</c:v>
                </c:pt>
                <c:pt idx="94">
                  <c:v>102.41833252072156</c:v>
                </c:pt>
                <c:pt idx="95">
                  <c:v>102.57002880906265</c:v>
                </c:pt>
                <c:pt idx="96">
                  <c:v>102.85798227430753</c:v>
                </c:pt>
                <c:pt idx="97">
                  <c:v>102.45329951714383</c:v>
                </c:pt>
                <c:pt idx="98">
                  <c:v>101.9890271731214</c:v>
                </c:pt>
                <c:pt idx="99">
                  <c:v>101.61079669133653</c:v>
                </c:pt>
                <c:pt idx="100">
                  <c:v>101.89667717681297</c:v>
                </c:pt>
                <c:pt idx="101">
                  <c:v>101.92304581992268</c:v>
                </c:pt>
                <c:pt idx="102">
                  <c:v>101.8143630341708</c:v>
                </c:pt>
                <c:pt idx="103">
                  <c:v>101.53385106177296</c:v>
                </c:pt>
                <c:pt idx="104">
                  <c:v>101.18497109826588</c:v>
                </c:pt>
                <c:pt idx="105">
                  <c:v>101.58458934472475</c:v>
                </c:pt>
                <c:pt idx="106">
                  <c:v>101.70427035925246</c:v>
                </c:pt>
                <c:pt idx="107">
                  <c:v>101.94118217994762</c:v>
                </c:pt>
                <c:pt idx="108">
                  <c:v>101.89997251103598</c:v>
                </c:pt>
                <c:pt idx="109">
                  <c:v>101.37378547069039</c:v>
                </c:pt>
                <c:pt idx="110">
                  <c:v>100.78687266097303</c:v>
                </c:pt>
                <c:pt idx="111">
                  <c:v>100.47512755102041</c:v>
                </c:pt>
                <c:pt idx="112">
                  <c:v>100.52160597214912</c:v>
                </c:pt>
                <c:pt idx="113">
                  <c:v>100.39029519060742</c:v>
                </c:pt>
                <c:pt idx="114">
                  <c:v>100.61951141625416</c:v>
                </c:pt>
                <c:pt idx="115">
                  <c:v>100.36950912623833</c:v>
                </c:pt>
                <c:pt idx="116">
                  <c:v>100.27687607408816</c:v>
                </c:pt>
                <c:pt idx="117">
                  <c:v>100.24656793344256</c:v>
                </c:pt>
                <c:pt idx="118">
                  <c:v>100.13824665109405</c:v>
                </c:pt>
                <c:pt idx="119">
                  <c:v>100.11915542633812</c:v>
                </c:pt>
                <c:pt idx="120">
                  <c:v>99.889043875221887</c:v>
                </c:pt>
                <c:pt idx="121">
                  <c:v>99.794134414391593</c:v>
                </c:pt>
                <c:pt idx="122">
                  <c:v>100.41428981165751</c:v>
                </c:pt>
                <c:pt idx="123">
                  <c:v>100.5761527044065</c:v>
                </c:pt>
                <c:pt idx="124">
                  <c:v>99.838403041825103</c:v>
                </c:pt>
                <c:pt idx="125">
                  <c:v>99.768855677284506</c:v>
                </c:pt>
                <c:pt idx="126">
                  <c:v>99.754642014784736</c:v>
                </c:pt>
                <c:pt idx="127">
                  <c:v>99.680480860487137</c:v>
                </c:pt>
                <c:pt idx="128">
                  <c:v>100.04921650499313</c:v>
                </c:pt>
                <c:pt idx="129">
                  <c:v>99.963515807173124</c:v>
                </c:pt>
                <c:pt idx="130">
                  <c:v>99.56865905104992</c:v>
                </c:pt>
                <c:pt idx="131">
                  <c:v>99.949246629659044</c:v>
                </c:pt>
                <c:pt idx="132">
                  <c:v>100.03492285224458</c:v>
                </c:pt>
                <c:pt idx="133">
                  <c:v>100.4334937685271</c:v>
                </c:pt>
                <c:pt idx="134">
                  <c:v>100.27687607408816</c:v>
                </c:pt>
                <c:pt idx="135">
                  <c:v>100.53603905427396</c:v>
                </c:pt>
                <c:pt idx="136">
                  <c:v>100.61951141625416</c:v>
                </c:pt>
                <c:pt idx="137">
                  <c:v>100.51358938369276</c:v>
                </c:pt>
                <c:pt idx="138">
                  <c:v>100.52481296559206</c:v>
                </c:pt>
                <c:pt idx="139">
                  <c:v>101.01952486294127</c:v>
                </c:pt>
                <c:pt idx="140">
                  <c:v>101.64193548387099</c:v>
                </c:pt>
                <c:pt idx="141">
                  <c:v>102.0980833724867</c:v>
                </c:pt>
                <c:pt idx="142">
                  <c:v>102.98573319605821</c:v>
                </c:pt>
                <c:pt idx="143">
                  <c:v>102.87645291889771</c:v>
                </c:pt>
                <c:pt idx="144">
                  <c:v>102.8193832599119</c:v>
                </c:pt>
                <c:pt idx="145">
                  <c:v>102.42332634453165</c:v>
                </c:pt>
                <c:pt idx="146">
                  <c:v>102.78248956158662</c:v>
                </c:pt>
                <c:pt idx="147">
                  <c:v>103.22696894247147</c:v>
                </c:pt>
                <c:pt idx="148">
                  <c:v>102.63183609654403</c:v>
                </c:pt>
                <c:pt idx="149">
                  <c:v>103.60201884031763</c:v>
                </c:pt>
                <c:pt idx="150">
                  <c:v>103.37089710152054</c:v>
                </c:pt>
                <c:pt idx="151">
                  <c:v>103.44555885684268</c:v>
                </c:pt>
                <c:pt idx="152">
                  <c:v>104.22917252443725</c:v>
                </c:pt>
                <c:pt idx="153">
                  <c:v>103.98838302998301</c:v>
                </c:pt>
                <c:pt idx="154">
                  <c:v>103.88895299955483</c:v>
                </c:pt>
                <c:pt idx="155">
                  <c:v>104.28091542420285</c:v>
                </c:pt>
                <c:pt idx="156">
                  <c:v>104.64282156022716</c:v>
                </c:pt>
                <c:pt idx="157">
                  <c:v>104.97051670719925</c:v>
                </c:pt>
                <c:pt idx="158">
                  <c:v>105.08254127063529</c:v>
                </c:pt>
                <c:pt idx="159">
                  <c:v>105.4130005687331</c:v>
                </c:pt>
                <c:pt idx="160">
                  <c:v>105.30027069478328</c:v>
                </c:pt>
                <c:pt idx="161">
                  <c:v>105.18075908802615</c:v>
                </c:pt>
                <c:pt idx="162">
                  <c:v>105.60732001608793</c:v>
                </c:pt>
                <c:pt idx="163">
                  <c:v>105.17549276499153</c:v>
                </c:pt>
                <c:pt idx="164">
                  <c:v>104.1740366653993</c:v>
                </c:pt>
                <c:pt idx="165">
                  <c:v>104.14132734003174</c:v>
                </c:pt>
                <c:pt idx="166">
                  <c:v>103.74016396141316</c:v>
                </c:pt>
                <c:pt idx="167">
                  <c:v>103.95922003365337</c:v>
                </c:pt>
                <c:pt idx="168">
                  <c:v>103.81365006671831</c:v>
                </c:pt>
                <c:pt idx="169">
                  <c:v>103.6446169533897</c:v>
                </c:pt>
                <c:pt idx="170">
                  <c:v>103.03961804476856</c:v>
                </c:pt>
                <c:pt idx="171">
                  <c:v>103.03793328973188</c:v>
                </c:pt>
                <c:pt idx="172">
                  <c:v>103.48972788333634</c:v>
                </c:pt>
                <c:pt idx="173">
                  <c:v>103.45744680851064</c:v>
                </c:pt>
                <c:pt idx="174">
                  <c:v>103.56796555294427</c:v>
                </c:pt>
                <c:pt idx="175">
                  <c:v>103.61735012660725</c:v>
                </c:pt>
                <c:pt idx="176">
                  <c:v>103.92150395778364</c:v>
                </c:pt>
                <c:pt idx="177">
                  <c:v>104.00382888830212</c:v>
                </c:pt>
                <c:pt idx="178">
                  <c:v>103.95750507266698</c:v>
                </c:pt>
                <c:pt idx="179">
                  <c:v>104.16714878423727</c:v>
                </c:pt>
                <c:pt idx="180">
                  <c:v>104.35171385991059</c:v>
                </c:pt>
                <c:pt idx="181">
                  <c:v>104.40876783140313</c:v>
                </c:pt>
                <c:pt idx="182">
                  <c:v>104.53173207709912</c:v>
                </c:pt>
                <c:pt idx="183">
                  <c:v>104.90236878464536</c:v>
                </c:pt>
                <c:pt idx="184">
                  <c:v>104.68106312292358</c:v>
                </c:pt>
                <c:pt idx="185">
                  <c:v>103.94721649484542</c:v>
                </c:pt>
                <c:pt idx="186">
                  <c:v>103.68725011106173</c:v>
                </c:pt>
                <c:pt idx="187">
                  <c:v>104.27228804024091</c:v>
                </c:pt>
                <c:pt idx="188">
                  <c:v>104.60113534508515</c:v>
                </c:pt>
                <c:pt idx="189">
                  <c:v>104.37936860237851</c:v>
                </c:pt>
                <c:pt idx="190">
                  <c:v>103.99353113964158</c:v>
                </c:pt>
                <c:pt idx="191">
                  <c:v>103.59350341925305</c:v>
                </c:pt>
                <c:pt idx="192">
                  <c:v>103.76578683044897</c:v>
                </c:pt>
                <c:pt idx="193">
                  <c:v>104.07768914432938</c:v>
                </c:pt>
                <c:pt idx="194">
                  <c:v>103.87354124085182</c:v>
                </c:pt>
                <c:pt idx="195">
                  <c:v>103.47273533323475</c:v>
                </c:pt>
                <c:pt idx="196">
                  <c:v>103.0817548336441</c:v>
                </c:pt>
                <c:pt idx="197">
                  <c:v>103.42858080716897</c:v>
                </c:pt>
                <c:pt idx="198">
                  <c:v>103.13911620294598</c:v>
                </c:pt>
                <c:pt idx="199">
                  <c:v>102.85966114974049</c:v>
                </c:pt>
                <c:pt idx="200">
                  <c:v>103.01772052573077</c:v>
                </c:pt>
                <c:pt idx="201">
                  <c:v>102.82777188545316</c:v>
                </c:pt>
                <c:pt idx="202">
                  <c:v>102.60175838489089</c:v>
                </c:pt>
                <c:pt idx="203">
                  <c:v>102.88149151878272</c:v>
                </c:pt>
                <c:pt idx="204">
                  <c:v>103.01098469988233</c:v>
                </c:pt>
                <c:pt idx="205">
                  <c:v>103.26756685894077</c:v>
                </c:pt>
                <c:pt idx="206">
                  <c:v>102.92686113742523</c:v>
                </c:pt>
                <c:pt idx="207">
                  <c:v>102.97563606059117</c:v>
                </c:pt>
                <c:pt idx="208">
                  <c:v>103.11886372561857</c:v>
                </c:pt>
                <c:pt idx="209">
                  <c:v>103.44555885684268</c:v>
                </c:pt>
                <c:pt idx="210">
                  <c:v>103.38446394881473</c:v>
                </c:pt>
                <c:pt idx="211">
                  <c:v>103.85984573801831</c:v>
                </c:pt>
                <c:pt idx="212">
                  <c:v>104.09660048234171</c:v>
                </c:pt>
                <c:pt idx="213">
                  <c:v>104.77504738469725</c:v>
                </c:pt>
                <c:pt idx="214">
                  <c:v>105.14741461298451</c:v>
                </c:pt>
                <c:pt idx="215">
                  <c:v>104.96701978812719</c:v>
                </c:pt>
                <c:pt idx="216">
                  <c:v>104.33789198317828</c:v>
                </c:pt>
                <c:pt idx="217">
                  <c:v>104.65324830609802</c:v>
                </c:pt>
                <c:pt idx="218">
                  <c:v>104.6688923214908</c:v>
                </c:pt>
                <c:pt idx="219">
                  <c:v>104.83256533528521</c:v>
                </c:pt>
                <c:pt idx="220">
                  <c:v>104.80815606965257</c:v>
                </c:pt>
                <c:pt idx="221">
                  <c:v>104.95653042869991</c:v>
                </c:pt>
                <c:pt idx="222">
                  <c:v>105.00724842950694</c:v>
                </c:pt>
                <c:pt idx="223">
                  <c:v>105.30730924768558</c:v>
                </c:pt>
                <c:pt idx="224">
                  <c:v>105.61793986524989</c:v>
                </c:pt>
                <c:pt idx="225">
                  <c:v>105.65512616313184</c:v>
                </c:pt>
                <c:pt idx="226">
                  <c:v>105.35132153066851</c:v>
                </c:pt>
                <c:pt idx="227">
                  <c:v>105.0124979170138</c:v>
                </c:pt>
                <c:pt idx="228">
                  <c:v>105.11233799809848</c:v>
                </c:pt>
                <c:pt idx="229">
                  <c:v>104.63239689181108</c:v>
                </c:pt>
                <c:pt idx="230">
                  <c:v>104.38109751047652</c:v>
                </c:pt>
                <c:pt idx="231">
                  <c:v>104.16887066913516</c:v>
                </c:pt>
                <c:pt idx="232">
                  <c:v>104.07768914432938</c:v>
                </c:pt>
                <c:pt idx="233">
                  <c:v>104.24469000198511</c:v>
                </c:pt>
                <c:pt idx="234">
                  <c:v>103.71967477533825</c:v>
                </c:pt>
                <c:pt idx="235">
                  <c:v>103.10536649214657</c:v>
                </c:pt>
                <c:pt idx="236">
                  <c:v>103.31327770218208</c:v>
                </c:pt>
                <c:pt idx="237">
                  <c:v>103.01266857376378</c:v>
                </c:pt>
                <c:pt idx="238">
                  <c:v>103.12223858615606</c:v>
                </c:pt>
                <c:pt idx="239">
                  <c:v>103.07838262235011</c:v>
                </c:pt>
                <c:pt idx="240">
                  <c:v>103.04804264643356</c:v>
                </c:pt>
                <c:pt idx="241">
                  <c:v>103.23880670369094</c:v>
                </c:pt>
                <c:pt idx="242">
                  <c:v>103.18133442488744</c:v>
                </c:pt>
                <c:pt idx="243">
                  <c:v>103.0345639449332</c:v>
                </c:pt>
                <c:pt idx="244">
                  <c:v>103.00593340852254</c:v>
                </c:pt>
                <c:pt idx="245">
                  <c:v>102.84287486128338</c:v>
                </c:pt>
                <c:pt idx="246">
                  <c:v>102.67865871541689</c:v>
                </c:pt>
                <c:pt idx="247">
                  <c:v>102.66527646541331</c:v>
                </c:pt>
                <c:pt idx="248">
                  <c:v>102.6736399628525</c:v>
                </c:pt>
                <c:pt idx="249">
                  <c:v>102.90837238924178</c:v>
                </c:pt>
                <c:pt idx="250">
                  <c:v>103.01940461983619</c:v>
                </c:pt>
                <c:pt idx="251">
                  <c:v>103.0699530593219</c:v>
                </c:pt>
                <c:pt idx="252">
                  <c:v>103.0665816201364</c:v>
                </c:pt>
                <c:pt idx="253">
                  <c:v>103.1695098392325</c:v>
                </c:pt>
                <c:pt idx="254">
                  <c:v>103.33360662457982</c:v>
                </c:pt>
                <c:pt idx="255">
                  <c:v>103.28957073314648</c:v>
                </c:pt>
                <c:pt idx="256">
                  <c:v>103.46424115058777</c:v>
                </c:pt>
                <c:pt idx="257">
                  <c:v>103.62075769534333</c:v>
                </c:pt>
                <c:pt idx="258">
                  <c:v>103.49822625147816</c:v>
                </c:pt>
                <c:pt idx="259">
                  <c:v>103.65143590249673</c:v>
                </c:pt>
                <c:pt idx="260">
                  <c:v>103.80168011859656</c:v>
                </c:pt>
                <c:pt idx="261">
                  <c:v>104.62023740350293</c:v>
                </c:pt>
                <c:pt idx="262">
                  <c:v>104.94254787676934</c:v>
                </c:pt>
                <c:pt idx="263">
                  <c:v>105.3795087038678</c:v>
                </c:pt>
                <c:pt idx="264">
                  <c:v>104.90935424262098</c:v>
                </c:pt>
                <c:pt idx="265">
                  <c:v>104.78724288731109</c:v>
                </c:pt>
                <c:pt idx="266">
                  <c:v>104.56121720951073</c:v>
                </c:pt>
                <c:pt idx="267">
                  <c:v>105.04225492974183</c:v>
                </c:pt>
                <c:pt idx="268">
                  <c:v>105.78282107666222</c:v>
                </c:pt>
                <c:pt idx="269">
                  <c:v>105.57016735630641</c:v>
                </c:pt>
                <c:pt idx="270">
                  <c:v>105.35660547697864</c:v>
                </c:pt>
                <c:pt idx="271">
                  <c:v>105.63210298702602</c:v>
                </c:pt>
                <c:pt idx="272">
                  <c:v>105.63918597244104</c:v>
                </c:pt>
                <c:pt idx="273">
                  <c:v>105.48357939138296</c:v>
                </c:pt>
                <c:pt idx="274">
                  <c:v>105.6781593775154</c:v>
                </c:pt>
                <c:pt idx="275">
                  <c:v>105.91082502815082</c:v>
                </c:pt>
                <c:pt idx="276">
                  <c:v>106.16418740207888</c:v>
                </c:pt>
                <c:pt idx="277">
                  <c:v>106.7595039642204</c:v>
                </c:pt>
                <c:pt idx="278">
                  <c:v>106.51949764202769</c:v>
                </c:pt>
                <c:pt idx="279">
                  <c:v>106.88625801417956</c:v>
                </c:pt>
                <c:pt idx="280">
                  <c:v>107.13884969142622</c:v>
                </c:pt>
                <c:pt idx="281">
                  <c:v>107.53924914675768</c:v>
                </c:pt>
                <c:pt idx="282">
                  <c:v>108.14641931664119</c:v>
                </c:pt>
                <c:pt idx="283">
                  <c:v>108.1779791945617</c:v>
                </c:pt>
                <c:pt idx="284">
                  <c:v>107.59800573692115</c:v>
                </c:pt>
                <c:pt idx="285">
                  <c:v>107.49339019189766</c:v>
                </c:pt>
                <c:pt idx="286">
                  <c:v>107.83552079946611</c:v>
                </c:pt>
                <c:pt idx="287">
                  <c:v>108.85441857251429</c:v>
                </c:pt>
                <c:pt idx="288">
                  <c:v>108.8149465577677</c:v>
                </c:pt>
                <c:pt idx="289">
                  <c:v>110.5055500026303</c:v>
                </c:pt>
                <c:pt idx="290">
                  <c:v>110.06934134455834</c:v>
                </c:pt>
                <c:pt idx="291">
                  <c:v>111.94443457562086</c:v>
                </c:pt>
                <c:pt idx="292">
                  <c:v>113.14230313476244</c:v>
                </c:pt>
                <c:pt idx="293">
                  <c:v>112.55224147169135</c:v>
                </c:pt>
                <c:pt idx="294">
                  <c:v>114.2127011744236</c:v>
                </c:pt>
                <c:pt idx="295">
                  <c:v>114.65322756713485</c:v>
                </c:pt>
                <c:pt idx="296">
                  <c:v>118.72268274302937</c:v>
                </c:pt>
                <c:pt idx="297">
                  <c:v>117.73123844041326</c:v>
                </c:pt>
                <c:pt idx="298">
                  <c:v>118.35699797160244</c:v>
                </c:pt>
                <c:pt idx="299">
                  <c:v>118.83238106013462</c:v>
                </c:pt>
                <c:pt idx="300">
                  <c:v>117.94938983304635</c:v>
                </c:pt>
                <c:pt idx="301">
                  <c:v>117.06637439393654</c:v>
                </c:pt>
                <c:pt idx="302">
                  <c:v>115.58694057226705</c:v>
                </c:pt>
                <c:pt idx="303">
                  <c:v>116.57694655641264</c:v>
                </c:pt>
                <c:pt idx="304">
                  <c:v>118.11298121977734</c:v>
                </c:pt>
                <c:pt idx="305">
                  <c:v>118.06429856115109</c:v>
                </c:pt>
                <c:pt idx="306">
                  <c:v>119.34775197909171</c:v>
                </c:pt>
                <c:pt idx="307">
                  <c:v>119.33871151005563</c:v>
                </c:pt>
                <c:pt idx="308">
                  <c:v>120.4173274989013</c:v>
                </c:pt>
                <c:pt idx="309">
                  <c:v>119.3726203330113</c:v>
                </c:pt>
                <c:pt idx="310">
                  <c:v>118.64445072013558</c:v>
                </c:pt>
                <c:pt idx="311">
                  <c:v>117.936145525321</c:v>
                </c:pt>
                <c:pt idx="312">
                  <c:v>116.91217394530821</c:v>
                </c:pt>
                <c:pt idx="313">
                  <c:v>116.68703477391401</c:v>
                </c:pt>
                <c:pt idx="314">
                  <c:v>117.12512080886175</c:v>
                </c:pt>
                <c:pt idx="315">
                  <c:v>117.22534320473231</c:v>
                </c:pt>
                <c:pt idx="316">
                  <c:v>119.04339120086141</c:v>
                </c:pt>
                <c:pt idx="317">
                  <c:v>118.47047543849753</c:v>
                </c:pt>
                <c:pt idx="318">
                  <c:v>118.42817409606855</c:v>
                </c:pt>
                <c:pt idx="319">
                  <c:v>119.25515205419828</c:v>
                </c:pt>
                <c:pt idx="320">
                  <c:v>119.95203289173133</c:v>
                </c:pt>
                <c:pt idx="321">
                  <c:v>120.05944102573874</c:v>
                </c:pt>
                <c:pt idx="322">
                  <c:v>120.29090631442313</c:v>
                </c:pt>
                <c:pt idx="323">
                  <c:v>120.47718278624276</c:v>
                </c:pt>
                <c:pt idx="324">
                  <c:v>119.19875917379127</c:v>
                </c:pt>
                <c:pt idx="325">
                  <c:v>117.81928319030796</c:v>
                </c:pt>
                <c:pt idx="326">
                  <c:v>118.96698193351078</c:v>
                </c:pt>
                <c:pt idx="327">
                  <c:v>119.33645160679453</c:v>
                </c:pt>
                <c:pt idx="328">
                  <c:v>119.09063421271451</c:v>
                </c:pt>
                <c:pt idx="329">
                  <c:v>119.03439678132263</c:v>
                </c:pt>
                <c:pt idx="330">
                  <c:v>120.01371193509684</c:v>
                </c:pt>
                <c:pt idx="331">
                  <c:v>119.53338391502277</c:v>
                </c:pt>
                <c:pt idx="332">
                  <c:v>118.77190998529913</c:v>
                </c:pt>
                <c:pt idx="333">
                  <c:v>119.42238814455449</c:v>
                </c:pt>
                <c:pt idx="334">
                  <c:v>119.36131525115539</c:v>
                </c:pt>
                <c:pt idx="335">
                  <c:v>119.64458620493252</c:v>
                </c:pt>
                <c:pt idx="336">
                  <c:v>119.4246513038205</c:v>
                </c:pt>
                <c:pt idx="337">
                  <c:v>119.56740347215634</c:v>
                </c:pt>
                <c:pt idx="338">
                  <c:v>118.49052346570404</c:v>
                </c:pt>
                <c:pt idx="339">
                  <c:v>118.05766312594847</c:v>
                </c:pt>
                <c:pt idx="340">
                  <c:v>117.21226099248568</c:v>
                </c:pt>
                <c:pt idx="341">
                  <c:v>116.63088540124372</c:v>
                </c:pt>
                <c:pt idx="342">
                  <c:v>116.72377706569856</c:v>
                </c:pt>
                <c:pt idx="343">
                  <c:v>116.2286283406186</c:v>
                </c:pt>
                <c:pt idx="344">
                  <c:v>115.44506933885357</c:v>
                </c:pt>
                <c:pt idx="345">
                  <c:v>115.66755992804967</c:v>
                </c:pt>
                <c:pt idx="346">
                  <c:v>114.68243858052769</c:v>
                </c:pt>
                <c:pt idx="347">
                  <c:v>113.17887931034477</c:v>
                </c:pt>
                <c:pt idx="348">
                  <c:v>113.15449256625728</c:v>
                </c:pt>
                <c:pt idx="349">
                  <c:v>112.83033732006014</c:v>
                </c:pt>
                <c:pt idx="350">
                  <c:v>112.14963250342576</c:v>
                </c:pt>
                <c:pt idx="351">
                  <c:v>111.76178484020856</c:v>
                </c:pt>
                <c:pt idx="352">
                  <c:v>111.93449261976237</c:v>
                </c:pt>
                <c:pt idx="353">
                  <c:v>112.32153996969969</c:v>
                </c:pt>
                <c:pt idx="354">
                  <c:v>113.84748794103302</c:v>
                </c:pt>
                <c:pt idx="355">
                  <c:v>113.62374238217151</c:v>
                </c:pt>
                <c:pt idx="356">
                  <c:v>113.3702730903465</c:v>
                </c:pt>
                <c:pt idx="357">
                  <c:v>114.17545385367968</c:v>
                </c:pt>
                <c:pt idx="358">
                  <c:v>114.4117647058824</c:v>
                </c:pt>
                <c:pt idx="359">
                  <c:v>115.4577600263828</c:v>
                </c:pt>
                <c:pt idx="360">
                  <c:v>115.21921965846347</c:v>
                </c:pt>
                <c:pt idx="361">
                  <c:v>114.81616441351164</c:v>
                </c:pt>
                <c:pt idx="362">
                  <c:v>114.27068978022777</c:v>
                </c:pt>
                <c:pt idx="363">
                  <c:v>115.43238144084405</c:v>
                </c:pt>
                <c:pt idx="364">
                  <c:v>115.06774276010664</c:v>
                </c:pt>
                <c:pt idx="365">
                  <c:v>116.04456311573523</c:v>
                </c:pt>
                <c:pt idx="366">
                  <c:v>115.97195384530451</c:v>
                </c:pt>
                <c:pt idx="367">
                  <c:v>116.07662552956346</c:v>
                </c:pt>
                <c:pt idx="368">
                  <c:v>115.07614769365615</c:v>
                </c:pt>
                <c:pt idx="369">
                  <c:v>114.68035158595841</c:v>
                </c:pt>
                <c:pt idx="370">
                  <c:v>114.79106706983863</c:v>
                </c:pt>
                <c:pt idx="371">
                  <c:v>114.61777705025366</c:v>
                </c:pt>
                <c:pt idx="372">
                  <c:v>114.95649318666885</c:v>
                </c:pt>
                <c:pt idx="373">
                  <c:v>114.51155691234192</c:v>
                </c:pt>
                <c:pt idx="374">
                  <c:v>114.64905577993669</c:v>
                </c:pt>
                <c:pt idx="375">
                  <c:v>114.38476757482799</c:v>
                </c:pt>
                <c:pt idx="376">
                  <c:v>114.69287469287467</c:v>
                </c:pt>
                <c:pt idx="377">
                  <c:v>114.26447389893202</c:v>
                </c:pt>
                <c:pt idx="378">
                  <c:v>114.12789539453424</c:v>
                </c:pt>
                <c:pt idx="379">
                  <c:v>114.2603303537432</c:v>
                </c:pt>
                <c:pt idx="380">
                  <c:v>114.3909965510982</c:v>
                </c:pt>
                <c:pt idx="381">
                  <c:v>114.01845485796993</c:v>
                </c:pt>
                <c:pt idx="382">
                  <c:v>112.76774689977273</c:v>
                </c:pt>
                <c:pt idx="383">
                  <c:v>112.7011946491166</c:v>
                </c:pt>
                <c:pt idx="384">
                  <c:v>113.19107662463628</c:v>
                </c:pt>
                <c:pt idx="385">
                  <c:v>113.1483975222192</c:v>
                </c:pt>
                <c:pt idx="386">
                  <c:v>112.56028292787484</c:v>
                </c:pt>
                <c:pt idx="387">
                  <c:v>112.67701330281791</c:v>
                </c:pt>
                <c:pt idx="388">
                  <c:v>112.55224147169135</c:v>
                </c:pt>
                <c:pt idx="389">
                  <c:v>112.61459282689108</c:v>
                </c:pt>
                <c:pt idx="390">
                  <c:v>113.3458038058923</c:v>
                </c:pt>
                <c:pt idx="391">
                  <c:v>113.7878733162399</c:v>
                </c:pt>
                <c:pt idx="392">
                  <c:v>113.82486814536523</c:v>
                </c:pt>
                <c:pt idx="393">
                  <c:v>113.73858426885175</c:v>
                </c:pt>
                <c:pt idx="394">
                  <c:v>114.60943893789212</c:v>
                </c:pt>
                <c:pt idx="395">
                  <c:v>115.07194507340586</c:v>
                </c:pt>
                <c:pt idx="396">
                  <c:v>115.38799575200495</c:v>
                </c:pt>
                <c:pt idx="397">
                  <c:v>115.54455445544561</c:v>
                </c:pt>
                <c:pt idx="398">
                  <c:v>115.94018253035618</c:v>
                </c:pt>
                <c:pt idx="399">
                  <c:v>115.95710779559299</c:v>
                </c:pt>
                <c:pt idx="400">
                  <c:v>116.24695296277349</c:v>
                </c:pt>
                <c:pt idx="401">
                  <c:v>115.59109893484683</c:v>
                </c:pt>
                <c:pt idx="402">
                  <c:v>116.15597966212559</c:v>
                </c:pt>
                <c:pt idx="403">
                  <c:v>116.16232663658937</c:v>
                </c:pt>
                <c:pt idx="404">
                  <c:v>116.10731952456975</c:v>
                </c:pt>
                <c:pt idx="405">
                  <c:v>115.60590854192901</c:v>
                </c:pt>
                <c:pt idx="406">
                  <c:v>116.0692376777869</c:v>
                </c:pt>
                <c:pt idx="407">
                  <c:v>116.17925190182625</c:v>
                </c:pt>
                <c:pt idx="408">
                  <c:v>115.93806687220155</c:v>
                </c:pt>
                <c:pt idx="409">
                  <c:v>116.12847610611573</c:v>
                </c:pt>
                <c:pt idx="410">
                  <c:v>117.51846351368941</c:v>
                </c:pt>
                <c:pt idx="411">
                  <c:v>117.31112901453842</c:v>
                </c:pt>
                <c:pt idx="412">
                  <c:v>117.59251154910052</c:v>
                </c:pt>
                <c:pt idx="413">
                  <c:v>117.15033899478858</c:v>
                </c:pt>
                <c:pt idx="414">
                  <c:v>117.22438703019967</c:v>
                </c:pt>
                <c:pt idx="415">
                  <c:v>117.40210231518628</c:v>
                </c:pt>
                <c:pt idx="416">
                  <c:v>116.99378029134813</c:v>
                </c:pt>
                <c:pt idx="417">
                  <c:v>116.47544404347055</c:v>
                </c:pt>
                <c:pt idx="418">
                  <c:v>117.50576956476181</c:v>
                </c:pt>
                <c:pt idx="419">
                  <c:v>117.29208809114698</c:v>
                </c:pt>
                <c:pt idx="420">
                  <c:v>117.48461298321585</c:v>
                </c:pt>
                <c:pt idx="421">
                  <c:v>118.06007200126759</c:v>
                </c:pt>
                <c:pt idx="422">
                  <c:v>118.10026950620507</c:v>
                </c:pt>
                <c:pt idx="423">
                  <c:v>118.10873213882336</c:v>
                </c:pt>
                <c:pt idx="424">
                  <c:v>118.45993139248736</c:v>
                </c:pt>
                <c:pt idx="425">
                  <c:v>117.62001510511033</c:v>
                </c:pt>
                <c:pt idx="426">
                  <c:v>116.01634622392181</c:v>
                </c:pt>
                <c:pt idx="427">
                  <c:v>114.77022357086112</c:v>
                </c:pt>
                <c:pt idx="428">
                  <c:v>115.3245260073669</c:v>
                </c:pt>
                <c:pt idx="429">
                  <c:v>114.68348158652238</c:v>
                </c:pt>
                <c:pt idx="430">
                  <c:v>114.27092824637502</c:v>
                </c:pt>
                <c:pt idx="431">
                  <c:v>114.39575207749648</c:v>
                </c:pt>
                <c:pt idx="432">
                  <c:v>115.33510429813991</c:v>
                </c:pt>
                <c:pt idx="433">
                  <c:v>115.47685339449828</c:v>
                </c:pt>
                <c:pt idx="434">
                  <c:v>115.50647260866268</c:v>
                </c:pt>
                <c:pt idx="435">
                  <c:v>115.91267897434633</c:v>
                </c:pt>
                <c:pt idx="436">
                  <c:v>115.34568258891296</c:v>
                </c:pt>
                <c:pt idx="437">
                  <c:v>115.58898327669218</c:v>
                </c:pt>
                <c:pt idx="438">
                  <c:v>115.92325726511937</c:v>
                </c:pt>
                <c:pt idx="439">
                  <c:v>116.62565577244725</c:v>
                </c:pt>
                <c:pt idx="440">
                  <c:v>116.01423056576728</c:v>
                </c:pt>
                <c:pt idx="441">
                  <c:v>115.77516119429718</c:v>
                </c:pt>
                <c:pt idx="442">
                  <c:v>115.55724840437318</c:v>
                </c:pt>
                <c:pt idx="443">
                  <c:v>115.26951889534732</c:v>
                </c:pt>
                <c:pt idx="444">
                  <c:v>115.6228338071658</c:v>
                </c:pt>
                <c:pt idx="445">
                  <c:v>115.99942095868506</c:v>
                </c:pt>
                <c:pt idx="446">
                  <c:v>116.43524653853308</c:v>
                </c:pt>
                <c:pt idx="447">
                  <c:v>116.3421575797306</c:v>
                </c:pt>
                <c:pt idx="448">
                  <c:v>116.46698141085211</c:v>
                </c:pt>
                <c:pt idx="449">
                  <c:v>116.62565577244726</c:v>
                </c:pt>
                <c:pt idx="450">
                  <c:v>116.30407573294774</c:v>
                </c:pt>
                <c:pt idx="451">
                  <c:v>115.84920922970831</c:v>
                </c:pt>
                <c:pt idx="452">
                  <c:v>115.01352425864042</c:v>
                </c:pt>
                <c:pt idx="453">
                  <c:v>114.89081608567346</c:v>
                </c:pt>
                <c:pt idx="454">
                  <c:v>114.8548498970452</c:v>
                </c:pt>
                <c:pt idx="455">
                  <c:v>114.6665563212856</c:v>
                </c:pt>
                <c:pt idx="456">
                  <c:v>114.89504740198265</c:v>
                </c:pt>
                <c:pt idx="457">
                  <c:v>114.71310080068685</c:v>
                </c:pt>
              </c:numCache>
            </c:numRef>
          </c:val>
          <c:smooth val="0"/>
          <c:extLst>
            <c:ext xmlns:c16="http://schemas.microsoft.com/office/drawing/2014/chart" uri="{C3380CC4-5D6E-409C-BE32-E72D297353CC}">
              <c16:uniqueId val="{00000000-DFF1-49D2-BB82-AF01953A7184}"/>
            </c:ext>
          </c:extLst>
        </c:ser>
        <c:ser>
          <c:idx val="1"/>
          <c:order val="1"/>
          <c:tx>
            <c:strRef>
              <c:f>Sheet1!$C$1</c:f>
              <c:strCache>
                <c:ptCount val="1"/>
                <c:pt idx="0">
                  <c:v>ՀՀ դրամ</c:v>
                </c:pt>
              </c:strCache>
            </c:strRef>
          </c:tx>
          <c:spPr>
            <a:ln w="28575" cap="rnd">
              <a:solidFill>
                <a:schemeClr val="accent2"/>
              </a:solidFill>
              <a:round/>
            </a:ln>
            <a:effectLst/>
          </c:spPr>
          <c:marker>
            <c:symbol val="none"/>
          </c:marker>
          <c:cat>
            <c:strRef>
              <c:f>Sheet1!$A$2:$A$469</c:f>
              <c:strCache>
                <c:ptCount val="458"/>
                <c:pt idx="0">
                  <c:v>1/8/2019</c:v>
                </c:pt>
                <c:pt idx="1">
                  <c:v>1/9/2019</c:v>
                </c:pt>
                <c:pt idx="2">
                  <c:v>1/10/2019</c:v>
                </c:pt>
                <c:pt idx="3">
                  <c:v>1/11/2019</c:v>
                </c:pt>
                <c:pt idx="4">
                  <c:v>1/14/2019</c:v>
                </c:pt>
                <c:pt idx="5">
                  <c:v>1/15/2019</c:v>
                </c:pt>
                <c:pt idx="6">
                  <c:v>1/16/2019</c:v>
                </c:pt>
                <c:pt idx="7">
                  <c:v>1/17/2019</c:v>
                </c:pt>
                <c:pt idx="8">
                  <c:v>1/18/2019</c:v>
                </c:pt>
                <c:pt idx="9">
                  <c:v>1/21/2019</c:v>
                </c:pt>
                <c:pt idx="10">
                  <c:v>1/22/2019</c:v>
                </c:pt>
                <c:pt idx="11">
                  <c:v>1/23/2019</c:v>
                </c:pt>
                <c:pt idx="12">
                  <c:v>1/24/2019</c:v>
                </c:pt>
                <c:pt idx="13">
                  <c:v>1/25/2019</c:v>
                </c:pt>
                <c:pt idx="14">
                  <c:v>1/29/2019</c:v>
                </c:pt>
                <c:pt idx="15">
                  <c:v>1/30/2019</c:v>
                </c:pt>
                <c:pt idx="16">
                  <c:v>1/31/2019</c:v>
                </c:pt>
                <c:pt idx="17">
                  <c:v>2/1/2019</c:v>
                </c:pt>
                <c:pt idx="18">
                  <c:v>2/4/2019</c:v>
                </c:pt>
                <c:pt idx="19">
                  <c:v>2/5/2019</c:v>
                </c:pt>
                <c:pt idx="20">
                  <c:v>2/6/2019</c:v>
                </c:pt>
                <c:pt idx="21">
                  <c:v>2/7/2019</c:v>
                </c:pt>
                <c:pt idx="22">
                  <c:v>2/8/2019</c:v>
                </c:pt>
                <c:pt idx="23">
                  <c:v>2/11/2019</c:v>
                </c:pt>
                <c:pt idx="24">
                  <c:v>2/12/2019</c:v>
                </c:pt>
                <c:pt idx="25">
                  <c:v>2/13/2019</c:v>
                </c:pt>
                <c:pt idx="26">
                  <c:v>2/14/2019</c:v>
                </c:pt>
                <c:pt idx="27">
                  <c:v>2/15/2019</c:v>
                </c:pt>
                <c:pt idx="28">
                  <c:v>2/18/2019</c:v>
                </c:pt>
                <c:pt idx="29">
                  <c:v>2/19/2019</c:v>
                </c:pt>
                <c:pt idx="30">
                  <c:v>2/20/2019</c:v>
                </c:pt>
                <c:pt idx="31">
                  <c:v>2/21/2019</c:v>
                </c:pt>
                <c:pt idx="32">
                  <c:v>2/22/2019</c:v>
                </c:pt>
                <c:pt idx="33">
                  <c:v>2/25/2019</c:v>
                </c:pt>
                <c:pt idx="34">
                  <c:v>2/26/2019</c:v>
                </c:pt>
                <c:pt idx="35">
                  <c:v>2/27/2019</c:v>
                </c:pt>
                <c:pt idx="36">
                  <c:v>2/28/2019</c:v>
                </c:pt>
                <c:pt idx="37">
                  <c:v>3/1/2019</c:v>
                </c:pt>
                <c:pt idx="38">
                  <c:v>3/4/2019</c:v>
                </c:pt>
                <c:pt idx="39">
                  <c:v>3/5/2019</c:v>
                </c:pt>
                <c:pt idx="40">
                  <c:v>3/6/2019</c:v>
                </c:pt>
                <c:pt idx="41">
                  <c:v>3/7/2019</c:v>
                </c:pt>
                <c:pt idx="42">
                  <c:v>3/11/2019</c:v>
                </c:pt>
                <c:pt idx="43">
                  <c:v>3/12/2019</c:v>
                </c:pt>
                <c:pt idx="44">
                  <c:v>3/13/2019</c:v>
                </c:pt>
                <c:pt idx="45">
                  <c:v>3/14/2019</c:v>
                </c:pt>
                <c:pt idx="46">
                  <c:v>3/15/2019</c:v>
                </c:pt>
                <c:pt idx="47">
                  <c:v>3/18/2019</c:v>
                </c:pt>
                <c:pt idx="48">
                  <c:v>3/19/2019</c:v>
                </c:pt>
                <c:pt idx="49">
                  <c:v>3/20/2019</c:v>
                </c:pt>
                <c:pt idx="50">
                  <c:v>3/21/2019</c:v>
                </c:pt>
                <c:pt idx="51">
                  <c:v>3/22/2019</c:v>
                </c:pt>
                <c:pt idx="52">
                  <c:v>3/25/2019</c:v>
                </c:pt>
                <c:pt idx="53">
                  <c:v>3/26/2019</c:v>
                </c:pt>
                <c:pt idx="54">
                  <c:v>3/27/2019</c:v>
                </c:pt>
                <c:pt idx="55">
                  <c:v>3/28/2019</c:v>
                </c:pt>
                <c:pt idx="56">
                  <c:v>3/29/2019</c:v>
                </c:pt>
                <c:pt idx="57">
                  <c:v>4/1/2019</c:v>
                </c:pt>
                <c:pt idx="58">
                  <c:v>4/2/2019</c:v>
                </c:pt>
                <c:pt idx="59">
                  <c:v>4/3/2019</c:v>
                </c:pt>
                <c:pt idx="60">
                  <c:v>4/4/2019</c:v>
                </c:pt>
                <c:pt idx="61">
                  <c:v>4/5/2019</c:v>
                </c:pt>
                <c:pt idx="62">
                  <c:v>4/8/2019</c:v>
                </c:pt>
                <c:pt idx="63">
                  <c:v>4/9/2019</c:v>
                </c:pt>
                <c:pt idx="64">
                  <c:v>4/10/2019</c:v>
                </c:pt>
                <c:pt idx="65">
                  <c:v>4/11/2019</c:v>
                </c:pt>
                <c:pt idx="66">
                  <c:v>4/12/2019</c:v>
                </c:pt>
                <c:pt idx="67">
                  <c:v>4/15/2019</c:v>
                </c:pt>
                <c:pt idx="68">
                  <c:v>4/16/2019</c:v>
                </c:pt>
                <c:pt idx="69">
                  <c:v>4/17/2019</c:v>
                </c:pt>
                <c:pt idx="70">
                  <c:v>4/18/2019</c:v>
                </c:pt>
                <c:pt idx="71">
                  <c:v>4/19/2019</c:v>
                </c:pt>
                <c:pt idx="72">
                  <c:v>4/22/2019</c:v>
                </c:pt>
                <c:pt idx="73">
                  <c:v>4/23/2019</c:v>
                </c:pt>
                <c:pt idx="74">
                  <c:v>4/25/2019</c:v>
                </c:pt>
                <c:pt idx="75">
                  <c:v>4/26/2019</c:v>
                </c:pt>
                <c:pt idx="76">
                  <c:v>4/29/2019</c:v>
                </c:pt>
                <c:pt idx="77">
                  <c:v>4/30/2019</c:v>
                </c:pt>
                <c:pt idx="78">
                  <c:v>5/2/2019</c:v>
                </c:pt>
                <c:pt idx="79">
                  <c:v>5/3/2019</c:v>
                </c:pt>
                <c:pt idx="80">
                  <c:v>5/6/2019</c:v>
                </c:pt>
                <c:pt idx="81">
                  <c:v>5/7/2019</c:v>
                </c:pt>
                <c:pt idx="82">
                  <c:v>5/8/2019</c:v>
                </c:pt>
                <c:pt idx="83">
                  <c:v>5/10/2019</c:v>
                </c:pt>
                <c:pt idx="84">
                  <c:v>5/13/2019</c:v>
                </c:pt>
                <c:pt idx="85">
                  <c:v>5/14/2019</c:v>
                </c:pt>
                <c:pt idx="86">
                  <c:v>5/15/2019</c:v>
                </c:pt>
                <c:pt idx="87">
                  <c:v>5/16/2019</c:v>
                </c:pt>
                <c:pt idx="88">
                  <c:v>5/17/2019</c:v>
                </c:pt>
                <c:pt idx="89">
                  <c:v>5/20/2019</c:v>
                </c:pt>
                <c:pt idx="90">
                  <c:v>5/21/2019</c:v>
                </c:pt>
                <c:pt idx="91">
                  <c:v>5/22/2019</c:v>
                </c:pt>
                <c:pt idx="92">
                  <c:v>5/23/2019</c:v>
                </c:pt>
                <c:pt idx="93">
                  <c:v>5/24/2019</c:v>
                </c:pt>
                <c:pt idx="94">
                  <c:v>5/27/2019</c:v>
                </c:pt>
                <c:pt idx="95">
                  <c:v>5/29/2019</c:v>
                </c:pt>
                <c:pt idx="96">
                  <c:v>5/30/2019</c:v>
                </c:pt>
                <c:pt idx="97">
                  <c:v>5/31/2019</c:v>
                </c:pt>
                <c:pt idx="98">
                  <c:v>6/3/2019</c:v>
                </c:pt>
                <c:pt idx="99">
                  <c:v>6/4/2019</c:v>
                </c:pt>
                <c:pt idx="100">
                  <c:v>6/5/2019</c:v>
                </c:pt>
                <c:pt idx="101">
                  <c:v>6/6/2019</c:v>
                </c:pt>
                <c:pt idx="102">
                  <c:v>6/7/2019</c:v>
                </c:pt>
                <c:pt idx="103">
                  <c:v>6/10/2019</c:v>
                </c:pt>
                <c:pt idx="104">
                  <c:v>6/11/2019</c:v>
                </c:pt>
                <c:pt idx="105">
                  <c:v>6/12/2019</c:v>
                </c:pt>
                <c:pt idx="106">
                  <c:v>6/13/2019</c:v>
                </c:pt>
                <c:pt idx="107">
                  <c:v>6/14/2019</c:v>
                </c:pt>
                <c:pt idx="108">
                  <c:v>6/17/2019</c:v>
                </c:pt>
                <c:pt idx="109">
                  <c:v>6/18/2019</c:v>
                </c:pt>
                <c:pt idx="110">
                  <c:v>6/19/2019</c:v>
                </c:pt>
                <c:pt idx="111">
                  <c:v>6/20/2019</c:v>
                </c:pt>
                <c:pt idx="112">
                  <c:v>6/21/2019</c:v>
                </c:pt>
                <c:pt idx="113">
                  <c:v>6/24/2019</c:v>
                </c:pt>
                <c:pt idx="114">
                  <c:v>6/25/2019</c:v>
                </c:pt>
                <c:pt idx="115">
                  <c:v>6/26/2019</c:v>
                </c:pt>
                <c:pt idx="116">
                  <c:v>6/27/2019</c:v>
                </c:pt>
                <c:pt idx="117">
                  <c:v>6/28/2019</c:v>
                </c:pt>
                <c:pt idx="118">
                  <c:v>7/1/2019</c:v>
                </c:pt>
                <c:pt idx="119">
                  <c:v>7/2/2019</c:v>
                </c:pt>
                <c:pt idx="120">
                  <c:v>7/3/2019</c:v>
                </c:pt>
                <c:pt idx="121">
                  <c:v>7/4/2019</c:v>
                </c:pt>
                <c:pt idx="122">
                  <c:v>7/8/2019</c:v>
                </c:pt>
                <c:pt idx="123">
                  <c:v>7/9/2019</c:v>
                </c:pt>
                <c:pt idx="124">
                  <c:v>7/10/2019</c:v>
                </c:pt>
                <c:pt idx="125">
                  <c:v>7/11/2019</c:v>
                </c:pt>
                <c:pt idx="126">
                  <c:v>7/12/2019</c:v>
                </c:pt>
                <c:pt idx="127">
                  <c:v>7/15/2019</c:v>
                </c:pt>
                <c:pt idx="128">
                  <c:v>7/16/2019</c:v>
                </c:pt>
                <c:pt idx="129">
                  <c:v>7/17/2019</c:v>
                </c:pt>
                <c:pt idx="130">
                  <c:v>7/18/2019</c:v>
                </c:pt>
                <c:pt idx="131">
                  <c:v>7/19/2019</c:v>
                </c:pt>
                <c:pt idx="132">
                  <c:v>7/22/2019</c:v>
                </c:pt>
                <c:pt idx="133">
                  <c:v>7/23/2019</c:v>
                </c:pt>
                <c:pt idx="134">
                  <c:v>7/24/2019</c:v>
                </c:pt>
                <c:pt idx="135">
                  <c:v>7/25/2019</c:v>
                </c:pt>
                <c:pt idx="136">
                  <c:v>7/26/2019</c:v>
                </c:pt>
                <c:pt idx="137">
                  <c:v>7/29/2019</c:v>
                </c:pt>
                <c:pt idx="138">
                  <c:v>7/30/2019</c:v>
                </c:pt>
                <c:pt idx="139">
                  <c:v>7/31/2019</c:v>
                </c:pt>
                <c:pt idx="140">
                  <c:v>8/1/2019</c:v>
                </c:pt>
                <c:pt idx="141">
                  <c:v>8/2/2019</c:v>
                </c:pt>
                <c:pt idx="142">
                  <c:v>8/5/2019</c:v>
                </c:pt>
                <c:pt idx="143">
                  <c:v>8/6/2019</c:v>
                </c:pt>
                <c:pt idx="144">
                  <c:v>8/7/2019</c:v>
                </c:pt>
                <c:pt idx="145">
                  <c:v>8/8/2019</c:v>
                </c:pt>
                <c:pt idx="146">
                  <c:v>8/9/2019</c:v>
                </c:pt>
                <c:pt idx="147">
                  <c:v>8/12/2019</c:v>
                </c:pt>
                <c:pt idx="148">
                  <c:v>8/13/2019</c:v>
                </c:pt>
                <c:pt idx="149">
                  <c:v>8/14/2019</c:v>
                </c:pt>
                <c:pt idx="150">
                  <c:v>8/15/2019</c:v>
                </c:pt>
                <c:pt idx="151">
                  <c:v>8/16/2019</c:v>
                </c:pt>
                <c:pt idx="152">
                  <c:v>8/19/2019</c:v>
                </c:pt>
                <c:pt idx="153">
                  <c:v>8/20/2019</c:v>
                </c:pt>
                <c:pt idx="154">
                  <c:v>8/21/2019</c:v>
                </c:pt>
                <c:pt idx="155">
                  <c:v>8/22/2019</c:v>
                </c:pt>
                <c:pt idx="156">
                  <c:v>8/23/2019</c:v>
                </c:pt>
                <c:pt idx="157">
                  <c:v>8/26/2019</c:v>
                </c:pt>
                <c:pt idx="158">
                  <c:v>8/27/2019</c:v>
                </c:pt>
                <c:pt idx="159">
                  <c:v>8/28/2019</c:v>
                </c:pt>
                <c:pt idx="160">
                  <c:v>8/29/2019</c:v>
                </c:pt>
                <c:pt idx="161">
                  <c:v>8/30/2019</c:v>
                </c:pt>
                <c:pt idx="162">
                  <c:v>9/2/2019</c:v>
                </c:pt>
                <c:pt idx="163">
                  <c:v>9/3/2019</c:v>
                </c:pt>
                <c:pt idx="164">
                  <c:v>9/4/2019</c:v>
                </c:pt>
                <c:pt idx="165">
                  <c:v>9/5/2019</c:v>
                </c:pt>
                <c:pt idx="166">
                  <c:v>9/6/2019</c:v>
                </c:pt>
                <c:pt idx="167">
                  <c:v>9/9/2019</c:v>
                </c:pt>
                <c:pt idx="168">
                  <c:v>9/10/2019</c:v>
                </c:pt>
                <c:pt idx="169">
                  <c:v>9/11/2019</c:v>
                </c:pt>
                <c:pt idx="170">
                  <c:v>9/12/2019</c:v>
                </c:pt>
                <c:pt idx="171">
                  <c:v>9/13/2019</c:v>
                </c:pt>
                <c:pt idx="172">
                  <c:v>9/16/2019</c:v>
                </c:pt>
                <c:pt idx="173">
                  <c:v>9/17/2019</c:v>
                </c:pt>
                <c:pt idx="174">
                  <c:v>9/18/2019</c:v>
                </c:pt>
                <c:pt idx="175">
                  <c:v>9/19/2019</c:v>
                </c:pt>
                <c:pt idx="176">
                  <c:v>9/20/2019</c:v>
                </c:pt>
                <c:pt idx="177">
                  <c:v>9/23/2019</c:v>
                </c:pt>
                <c:pt idx="178">
                  <c:v>9/24/2019</c:v>
                </c:pt>
                <c:pt idx="179">
                  <c:v>9/25/2019</c:v>
                </c:pt>
                <c:pt idx="180">
                  <c:v>9/26/2019</c:v>
                </c:pt>
                <c:pt idx="181">
                  <c:v>9/27/2019</c:v>
                </c:pt>
                <c:pt idx="182">
                  <c:v>9/30/2019</c:v>
                </c:pt>
                <c:pt idx="183">
                  <c:v>10/1/2019</c:v>
                </c:pt>
                <c:pt idx="184">
                  <c:v>10/2/2019</c:v>
                </c:pt>
                <c:pt idx="185">
                  <c:v>10/3/2019</c:v>
                </c:pt>
                <c:pt idx="186">
                  <c:v>10/4/2019</c:v>
                </c:pt>
                <c:pt idx="187">
                  <c:v>10/7/2019</c:v>
                </c:pt>
                <c:pt idx="188">
                  <c:v>10/8/2019</c:v>
                </c:pt>
                <c:pt idx="189">
                  <c:v>10/9/2019</c:v>
                </c:pt>
                <c:pt idx="190">
                  <c:v>10/10/2019</c:v>
                </c:pt>
                <c:pt idx="191">
                  <c:v>10/11/2019</c:v>
                </c:pt>
                <c:pt idx="192">
                  <c:v>10/14/2019</c:v>
                </c:pt>
                <c:pt idx="193">
                  <c:v>10/15/2019</c:v>
                </c:pt>
                <c:pt idx="194">
                  <c:v>10/16/2019</c:v>
                </c:pt>
                <c:pt idx="195">
                  <c:v>10/17/2019</c:v>
                </c:pt>
                <c:pt idx="196">
                  <c:v>10/18/2019</c:v>
                </c:pt>
                <c:pt idx="197">
                  <c:v>10/21/2019</c:v>
                </c:pt>
                <c:pt idx="198">
                  <c:v>10/22/2019</c:v>
                </c:pt>
                <c:pt idx="199">
                  <c:v>10/23/2019</c:v>
                </c:pt>
                <c:pt idx="200">
                  <c:v>10/24/2019</c:v>
                </c:pt>
                <c:pt idx="201">
                  <c:v>10/25/2019</c:v>
                </c:pt>
                <c:pt idx="202">
                  <c:v>10/28/2019</c:v>
                </c:pt>
                <c:pt idx="203">
                  <c:v>10/29/2019</c:v>
                </c:pt>
                <c:pt idx="204">
                  <c:v>10/30/2019</c:v>
                </c:pt>
                <c:pt idx="205">
                  <c:v>10/31/2019</c:v>
                </c:pt>
                <c:pt idx="206">
                  <c:v>11/1/2019</c:v>
                </c:pt>
                <c:pt idx="207">
                  <c:v>11/4/2019</c:v>
                </c:pt>
                <c:pt idx="208">
                  <c:v>11/5/2019</c:v>
                </c:pt>
                <c:pt idx="209">
                  <c:v>11/6/2019</c:v>
                </c:pt>
                <c:pt idx="210">
                  <c:v>11/7/2019</c:v>
                </c:pt>
                <c:pt idx="211">
                  <c:v>11/8/2019</c:v>
                </c:pt>
                <c:pt idx="212">
                  <c:v>11/11/2019</c:v>
                </c:pt>
                <c:pt idx="213">
                  <c:v>11/12/2019</c:v>
                </c:pt>
                <c:pt idx="214">
                  <c:v>11/13/2019</c:v>
                </c:pt>
                <c:pt idx="215">
                  <c:v>11/14/2019</c:v>
                </c:pt>
                <c:pt idx="216">
                  <c:v>11/15/2019</c:v>
                </c:pt>
                <c:pt idx="217">
                  <c:v>11/18/2019</c:v>
                </c:pt>
                <c:pt idx="218">
                  <c:v>11/19/2019</c:v>
                </c:pt>
                <c:pt idx="219">
                  <c:v>11/20/2019</c:v>
                </c:pt>
                <c:pt idx="220">
                  <c:v>11/21/2019</c:v>
                </c:pt>
                <c:pt idx="221">
                  <c:v>11/22/2019</c:v>
                </c:pt>
                <c:pt idx="222">
                  <c:v>11/25/2019</c:v>
                </c:pt>
                <c:pt idx="223">
                  <c:v>11/26/2019</c:v>
                </c:pt>
                <c:pt idx="224">
                  <c:v>11/27/2019</c:v>
                </c:pt>
                <c:pt idx="225">
                  <c:v>11/28/2019</c:v>
                </c:pt>
                <c:pt idx="226">
                  <c:v>11/29/2019</c:v>
                </c:pt>
                <c:pt idx="227">
                  <c:v>12/2/2019</c:v>
                </c:pt>
                <c:pt idx="228">
                  <c:v>12/3/2019</c:v>
                </c:pt>
                <c:pt idx="229">
                  <c:v>12/4/2019</c:v>
                </c:pt>
                <c:pt idx="230">
                  <c:v>12/5/2019</c:v>
                </c:pt>
                <c:pt idx="231">
                  <c:v>12/6/2019</c:v>
                </c:pt>
                <c:pt idx="232">
                  <c:v>12/9/2019</c:v>
                </c:pt>
                <c:pt idx="233">
                  <c:v>12/10/2019</c:v>
                </c:pt>
                <c:pt idx="234">
                  <c:v>12/11/2019</c:v>
                </c:pt>
                <c:pt idx="235">
                  <c:v>12/12/2019</c:v>
                </c:pt>
                <c:pt idx="236">
                  <c:v>12/13/2019</c:v>
                </c:pt>
                <c:pt idx="237">
                  <c:v>12/16/2019</c:v>
                </c:pt>
                <c:pt idx="238">
                  <c:v>12/17/2019</c:v>
                </c:pt>
                <c:pt idx="239">
                  <c:v>12/18/2019</c:v>
                </c:pt>
                <c:pt idx="240">
                  <c:v>12/19/2019</c:v>
                </c:pt>
                <c:pt idx="241">
                  <c:v>12/20/2019</c:v>
                </c:pt>
                <c:pt idx="242">
                  <c:v>12/23/2019</c:v>
                </c:pt>
                <c:pt idx="243">
                  <c:v>12/24/2019</c:v>
                </c:pt>
                <c:pt idx="244">
                  <c:v>12/25/2019</c:v>
                </c:pt>
                <c:pt idx="245">
                  <c:v>12/26/2019</c:v>
                </c:pt>
                <c:pt idx="246">
                  <c:v>12/27/2019</c:v>
                </c:pt>
                <c:pt idx="247">
                  <c:v>12/30/2019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strCache>
            </c:strRef>
          </c:cat>
          <c:val>
            <c:numRef>
              <c:f>Sheet1!$C$2:$C$469</c:f>
              <c:numCache>
                <c:formatCode>0</c:formatCode>
                <c:ptCount val="458"/>
                <c:pt idx="0">
                  <c:v>100</c:v>
                </c:pt>
                <c:pt idx="1">
                  <c:v>100.08671057249617</c:v>
                </c:pt>
                <c:pt idx="2">
                  <c:v>100.23742180564443</c:v>
                </c:pt>
                <c:pt idx="3">
                  <c:v>100.33239052790221</c:v>
                </c:pt>
                <c:pt idx="4">
                  <c:v>100.42116563783887</c:v>
                </c:pt>
                <c:pt idx="5">
                  <c:v>100.46658546152736</c:v>
                </c:pt>
                <c:pt idx="6">
                  <c:v>100.45626277432542</c:v>
                </c:pt>
                <c:pt idx="7">
                  <c:v>100.29729339141568</c:v>
                </c:pt>
                <c:pt idx="8">
                  <c:v>100.21677643124056</c:v>
                </c:pt>
                <c:pt idx="9">
                  <c:v>100.15277577058852</c:v>
                </c:pt>
                <c:pt idx="10">
                  <c:v>100.16516299523092</c:v>
                </c:pt>
                <c:pt idx="11">
                  <c:v>100.16722753267128</c:v>
                </c:pt>
                <c:pt idx="12">
                  <c:v>100.29109977909449</c:v>
                </c:pt>
                <c:pt idx="13">
                  <c:v>100.28490616677333</c:v>
                </c:pt>
                <c:pt idx="14">
                  <c:v>100.44800462456386</c:v>
                </c:pt>
                <c:pt idx="15">
                  <c:v>100.42942378760041</c:v>
                </c:pt>
                <c:pt idx="16">
                  <c:v>100.53884427194086</c:v>
                </c:pt>
                <c:pt idx="17">
                  <c:v>100.55742510890434</c:v>
                </c:pt>
                <c:pt idx="18">
                  <c:v>100.63381299419864</c:v>
                </c:pt>
                <c:pt idx="19">
                  <c:v>100.67716828044675</c:v>
                </c:pt>
                <c:pt idx="20">
                  <c:v>100.80310506431036</c:v>
                </c:pt>
                <c:pt idx="21">
                  <c:v>100.89188017424695</c:v>
                </c:pt>
                <c:pt idx="22">
                  <c:v>100.99510704626627</c:v>
                </c:pt>
                <c:pt idx="23">
                  <c:v>101.13136651733176</c:v>
                </c:pt>
                <c:pt idx="24">
                  <c:v>101.08388215620283</c:v>
                </c:pt>
                <c:pt idx="25">
                  <c:v>100.92491277329313</c:v>
                </c:pt>
                <c:pt idx="26">
                  <c:v>100.74736255341988</c:v>
                </c:pt>
                <c:pt idx="27">
                  <c:v>100.64826475628134</c:v>
                </c:pt>
                <c:pt idx="28">
                  <c:v>100.6317484567582</c:v>
                </c:pt>
                <c:pt idx="29">
                  <c:v>100.64620021884096</c:v>
                </c:pt>
                <c:pt idx="30">
                  <c:v>100.6647810558044</c:v>
                </c:pt>
                <c:pt idx="31">
                  <c:v>100.76387885294295</c:v>
                </c:pt>
                <c:pt idx="32">
                  <c:v>100.89600924912774</c:v>
                </c:pt>
                <c:pt idx="33">
                  <c:v>100.92078369841236</c:v>
                </c:pt>
                <c:pt idx="34">
                  <c:v>100.94142907281628</c:v>
                </c:pt>
                <c:pt idx="35">
                  <c:v>101.03433325763361</c:v>
                </c:pt>
                <c:pt idx="36">
                  <c:v>101.10452753060675</c:v>
                </c:pt>
                <c:pt idx="37">
                  <c:v>101.19949625286451</c:v>
                </c:pt>
                <c:pt idx="38">
                  <c:v>101.30272312488384</c:v>
                </c:pt>
                <c:pt idx="39">
                  <c:v>101.28620682536079</c:v>
                </c:pt>
                <c:pt idx="40">
                  <c:v>101.1127856803683</c:v>
                </c:pt>
                <c:pt idx="41">
                  <c:v>100.97239713442194</c:v>
                </c:pt>
                <c:pt idx="42">
                  <c:v>100.86710572496233</c:v>
                </c:pt>
                <c:pt idx="43">
                  <c:v>100.76800792782375</c:v>
                </c:pt>
                <c:pt idx="44">
                  <c:v>100.61523215723513</c:v>
                </c:pt>
                <c:pt idx="45">
                  <c:v>100.49135991081199</c:v>
                </c:pt>
                <c:pt idx="46">
                  <c:v>100.46658546152736</c:v>
                </c:pt>
                <c:pt idx="47">
                  <c:v>100.44387554968309</c:v>
                </c:pt>
                <c:pt idx="48">
                  <c:v>100.3922621136734</c:v>
                </c:pt>
                <c:pt idx="49">
                  <c:v>100.31793876581952</c:v>
                </c:pt>
                <c:pt idx="50">
                  <c:v>100.35716497718687</c:v>
                </c:pt>
                <c:pt idx="51">
                  <c:v>100.30761607861761</c:v>
                </c:pt>
                <c:pt idx="52">
                  <c:v>100.33239052790221</c:v>
                </c:pt>
                <c:pt idx="53">
                  <c:v>100.36748766438879</c:v>
                </c:pt>
                <c:pt idx="54">
                  <c:v>100.40052026343497</c:v>
                </c:pt>
                <c:pt idx="55">
                  <c:v>100.40052026343497</c:v>
                </c:pt>
                <c:pt idx="56">
                  <c:v>100.42735925015998</c:v>
                </c:pt>
                <c:pt idx="57">
                  <c:v>100.42323017527923</c:v>
                </c:pt>
                <c:pt idx="58">
                  <c:v>100.43355286248112</c:v>
                </c:pt>
                <c:pt idx="59">
                  <c:v>100.51200528521591</c:v>
                </c:pt>
                <c:pt idx="60">
                  <c:v>100.60284493259279</c:v>
                </c:pt>
                <c:pt idx="61">
                  <c:v>100.6296839193179</c:v>
                </c:pt>
                <c:pt idx="62">
                  <c:v>100.60903854491397</c:v>
                </c:pt>
                <c:pt idx="63">
                  <c:v>100.44800462456386</c:v>
                </c:pt>
                <c:pt idx="64">
                  <c:v>100.30142246629642</c:v>
                </c:pt>
                <c:pt idx="65">
                  <c:v>100.13213039618465</c:v>
                </c:pt>
                <c:pt idx="66">
                  <c:v>100.13419493362511</c:v>
                </c:pt>
                <c:pt idx="67">
                  <c:v>100.07845242273463</c:v>
                </c:pt>
                <c:pt idx="68">
                  <c:v>99.991741850238455</c:v>
                </c:pt>
                <c:pt idx="69">
                  <c:v>99.799739868282515</c:v>
                </c:pt>
                <c:pt idx="70">
                  <c:v>99.686190309061232</c:v>
                </c:pt>
                <c:pt idx="71">
                  <c:v>99.574705287280381</c:v>
                </c:pt>
                <c:pt idx="72">
                  <c:v>99.50657555174763</c:v>
                </c:pt>
                <c:pt idx="73">
                  <c:v>99.419864979251429</c:v>
                </c:pt>
                <c:pt idx="74">
                  <c:v>99.421929516691762</c:v>
                </c:pt>
                <c:pt idx="75">
                  <c:v>99.372380618122449</c:v>
                </c:pt>
                <c:pt idx="76">
                  <c:v>99.357928856039749</c:v>
                </c:pt>
                <c:pt idx="77">
                  <c:v>99.196894935689627</c:v>
                </c:pt>
                <c:pt idx="78">
                  <c:v>99.192765860808848</c:v>
                </c:pt>
                <c:pt idx="79">
                  <c:v>99.252637446580039</c:v>
                </c:pt>
                <c:pt idx="80">
                  <c:v>99.364122468360989</c:v>
                </c:pt>
                <c:pt idx="81">
                  <c:v>99.436381278774448</c:v>
                </c:pt>
                <c:pt idx="82">
                  <c:v>99.502446476866808</c:v>
                </c:pt>
                <c:pt idx="83">
                  <c:v>99.545801763114952</c:v>
                </c:pt>
                <c:pt idx="84">
                  <c:v>99.372380618122435</c:v>
                </c:pt>
                <c:pt idx="85">
                  <c:v>99.273282820983908</c:v>
                </c:pt>
                <c:pt idx="86">
                  <c:v>99.205153085451187</c:v>
                </c:pt>
                <c:pt idx="87">
                  <c:v>99.126700662716473</c:v>
                </c:pt>
                <c:pt idx="88">
                  <c:v>99.039990090220272</c:v>
                </c:pt>
                <c:pt idx="89">
                  <c:v>99.103990750872242</c:v>
                </c:pt>
                <c:pt idx="90">
                  <c:v>99.015215640935679</c:v>
                </c:pt>
                <c:pt idx="91">
                  <c:v>99.023473790697182</c:v>
                </c:pt>
                <c:pt idx="92">
                  <c:v>99.093668063670322</c:v>
                </c:pt>
                <c:pt idx="93">
                  <c:v>99.103990750872256</c:v>
                </c:pt>
                <c:pt idx="94">
                  <c:v>99.134958812478004</c:v>
                </c:pt>
                <c:pt idx="95">
                  <c:v>99.165926874083809</c:v>
                </c:pt>
                <c:pt idx="96">
                  <c:v>99.153539649441541</c:v>
                </c:pt>
                <c:pt idx="97">
                  <c:v>99.118442512954886</c:v>
                </c:pt>
                <c:pt idx="98">
                  <c:v>99.139087887358784</c:v>
                </c:pt>
                <c:pt idx="99">
                  <c:v>99.101926213431838</c:v>
                </c:pt>
                <c:pt idx="100">
                  <c:v>99.054441852302972</c:v>
                </c:pt>
                <c:pt idx="101">
                  <c:v>99.009022028614481</c:v>
                </c:pt>
                <c:pt idx="102">
                  <c:v>99.017280178376083</c:v>
                </c:pt>
                <c:pt idx="103">
                  <c:v>98.998699341412618</c:v>
                </c:pt>
                <c:pt idx="104">
                  <c:v>98.965666742366395</c:v>
                </c:pt>
                <c:pt idx="105">
                  <c:v>98.895472469393241</c:v>
                </c:pt>
                <c:pt idx="106">
                  <c:v>98.796374672254672</c:v>
                </c:pt>
                <c:pt idx="107">
                  <c:v>98.767471148089257</c:v>
                </c:pt>
                <c:pt idx="108">
                  <c:v>98.649792513987208</c:v>
                </c:pt>
                <c:pt idx="109">
                  <c:v>98.639469826785287</c:v>
                </c:pt>
                <c:pt idx="110">
                  <c:v>98.693147800235351</c:v>
                </c:pt>
                <c:pt idx="111">
                  <c:v>98.587856390775642</c:v>
                </c:pt>
                <c:pt idx="112">
                  <c:v>98.587856390775642</c:v>
                </c:pt>
                <c:pt idx="113">
                  <c:v>98.645663439106499</c:v>
                </c:pt>
                <c:pt idx="114">
                  <c:v>98.492887668517866</c:v>
                </c:pt>
                <c:pt idx="115">
                  <c:v>98.546565641967959</c:v>
                </c:pt>
                <c:pt idx="116">
                  <c:v>98.544501104527512</c:v>
                </c:pt>
                <c:pt idx="117">
                  <c:v>98.501145818279412</c:v>
                </c:pt>
                <c:pt idx="118">
                  <c:v>98.474306831554344</c:v>
                </c:pt>
                <c:pt idx="119">
                  <c:v>98.499081280839036</c:v>
                </c:pt>
                <c:pt idx="120">
                  <c:v>98.482564981315988</c:v>
                </c:pt>
                <c:pt idx="121">
                  <c:v>98.48050044387557</c:v>
                </c:pt>
                <c:pt idx="122">
                  <c:v>98.457790532031254</c:v>
                </c:pt>
                <c:pt idx="123">
                  <c:v>98.478435906435124</c:v>
                </c:pt>
                <c:pt idx="124">
                  <c:v>98.393789871379312</c:v>
                </c:pt>
                <c:pt idx="125">
                  <c:v>98.46604868179287</c:v>
                </c:pt>
                <c:pt idx="126">
                  <c:v>98.412370708342792</c:v>
                </c:pt>
                <c:pt idx="127">
                  <c:v>98.412370708342792</c:v>
                </c:pt>
                <c:pt idx="128">
                  <c:v>98.424757932985088</c:v>
                </c:pt>
                <c:pt idx="129">
                  <c:v>98.364886347213883</c:v>
                </c:pt>
                <c:pt idx="130">
                  <c:v>98.356628197452324</c:v>
                </c:pt>
                <c:pt idx="131">
                  <c:v>98.371079959535052</c:v>
                </c:pt>
                <c:pt idx="132">
                  <c:v>98.309143836323415</c:v>
                </c:pt>
                <c:pt idx="133">
                  <c:v>98.298821149121508</c:v>
                </c:pt>
                <c:pt idx="134">
                  <c:v>98.267853087515761</c:v>
                </c:pt>
                <c:pt idx="135">
                  <c:v>98.259594937754159</c:v>
                </c:pt>
                <c:pt idx="136">
                  <c:v>98.2657885500753</c:v>
                </c:pt>
                <c:pt idx="137">
                  <c:v>98.296756611681118</c:v>
                </c:pt>
                <c:pt idx="138">
                  <c:v>98.234820488469524</c:v>
                </c:pt>
                <c:pt idx="139">
                  <c:v>98.232755951029105</c:v>
                </c:pt>
                <c:pt idx="140">
                  <c:v>98.253401325432989</c:v>
                </c:pt>
                <c:pt idx="141">
                  <c:v>98.251336787992585</c:v>
                </c:pt>
                <c:pt idx="142">
                  <c:v>98.302950224002245</c:v>
                </c:pt>
                <c:pt idx="143">
                  <c:v>98.311208373763762</c:v>
                </c:pt>
                <c:pt idx="144">
                  <c:v>98.369015422094591</c:v>
                </c:pt>
                <c:pt idx="145">
                  <c:v>98.315337448644541</c:v>
                </c:pt>
                <c:pt idx="146">
                  <c:v>98.29882114912148</c:v>
                </c:pt>
                <c:pt idx="147">
                  <c:v>98.251336787992585</c:v>
                </c:pt>
                <c:pt idx="148">
                  <c:v>98.259594937754102</c:v>
                </c:pt>
                <c:pt idx="149">
                  <c:v>98.218304188946405</c:v>
                </c:pt>
                <c:pt idx="150">
                  <c:v>98.24514317567143</c:v>
                </c:pt>
                <c:pt idx="151">
                  <c:v>98.255465862873379</c:v>
                </c:pt>
                <c:pt idx="152">
                  <c:v>98.253401325432989</c:v>
                </c:pt>
                <c:pt idx="153">
                  <c:v>98.251336787992614</c:v>
                </c:pt>
                <c:pt idx="154">
                  <c:v>98.259594937754159</c:v>
                </c:pt>
                <c:pt idx="155">
                  <c:v>98.253401325432989</c:v>
                </c:pt>
                <c:pt idx="156">
                  <c:v>98.269917624956094</c:v>
                </c:pt>
                <c:pt idx="157">
                  <c:v>98.31533744864457</c:v>
                </c:pt>
                <c:pt idx="158">
                  <c:v>98.257530400313797</c:v>
                </c:pt>
                <c:pt idx="159">
                  <c:v>98.243078638231083</c:v>
                </c:pt>
                <c:pt idx="160">
                  <c:v>98.263724012634896</c:v>
                </c:pt>
                <c:pt idx="161">
                  <c:v>98.292627536800353</c:v>
                </c:pt>
                <c:pt idx="162">
                  <c:v>98.307079298883082</c:v>
                </c:pt>
                <c:pt idx="163">
                  <c:v>98.340111897929248</c:v>
                </c:pt>
                <c:pt idx="164">
                  <c:v>98.375209034415818</c:v>
                </c:pt>
                <c:pt idx="165">
                  <c:v>98.342176435369652</c:v>
                </c:pt>
                <c:pt idx="166">
                  <c:v>98.385531721617781</c:v>
                </c:pt>
                <c:pt idx="167">
                  <c:v>98.406177096021608</c:v>
                </c:pt>
                <c:pt idx="168">
                  <c:v>98.344240972810098</c:v>
                </c:pt>
                <c:pt idx="169">
                  <c:v>98.34217643536968</c:v>
                </c:pt>
                <c:pt idx="170">
                  <c:v>98.317401986085073</c:v>
                </c:pt>
                <c:pt idx="171">
                  <c:v>98.309143836323486</c:v>
                </c:pt>
                <c:pt idx="172">
                  <c:v>98.305014761442763</c:v>
                </c:pt>
                <c:pt idx="173">
                  <c:v>98.29262753680041</c:v>
                </c:pt>
                <c:pt idx="174">
                  <c:v>98.317401986085073</c:v>
                </c:pt>
                <c:pt idx="175">
                  <c:v>98.325660135846562</c:v>
                </c:pt>
                <c:pt idx="176">
                  <c:v>98.298821149121551</c:v>
                </c:pt>
                <c:pt idx="177">
                  <c:v>98.325660135846562</c:v>
                </c:pt>
                <c:pt idx="178">
                  <c:v>98.29262753680041</c:v>
                </c:pt>
                <c:pt idx="179">
                  <c:v>98.28643392447924</c:v>
                </c:pt>
                <c:pt idx="180">
                  <c:v>98.276111237277306</c:v>
                </c:pt>
                <c:pt idx="181">
                  <c:v>98.271982162396498</c:v>
                </c:pt>
                <c:pt idx="182">
                  <c:v>98.265788550075357</c:v>
                </c:pt>
                <c:pt idx="183">
                  <c:v>98.27404669983693</c:v>
                </c:pt>
                <c:pt idx="184">
                  <c:v>98.305014761442735</c:v>
                </c:pt>
                <c:pt idx="185">
                  <c:v>98.32153106096581</c:v>
                </c:pt>
                <c:pt idx="186">
                  <c:v>98.340111897929276</c:v>
                </c:pt>
                <c:pt idx="187">
                  <c:v>98.379338109296583</c:v>
                </c:pt>
                <c:pt idx="188">
                  <c:v>98.395854408819773</c:v>
                </c:pt>
                <c:pt idx="189">
                  <c:v>98.412370708342863</c:v>
                </c:pt>
                <c:pt idx="190">
                  <c:v>98.416499783223657</c:v>
                </c:pt>
                <c:pt idx="191">
                  <c:v>98.422693395544798</c:v>
                </c:pt>
                <c:pt idx="192">
                  <c:v>98.362821809773578</c:v>
                </c:pt>
                <c:pt idx="193">
                  <c:v>98.389660796498589</c:v>
                </c:pt>
                <c:pt idx="194">
                  <c:v>98.428887007865924</c:v>
                </c:pt>
                <c:pt idx="195">
                  <c:v>98.360757272333188</c:v>
                </c:pt>
                <c:pt idx="196">
                  <c:v>98.342176435369709</c:v>
                </c:pt>
                <c:pt idx="197">
                  <c:v>98.338047360488886</c:v>
                </c:pt>
                <c:pt idx="198">
                  <c:v>98.263724012635009</c:v>
                </c:pt>
                <c:pt idx="199">
                  <c:v>98.269917624956193</c:v>
                </c:pt>
                <c:pt idx="200">
                  <c:v>98.243078638231168</c:v>
                </c:pt>
                <c:pt idx="201">
                  <c:v>98.245143175671544</c:v>
                </c:pt>
                <c:pt idx="202">
                  <c:v>98.27817577471771</c:v>
                </c:pt>
                <c:pt idx="203">
                  <c:v>98.302950224002373</c:v>
                </c:pt>
                <c:pt idx="204">
                  <c:v>98.313272911204308</c:v>
                </c:pt>
                <c:pt idx="205">
                  <c:v>98.292627536800453</c:v>
                </c:pt>
                <c:pt idx="206">
                  <c:v>98.366950884654358</c:v>
                </c:pt>
                <c:pt idx="207">
                  <c:v>98.393789871379383</c:v>
                </c:pt>
                <c:pt idx="208">
                  <c:v>98.389660796498589</c:v>
                </c:pt>
                <c:pt idx="209">
                  <c:v>98.445403307389043</c:v>
                </c:pt>
                <c:pt idx="210">
                  <c:v>98.548630179408349</c:v>
                </c:pt>
                <c:pt idx="211">
                  <c:v>98.513533042921779</c:v>
                </c:pt>
                <c:pt idx="212">
                  <c:v>98.523855730123699</c:v>
                </c:pt>
                <c:pt idx="213">
                  <c:v>98.561017404050673</c:v>
                </c:pt>
                <c:pt idx="214">
                  <c:v>98.573404628692984</c:v>
                </c:pt>
                <c:pt idx="215">
                  <c:v>98.583727315894876</c:v>
                </c:pt>
                <c:pt idx="216">
                  <c:v>98.596114540537286</c:v>
                </c:pt>
                <c:pt idx="217">
                  <c:v>98.542436567087179</c:v>
                </c:pt>
                <c:pt idx="218">
                  <c:v>98.474306831554387</c:v>
                </c:pt>
                <c:pt idx="219">
                  <c:v>98.474306831554387</c:v>
                </c:pt>
                <c:pt idx="220">
                  <c:v>98.414435245783267</c:v>
                </c:pt>
                <c:pt idx="221">
                  <c:v>98.468113219233317</c:v>
                </c:pt>
                <c:pt idx="222">
                  <c:v>98.395854408819773</c:v>
                </c:pt>
                <c:pt idx="223">
                  <c:v>98.441274232508263</c:v>
                </c:pt>
                <c:pt idx="224">
                  <c:v>98.486694056196768</c:v>
                </c:pt>
                <c:pt idx="225">
                  <c:v>98.530049342444855</c:v>
                </c:pt>
                <c:pt idx="226">
                  <c:v>98.660115201189242</c:v>
                </c:pt>
                <c:pt idx="227">
                  <c:v>98.695212337675784</c:v>
                </c:pt>
                <c:pt idx="228">
                  <c:v>98.689018725354615</c:v>
                </c:pt>
                <c:pt idx="229">
                  <c:v>98.649792513987236</c:v>
                </c:pt>
                <c:pt idx="230">
                  <c:v>98.672502425831524</c:v>
                </c:pt>
                <c:pt idx="231">
                  <c:v>98.691083262795033</c:v>
                </c:pt>
                <c:pt idx="232">
                  <c:v>98.678696038152665</c:v>
                </c:pt>
                <c:pt idx="233">
                  <c:v>98.689018725354615</c:v>
                </c:pt>
                <c:pt idx="234">
                  <c:v>98.689018725354615</c:v>
                </c:pt>
                <c:pt idx="235">
                  <c:v>98.625018064702658</c:v>
                </c:pt>
                <c:pt idx="236">
                  <c:v>98.583727315894876</c:v>
                </c:pt>
                <c:pt idx="237">
                  <c:v>98.567211016371843</c:v>
                </c:pt>
                <c:pt idx="238">
                  <c:v>98.569275553812233</c:v>
                </c:pt>
                <c:pt idx="239">
                  <c:v>98.589920928216131</c:v>
                </c:pt>
                <c:pt idx="240">
                  <c:v>98.662179738629575</c:v>
                </c:pt>
                <c:pt idx="241">
                  <c:v>98.757148460887421</c:v>
                </c:pt>
                <c:pt idx="242">
                  <c:v>98.750954848566252</c:v>
                </c:pt>
                <c:pt idx="243">
                  <c:v>98.922311456118308</c:v>
                </c:pt>
                <c:pt idx="244">
                  <c:v>98.963602204926076</c:v>
                </c:pt>
                <c:pt idx="245">
                  <c:v>98.947085905403014</c:v>
                </c:pt>
                <c:pt idx="246">
                  <c:v>98.994570266531881</c:v>
                </c:pt>
                <c:pt idx="247">
                  <c:v>99.035861015339577</c:v>
                </c:pt>
                <c:pt idx="248">
                  <c:v>99.048248239981888</c:v>
                </c:pt>
                <c:pt idx="249">
                  <c:v>99.019344715816487</c:v>
                </c:pt>
                <c:pt idx="250">
                  <c:v>98.945021367962596</c:v>
                </c:pt>
                <c:pt idx="251">
                  <c:v>98.965666742366437</c:v>
                </c:pt>
                <c:pt idx="252">
                  <c:v>98.971860354687578</c:v>
                </c:pt>
                <c:pt idx="253">
                  <c:v>99.021409253256849</c:v>
                </c:pt>
                <c:pt idx="254">
                  <c:v>99.048248239981888</c:v>
                </c:pt>
                <c:pt idx="255">
                  <c:v>99.017280178376097</c:v>
                </c:pt>
                <c:pt idx="256">
                  <c:v>98.961537667485672</c:v>
                </c:pt>
                <c:pt idx="257">
                  <c:v>98.959473130045268</c:v>
                </c:pt>
                <c:pt idx="258">
                  <c:v>98.870698020108648</c:v>
                </c:pt>
                <c:pt idx="259">
                  <c:v>98.835600883622078</c:v>
                </c:pt>
                <c:pt idx="260">
                  <c:v>98.864504407787493</c:v>
                </c:pt>
                <c:pt idx="261">
                  <c:v>98.804632822016259</c:v>
                </c:pt>
                <c:pt idx="262">
                  <c:v>98.827342733860476</c:v>
                </c:pt>
                <c:pt idx="263">
                  <c:v>98.808761896896996</c:v>
                </c:pt>
                <c:pt idx="264">
                  <c:v>98.841794495943276</c:v>
                </c:pt>
                <c:pt idx="265">
                  <c:v>98.860375332906642</c:v>
                </c:pt>
                <c:pt idx="266">
                  <c:v>98.85005264570475</c:v>
                </c:pt>
                <c:pt idx="267">
                  <c:v>98.833536346181617</c:v>
                </c:pt>
                <c:pt idx="268">
                  <c:v>98.860375332906642</c:v>
                </c:pt>
                <c:pt idx="269">
                  <c:v>98.781922910172042</c:v>
                </c:pt>
                <c:pt idx="270">
                  <c:v>98.88721431963171</c:v>
                </c:pt>
                <c:pt idx="271">
                  <c:v>98.901666081714467</c:v>
                </c:pt>
                <c:pt idx="272">
                  <c:v>98.951214980283751</c:v>
                </c:pt>
                <c:pt idx="273">
                  <c:v>98.914053306356763</c:v>
                </c:pt>
                <c:pt idx="274">
                  <c:v>98.901666081714481</c:v>
                </c:pt>
                <c:pt idx="275">
                  <c:v>98.901666081714509</c:v>
                </c:pt>
                <c:pt idx="276">
                  <c:v>98.881020707310597</c:v>
                </c:pt>
                <c:pt idx="277">
                  <c:v>98.814955509218251</c:v>
                </c:pt>
                <c:pt idx="278">
                  <c:v>98.761277535768173</c:v>
                </c:pt>
                <c:pt idx="279">
                  <c:v>98.757148460887407</c:v>
                </c:pt>
                <c:pt idx="280">
                  <c:v>98.771600222970122</c:v>
                </c:pt>
                <c:pt idx="281">
                  <c:v>98.753019386006613</c:v>
                </c:pt>
                <c:pt idx="282">
                  <c:v>98.765406610648938</c:v>
                </c:pt>
                <c:pt idx="283">
                  <c:v>98.786051985052822</c:v>
                </c:pt>
                <c:pt idx="284">
                  <c:v>98.808761896897025</c:v>
                </c:pt>
                <c:pt idx="285">
                  <c:v>98.850052645704778</c:v>
                </c:pt>
                <c:pt idx="286">
                  <c:v>98.864504407787493</c:v>
                </c:pt>
                <c:pt idx="287">
                  <c:v>98.916117843797167</c:v>
                </c:pt>
                <c:pt idx="288">
                  <c:v>99.01521564093575</c:v>
                </c:pt>
                <c:pt idx="289">
                  <c:v>99.060635464624198</c:v>
                </c:pt>
                <c:pt idx="290">
                  <c:v>99.196894935689684</c:v>
                </c:pt>
                <c:pt idx="291">
                  <c:v>99.529285463591918</c:v>
                </c:pt>
                <c:pt idx="292">
                  <c:v>99.723351982988248</c:v>
                </c:pt>
                <c:pt idx="293">
                  <c:v>99.991741850238512</c:v>
                </c:pt>
                <c:pt idx="294">
                  <c:v>100.71845902925456</c:v>
                </c:pt>
                <c:pt idx="295">
                  <c:v>101.12104383012986</c:v>
                </c:pt>
                <c:pt idx="296">
                  <c:v>101.31923942440704</c:v>
                </c:pt>
                <c:pt idx="297">
                  <c:v>101.27175506327812</c:v>
                </c:pt>
                <c:pt idx="298">
                  <c:v>101.62066189070345</c:v>
                </c:pt>
                <c:pt idx="299">
                  <c:v>101.90143898259601</c:v>
                </c:pt>
                <c:pt idx="300">
                  <c:v>102.19666783657125</c:v>
                </c:pt>
                <c:pt idx="301">
                  <c:v>102.28337840906751</c:v>
                </c:pt>
                <c:pt idx="302">
                  <c:v>102.38660528108684</c:v>
                </c:pt>
                <c:pt idx="303">
                  <c:v>102.65705968577753</c:v>
                </c:pt>
                <c:pt idx="304">
                  <c:v>102.90273964118346</c:v>
                </c:pt>
                <c:pt idx="305">
                  <c:v>103.39203501455501</c:v>
                </c:pt>
                <c:pt idx="306">
                  <c:v>104.1497202551769</c:v>
                </c:pt>
                <c:pt idx="307">
                  <c:v>104.2508825897558</c:v>
                </c:pt>
                <c:pt idx="308">
                  <c:v>104.15591386749803</c:v>
                </c:pt>
                <c:pt idx="309">
                  <c:v>103.84003963911896</c:v>
                </c:pt>
                <c:pt idx="310">
                  <c:v>103.54687532258399</c:v>
                </c:pt>
                <c:pt idx="311">
                  <c:v>103.09680616057976</c:v>
                </c:pt>
                <c:pt idx="312">
                  <c:v>102.52080021471193</c:v>
                </c:pt>
                <c:pt idx="313">
                  <c:v>101.80234118545742</c:v>
                </c:pt>
                <c:pt idx="314">
                  <c:v>101.40594999690326</c:v>
                </c:pt>
                <c:pt idx="315">
                  <c:v>100.44594008712352</c:v>
                </c:pt>
                <c:pt idx="316">
                  <c:v>100.23742180564449</c:v>
                </c:pt>
                <c:pt idx="317">
                  <c:v>100.36129405206769</c:v>
                </c:pt>
                <c:pt idx="318">
                  <c:v>100.04129074880782</c:v>
                </c:pt>
                <c:pt idx="319">
                  <c:v>99.915353964944231</c:v>
                </c:pt>
                <c:pt idx="320">
                  <c:v>99.618060573528524</c:v>
                </c:pt>
                <c:pt idx="321">
                  <c:v>99.277411895864788</c:v>
                </c:pt>
                <c:pt idx="322">
                  <c:v>99.058570927183766</c:v>
                </c:pt>
                <c:pt idx="323">
                  <c:v>99.029667403018422</c:v>
                </c:pt>
                <c:pt idx="324">
                  <c:v>99.0110865660549</c:v>
                </c:pt>
                <c:pt idx="325">
                  <c:v>99.021409253256849</c:v>
                </c:pt>
                <c:pt idx="326">
                  <c:v>98.99869934141266</c:v>
                </c:pt>
                <c:pt idx="327">
                  <c:v>98.949150442843361</c:v>
                </c:pt>
                <c:pt idx="328">
                  <c:v>99.097797138551115</c:v>
                </c:pt>
                <c:pt idx="329">
                  <c:v>99.236121147057062</c:v>
                </c:pt>
                <c:pt idx="330">
                  <c:v>99.504511014307312</c:v>
                </c:pt>
                <c:pt idx="331">
                  <c:v>99.746061894832494</c:v>
                </c:pt>
                <c:pt idx="332">
                  <c:v>99.946322026549979</c:v>
                </c:pt>
                <c:pt idx="333">
                  <c:v>100.34064867766381</c:v>
                </c:pt>
                <c:pt idx="334">
                  <c:v>100.57394140842744</c:v>
                </c:pt>
                <c:pt idx="335">
                  <c:v>100.67923281788714</c:v>
                </c:pt>
                <c:pt idx="336">
                  <c:v>100.93523546049512</c:v>
                </c:pt>
                <c:pt idx="337">
                  <c:v>100.72671717901608</c:v>
                </c:pt>
                <c:pt idx="338">
                  <c:v>100.31174515349834</c:v>
                </c:pt>
                <c:pt idx="339">
                  <c:v>100.05780704833086</c:v>
                </c:pt>
                <c:pt idx="340">
                  <c:v>99.847224229411481</c:v>
                </c:pt>
                <c:pt idx="341">
                  <c:v>99.444639428536107</c:v>
                </c:pt>
                <c:pt idx="342">
                  <c:v>99.508640089188063</c:v>
                </c:pt>
                <c:pt idx="343">
                  <c:v>99.560253525197751</c:v>
                </c:pt>
                <c:pt idx="344">
                  <c:v>99.717158370667093</c:v>
                </c:pt>
                <c:pt idx="345">
                  <c:v>99.886450440778773</c:v>
                </c:pt>
                <c:pt idx="346">
                  <c:v>99.905031277742239</c:v>
                </c:pt>
                <c:pt idx="347">
                  <c:v>99.721287445547858</c:v>
                </c:pt>
                <c:pt idx="348">
                  <c:v>99.611866961207411</c:v>
                </c:pt>
                <c:pt idx="349">
                  <c:v>99.589157049363095</c:v>
                </c:pt>
                <c:pt idx="350">
                  <c:v>99.533414538472655</c:v>
                </c:pt>
                <c:pt idx="351">
                  <c:v>99.457026653178389</c:v>
                </c:pt>
                <c:pt idx="352">
                  <c:v>99.390961455086</c:v>
                </c:pt>
                <c:pt idx="353">
                  <c:v>99.35173524371865</c:v>
                </c:pt>
                <c:pt idx="354">
                  <c:v>99.310444494910925</c:v>
                </c:pt>
                <c:pt idx="355">
                  <c:v>99.430187666453349</c:v>
                </c:pt>
                <c:pt idx="356">
                  <c:v>99.467349340380323</c:v>
                </c:pt>
                <c:pt idx="357">
                  <c:v>99.388896917645567</c:v>
                </c:pt>
                <c:pt idx="358">
                  <c:v>99.359993393480138</c:v>
                </c:pt>
                <c:pt idx="359">
                  <c:v>99.165926874083809</c:v>
                </c:pt>
                <c:pt idx="360">
                  <c:v>99.083345376468344</c:v>
                </c:pt>
                <c:pt idx="361">
                  <c:v>99.029667403018365</c:v>
                </c:pt>
                <c:pt idx="362">
                  <c:v>98.889278857072043</c:v>
                </c:pt>
                <c:pt idx="363">
                  <c:v>98.980118504449052</c:v>
                </c:pt>
                <c:pt idx="364">
                  <c:v>99.114313438074177</c:v>
                </c:pt>
                <c:pt idx="365">
                  <c:v>99.366187005801308</c:v>
                </c:pt>
                <c:pt idx="366">
                  <c:v>99.498317401986071</c:v>
                </c:pt>
                <c:pt idx="367">
                  <c:v>99.601544274005391</c:v>
                </c:pt>
                <c:pt idx="368">
                  <c:v>99.585027974482273</c:v>
                </c:pt>
                <c:pt idx="369">
                  <c:v>99.618060573528439</c:v>
                </c:pt>
                <c:pt idx="370">
                  <c:v>99.791481718520899</c:v>
                </c:pt>
                <c:pt idx="371">
                  <c:v>99.890579515659454</c:v>
                </c:pt>
                <c:pt idx="372">
                  <c:v>99.995870925119206</c:v>
                </c:pt>
                <c:pt idx="373">
                  <c:v>100.15484030802894</c:v>
                </c:pt>
                <c:pt idx="374">
                  <c:v>100.28284162933292</c:v>
                </c:pt>
                <c:pt idx="375">
                  <c:v>100.46039184920616</c:v>
                </c:pt>
                <c:pt idx="376">
                  <c:v>100.48723083593119</c:v>
                </c:pt>
                <c:pt idx="377">
                  <c:v>100.44800462456386</c:v>
                </c:pt>
                <c:pt idx="378">
                  <c:v>100.25806718004827</c:v>
                </c:pt>
                <c:pt idx="379">
                  <c:v>100.02683898672493</c:v>
                </c:pt>
                <c:pt idx="380">
                  <c:v>99.849288766851714</c:v>
                </c:pt>
                <c:pt idx="381">
                  <c:v>99.638705947932309</c:v>
                </c:pt>
                <c:pt idx="382">
                  <c:v>99.677932159299615</c:v>
                </c:pt>
                <c:pt idx="383">
                  <c:v>99.861675991494053</c:v>
                </c:pt>
                <c:pt idx="384">
                  <c:v>99.956644713751814</c:v>
                </c:pt>
                <c:pt idx="385">
                  <c:v>100.16929207011164</c:v>
                </c:pt>
                <c:pt idx="386">
                  <c:v>100.18993744451551</c:v>
                </c:pt>
                <c:pt idx="387">
                  <c:v>100.12387224642308</c:v>
                </c:pt>
                <c:pt idx="388">
                  <c:v>100.05574251089033</c:v>
                </c:pt>
                <c:pt idx="389">
                  <c:v>100.01032268720189</c:v>
                </c:pt>
                <c:pt idx="390">
                  <c:v>100.16309845779047</c:v>
                </c:pt>
                <c:pt idx="391">
                  <c:v>100.19819559427708</c:v>
                </c:pt>
                <c:pt idx="392">
                  <c:v>100.30142246629637</c:v>
                </c:pt>
                <c:pt idx="393">
                  <c:v>100.26632532980982</c:v>
                </c:pt>
                <c:pt idx="394">
                  <c:v>100.2374218056444</c:v>
                </c:pt>
                <c:pt idx="395">
                  <c:v>100.16722753267128</c:v>
                </c:pt>
                <c:pt idx="396">
                  <c:v>100.13006585874429</c:v>
                </c:pt>
                <c:pt idx="397">
                  <c:v>100.17755021987321</c:v>
                </c:pt>
                <c:pt idx="398">
                  <c:v>100.19613105683663</c:v>
                </c:pt>
                <c:pt idx="399">
                  <c:v>100.13006585874429</c:v>
                </c:pt>
                <c:pt idx="400">
                  <c:v>100.1651629952309</c:v>
                </c:pt>
                <c:pt idx="401">
                  <c:v>100.09496872225776</c:v>
                </c:pt>
                <c:pt idx="402">
                  <c:v>100.0578070483308</c:v>
                </c:pt>
                <c:pt idx="403">
                  <c:v>99.966967400953791</c:v>
                </c:pt>
                <c:pt idx="404">
                  <c:v>99.985548237917286</c:v>
                </c:pt>
                <c:pt idx="405">
                  <c:v>100.07225881041346</c:v>
                </c:pt>
                <c:pt idx="406">
                  <c:v>100.14038854594627</c:v>
                </c:pt>
                <c:pt idx="407">
                  <c:v>100.18167929475398</c:v>
                </c:pt>
                <c:pt idx="408">
                  <c:v>100.27664801701174</c:v>
                </c:pt>
                <c:pt idx="409">
                  <c:v>100.57807048330821</c:v>
                </c:pt>
                <c:pt idx="410">
                  <c:v>100.54916695914284</c:v>
                </c:pt>
                <c:pt idx="411">
                  <c:v>100.59252224539092</c:v>
                </c:pt>
                <c:pt idx="412">
                  <c:v>100.58426409562939</c:v>
                </c:pt>
                <c:pt idx="413">
                  <c:v>100.51406982265624</c:v>
                </c:pt>
                <c:pt idx="414">
                  <c:v>100.6028449325928</c:v>
                </c:pt>
                <c:pt idx="415">
                  <c:v>100.64207114396017</c:v>
                </c:pt>
                <c:pt idx="416">
                  <c:v>100.74942709086032</c:v>
                </c:pt>
                <c:pt idx="417">
                  <c:v>100.77420154014494</c:v>
                </c:pt>
                <c:pt idx="418">
                  <c:v>100.86710572496236</c:v>
                </c:pt>
                <c:pt idx="419">
                  <c:v>100.91665462353164</c:v>
                </c:pt>
                <c:pt idx="420">
                  <c:v>100.81755682639304</c:v>
                </c:pt>
                <c:pt idx="421">
                  <c:v>100.68129735532754</c:v>
                </c:pt>
                <c:pt idx="422">
                  <c:v>100.41290748807734</c:v>
                </c:pt>
                <c:pt idx="423">
                  <c:v>100.19406651939632</c:v>
                </c:pt>
                <c:pt idx="424">
                  <c:v>100.1156140966616</c:v>
                </c:pt>
                <c:pt idx="425">
                  <c:v>100.00619361232114</c:v>
                </c:pt>
                <c:pt idx="426">
                  <c:v>100.18374383219432</c:v>
                </c:pt>
                <c:pt idx="427">
                  <c:v>100.18993744451555</c:v>
                </c:pt>
                <c:pt idx="428">
                  <c:v>100.21677643124059</c:v>
                </c:pt>
                <c:pt idx="429">
                  <c:v>100.19613105683666</c:v>
                </c:pt>
                <c:pt idx="430">
                  <c:v>100.18580836963471</c:v>
                </c:pt>
                <c:pt idx="431">
                  <c:v>100.26632532980986</c:v>
                </c:pt>
                <c:pt idx="432">
                  <c:v>100.6709746681256</c:v>
                </c:pt>
                <c:pt idx="433">
                  <c:v>100.83407312591613</c:v>
                </c:pt>
                <c:pt idx="434">
                  <c:v>100.86917026240268</c:v>
                </c:pt>
                <c:pt idx="435">
                  <c:v>100.87329933728344</c:v>
                </c:pt>
                <c:pt idx="436">
                  <c:v>100.87123479984309</c:v>
                </c:pt>
                <c:pt idx="437">
                  <c:v>101.19123810310295</c:v>
                </c:pt>
                <c:pt idx="438">
                  <c:v>101.19743171542407</c:v>
                </c:pt>
                <c:pt idx="439">
                  <c:v>101.39975638458193</c:v>
                </c:pt>
                <c:pt idx="440">
                  <c:v>101.35846563577427</c:v>
                </c:pt>
                <c:pt idx="441">
                  <c:v>101.09007576852399</c:v>
                </c:pt>
                <c:pt idx="442">
                  <c:v>101.36672378553584</c:v>
                </c:pt>
                <c:pt idx="443">
                  <c:v>101.43898259594933</c:v>
                </c:pt>
                <c:pt idx="444">
                  <c:v>101.50917686892248</c:v>
                </c:pt>
                <c:pt idx="445">
                  <c:v>101.60621012862065</c:v>
                </c:pt>
                <c:pt idx="446">
                  <c:v>101.65782356463032</c:v>
                </c:pt>
                <c:pt idx="447">
                  <c:v>101.84982554658625</c:v>
                </c:pt>
                <c:pt idx="448">
                  <c:v>102.06453744038646</c:v>
                </c:pt>
                <c:pt idx="449">
                  <c:v>102.05215021574415</c:v>
                </c:pt>
                <c:pt idx="450">
                  <c:v>101.99021409253258</c:v>
                </c:pt>
                <c:pt idx="451">
                  <c:v>101.83124470962279</c:v>
                </c:pt>
                <c:pt idx="452">
                  <c:v>101.81885748498047</c:v>
                </c:pt>
                <c:pt idx="453">
                  <c:v>101.72182422528233</c:v>
                </c:pt>
                <c:pt idx="454">
                  <c:v>101.81266387265927</c:v>
                </c:pt>
                <c:pt idx="455">
                  <c:v>101.90556805747667</c:v>
                </c:pt>
                <c:pt idx="456">
                  <c:v>101.93860065652288</c:v>
                </c:pt>
                <c:pt idx="457">
                  <c:v>101.91795528211907</c:v>
                </c:pt>
              </c:numCache>
            </c:numRef>
          </c:val>
          <c:smooth val="0"/>
          <c:extLst>
            <c:ext xmlns:c16="http://schemas.microsoft.com/office/drawing/2014/chart" uri="{C3380CC4-5D6E-409C-BE32-E72D297353CC}">
              <c16:uniqueId val="{00000001-DFF1-49D2-BB82-AF01953A7184}"/>
            </c:ext>
          </c:extLst>
        </c:ser>
        <c:ser>
          <c:idx val="3"/>
          <c:order val="2"/>
          <c:tx>
            <c:strRef>
              <c:f>Sheet1!$D$1</c:f>
              <c:strCache>
                <c:ptCount val="1"/>
                <c:pt idx="0">
                  <c:v>Ռուսական ռուբլի</c:v>
                </c:pt>
              </c:strCache>
            </c:strRef>
          </c:tx>
          <c:spPr>
            <a:ln w="28575" cap="rnd">
              <a:solidFill>
                <a:srgbClr val="C00000"/>
              </a:solidFill>
              <a:round/>
            </a:ln>
            <a:effectLst/>
          </c:spPr>
          <c:marker>
            <c:symbol val="none"/>
          </c:marker>
          <c:cat>
            <c:strRef>
              <c:f>Sheet1!$A$2:$A$469</c:f>
              <c:strCache>
                <c:ptCount val="458"/>
                <c:pt idx="0">
                  <c:v>1/8/2019</c:v>
                </c:pt>
                <c:pt idx="1">
                  <c:v>1/9/2019</c:v>
                </c:pt>
                <c:pt idx="2">
                  <c:v>1/10/2019</c:v>
                </c:pt>
                <c:pt idx="3">
                  <c:v>1/11/2019</c:v>
                </c:pt>
                <c:pt idx="4">
                  <c:v>1/14/2019</c:v>
                </c:pt>
                <c:pt idx="5">
                  <c:v>1/15/2019</c:v>
                </c:pt>
                <c:pt idx="6">
                  <c:v>1/16/2019</c:v>
                </c:pt>
                <c:pt idx="7">
                  <c:v>1/17/2019</c:v>
                </c:pt>
                <c:pt idx="8">
                  <c:v>1/18/2019</c:v>
                </c:pt>
                <c:pt idx="9">
                  <c:v>1/21/2019</c:v>
                </c:pt>
                <c:pt idx="10">
                  <c:v>1/22/2019</c:v>
                </c:pt>
                <c:pt idx="11">
                  <c:v>1/23/2019</c:v>
                </c:pt>
                <c:pt idx="12">
                  <c:v>1/24/2019</c:v>
                </c:pt>
                <c:pt idx="13">
                  <c:v>1/25/2019</c:v>
                </c:pt>
                <c:pt idx="14">
                  <c:v>1/29/2019</c:v>
                </c:pt>
                <c:pt idx="15">
                  <c:v>1/30/2019</c:v>
                </c:pt>
                <c:pt idx="16">
                  <c:v>1/31/2019</c:v>
                </c:pt>
                <c:pt idx="17">
                  <c:v>2/1/2019</c:v>
                </c:pt>
                <c:pt idx="18">
                  <c:v>2/4/2019</c:v>
                </c:pt>
                <c:pt idx="19">
                  <c:v>2/5/2019</c:v>
                </c:pt>
                <c:pt idx="20">
                  <c:v>2/6/2019</c:v>
                </c:pt>
                <c:pt idx="21">
                  <c:v>2/7/2019</c:v>
                </c:pt>
                <c:pt idx="22">
                  <c:v>2/8/2019</c:v>
                </c:pt>
                <c:pt idx="23">
                  <c:v>2/11/2019</c:v>
                </c:pt>
                <c:pt idx="24">
                  <c:v>2/12/2019</c:v>
                </c:pt>
                <c:pt idx="25">
                  <c:v>2/13/2019</c:v>
                </c:pt>
                <c:pt idx="26">
                  <c:v>2/14/2019</c:v>
                </c:pt>
                <c:pt idx="27">
                  <c:v>2/15/2019</c:v>
                </c:pt>
                <c:pt idx="28">
                  <c:v>2/18/2019</c:v>
                </c:pt>
                <c:pt idx="29">
                  <c:v>2/19/2019</c:v>
                </c:pt>
                <c:pt idx="30">
                  <c:v>2/20/2019</c:v>
                </c:pt>
                <c:pt idx="31">
                  <c:v>2/21/2019</c:v>
                </c:pt>
                <c:pt idx="32">
                  <c:v>2/22/2019</c:v>
                </c:pt>
                <c:pt idx="33">
                  <c:v>2/25/2019</c:v>
                </c:pt>
                <c:pt idx="34">
                  <c:v>2/26/2019</c:v>
                </c:pt>
                <c:pt idx="35">
                  <c:v>2/27/2019</c:v>
                </c:pt>
                <c:pt idx="36">
                  <c:v>2/28/2019</c:v>
                </c:pt>
                <c:pt idx="37">
                  <c:v>3/1/2019</c:v>
                </c:pt>
                <c:pt idx="38">
                  <c:v>3/4/2019</c:v>
                </c:pt>
                <c:pt idx="39">
                  <c:v>3/5/2019</c:v>
                </c:pt>
                <c:pt idx="40">
                  <c:v>3/6/2019</c:v>
                </c:pt>
                <c:pt idx="41">
                  <c:v>3/7/2019</c:v>
                </c:pt>
                <c:pt idx="42">
                  <c:v>3/11/2019</c:v>
                </c:pt>
                <c:pt idx="43">
                  <c:v>3/12/2019</c:v>
                </c:pt>
                <c:pt idx="44">
                  <c:v>3/13/2019</c:v>
                </c:pt>
                <c:pt idx="45">
                  <c:v>3/14/2019</c:v>
                </c:pt>
                <c:pt idx="46">
                  <c:v>3/15/2019</c:v>
                </c:pt>
                <c:pt idx="47">
                  <c:v>3/18/2019</c:v>
                </c:pt>
                <c:pt idx="48">
                  <c:v>3/19/2019</c:v>
                </c:pt>
                <c:pt idx="49">
                  <c:v>3/20/2019</c:v>
                </c:pt>
                <c:pt idx="50">
                  <c:v>3/21/2019</c:v>
                </c:pt>
                <c:pt idx="51">
                  <c:v>3/22/2019</c:v>
                </c:pt>
                <c:pt idx="52">
                  <c:v>3/25/2019</c:v>
                </c:pt>
                <c:pt idx="53">
                  <c:v>3/26/2019</c:v>
                </c:pt>
                <c:pt idx="54">
                  <c:v>3/27/2019</c:v>
                </c:pt>
                <c:pt idx="55">
                  <c:v>3/28/2019</c:v>
                </c:pt>
                <c:pt idx="56">
                  <c:v>3/29/2019</c:v>
                </c:pt>
                <c:pt idx="57">
                  <c:v>4/1/2019</c:v>
                </c:pt>
                <c:pt idx="58">
                  <c:v>4/2/2019</c:v>
                </c:pt>
                <c:pt idx="59">
                  <c:v>4/3/2019</c:v>
                </c:pt>
                <c:pt idx="60">
                  <c:v>4/4/2019</c:v>
                </c:pt>
                <c:pt idx="61">
                  <c:v>4/5/2019</c:v>
                </c:pt>
                <c:pt idx="62">
                  <c:v>4/8/2019</c:v>
                </c:pt>
                <c:pt idx="63">
                  <c:v>4/9/2019</c:v>
                </c:pt>
                <c:pt idx="64">
                  <c:v>4/10/2019</c:v>
                </c:pt>
                <c:pt idx="65">
                  <c:v>4/11/2019</c:v>
                </c:pt>
                <c:pt idx="66">
                  <c:v>4/12/2019</c:v>
                </c:pt>
                <c:pt idx="67">
                  <c:v>4/15/2019</c:v>
                </c:pt>
                <c:pt idx="68">
                  <c:v>4/16/2019</c:v>
                </c:pt>
                <c:pt idx="69">
                  <c:v>4/17/2019</c:v>
                </c:pt>
                <c:pt idx="70">
                  <c:v>4/18/2019</c:v>
                </c:pt>
                <c:pt idx="71">
                  <c:v>4/19/2019</c:v>
                </c:pt>
                <c:pt idx="72">
                  <c:v>4/22/2019</c:v>
                </c:pt>
                <c:pt idx="73">
                  <c:v>4/23/2019</c:v>
                </c:pt>
                <c:pt idx="74">
                  <c:v>4/25/2019</c:v>
                </c:pt>
                <c:pt idx="75">
                  <c:v>4/26/2019</c:v>
                </c:pt>
                <c:pt idx="76">
                  <c:v>4/29/2019</c:v>
                </c:pt>
                <c:pt idx="77">
                  <c:v>4/30/2019</c:v>
                </c:pt>
                <c:pt idx="78">
                  <c:v>5/2/2019</c:v>
                </c:pt>
                <c:pt idx="79">
                  <c:v>5/3/2019</c:v>
                </c:pt>
                <c:pt idx="80">
                  <c:v>5/6/2019</c:v>
                </c:pt>
                <c:pt idx="81">
                  <c:v>5/7/2019</c:v>
                </c:pt>
                <c:pt idx="82">
                  <c:v>5/8/2019</c:v>
                </c:pt>
                <c:pt idx="83">
                  <c:v>5/10/2019</c:v>
                </c:pt>
                <c:pt idx="84">
                  <c:v>5/13/2019</c:v>
                </c:pt>
                <c:pt idx="85">
                  <c:v>5/14/2019</c:v>
                </c:pt>
                <c:pt idx="86">
                  <c:v>5/15/2019</c:v>
                </c:pt>
                <c:pt idx="87">
                  <c:v>5/16/2019</c:v>
                </c:pt>
                <c:pt idx="88">
                  <c:v>5/17/2019</c:v>
                </c:pt>
                <c:pt idx="89">
                  <c:v>5/20/2019</c:v>
                </c:pt>
                <c:pt idx="90">
                  <c:v>5/21/2019</c:v>
                </c:pt>
                <c:pt idx="91">
                  <c:v>5/22/2019</c:v>
                </c:pt>
                <c:pt idx="92">
                  <c:v>5/23/2019</c:v>
                </c:pt>
                <c:pt idx="93">
                  <c:v>5/24/2019</c:v>
                </c:pt>
                <c:pt idx="94">
                  <c:v>5/27/2019</c:v>
                </c:pt>
                <c:pt idx="95">
                  <c:v>5/29/2019</c:v>
                </c:pt>
                <c:pt idx="96">
                  <c:v>5/30/2019</c:v>
                </c:pt>
                <c:pt idx="97">
                  <c:v>5/31/2019</c:v>
                </c:pt>
                <c:pt idx="98">
                  <c:v>6/3/2019</c:v>
                </c:pt>
                <c:pt idx="99">
                  <c:v>6/4/2019</c:v>
                </c:pt>
                <c:pt idx="100">
                  <c:v>6/5/2019</c:v>
                </c:pt>
                <c:pt idx="101">
                  <c:v>6/6/2019</c:v>
                </c:pt>
                <c:pt idx="102">
                  <c:v>6/7/2019</c:v>
                </c:pt>
                <c:pt idx="103">
                  <c:v>6/10/2019</c:v>
                </c:pt>
                <c:pt idx="104">
                  <c:v>6/11/2019</c:v>
                </c:pt>
                <c:pt idx="105">
                  <c:v>6/12/2019</c:v>
                </c:pt>
                <c:pt idx="106">
                  <c:v>6/13/2019</c:v>
                </c:pt>
                <c:pt idx="107">
                  <c:v>6/14/2019</c:v>
                </c:pt>
                <c:pt idx="108">
                  <c:v>6/17/2019</c:v>
                </c:pt>
                <c:pt idx="109">
                  <c:v>6/18/2019</c:v>
                </c:pt>
                <c:pt idx="110">
                  <c:v>6/19/2019</c:v>
                </c:pt>
                <c:pt idx="111">
                  <c:v>6/20/2019</c:v>
                </c:pt>
                <c:pt idx="112">
                  <c:v>6/21/2019</c:v>
                </c:pt>
                <c:pt idx="113">
                  <c:v>6/24/2019</c:v>
                </c:pt>
                <c:pt idx="114">
                  <c:v>6/25/2019</c:v>
                </c:pt>
                <c:pt idx="115">
                  <c:v>6/26/2019</c:v>
                </c:pt>
                <c:pt idx="116">
                  <c:v>6/27/2019</c:v>
                </c:pt>
                <c:pt idx="117">
                  <c:v>6/28/2019</c:v>
                </c:pt>
                <c:pt idx="118">
                  <c:v>7/1/2019</c:v>
                </c:pt>
                <c:pt idx="119">
                  <c:v>7/2/2019</c:v>
                </c:pt>
                <c:pt idx="120">
                  <c:v>7/3/2019</c:v>
                </c:pt>
                <c:pt idx="121">
                  <c:v>7/4/2019</c:v>
                </c:pt>
                <c:pt idx="122">
                  <c:v>7/8/2019</c:v>
                </c:pt>
                <c:pt idx="123">
                  <c:v>7/9/2019</c:v>
                </c:pt>
                <c:pt idx="124">
                  <c:v>7/10/2019</c:v>
                </c:pt>
                <c:pt idx="125">
                  <c:v>7/11/2019</c:v>
                </c:pt>
                <c:pt idx="126">
                  <c:v>7/12/2019</c:v>
                </c:pt>
                <c:pt idx="127">
                  <c:v>7/15/2019</c:v>
                </c:pt>
                <c:pt idx="128">
                  <c:v>7/16/2019</c:v>
                </c:pt>
                <c:pt idx="129">
                  <c:v>7/17/2019</c:v>
                </c:pt>
                <c:pt idx="130">
                  <c:v>7/18/2019</c:v>
                </c:pt>
                <c:pt idx="131">
                  <c:v>7/19/2019</c:v>
                </c:pt>
                <c:pt idx="132">
                  <c:v>7/22/2019</c:v>
                </c:pt>
                <c:pt idx="133">
                  <c:v>7/23/2019</c:v>
                </c:pt>
                <c:pt idx="134">
                  <c:v>7/24/2019</c:v>
                </c:pt>
                <c:pt idx="135">
                  <c:v>7/25/2019</c:v>
                </c:pt>
                <c:pt idx="136">
                  <c:v>7/26/2019</c:v>
                </c:pt>
                <c:pt idx="137">
                  <c:v>7/29/2019</c:v>
                </c:pt>
                <c:pt idx="138">
                  <c:v>7/30/2019</c:v>
                </c:pt>
                <c:pt idx="139">
                  <c:v>7/31/2019</c:v>
                </c:pt>
                <c:pt idx="140">
                  <c:v>8/1/2019</c:v>
                </c:pt>
                <c:pt idx="141">
                  <c:v>8/2/2019</c:v>
                </c:pt>
                <c:pt idx="142">
                  <c:v>8/5/2019</c:v>
                </c:pt>
                <c:pt idx="143">
                  <c:v>8/6/2019</c:v>
                </c:pt>
                <c:pt idx="144">
                  <c:v>8/7/2019</c:v>
                </c:pt>
                <c:pt idx="145">
                  <c:v>8/8/2019</c:v>
                </c:pt>
                <c:pt idx="146">
                  <c:v>8/9/2019</c:v>
                </c:pt>
                <c:pt idx="147">
                  <c:v>8/12/2019</c:v>
                </c:pt>
                <c:pt idx="148">
                  <c:v>8/13/2019</c:v>
                </c:pt>
                <c:pt idx="149">
                  <c:v>8/14/2019</c:v>
                </c:pt>
                <c:pt idx="150">
                  <c:v>8/15/2019</c:v>
                </c:pt>
                <c:pt idx="151">
                  <c:v>8/16/2019</c:v>
                </c:pt>
                <c:pt idx="152">
                  <c:v>8/19/2019</c:v>
                </c:pt>
                <c:pt idx="153">
                  <c:v>8/20/2019</c:v>
                </c:pt>
                <c:pt idx="154">
                  <c:v>8/21/2019</c:v>
                </c:pt>
                <c:pt idx="155">
                  <c:v>8/22/2019</c:v>
                </c:pt>
                <c:pt idx="156">
                  <c:v>8/23/2019</c:v>
                </c:pt>
                <c:pt idx="157">
                  <c:v>8/26/2019</c:v>
                </c:pt>
                <c:pt idx="158">
                  <c:v>8/27/2019</c:v>
                </c:pt>
                <c:pt idx="159">
                  <c:v>8/28/2019</c:v>
                </c:pt>
                <c:pt idx="160">
                  <c:v>8/29/2019</c:v>
                </c:pt>
                <c:pt idx="161">
                  <c:v>8/30/2019</c:v>
                </c:pt>
                <c:pt idx="162">
                  <c:v>9/2/2019</c:v>
                </c:pt>
                <c:pt idx="163">
                  <c:v>9/3/2019</c:v>
                </c:pt>
                <c:pt idx="164">
                  <c:v>9/4/2019</c:v>
                </c:pt>
                <c:pt idx="165">
                  <c:v>9/5/2019</c:v>
                </c:pt>
                <c:pt idx="166">
                  <c:v>9/6/2019</c:v>
                </c:pt>
                <c:pt idx="167">
                  <c:v>9/9/2019</c:v>
                </c:pt>
                <c:pt idx="168">
                  <c:v>9/10/2019</c:v>
                </c:pt>
                <c:pt idx="169">
                  <c:v>9/11/2019</c:v>
                </c:pt>
                <c:pt idx="170">
                  <c:v>9/12/2019</c:v>
                </c:pt>
                <c:pt idx="171">
                  <c:v>9/13/2019</c:v>
                </c:pt>
                <c:pt idx="172">
                  <c:v>9/16/2019</c:v>
                </c:pt>
                <c:pt idx="173">
                  <c:v>9/17/2019</c:v>
                </c:pt>
                <c:pt idx="174">
                  <c:v>9/18/2019</c:v>
                </c:pt>
                <c:pt idx="175">
                  <c:v>9/19/2019</c:v>
                </c:pt>
                <c:pt idx="176">
                  <c:v>9/20/2019</c:v>
                </c:pt>
                <c:pt idx="177">
                  <c:v>9/23/2019</c:v>
                </c:pt>
                <c:pt idx="178">
                  <c:v>9/24/2019</c:v>
                </c:pt>
                <c:pt idx="179">
                  <c:v>9/25/2019</c:v>
                </c:pt>
                <c:pt idx="180">
                  <c:v>9/26/2019</c:v>
                </c:pt>
                <c:pt idx="181">
                  <c:v>9/27/2019</c:v>
                </c:pt>
                <c:pt idx="182">
                  <c:v>9/30/2019</c:v>
                </c:pt>
                <c:pt idx="183">
                  <c:v>10/1/2019</c:v>
                </c:pt>
                <c:pt idx="184">
                  <c:v>10/2/2019</c:v>
                </c:pt>
                <c:pt idx="185">
                  <c:v>10/3/2019</c:v>
                </c:pt>
                <c:pt idx="186">
                  <c:v>10/4/2019</c:v>
                </c:pt>
                <c:pt idx="187">
                  <c:v>10/7/2019</c:v>
                </c:pt>
                <c:pt idx="188">
                  <c:v>10/8/2019</c:v>
                </c:pt>
                <c:pt idx="189">
                  <c:v>10/9/2019</c:v>
                </c:pt>
                <c:pt idx="190">
                  <c:v>10/10/2019</c:v>
                </c:pt>
                <c:pt idx="191">
                  <c:v>10/11/2019</c:v>
                </c:pt>
                <c:pt idx="192">
                  <c:v>10/14/2019</c:v>
                </c:pt>
                <c:pt idx="193">
                  <c:v>10/15/2019</c:v>
                </c:pt>
                <c:pt idx="194">
                  <c:v>10/16/2019</c:v>
                </c:pt>
                <c:pt idx="195">
                  <c:v>10/17/2019</c:v>
                </c:pt>
                <c:pt idx="196">
                  <c:v>10/18/2019</c:v>
                </c:pt>
                <c:pt idx="197">
                  <c:v>10/21/2019</c:v>
                </c:pt>
                <c:pt idx="198">
                  <c:v>10/22/2019</c:v>
                </c:pt>
                <c:pt idx="199">
                  <c:v>10/23/2019</c:v>
                </c:pt>
                <c:pt idx="200">
                  <c:v>10/24/2019</c:v>
                </c:pt>
                <c:pt idx="201">
                  <c:v>10/25/2019</c:v>
                </c:pt>
                <c:pt idx="202">
                  <c:v>10/28/2019</c:v>
                </c:pt>
                <c:pt idx="203">
                  <c:v>10/29/2019</c:v>
                </c:pt>
                <c:pt idx="204">
                  <c:v>10/30/2019</c:v>
                </c:pt>
                <c:pt idx="205">
                  <c:v>10/31/2019</c:v>
                </c:pt>
                <c:pt idx="206">
                  <c:v>11/1/2019</c:v>
                </c:pt>
                <c:pt idx="207">
                  <c:v>11/4/2019</c:v>
                </c:pt>
                <c:pt idx="208">
                  <c:v>11/5/2019</c:v>
                </c:pt>
                <c:pt idx="209">
                  <c:v>11/6/2019</c:v>
                </c:pt>
                <c:pt idx="210">
                  <c:v>11/7/2019</c:v>
                </c:pt>
                <c:pt idx="211">
                  <c:v>11/8/2019</c:v>
                </c:pt>
                <c:pt idx="212">
                  <c:v>11/11/2019</c:v>
                </c:pt>
                <c:pt idx="213">
                  <c:v>11/12/2019</c:v>
                </c:pt>
                <c:pt idx="214">
                  <c:v>11/13/2019</c:v>
                </c:pt>
                <c:pt idx="215">
                  <c:v>11/14/2019</c:v>
                </c:pt>
                <c:pt idx="216">
                  <c:v>11/15/2019</c:v>
                </c:pt>
                <c:pt idx="217">
                  <c:v>11/18/2019</c:v>
                </c:pt>
                <c:pt idx="218">
                  <c:v>11/19/2019</c:v>
                </c:pt>
                <c:pt idx="219">
                  <c:v>11/20/2019</c:v>
                </c:pt>
                <c:pt idx="220">
                  <c:v>11/21/2019</c:v>
                </c:pt>
                <c:pt idx="221">
                  <c:v>11/22/2019</c:v>
                </c:pt>
                <c:pt idx="222">
                  <c:v>11/25/2019</c:v>
                </c:pt>
                <c:pt idx="223">
                  <c:v>11/26/2019</c:v>
                </c:pt>
                <c:pt idx="224">
                  <c:v>11/27/2019</c:v>
                </c:pt>
                <c:pt idx="225">
                  <c:v>11/28/2019</c:v>
                </c:pt>
                <c:pt idx="226">
                  <c:v>11/29/2019</c:v>
                </c:pt>
                <c:pt idx="227">
                  <c:v>12/2/2019</c:v>
                </c:pt>
                <c:pt idx="228">
                  <c:v>12/3/2019</c:v>
                </c:pt>
                <c:pt idx="229">
                  <c:v>12/4/2019</c:v>
                </c:pt>
                <c:pt idx="230">
                  <c:v>12/5/2019</c:v>
                </c:pt>
                <c:pt idx="231">
                  <c:v>12/6/2019</c:v>
                </c:pt>
                <c:pt idx="232">
                  <c:v>12/9/2019</c:v>
                </c:pt>
                <c:pt idx="233">
                  <c:v>12/10/2019</c:v>
                </c:pt>
                <c:pt idx="234">
                  <c:v>12/11/2019</c:v>
                </c:pt>
                <c:pt idx="235">
                  <c:v>12/12/2019</c:v>
                </c:pt>
                <c:pt idx="236">
                  <c:v>12/13/2019</c:v>
                </c:pt>
                <c:pt idx="237">
                  <c:v>12/16/2019</c:v>
                </c:pt>
                <c:pt idx="238">
                  <c:v>12/17/2019</c:v>
                </c:pt>
                <c:pt idx="239">
                  <c:v>12/18/2019</c:v>
                </c:pt>
                <c:pt idx="240">
                  <c:v>12/19/2019</c:v>
                </c:pt>
                <c:pt idx="241">
                  <c:v>12/20/2019</c:v>
                </c:pt>
                <c:pt idx="242">
                  <c:v>12/23/2019</c:v>
                </c:pt>
                <c:pt idx="243">
                  <c:v>12/24/2019</c:v>
                </c:pt>
                <c:pt idx="244">
                  <c:v>12/25/2019</c:v>
                </c:pt>
                <c:pt idx="245">
                  <c:v>12/26/2019</c:v>
                </c:pt>
                <c:pt idx="246">
                  <c:v>12/27/2019</c:v>
                </c:pt>
                <c:pt idx="247">
                  <c:v>12/30/2019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strCache>
            </c:strRef>
          </c:cat>
          <c:val>
            <c:numRef>
              <c:f>Sheet1!$D$2:$D$469</c:f>
              <c:numCache>
                <c:formatCode>0</c:formatCode>
                <c:ptCount val="458"/>
                <c:pt idx="0">
                  <c:v>100</c:v>
                </c:pt>
                <c:pt idx="1">
                  <c:v>99.810227946605366</c:v>
                </c:pt>
                <c:pt idx="2">
                  <c:v>99.960522850380215</c:v>
                </c:pt>
                <c:pt idx="3">
                  <c:v>99.779594987803577</c:v>
                </c:pt>
                <c:pt idx="4">
                  <c:v>100.28227052630655</c:v>
                </c:pt>
                <c:pt idx="5">
                  <c:v>100.0508616596176</c:v>
                </c:pt>
                <c:pt idx="6">
                  <c:v>99.491662171554111</c:v>
                </c:pt>
                <c:pt idx="7">
                  <c:v>99.198144970687807</c:v>
                </c:pt>
                <c:pt idx="8">
                  <c:v>98.982917350691736</c:v>
                </c:pt>
                <c:pt idx="9">
                  <c:v>98.91970465987005</c:v>
                </c:pt>
                <c:pt idx="10">
                  <c:v>99.203357589241065</c:v>
                </c:pt>
                <c:pt idx="11">
                  <c:v>98.664035850734848</c:v>
                </c:pt>
                <c:pt idx="12">
                  <c:v>98.383388641992155</c:v>
                </c:pt>
                <c:pt idx="13">
                  <c:v>98.645370916090329</c:v>
                </c:pt>
                <c:pt idx="14">
                  <c:v>98.805802914080488</c:v>
                </c:pt>
                <c:pt idx="15">
                  <c:v>98.385405664379192</c:v>
                </c:pt>
                <c:pt idx="16">
                  <c:v>97.174090447578706</c:v>
                </c:pt>
                <c:pt idx="17">
                  <c:v>97.715290617266405</c:v>
                </c:pt>
                <c:pt idx="18">
                  <c:v>97.789519490997918</c:v>
                </c:pt>
                <c:pt idx="19">
                  <c:v>97.569014091922895</c:v>
                </c:pt>
                <c:pt idx="20">
                  <c:v>97.954026724673071</c:v>
                </c:pt>
                <c:pt idx="21">
                  <c:v>98.437753359197742</c:v>
                </c:pt>
                <c:pt idx="22">
                  <c:v>98.405488916874816</c:v>
                </c:pt>
                <c:pt idx="23">
                  <c:v>98.009190101360502</c:v>
                </c:pt>
                <c:pt idx="24">
                  <c:v>97.831853775842561</c:v>
                </c:pt>
                <c:pt idx="25">
                  <c:v>97.940573954728066</c:v>
                </c:pt>
                <c:pt idx="26">
                  <c:v>99.506970948795072</c:v>
                </c:pt>
                <c:pt idx="27">
                  <c:v>99.273288461796653</c:v>
                </c:pt>
                <c:pt idx="28">
                  <c:v>98.717557589374337</c:v>
                </c:pt>
                <c:pt idx="29">
                  <c:v>98.73173445380867</c:v>
                </c:pt>
                <c:pt idx="30">
                  <c:v>98.083632823604304</c:v>
                </c:pt>
                <c:pt idx="31">
                  <c:v>97.653047693724616</c:v>
                </c:pt>
                <c:pt idx="32">
                  <c:v>97.650025037359541</c:v>
                </c:pt>
                <c:pt idx="33">
                  <c:v>97.282784820098428</c:v>
                </c:pt>
                <c:pt idx="34">
                  <c:v>97.825116497413859</c:v>
                </c:pt>
                <c:pt idx="35">
                  <c:v>98.046758887112205</c:v>
                </c:pt>
                <c:pt idx="36">
                  <c:v>98.114877522981274</c:v>
                </c:pt>
                <c:pt idx="37">
                  <c:v>98.207038030333578</c:v>
                </c:pt>
                <c:pt idx="38">
                  <c:v>98.043654284405079</c:v>
                </c:pt>
                <c:pt idx="39">
                  <c:v>98.027669340362621</c:v>
                </c:pt>
                <c:pt idx="40">
                  <c:v>98.254954591151986</c:v>
                </c:pt>
                <c:pt idx="41">
                  <c:v>98.250769179316322</c:v>
                </c:pt>
                <c:pt idx="42">
                  <c:v>98.413581531652412</c:v>
                </c:pt>
                <c:pt idx="43">
                  <c:v>98.051889115753013</c:v>
                </c:pt>
                <c:pt idx="44">
                  <c:v>97.640050561187877</c:v>
                </c:pt>
                <c:pt idx="45">
                  <c:v>97.519841203771819</c:v>
                </c:pt>
                <c:pt idx="46">
                  <c:v>97.364932487547293</c:v>
                </c:pt>
                <c:pt idx="47">
                  <c:v>96.308735918819565</c:v>
                </c:pt>
                <c:pt idx="48">
                  <c:v>95.750611949897248</c:v>
                </c:pt>
                <c:pt idx="49">
                  <c:v>95.933181177379709</c:v>
                </c:pt>
                <c:pt idx="50">
                  <c:v>94.840148054357215</c:v>
                </c:pt>
                <c:pt idx="51">
                  <c:v>95.543665974619927</c:v>
                </c:pt>
                <c:pt idx="52">
                  <c:v>95.820087250192302</c:v>
                </c:pt>
                <c:pt idx="53">
                  <c:v>95.853605944032694</c:v>
                </c:pt>
                <c:pt idx="54">
                  <c:v>96.523536125432784</c:v>
                </c:pt>
                <c:pt idx="55">
                  <c:v>96.652234173600007</c:v>
                </c:pt>
                <c:pt idx="56">
                  <c:v>96.420948641775965</c:v>
                </c:pt>
                <c:pt idx="57">
                  <c:v>97.453726057193009</c:v>
                </c:pt>
                <c:pt idx="58">
                  <c:v>97.594919470674867</c:v>
                </c:pt>
                <c:pt idx="59">
                  <c:v>97.148149686647727</c:v>
                </c:pt>
                <c:pt idx="60">
                  <c:v>97.496985290378618</c:v>
                </c:pt>
                <c:pt idx="61">
                  <c:v>97.522995690936256</c:v>
                </c:pt>
                <c:pt idx="62">
                  <c:v>97.502987690507268</c:v>
                </c:pt>
                <c:pt idx="63">
                  <c:v>96.440770397520055</c:v>
                </c:pt>
                <c:pt idx="64">
                  <c:v>96.42826500754461</c:v>
                </c:pt>
                <c:pt idx="65">
                  <c:v>95.882490909874491</c:v>
                </c:pt>
                <c:pt idx="66">
                  <c:v>95.884467827688738</c:v>
                </c:pt>
                <c:pt idx="67">
                  <c:v>95.704162449290706</c:v>
                </c:pt>
                <c:pt idx="68">
                  <c:v>95.748060498504202</c:v>
                </c:pt>
                <c:pt idx="69">
                  <c:v>95.311391778968215</c:v>
                </c:pt>
                <c:pt idx="70">
                  <c:v>95.455476661992364</c:v>
                </c:pt>
                <c:pt idx="71">
                  <c:v>95.348723100021772</c:v>
                </c:pt>
                <c:pt idx="72">
                  <c:v>95.031412101007675</c:v>
                </c:pt>
                <c:pt idx="73">
                  <c:v>94.948601210343313</c:v>
                </c:pt>
                <c:pt idx="74">
                  <c:v>96.742093141578806</c:v>
                </c:pt>
                <c:pt idx="75">
                  <c:v>96.563739981540323</c:v>
                </c:pt>
                <c:pt idx="76">
                  <c:v>96.419925583414994</c:v>
                </c:pt>
                <c:pt idx="77">
                  <c:v>96.005573918991843</c:v>
                </c:pt>
                <c:pt idx="78">
                  <c:v>97.30594694497826</c:v>
                </c:pt>
                <c:pt idx="79">
                  <c:v>97.497148620994324</c:v>
                </c:pt>
                <c:pt idx="80">
                  <c:v>97.078344278966938</c:v>
                </c:pt>
                <c:pt idx="81">
                  <c:v>97.280578974627588</c:v>
                </c:pt>
                <c:pt idx="82">
                  <c:v>97.213486273745417</c:v>
                </c:pt>
                <c:pt idx="83">
                  <c:v>97.124417395904032</c:v>
                </c:pt>
                <c:pt idx="84">
                  <c:v>97.349876263615272</c:v>
                </c:pt>
                <c:pt idx="85">
                  <c:v>97.384932332541254</c:v>
                </c:pt>
                <c:pt idx="86">
                  <c:v>96.661431211465242</c:v>
                </c:pt>
                <c:pt idx="87">
                  <c:v>96.195534782905</c:v>
                </c:pt>
                <c:pt idx="88">
                  <c:v>96.240744071519586</c:v>
                </c:pt>
                <c:pt idx="89">
                  <c:v>96.173496400712054</c:v>
                </c:pt>
                <c:pt idx="90">
                  <c:v>96.087346361230573</c:v>
                </c:pt>
                <c:pt idx="91">
                  <c:v>95.709435176550642</c:v>
                </c:pt>
                <c:pt idx="92">
                  <c:v>96.422679706158988</c:v>
                </c:pt>
                <c:pt idx="93">
                  <c:v>96.173496400712054</c:v>
                </c:pt>
                <c:pt idx="94">
                  <c:v>96.074416459878066</c:v>
                </c:pt>
                <c:pt idx="95">
                  <c:v>97.015988080065753</c:v>
                </c:pt>
                <c:pt idx="96">
                  <c:v>96.741696793103799</c:v>
                </c:pt>
                <c:pt idx="97">
                  <c:v>97.630989760373126</c:v>
                </c:pt>
                <c:pt idx="98">
                  <c:v>97.385607421323911</c:v>
                </c:pt>
                <c:pt idx="99">
                  <c:v>97.216835225676391</c:v>
                </c:pt>
                <c:pt idx="100">
                  <c:v>96.906920077727335</c:v>
                </c:pt>
                <c:pt idx="101">
                  <c:v>97.125698240026665</c:v>
                </c:pt>
                <c:pt idx="102">
                  <c:v>97.002003105546109</c:v>
                </c:pt>
                <c:pt idx="103">
                  <c:v>96.460271153171178</c:v>
                </c:pt>
                <c:pt idx="104">
                  <c:v>96.168521383564624</c:v>
                </c:pt>
                <c:pt idx="105">
                  <c:v>96.489906922840433</c:v>
                </c:pt>
                <c:pt idx="106">
                  <c:v>96.393219612659308</c:v>
                </c:pt>
                <c:pt idx="107">
                  <c:v>95.975927549018166</c:v>
                </c:pt>
                <c:pt idx="108">
                  <c:v>95.86157495975614</c:v>
                </c:pt>
                <c:pt idx="109">
                  <c:v>95.851544030873512</c:v>
                </c:pt>
                <c:pt idx="110">
                  <c:v>95.390164272784389</c:v>
                </c:pt>
                <c:pt idx="111">
                  <c:v>94.278718296874146</c:v>
                </c:pt>
                <c:pt idx="112">
                  <c:v>94.029633175878487</c:v>
                </c:pt>
                <c:pt idx="113">
                  <c:v>93.713380267151152</c:v>
                </c:pt>
                <c:pt idx="114">
                  <c:v>93.445288957516283</c:v>
                </c:pt>
                <c:pt idx="115">
                  <c:v>94.114577240080479</c:v>
                </c:pt>
                <c:pt idx="116">
                  <c:v>93.988282427303673</c:v>
                </c:pt>
                <c:pt idx="117">
                  <c:v>93.946931678728845</c:v>
                </c:pt>
                <c:pt idx="118">
                  <c:v>94.170131830969851</c:v>
                </c:pt>
                <c:pt idx="119">
                  <c:v>94.318748918787463</c:v>
                </c:pt>
                <c:pt idx="120">
                  <c:v>94.679643031305076</c:v>
                </c:pt>
                <c:pt idx="121">
                  <c:v>94.551757075103907</c:v>
                </c:pt>
                <c:pt idx="122">
                  <c:v>95.162683753850857</c:v>
                </c:pt>
                <c:pt idx="123">
                  <c:v>95.182638185336288</c:v>
                </c:pt>
                <c:pt idx="124">
                  <c:v>94.973684875850111</c:v>
                </c:pt>
                <c:pt idx="125">
                  <c:v>93.91345726321596</c:v>
                </c:pt>
                <c:pt idx="126">
                  <c:v>93.986417528337995</c:v>
                </c:pt>
                <c:pt idx="127">
                  <c:v>93.368898359294988</c:v>
                </c:pt>
                <c:pt idx="128">
                  <c:v>93.503520036335871</c:v>
                </c:pt>
                <c:pt idx="129">
                  <c:v>93.693203090618027</c:v>
                </c:pt>
                <c:pt idx="130">
                  <c:v>93.809095850146093</c:v>
                </c:pt>
                <c:pt idx="131">
                  <c:v>93.946983770878788</c:v>
                </c:pt>
                <c:pt idx="132">
                  <c:v>93.887833134689828</c:v>
                </c:pt>
                <c:pt idx="133">
                  <c:v>94.126987890803335</c:v>
                </c:pt>
                <c:pt idx="134">
                  <c:v>93.972701892962036</c:v>
                </c:pt>
                <c:pt idx="135">
                  <c:v>94.089426452332262</c:v>
                </c:pt>
                <c:pt idx="136">
                  <c:v>94.095357205775073</c:v>
                </c:pt>
                <c:pt idx="137">
                  <c:v>94.627011031511671</c:v>
                </c:pt>
                <c:pt idx="138">
                  <c:v>94.441465236584548</c:v>
                </c:pt>
                <c:pt idx="139">
                  <c:v>94.5653997288574</c:v>
                </c:pt>
                <c:pt idx="140">
                  <c:v>95.092433990566548</c:v>
                </c:pt>
                <c:pt idx="141">
                  <c:v>96.776896536058175</c:v>
                </c:pt>
                <c:pt idx="142">
                  <c:v>96.827735418457877</c:v>
                </c:pt>
                <c:pt idx="143">
                  <c:v>97.233825268297991</c:v>
                </c:pt>
                <c:pt idx="144">
                  <c:v>96.892809187929558</c:v>
                </c:pt>
                <c:pt idx="145">
                  <c:v>97.237909093043086</c:v>
                </c:pt>
                <c:pt idx="146">
                  <c:v>97.622763232002384</c:v>
                </c:pt>
                <c:pt idx="147">
                  <c:v>97.575605448322833</c:v>
                </c:pt>
                <c:pt idx="148">
                  <c:v>97.853003510425523</c:v>
                </c:pt>
                <c:pt idx="149">
                  <c:v>97.275192900438057</c:v>
                </c:pt>
                <c:pt idx="150">
                  <c:v>98.655067277934336</c:v>
                </c:pt>
                <c:pt idx="151">
                  <c:v>98.255465862873407</c:v>
                </c:pt>
                <c:pt idx="152">
                  <c:v>99.633364827194725</c:v>
                </c:pt>
                <c:pt idx="153">
                  <c:v>99.491535990085126</c:v>
                </c:pt>
                <c:pt idx="154">
                  <c:v>98.532538257025678</c:v>
                </c:pt>
                <c:pt idx="155">
                  <c:v>97.846835526845041</c:v>
                </c:pt>
                <c:pt idx="156">
                  <c:v>97.86328348305976</c:v>
                </c:pt>
                <c:pt idx="157">
                  <c:v>98.451697139974215</c:v>
                </c:pt>
                <c:pt idx="158">
                  <c:v>98.942729357080282</c:v>
                </c:pt>
                <c:pt idx="159">
                  <c:v>99.483173600003994</c:v>
                </c:pt>
                <c:pt idx="160">
                  <c:v>99.364718119219063</c:v>
                </c:pt>
                <c:pt idx="161">
                  <c:v>98.978071243472584</c:v>
                </c:pt>
                <c:pt idx="162">
                  <c:v>99.408559178982571</c:v>
                </c:pt>
                <c:pt idx="163">
                  <c:v>99.721293244810312</c:v>
                </c:pt>
                <c:pt idx="164">
                  <c:v>98.923260338228701</c:v>
                </c:pt>
                <c:pt idx="165">
                  <c:v>98.342176435369609</c:v>
                </c:pt>
                <c:pt idx="166">
                  <c:v>98.385531721617738</c:v>
                </c:pt>
                <c:pt idx="167">
                  <c:v>97.595137174900501</c:v>
                </c:pt>
                <c:pt idx="168">
                  <c:v>97.533711514242881</c:v>
                </c:pt>
                <c:pt idx="169">
                  <c:v>97.531663992220984</c:v>
                </c:pt>
                <c:pt idx="170">
                  <c:v>96.974268079171267</c:v>
                </c:pt>
                <c:pt idx="171">
                  <c:v>95.788396558468946</c:v>
                </c:pt>
                <c:pt idx="172">
                  <c:v>95.526541935076182</c:v>
                </c:pt>
                <c:pt idx="173">
                  <c:v>95.643230568153413</c:v>
                </c:pt>
                <c:pt idx="174">
                  <c:v>96.055702616986878</c:v>
                </c:pt>
                <c:pt idx="175">
                  <c:v>95.675372800648418</c:v>
                </c:pt>
                <c:pt idx="176">
                  <c:v>95.009034631413286</c:v>
                </c:pt>
                <c:pt idx="177">
                  <c:v>95.418180938281168</c:v>
                </c:pt>
                <c:pt idx="178">
                  <c:v>94.876038879104016</c:v>
                </c:pt>
                <c:pt idx="179">
                  <c:v>95.895682829018881</c:v>
                </c:pt>
                <c:pt idx="180">
                  <c:v>95.885611234208312</c:v>
                </c:pt>
                <c:pt idx="181">
                  <c:v>95.881582596284076</c:v>
                </c:pt>
                <c:pt idx="182">
                  <c:v>96.659263396668081</c:v>
                </c:pt>
                <c:pt idx="183">
                  <c:v>96.931505078254403</c:v>
                </c:pt>
                <c:pt idx="184">
                  <c:v>97.49480859582637</c:v>
                </c:pt>
                <c:pt idx="185">
                  <c:v>96.978340745925209</c:v>
                </c:pt>
                <c:pt idx="186">
                  <c:v>96.60076298000665</c:v>
                </c:pt>
                <c:pt idx="187">
                  <c:v>96.770956559825748</c:v>
                </c:pt>
                <c:pt idx="188">
                  <c:v>96.919245406777407</c:v>
                </c:pt>
                <c:pt idx="189">
                  <c:v>96.671743743433254</c:v>
                </c:pt>
                <c:pt idx="190">
                  <c:v>96.544446798216583</c:v>
                </c:pt>
                <c:pt idx="191">
                  <c:v>95.769790608602776</c:v>
                </c:pt>
                <c:pt idx="192">
                  <c:v>95.711532812205448</c:v>
                </c:pt>
                <c:pt idx="193">
                  <c:v>95.996398777124185</c:v>
                </c:pt>
                <c:pt idx="194">
                  <c:v>95.775817277195571</c:v>
                </c:pt>
                <c:pt idx="195">
                  <c:v>95.324116443791269</c:v>
                </c:pt>
                <c:pt idx="196">
                  <c:v>95.306109243405174</c:v>
                </c:pt>
                <c:pt idx="197">
                  <c:v>94.919879938867567</c:v>
                </c:pt>
                <c:pt idx="198">
                  <c:v>94.848140022890902</c:v>
                </c:pt>
                <c:pt idx="199">
                  <c:v>95.236081241903747</c:v>
                </c:pt>
                <c:pt idx="200">
                  <c:v>95.338041366670424</c:v>
                </c:pt>
                <c:pt idx="201">
                  <c:v>95.340044855960741</c:v>
                </c:pt>
                <c:pt idx="202">
                  <c:v>94.862089450997502</c:v>
                </c:pt>
                <c:pt idx="203">
                  <c:v>95.396142556088165</c:v>
                </c:pt>
                <c:pt idx="204">
                  <c:v>95.150379412720355</c:v>
                </c:pt>
                <c:pt idx="205">
                  <c:v>95.386125109636879</c:v>
                </c:pt>
                <c:pt idx="206">
                  <c:v>95.330118843919948</c:v>
                </c:pt>
                <c:pt idx="207">
                  <c:v>95.356129244477657</c:v>
                </c:pt>
                <c:pt idx="208">
                  <c:v>94.339090431702402</c:v>
                </c:pt>
                <c:pt idx="209">
                  <c:v>95.023504261944936</c:v>
                </c:pt>
                <c:pt idx="210">
                  <c:v>94.86948131937703</c:v>
                </c:pt>
                <c:pt idx="211">
                  <c:v>95.216560718861402</c:v>
                </c:pt>
                <c:pt idx="212">
                  <c:v>95.226537934604067</c:v>
                </c:pt>
                <c:pt idx="213">
                  <c:v>95.390153573357267</c:v>
                </c:pt>
                <c:pt idx="214">
                  <c:v>95.916439544361566</c:v>
                </c:pt>
                <c:pt idx="215">
                  <c:v>95.540202848424215</c:v>
                </c:pt>
                <c:pt idx="216">
                  <c:v>95.168976869342032</c:v>
                </c:pt>
                <c:pt idx="217">
                  <c:v>95.117164707803326</c:v>
                </c:pt>
                <c:pt idx="218">
                  <c:v>94.924498708120481</c:v>
                </c:pt>
                <c:pt idx="219">
                  <c:v>95.306232617134341</c:v>
                </c:pt>
                <c:pt idx="220">
                  <c:v>95.120779447731437</c:v>
                </c:pt>
                <c:pt idx="221">
                  <c:v>94.918528363533184</c:v>
                </c:pt>
                <c:pt idx="222">
                  <c:v>95.10282045939465</c:v>
                </c:pt>
                <c:pt idx="223">
                  <c:v>95.402147645464282</c:v>
                </c:pt>
                <c:pt idx="224">
                  <c:v>95.31822132516622</c:v>
                </c:pt>
                <c:pt idx="225">
                  <c:v>95.488182047308911</c:v>
                </c:pt>
                <c:pt idx="226">
                  <c:v>95.486063237612044</c:v>
                </c:pt>
                <c:pt idx="227">
                  <c:v>95.905711046839627</c:v>
                </c:pt>
                <c:pt idx="228">
                  <c:v>95.514036889686281</c:v>
                </c:pt>
                <c:pt idx="229">
                  <c:v>95.348259966665026</c:v>
                </c:pt>
                <c:pt idx="230">
                  <c:v>95.115549734913628</c:v>
                </c:pt>
                <c:pt idx="231">
                  <c:v>95.006616154317285</c:v>
                </c:pt>
                <c:pt idx="232">
                  <c:v>95.121520079500911</c:v>
                </c:pt>
                <c:pt idx="233">
                  <c:v>94.751956808119672</c:v>
                </c:pt>
                <c:pt idx="234">
                  <c:v>94.626124196156624</c:v>
                </c:pt>
                <c:pt idx="235">
                  <c:v>94.189501379252931</c:v>
                </c:pt>
                <c:pt idx="236">
                  <c:v>92.920954467462224</c:v>
                </c:pt>
                <c:pt idx="237">
                  <c:v>93.515803355874354</c:v>
                </c:pt>
                <c:pt idx="238">
                  <c:v>93.395035367260263</c:v>
                </c:pt>
                <c:pt idx="239">
                  <c:v>93.292166330500578</c:v>
                </c:pt>
                <c:pt idx="240">
                  <c:v>93.116462446131351</c:v>
                </c:pt>
                <c:pt idx="241">
                  <c:v>92.721275928167287</c:v>
                </c:pt>
                <c:pt idx="242">
                  <c:v>92.836184115448859</c:v>
                </c:pt>
                <c:pt idx="243">
                  <c:v>92.515425999115735</c:v>
                </c:pt>
                <c:pt idx="244">
                  <c:v>91.958456617704627</c:v>
                </c:pt>
                <c:pt idx="245">
                  <c:v>92.061592814047472</c:v>
                </c:pt>
                <c:pt idx="246">
                  <c:v>92.343772264129058</c:v>
                </c:pt>
                <c:pt idx="247">
                  <c:v>92.025600583108215</c:v>
                </c:pt>
                <c:pt idx="248">
                  <c:v>92.274626102279782</c:v>
                </c:pt>
                <c:pt idx="249">
                  <c:v>91.188733271453273</c:v>
                </c:pt>
                <c:pt idx="250">
                  <c:v>91.470301443878213</c:v>
                </c:pt>
                <c:pt idx="251">
                  <c:v>90.907393623394995</c:v>
                </c:pt>
                <c:pt idx="252">
                  <c:v>91.495112901516435</c:v>
                </c:pt>
                <c:pt idx="253">
                  <c:v>91.775940283506202</c:v>
                </c:pt>
                <c:pt idx="254">
                  <c:v>91.80081544193429</c:v>
                </c:pt>
                <c:pt idx="255">
                  <c:v>91.537101522134989</c:v>
                </c:pt>
                <c:pt idx="256">
                  <c:v>91.838342154144556</c:v>
                </c:pt>
                <c:pt idx="257">
                  <c:v>92.19192206437755</c:v>
                </c:pt>
                <c:pt idx="258">
                  <c:v>92.347534243878826</c:v>
                </c:pt>
                <c:pt idx="259">
                  <c:v>92.31475270113198</c:v>
                </c:pt>
                <c:pt idx="260">
                  <c:v>92.103447977319277</c:v>
                </c:pt>
                <c:pt idx="261">
                  <c:v>93.250908362739366</c:v>
                </c:pt>
                <c:pt idx="262">
                  <c:v>93.762603750127724</c:v>
                </c:pt>
                <c:pt idx="263">
                  <c:v>94.364981599946532</c:v>
                </c:pt>
                <c:pt idx="264">
                  <c:v>94.396528605913929</c:v>
                </c:pt>
                <c:pt idx="265">
                  <c:v>95.296650187394576</c:v>
                </c:pt>
                <c:pt idx="266">
                  <c:v>94.279706750592737</c:v>
                </c:pt>
                <c:pt idx="267">
                  <c:v>93.400279112490878</c:v>
                </c:pt>
                <c:pt idx="268">
                  <c:v>94.165159617887255</c:v>
                </c:pt>
                <c:pt idx="269">
                  <c:v>95.094064454858824</c:v>
                </c:pt>
                <c:pt idx="270">
                  <c:v>95.322521680606172</c:v>
                </c:pt>
                <c:pt idx="271">
                  <c:v>95.209337214663606</c:v>
                </c:pt>
                <c:pt idx="272">
                  <c:v>94.127506213128754</c:v>
                </c:pt>
                <c:pt idx="273">
                  <c:v>94.968013945730746</c:v>
                </c:pt>
                <c:pt idx="274">
                  <c:v>94.704247892569896</c:v>
                </c:pt>
                <c:pt idx="275">
                  <c:v>94.328933832229424</c:v>
                </c:pt>
                <c:pt idx="276">
                  <c:v>95.062712317813705</c:v>
                </c:pt>
                <c:pt idx="277">
                  <c:v>94.746876331547739</c:v>
                </c:pt>
                <c:pt idx="278">
                  <c:v>95.07418984109934</c:v>
                </c:pt>
                <c:pt idx="279">
                  <c:v>95.965896620135396</c:v>
                </c:pt>
                <c:pt idx="280">
                  <c:v>95.979939920571056</c:v>
                </c:pt>
                <c:pt idx="281">
                  <c:v>97.53718193802554</c:v>
                </c:pt>
                <c:pt idx="282">
                  <c:v>97.951406006714848</c:v>
                </c:pt>
                <c:pt idx="283">
                  <c:v>97.971881226934059</c:v>
                </c:pt>
                <c:pt idx="284">
                  <c:v>100.62048813760157</c:v>
                </c:pt>
                <c:pt idx="285">
                  <c:v>99.262500709594889</c:v>
                </c:pt>
                <c:pt idx="286">
                  <c:v>99.001625773124076</c:v>
                </c:pt>
                <c:pt idx="287">
                  <c:v>97.966306012649397</c:v>
                </c:pt>
                <c:pt idx="288">
                  <c:v>98.878265135208139</c:v>
                </c:pt>
                <c:pt idx="289">
                  <c:v>101.59343580320821</c:v>
                </c:pt>
                <c:pt idx="290">
                  <c:v>110.01560390717036</c:v>
                </c:pt>
                <c:pt idx="291">
                  <c:v>107.25394642494523</c:v>
                </c:pt>
                <c:pt idx="292">
                  <c:v>106.66705204698877</c:v>
                </c:pt>
                <c:pt idx="293">
                  <c:v>111.06775017826475</c:v>
                </c:pt>
                <c:pt idx="294">
                  <c:v>108.37366232357925</c:v>
                </c:pt>
                <c:pt idx="295">
                  <c:v>111.46472312267744</c:v>
                </c:pt>
                <c:pt idx="296">
                  <c:v>111.51294339088685</c:v>
                </c:pt>
                <c:pt idx="297">
                  <c:v>116.06064627886779</c:v>
                </c:pt>
                <c:pt idx="298">
                  <c:v>119.30100469119968</c:v>
                </c:pt>
                <c:pt idx="299">
                  <c:v>116.04548729563757</c:v>
                </c:pt>
                <c:pt idx="300">
                  <c:v>120.36866913214415</c:v>
                </c:pt>
                <c:pt idx="301">
                  <c:v>117.406358046656</c:v>
                </c:pt>
                <c:pt idx="302">
                  <c:v>115.50488908272594</c:v>
                </c:pt>
                <c:pt idx="303">
                  <c:v>116.72188518603339</c:v>
                </c:pt>
                <c:pt idx="304">
                  <c:v>116.08715315770991</c:v>
                </c:pt>
                <c:pt idx="305">
                  <c:v>118.49055441350579</c:v>
                </c:pt>
                <c:pt idx="306">
                  <c:v>116.40262852049165</c:v>
                </c:pt>
                <c:pt idx="307">
                  <c:v>117.6080269215681</c:v>
                </c:pt>
                <c:pt idx="308">
                  <c:v>116.95267466925894</c:v>
                </c:pt>
                <c:pt idx="309">
                  <c:v>114.28736070037159</c:v>
                </c:pt>
                <c:pt idx="310">
                  <c:v>113.61830392538839</c:v>
                </c:pt>
                <c:pt idx="311">
                  <c:v>112.44092756486179</c:v>
                </c:pt>
                <c:pt idx="312">
                  <c:v>112.8353929192407</c:v>
                </c:pt>
                <c:pt idx="313">
                  <c:v>110.36229780165186</c:v>
                </c:pt>
                <c:pt idx="314">
                  <c:v>109.76775996666272</c:v>
                </c:pt>
                <c:pt idx="315">
                  <c:v>109.88177082258038</c:v>
                </c:pt>
                <c:pt idx="316">
                  <c:v>109.48777389360851</c:v>
                </c:pt>
                <c:pt idx="317">
                  <c:v>110.29049361581855</c:v>
                </c:pt>
                <c:pt idx="318">
                  <c:v>110.44313749333197</c:v>
                </c:pt>
                <c:pt idx="319">
                  <c:v>110.64246251946257</c:v>
                </c:pt>
                <c:pt idx="320">
                  <c:v>110.82317370429507</c:v>
                </c:pt>
                <c:pt idx="321">
                  <c:v>114.13740667008641</c:v>
                </c:pt>
                <c:pt idx="322">
                  <c:v>114.24966167640032</c:v>
                </c:pt>
                <c:pt idx="323">
                  <c:v>112.06805621470087</c:v>
                </c:pt>
                <c:pt idx="324">
                  <c:v>110.83101472975433</c:v>
                </c:pt>
                <c:pt idx="325">
                  <c:v>110.15941060223625</c:v>
                </c:pt>
                <c:pt idx="326">
                  <c:v>109.79579251075232</c:v>
                </c:pt>
                <c:pt idx="327">
                  <c:v>108.90440033495848</c:v>
                </c:pt>
                <c:pt idx="328">
                  <c:v>112.49781373275756</c:v>
                </c:pt>
                <c:pt idx="329">
                  <c:v>110.39827344865188</c:v>
                </c:pt>
                <c:pt idx="330">
                  <c:v>110.86768048199038</c:v>
                </c:pt>
                <c:pt idx="331">
                  <c:v>109.94909418025796</c:v>
                </c:pt>
                <c:pt idx="332">
                  <c:v>109.66754483764281</c:v>
                </c:pt>
                <c:pt idx="333">
                  <c:v>109.93315378645394</c:v>
                </c:pt>
                <c:pt idx="334">
                  <c:v>109.52396032712598</c:v>
                </c:pt>
                <c:pt idx="335">
                  <c:v>109.30888134513445</c:v>
                </c:pt>
                <c:pt idx="336">
                  <c:v>109.91740573525996</c:v>
                </c:pt>
                <c:pt idx="337">
                  <c:v>109.36043579436013</c:v>
                </c:pt>
                <c:pt idx="338">
                  <c:v>108.58332833707003</c:v>
                </c:pt>
                <c:pt idx="339">
                  <c:v>107.82348759536534</c:v>
                </c:pt>
                <c:pt idx="340">
                  <c:v>107.11693297716928</c:v>
                </c:pt>
                <c:pt idx="341">
                  <c:v>105.74231173402492</c:v>
                </c:pt>
                <c:pt idx="342">
                  <c:v>107.07188993203228</c:v>
                </c:pt>
                <c:pt idx="343">
                  <c:v>107.12742629685935</c:v>
                </c:pt>
                <c:pt idx="344">
                  <c:v>106.50264547873009</c:v>
                </c:pt>
                <c:pt idx="345">
                  <c:v>105.90017212664047</c:v>
                </c:pt>
                <c:pt idx="346">
                  <c:v>105.60971095538773</c:v>
                </c:pt>
                <c:pt idx="347">
                  <c:v>104.04446464694433</c:v>
                </c:pt>
                <c:pt idx="348">
                  <c:v>102.44981188887699</c:v>
                </c:pt>
                <c:pt idx="349">
                  <c:v>101.99059771580151</c:v>
                </c:pt>
                <c:pt idx="350">
                  <c:v>103.10347962234889</c:v>
                </c:pt>
                <c:pt idx="351">
                  <c:v>102.43648108929342</c:v>
                </c:pt>
                <c:pt idx="352">
                  <c:v>101.64344783367135</c:v>
                </c:pt>
                <c:pt idx="353">
                  <c:v>102.62081952212414</c:v>
                </c:pt>
                <c:pt idx="354">
                  <c:v>102.57817013637418</c:v>
                </c:pt>
                <c:pt idx="355">
                  <c:v>102.701853355049</c:v>
                </c:pt>
                <c:pt idx="356">
                  <c:v>103.6297636706414</c:v>
                </c:pt>
                <c:pt idx="357">
                  <c:v>104.91050230195913</c:v>
                </c:pt>
                <c:pt idx="358">
                  <c:v>103.9679930870908</c:v>
                </c:pt>
                <c:pt idx="359">
                  <c:v>104.06656860914025</c:v>
                </c:pt>
                <c:pt idx="360">
                  <c:v>103.22969027678225</c:v>
                </c:pt>
                <c:pt idx="361">
                  <c:v>103.4723876483056</c:v>
                </c:pt>
                <c:pt idx="362">
                  <c:v>103.47544831131295</c:v>
                </c:pt>
                <c:pt idx="363">
                  <c:v>102.53033796300161</c:v>
                </c:pt>
                <c:pt idx="364">
                  <c:v>102.96479755725105</c:v>
                </c:pt>
                <c:pt idx="365">
                  <c:v>103.37519743254821</c:v>
                </c:pt>
                <c:pt idx="366">
                  <c:v>103.36371966076815</c:v>
                </c:pt>
                <c:pt idx="367">
                  <c:v>104.37201011006061</c:v>
                </c:pt>
                <c:pt idx="368">
                  <c:v>105.58060234592678</c:v>
                </c:pt>
                <c:pt idx="369">
                  <c:v>105.92671536684458</c:v>
                </c:pt>
                <c:pt idx="370">
                  <c:v>104.72303750112215</c:v>
                </c:pt>
                <c:pt idx="371">
                  <c:v>105.90454979486942</c:v>
                </c:pt>
                <c:pt idx="372">
                  <c:v>107.1172385874421</c:v>
                </c:pt>
                <c:pt idx="373">
                  <c:v>107.60683735475713</c:v>
                </c:pt>
                <c:pt idx="374">
                  <c:v>106.16453322049601</c:v>
                </c:pt>
                <c:pt idx="375">
                  <c:v>105.57846130295013</c:v>
                </c:pt>
                <c:pt idx="376">
                  <c:v>106.06985477126059</c:v>
                </c:pt>
                <c:pt idx="377">
                  <c:v>105.71932848241256</c:v>
                </c:pt>
                <c:pt idx="378">
                  <c:v>106.13830572433253</c:v>
                </c:pt>
                <c:pt idx="379">
                  <c:v>105.73847400939293</c:v>
                </c:pt>
                <c:pt idx="380">
                  <c:v>106.17258687727077</c:v>
                </c:pt>
                <c:pt idx="381">
                  <c:v>107.05230014048665</c:v>
                </c:pt>
                <c:pt idx="382">
                  <c:v>106.93531503568244</c:v>
                </c:pt>
                <c:pt idx="383">
                  <c:v>105.56388003786036</c:v>
                </c:pt>
                <c:pt idx="384">
                  <c:v>105.66427157149158</c:v>
                </c:pt>
                <c:pt idx="385">
                  <c:v>106.04432386308</c:v>
                </c:pt>
                <c:pt idx="386">
                  <c:v>106.37813946314726</c:v>
                </c:pt>
                <c:pt idx="387">
                  <c:v>106.62158666949475</c:v>
                </c:pt>
                <c:pt idx="388">
                  <c:v>107.66057539919937</c:v>
                </c:pt>
                <c:pt idx="389">
                  <c:v>107.93341252639716</c:v>
                </c:pt>
                <c:pt idx="390">
                  <c:v>109.57235922200708</c:v>
                </c:pt>
                <c:pt idx="391">
                  <c:v>110.11125908533943</c:v>
                </c:pt>
                <c:pt idx="392">
                  <c:v>110.22469866159196</c:v>
                </c:pt>
                <c:pt idx="393">
                  <c:v>109.85172517165798</c:v>
                </c:pt>
                <c:pt idx="394">
                  <c:v>108.66579360912188</c:v>
                </c:pt>
                <c:pt idx="395">
                  <c:v>109.24582821539059</c:v>
                </c:pt>
                <c:pt idx="396">
                  <c:v>109.8691604103546</c:v>
                </c:pt>
                <c:pt idx="397">
                  <c:v>109.75446321509619</c:v>
                </c:pt>
                <c:pt idx="398">
                  <c:v>108.62103096551954</c:v>
                </c:pt>
                <c:pt idx="399">
                  <c:v>108.8763667921887</c:v>
                </c:pt>
                <c:pt idx="400">
                  <c:v>109.57461770084339</c:v>
                </c:pt>
                <c:pt idx="401">
                  <c:v>109.33217461039338</c:v>
                </c:pt>
                <c:pt idx="402">
                  <c:v>109.45717680135571</c:v>
                </c:pt>
                <c:pt idx="403">
                  <c:v>109.02741761856278</c:v>
                </c:pt>
                <c:pt idx="404">
                  <c:v>109.37813004208513</c:v>
                </c:pt>
                <c:pt idx="405">
                  <c:v>110.14050436146113</c:v>
                </c:pt>
                <c:pt idx="406">
                  <c:v>110.7218384841855</c:v>
                </c:pt>
                <c:pt idx="407">
                  <c:v>110.59812301347448</c:v>
                </c:pt>
                <c:pt idx="408">
                  <c:v>111.38421518197298</c:v>
                </c:pt>
                <c:pt idx="409">
                  <c:v>112.93525177130398</c:v>
                </c:pt>
                <c:pt idx="410">
                  <c:v>111.85901162480894</c:v>
                </c:pt>
                <c:pt idx="411">
                  <c:v>111.05168357977396</c:v>
                </c:pt>
                <c:pt idx="412">
                  <c:v>109.86662432230609</c:v>
                </c:pt>
                <c:pt idx="413">
                  <c:v>109.95630062417838</c:v>
                </c:pt>
                <c:pt idx="414">
                  <c:v>110.2204158442063</c:v>
                </c:pt>
                <c:pt idx="415">
                  <c:v>112.30846269851492</c:v>
                </c:pt>
                <c:pt idx="416">
                  <c:v>111.73745984577737</c:v>
                </c:pt>
                <c:pt idx="417">
                  <c:v>113.33173444234352</c:v>
                </c:pt>
                <c:pt idx="418">
                  <c:v>113.96877986451128</c:v>
                </c:pt>
                <c:pt idx="419">
                  <c:v>113.13947925184739</c:v>
                </c:pt>
                <c:pt idx="420">
                  <c:v>112.33067288372789</c:v>
                </c:pt>
                <c:pt idx="421">
                  <c:v>111.66189967825872</c:v>
                </c:pt>
                <c:pt idx="422">
                  <c:v>112.22619072196862</c:v>
                </c:pt>
                <c:pt idx="423">
                  <c:v>111.98160375697231</c:v>
                </c:pt>
                <c:pt idx="424">
                  <c:v>111.37669241570048</c:v>
                </c:pt>
                <c:pt idx="425">
                  <c:v>111.77162815494708</c:v>
                </c:pt>
                <c:pt idx="426">
                  <c:v>111.97006663598184</c:v>
                </c:pt>
                <c:pt idx="427">
                  <c:v>113.20365388879527</c:v>
                </c:pt>
                <c:pt idx="428">
                  <c:v>113.76810154615659</c:v>
                </c:pt>
                <c:pt idx="429">
                  <c:v>115.19364111948404</c:v>
                </c:pt>
                <c:pt idx="430">
                  <c:v>115.1817733166818</c:v>
                </c:pt>
                <c:pt idx="431">
                  <c:v>117.51994624695232</c:v>
                </c:pt>
                <c:pt idx="432">
                  <c:v>118.37857281821915</c:v>
                </c:pt>
                <c:pt idx="433">
                  <c:v>116.67019358479384</c:v>
                </c:pt>
                <c:pt idx="434">
                  <c:v>115.23345083774467</c:v>
                </c:pt>
                <c:pt idx="435">
                  <c:v>117.09087157800411</c:v>
                </c:pt>
                <c:pt idx="436">
                  <c:v>116.71319154725417</c:v>
                </c:pt>
                <c:pt idx="437">
                  <c:v>116.89611825670438</c:v>
                </c:pt>
                <c:pt idx="438">
                  <c:v>116.71652667497793</c:v>
                </c:pt>
                <c:pt idx="439">
                  <c:v>116.20733985661603</c:v>
                </c:pt>
                <c:pt idx="440">
                  <c:v>115.06417010853608</c:v>
                </c:pt>
                <c:pt idx="441">
                  <c:v>114.94021213366028</c:v>
                </c:pt>
                <c:pt idx="442">
                  <c:v>114.89289571924141</c:v>
                </c:pt>
                <c:pt idx="443">
                  <c:v>115.15557458219389</c:v>
                </c:pt>
                <c:pt idx="444">
                  <c:v>116.33273920533645</c:v>
                </c:pt>
                <c:pt idx="445">
                  <c:v>116.62906790598413</c:v>
                </c:pt>
                <c:pt idx="446">
                  <c:v>115.76805775025713</c:v>
                </c:pt>
                <c:pt idx="447">
                  <c:v>116.16994319847581</c:v>
                </c:pt>
                <c:pt idx="448">
                  <c:v>114.96192828698746</c:v>
                </c:pt>
                <c:pt idx="449">
                  <c:v>114.76892905882742</c:v>
                </c:pt>
                <c:pt idx="450">
                  <c:v>113.81288187760184</c:v>
                </c:pt>
                <c:pt idx="451">
                  <c:v>113.98784291526756</c:v>
                </c:pt>
                <c:pt idx="452">
                  <c:v>114.15095513067669</c:v>
                </c:pt>
                <c:pt idx="453">
                  <c:v>116.39169111038628</c:v>
                </c:pt>
                <c:pt idx="454">
                  <c:v>118.37156733665041</c:v>
                </c:pt>
                <c:pt idx="455">
                  <c:v>117.90996816906748</c:v>
                </c:pt>
                <c:pt idx="456">
                  <c:v>119.67425963253567</c:v>
                </c:pt>
                <c:pt idx="457">
                  <c:v>118.68510276401588</c:v>
                </c:pt>
              </c:numCache>
            </c:numRef>
          </c:val>
          <c:smooth val="0"/>
          <c:extLst>
            <c:ext xmlns:c16="http://schemas.microsoft.com/office/drawing/2014/chart" uri="{C3380CC4-5D6E-409C-BE32-E72D297353CC}">
              <c16:uniqueId val="{00000002-DFF1-49D2-BB82-AF01953A7184}"/>
            </c:ext>
          </c:extLst>
        </c:ser>
        <c:dLbls>
          <c:showLegendKey val="0"/>
          <c:showVal val="0"/>
          <c:showCatName val="0"/>
          <c:showSerName val="0"/>
          <c:showPercent val="0"/>
          <c:showBubbleSize val="0"/>
        </c:dLbls>
        <c:smooth val="0"/>
        <c:axId val="121865728"/>
        <c:axId val="121867264"/>
      </c:lineChart>
      <c:catAx>
        <c:axId val="1218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21867264"/>
        <c:crosses val="autoZero"/>
        <c:auto val="1"/>
        <c:lblAlgn val="ctr"/>
        <c:lblOffset val="100"/>
        <c:noMultiLvlLbl val="1"/>
      </c:catAx>
      <c:valAx>
        <c:axId val="121867264"/>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2019 թ. հունվարի 8</a:t>
                </a:r>
                <a:endParaRPr lang="en-US" sz="800" b="0" i="0" u="none" strike="noStrike" baseline="0">
                  <a:effectLst/>
                </a:endParaRPr>
              </a:p>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=100</a:t>
                </a:r>
                <a:endParaRPr lang="en-US" sz="800"/>
              </a:p>
            </c:rich>
          </c:tx>
          <c:layout>
            <c:manualLayout>
              <c:xMode val="edge"/>
              <c:yMode val="edge"/>
              <c:x val="7.751937984496147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65728"/>
        <c:crosses val="autoZero"/>
        <c:crossBetween val="between"/>
      </c:valAx>
      <c:spPr>
        <a:noFill/>
        <a:ln>
          <a:noFill/>
        </a:ln>
        <a:effectLst/>
      </c:spPr>
    </c:plotArea>
    <c:legend>
      <c:legendPos val="b"/>
      <c:layout>
        <c:manualLayout>
          <c:xMode val="edge"/>
          <c:yMode val="edge"/>
          <c:x val="0"/>
          <c:y val="0.8103585377186705"/>
          <c:w val="1"/>
          <c:h val="0.188894498235567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tx1"/>
                </a:solidFill>
                <a:latin typeface="GHEA Grapalat" panose="02000506050000020003" pitchFamily="50" charset="0"/>
                <a:ea typeface="+mj-ea"/>
                <a:cs typeface="+mj-cs"/>
              </a:defRPr>
            </a:pPr>
            <a:r>
              <a:rPr lang="hy-AM" sz="900" b="1" i="1"/>
              <a:t>ԿԲ գործառնություններ, մլն դրամ</a:t>
            </a:r>
            <a:endParaRPr lang="en-US" sz="900" b="1" i="1"/>
          </a:p>
        </c:rich>
      </c:tx>
      <c:overlay val="0"/>
      <c:spPr>
        <a:noFill/>
        <a:ln>
          <a:noFill/>
        </a:ln>
        <a:effectLst/>
      </c:spPr>
    </c:title>
    <c:autoTitleDeleted val="0"/>
    <c:plotArea>
      <c:layout>
        <c:manualLayout>
          <c:layoutTarget val="inner"/>
          <c:xMode val="edge"/>
          <c:yMode val="edge"/>
          <c:x val="0.19427659505524772"/>
          <c:y val="0.14718253968253969"/>
          <c:w val="0.76045591523281864"/>
          <c:h val="0.49661948506436815"/>
        </c:manualLayout>
      </c:layout>
      <c:areaChart>
        <c:grouping val="standard"/>
        <c:varyColors val="0"/>
        <c:ser>
          <c:idx val="0"/>
          <c:order val="0"/>
          <c:tx>
            <c:strRef>
              <c:f>Sheet1!$B$1</c:f>
              <c:strCache>
                <c:ptCount val="1"/>
                <c:pt idx="0">
                  <c:v>Ռեպո համաձայնագրեր</c:v>
                </c:pt>
              </c:strCache>
            </c:strRef>
          </c:tx>
          <c:spPr>
            <a:solidFill>
              <a:schemeClr val="accent1"/>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Sheet1!$B$2:$B$46</c:f>
              <c:numCache>
                <c:formatCode>#,##0</c:formatCode>
                <c:ptCount val="45"/>
                <c:pt idx="0">
                  <c:v>10010.340092</c:v>
                </c:pt>
                <c:pt idx="1">
                  <c:v>10010.026423000001</c:v>
                </c:pt>
                <c:pt idx="2">
                  <c:v>30010.117533999994</c:v>
                </c:pt>
                <c:pt idx="3">
                  <c:v>4963.1806970000025</c:v>
                </c:pt>
                <c:pt idx="4">
                  <c:v>0</c:v>
                </c:pt>
                <c:pt idx="5">
                  <c:v>28708.224384000008</c:v>
                </c:pt>
                <c:pt idx="6">
                  <c:v>0</c:v>
                </c:pt>
                <c:pt idx="7">
                  <c:v>0</c:v>
                </c:pt>
                <c:pt idx="8">
                  <c:v>8003.9846569999991</c:v>
                </c:pt>
                <c:pt idx="9">
                  <c:v>10009.918903999993</c:v>
                </c:pt>
                <c:pt idx="10">
                  <c:v>15002.515935999994</c:v>
                </c:pt>
                <c:pt idx="11">
                  <c:v>36918.863014000002</c:v>
                </c:pt>
                <c:pt idx="12">
                  <c:v>3100</c:v>
                </c:pt>
                <c:pt idx="13">
                  <c:v>0</c:v>
                </c:pt>
                <c:pt idx="14">
                  <c:v>23007.619177999986</c:v>
                </c:pt>
                <c:pt idx="15">
                  <c:v>31752.306124999999</c:v>
                </c:pt>
                <c:pt idx="16">
                  <c:v>9601.6037530000049</c:v>
                </c:pt>
                <c:pt idx="17">
                  <c:v>55427.193008999995</c:v>
                </c:pt>
                <c:pt idx="18">
                  <c:v>67770.798931999961</c:v>
                </c:pt>
                <c:pt idx="19">
                  <c:v>66187.783616999994</c:v>
                </c:pt>
                <c:pt idx="20">
                  <c:v>120590.769421</c:v>
                </c:pt>
                <c:pt idx="21">
                  <c:v>90000</c:v>
                </c:pt>
                <c:pt idx="22">
                  <c:v>120040.73906399999</c:v>
                </c:pt>
                <c:pt idx="23">
                  <c:v>163433.11258099999</c:v>
                </c:pt>
                <c:pt idx="24">
                  <c:v>180879.100263</c:v>
                </c:pt>
                <c:pt idx="25">
                  <c:v>180073.80962699995</c:v>
                </c:pt>
                <c:pt idx="26">
                  <c:v>220323.28971799993</c:v>
                </c:pt>
                <c:pt idx="27">
                  <c:v>260627.031609</c:v>
                </c:pt>
                <c:pt idx="28">
                  <c:v>190557.54955299993</c:v>
                </c:pt>
                <c:pt idx="29">
                  <c:v>190642.64951199995</c:v>
                </c:pt>
                <c:pt idx="30">
                  <c:v>170338.63131</c:v>
                </c:pt>
                <c:pt idx="31">
                  <c:v>150411.26994500007</c:v>
                </c:pt>
                <c:pt idx="32">
                  <c:v>150458.40972699993</c:v>
                </c:pt>
                <c:pt idx="33">
                  <c:v>108677.60079200003</c:v>
                </c:pt>
                <c:pt idx="34">
                  <c:v>65252.792568999997</c:v>
                </c:pt>
                <c:pt idx="35">
                  <c:v>126669.77420100001</c:v>
                </c:pt>
                <c:pt idx="36">
                  <c:v>130040.291826</c:v>
                </c:pt>
                <c:pt idx="37">
                  <c:v>70032.156334999992</c:v>
                </c:pt>
                <c:pt idx="38">
                  <c:v>150133.33468199996</c:v>
                </c:pt>
                <c:pt idx="39">
                  <c:v>195027.59827900009</c:v>
                </c:pt>
                <c:pt idx="40">
                  <c:v>196812.30303499993</c:v>
                </c:pt>
                <c:pt idx="41">
                  <c:v>211932.343544</c:v>
                </c:pt>
                <c:pt idx="42">
                  <c:v>188727.39448999992</c:v>
                </c:pt>
                <c:pt idx="43" formatCode="_(* #,##0_);_(* \(#,##0\);_(* &quot;-&quot;??_);_(@_)">
                  <c:v>180135.43287500006</c:v>
                </c:pt>
                <c:pt idx="44">
                  <c:v>227400</c:v>
                </c:pt>
              </c:numCache>
            </c:numRef>
          </c:val>
          <c:extLst>
            <c:ext xmlns:c16="http://schemas.microsoft.com/office/drawing/2014/chart" uri="{C3380CC4-5D6E-409C-BE32-E72D297353CC}">
              <c16:uniqueId val="{00000000-A16E-463C-950C-08AB05502259}"/>
            </c:ext>
          </c:extLst>
        </c:ser>
        <c:ser>
          <c:idx val="1"/>
          <c:order val="1"/>
          <c:tx>
            <c:strRef>
              <c:f>Sheet1!$C$1</c:f>
              <c:strCache>
                <c:ptCount val="1"/>
                <c:pt idx="0">
                  <c:v>Արտարժույթի ներգրավման սվոփ</c:v>
                </c:pt>
              </c:strCache>
            </c:strRef>
          </c:tx>
          <c:spPr>
            <a:solidFill>
              <a:schemeClr val="accent2"/>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Sheet1!$C$2:$C$46</c:f>
              <c:numCache>
                <c:formatCode>#,##0</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10007.649315000002</c:v>
                </c:pt>
                <c:pt idx="15">
                  <c:v>25025.623835999999</c:v>
                </c:pt>
                <c:pt idx="16">
                  <c:v>9601.6037530000049</c:v>
                </c:pt>
                <c:pt idx="17">
                  <c:v>0</c:v>
                </c:pt>
                <c:pt idx="18">
                  <c:v>0</c:v>
                </c:pt>
                <c:pt idx="19">
                  <c:v>0</c:v>
                </c:pt>
                <c:pt idx="20">
                  <c:v>0</c:v>
                </c:pt>
                <c:pt idx="21">
                  <c:v>0</c:v>
                </c:pt>
                <c:pt idx="22">
                  <c:v>0</c:v>
                </c:pt>
                <c:pt idx="23">
                  <c:v>5351.1608177000007</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extLst>
            <c:ext xmlns:c16="http://schemas.microsoft.com/office/drawing/2014/chart" uri="{C3380CC4-5D6E-409C-BE32-E72D297353CC}">
              <c16:uniqueId val="{00000001-A16E-463C-950C-08AB05502259}"/>
            </c:ext>
          </c:extLst>
        </c:ser>
        <c:ser>
          <c:idx val="2"/>
          <c:order val="2"/>
          <c:tx>
            <c:strRef>
              <c:f>Sheet1!$D$1</c:f>
              <c:strCache>
                <c:ptCount val="1"/>
                <c:pt idx="0">
                  <c:v>Ավանդներ </c:v>
                </c:pt>
              </c:strCache>
            </c:strRef>
          </c:tx>
          <c:spPr>
            <a:solidFill>
              <a:schemeClr val="accent3"/>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Sheet1!$D$2:$D$46</c:f>
              <c:numCache>
                <c:formatCode>#,##0</c:formatCode>
                <c:ptCount val="45"/>
                <c:pt idx="0">
                  <c:v>0</c:v>
                </c:pt>
                <c:pt idx="1">
                  <c:v>0</c:v>
                </c:pt>
                <c:pt idx="2">
                  <c:v>-5300.6534247000018</c:v>
                </c:pt>
                <c:pt idx="3">
                  <c:v>-1500.5547944999998</c:v>
                </c:pt>
                <c:pt idx="4">
                  <c:v>-14001.7260274</c:v>
                </c:pt>
                <c:pt idx="5">
                  <c:v>-1200.1479451999999</c:v>
                </c:pt>
                <c:pt idx="6">
                  <c:v>-38004.6849315</c:v>
                </c:pt>
                <c:pt idx="7">
                  <c:v>-36504.500000100001</c:v>
                </c:pt>
                <c:pt idx="8">
                  <c:v>-3000.7397259999998</c:v>
                </c:pt>
                <c:pt idx="9">
                  <c:v>0</c:v>
                </c:pt>
                <c:pt idx="10">
                  <c:v>0</c:v>
                </c:pt>
                <c:pt idx="11">
                  <c:v>-66024.410958799999</c:v>
                </c:pt>
                <c:pt idx="12">
                  <c:v>0</c:v>
                </c:pt>
                <c:pt idx="13">
                  <c:v>-4000.493150700001</c:v>
                </c:pt>
                <c:pt idx="14">
                  <c:v>0</c:v>
                </c:pt>
                <c:pt idx="15">
                  <c:v>0</c:v>
                </c:pt>
                <c:pt idx="16">
                  <c:v>0</c:v>
                </c:pt>
                <c:pt idx="17">
                  <c:v>0</c:v>
                </c:pt>
                <c:pt idx="18">
                  <c:v>0</c:v>
                </c:pt>
                <c:pt idx="19">
                  <c:v>0</c:v>
                </c:pt>
                <c:pt idx="20">
                  <c:v>0</c:v>
                </c:pt>
                <c:pt idx="21">
                  <c:v>0</c:v>
                </c:pt>
                <c:pt idx="22">
                  <c:v>0</c:v>
                </c:pt>
                <c:pt idx="23">
                  <c:v>-12306.065753399997</c:v>
                </c:pt>
                <c:pt idx="24">
                  <c:v>0</c:v>
                </c:pt>
                <c:pt idx="25">
                  <c:v>0</c:v>
                </c:pt>
                <c:pt idx="26">
                  <c:v>0</c:v>
                </c:pt>
                <c:pt idx="27">
                  <c:v>0</c:v>
                </c:pt>
                <c:pt idx="28">
                  <c:v>-6000.6986301000024</c:v>
                </c:pt>
                <c:pt idx="29">
                  <c:v>-5001.7465753000006</c:v>
                </c:pt>
                <c:pt idx="30">
                  <c:v>-4400.5123288000004</c:v>
                </c:pt>
                <c:pt idx="31">
                  <c:v>0</c:v>
                </c:pt>
                <c:pt idx="32">
                  <c:v>-4000.4383562000012</c:v>
                </c:pt>
                <c:pt idx="33">
                  <c:v>-4000.4383562000012</c:v>
                </c:pt>
                <c:pt idx="34">
                  <c:v>-5501.2054795000004</c:v>
                </c:pt>
                <c:pt idx="35">
                  <c:v>-38508.438356100014</c:v>
                </c:pt>
                <c:pt idx="36">
                  <c:v>0</c:v>
                </c:pt>
                <c:pt idx="37">
                  <c:v>-2200.4808742999999</c:v>
                </c:pt>
                <c:pt idx="38">
                  <c:v>0</c:v>
                </c:pt>
                <c:pt idx="39">
                  <c:v>0</c:v>
                </c:pt>
                <c:pt idx="40">
                  <c:v>0</c:v>
                </c:pt>
                <c:pt idx="41">
                  <c:v>-3000.2459015999998</c:v>
                </c:pt>
                <c:pt idx="42">
                  <c:v>-1000.0819672</c:v>
                </c:pt>
                <c:pt idx="43">
                  <c:v>0</c:v>
                </c:pt>
                <c:pt idx="44">
                  <c:v>0</c:v>
                </c:pt>
              </c:numCache>
            </c:numRef>
          </c:val>
          <c:extLst>
            <c:ext xmlns:c16="http://schemas.microsoft.com/office/drawing/2014/chart" uri="{C3380CC4-5D6E-409C-BE32-E72D297353CC}">
              <c16:uniqueId val="{00000002-A16E-463C-950C-08AB05502259}"/>
            </c:ext>
          </c:extLst>
        </c:ser>
        <c:ser>
          <c:idx val="3"/>
          <c:order val="3"/>
          <c:tx>
            <c:strRef>
              <c:f>Sheet1!$E$1</c:f>
              <c:strCache>
                <c:ptCount val="1"/>
                <c:pt idx="0">
                  <c:v>Հակադարձ ռեպո</c:v>
                </c:pt>
              </c:strCache>
            </c:strRef>
          </c:tx>
          <c:spPr>
            <a:solidFill>
              <a:schemeClr val="accent4"/>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Sheet1!$E$2:$E$46</c:f>
              <c:numCache>
                <c:formatCode>#,##0</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extLst>
            <c:ext xmlns:c16="http://schemas.microsoft.com/office/drawing/2014/chart" uri="{C3380CC4-5D6E-409C-BE32-E72D297353CC}">
              <c16:uniqueId val="{00000003-A16E-463C-950C-08AB05502259}"/>
            </c:ext>
          </c:extLst>
        </c:ser>
        <c:ser>
          <c:idx val="4"/>
          <c:order val="4"/>
          <c:tx>
            <c:strRef>
              <c:f>Sheet1!$F$1</c:f>
              <c:strCache>
                <c:ptCount val="1"/>
                <c:pt idx="0">
                  <c:v>Արտարժույթի տրամադրման սվոփ</c:v>
                </c:pt>
              </c:strCache>
            </c:strRef>
          </c:tx>
          <c:spPr>
            <a:solidFill>
              <a:schemeClr val="accent5"/>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Sheet1!$F$2:$F$46</c:f>
              <c:numCache>
                <c:formatCode>#,##0</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-17699.178399999997</c:v>
                </c:pt>
                <c:pt idx="17">
                  <c:v>-12087.536472600004</c:v>
                </c:pt>
                <c:pt idx="18">
                  <c:v>-8697.4428230000012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-25957.6985981</c:v>
                </c:pt>
                <c:pt idx="39">
                  <c:v>-15287.9520557</c:v>
                </c:pt>
                <c:pt idx="40">
                  <c:v>-3415.8190572000017</c:v>
                </c:pt>
                <c:pt idx="41">
                  <c:v>0</c:v>
                </c:pt>
                <c:pt idx="42">
                  <c:v>0</c:v>
                </c:pt>
                <c:pt idx="43">
                  <c:v>0</c:v>
                </c:pt>
                <c:pt idx="44">
                  <c:v>0</c:v>
                </c:pt>
              </c:numCache>
            </c:numRef>
          </c:val>
          <c:extLst>
            <c:ext xmlns:c16="http://schemas.microsoft.com/office/drawing/2014/chart" uri="{C3380CC4-5D6E-409C-BE32-E72D297353CC}">
              <c16:uniqueId val="{00000004-A16E-463C-950C-08AB05502259}"/>
            </c:ext>
          </c:extLst>
        </c:ser>
        <c:dLbls>
          <c:showLegendKey val="0"/>
          <c:showVal val="0"/>
          <c:showCatName val="0"/>
          <c:showSerName val="0"/>
          <c:showPercent val="0"/>
          <c:showBubbleSize val="0"/>
        </c:dLbls>
        <c:axId val="250891648"/>
        <c:axId val="250893440"/>
      </c:areaChart>
      <c:lineChart>
        <c:grouping val="standard"/>
        <c:varyColors val="0"/>
        <c:ser>
          <c:idx val="5"/>
          <c:order val="5"/>
          <c:tx>
            <c:strRef>
              <c:f>Sheet1!$G$1</c:f>
              <c:strCache>
                <c:ptCount val="1"/>
                <c:pt idx="0">
                  <c:v>Զուտ իրացվելիության տրամադրում</c:v>
                </c:pt>
              </c:strCache>
            </c:strRef>
          </c:tx>
          <c:spPr>
            <a:ln w="28575" cap="rnd">
              <a:solidFill>
                <a:srgbClr val="C00000"/>
              </a:solidFill>
              <a:round/>
            </a:ln>
            <a:effectLst/>
          </c:spPr>
          <c:marker>
            <c:symbol val="none"/>
          </c:marke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Sheet1!$G$2:$G$46</c:f>
              <c:numCache>
                <c:formatCode>#,##0</c:formatCode>
                <c:ptCount val="45"/>
                <c:pt idx="0">
                  <c:v>10010.340092</c:v>
                </c:pt>
                <c:pt idx="1">
                  <c:v>10010.026423000001</c:v>
                </c:pt>
                <c:pt idx="2">
                  <c:v>24709.46410930001</c:v>
                </c:pt>
                <c:pt idx="3">
                  <c:v>3462.6259024999999</c:v>
                </c:pt>
                <c:pt idx="4">
                  <c:v>-14001.7260274</c:v>
                </c:pt>
                <c:pt idx="5">
                  <c:v>27508.076438800003</c:v>
                </c:pt>
                <c:pt idx="6">
                  <c:v>-38004.6849315</c:v>
                </c:pt>
                <c:pt idx="7">
                  <c:v>-36504.500000100001</c:v>
                </c:pt>
                <c:pt idx="8">
                  <c:v>5003.2449310000002</c:v>
                </c:pt>
                <c:pt idx="9">
                  <c:v>10009.918903999993</c:v>
                </c:pt>
                <c:pt idx="10">
                  <c:v>15002.515935999994</c:v>
                </c:pt>
                <c:pt idx="11">
                  <c:v>-29105.547944800004</c:v>
                </c:pt>
                <c:pt idx="12">
                  <c:v>3100</c:v>
                </c:pt>
                <c:pt idx="13">
                  <c:v>-4000.493150700001</c:v>
                </c:pt>
                <c:pt idx="14">
                  <c:v>33015.268492999996</c:v>
                </c:pt>
                <c:pt idx="15">
                  <c:v>56777.929960999994</c:v>
                </c:pt>
                <c:pt idx="16">
                  <c:v>1504.0291060000054</c:v>
                </c:pt>
                <c:pt idx="17">
                  <c:v>43339.65653640002</c:v>
                </c:pt>
                <c:pt idx="18">
                  <c:v>59073.356109000008</c:v>
                </c:pt>
                <c:pt idx="19">
                  <c:v>66187.783616999994</c:v>
                </c:pt>
                <c:pt idx="20">
                  <c:v>120590.769421</c:v>
                </c:pt>
                <c:pt idx="21">
                  <c:v>90000</c:v>
                </c:pt>
                <c:pt idx="22">
                  <c:v>120040.73906399999</c:v>
                </c:pt>
                <c:pt idx="23">
                  <c:v>156478.20764530008</c:v>
                </c:pt>
                <c:pt idx="24">
                  <c:v>180879.100263</c:v>
                </c:pt>
                <c:pt idx="25">
                  <c:v>180073.80962699995</c:v>
                </c:pt>
                <c:pt idx="26">
                  <c:v>220323.28971799993</c:v>
                </c:pt>
                <c:pt idx="27">
                  <c:v>260627.031609</c:v>
                </c:pt>
                <c:pt idx="28">
                  <c:v>184556.85092289993</c:v>
                </c:pt>
                <c:pt idx="29">
                  <c:v>185640.9029367</c:v>
                </c:pt>
                <c:pt idx="30">
                  <c:v>165938.11898120007</c:v>
                </c:pt>
                <c:pt idx="31">
                  <c:v>150411.26994500007</c:v>
                </c:pt>
                <c:pt idx="32">
                  <c:v>146457.97137079999</c:v>
                </c:pt>
                <c:pt idx="33">
                  <c:v>104677.1624358</c:v>
                </c:pt>
                <c:pt idx="34">
                  <c:v>59751.587089500004</c:v>
                </c:pt>
                <c:pt idx="35">
                  <c:v>88161.335844899993</c:v>
                </c:pt>
                <c:pt idx="36">
                  <c:v>130040.291826</c:v>
                </c:pt>
                <c:pt idx="37">
                  <c:v>67831.675460700062</c:v>
                </c:pt>
                <c:pt idx="38">
                  <c:v>124175.63608390001</c:v>
                </c:pt>
                <c:pt idx="39">
                  <c:v>179739.64622330008</c:v>
                </c:pt>
                <c:pt idx="40">
                  <c:v>193396.4839778</c:v>
                </c:pt>
                <c:pt idx="41">
                  <c:v>208932.09764240001</c:v>
                </c:pt>
                <c:pt idx="42">
                  <c:v>187727.3125228</c:v>
                </c:pt>
                <c:pt idx="43">
                  <c:v>180135.43287500006</c:v>
                </c:pt>
                <c:pt idx="44">
                  <c:v>227400</c:v>
                </c:pt>
              </c:numCache>
            </c:numRef>
          </c:val>
          <c:smooth val="0"/>
          <c:extLst>
            <c:ext xmlns:c16="http://schemas.microsoft.com/office/drawing/2014/chart" uri="{C3380CC4-5D6E-409C-BE32-E72D297353CC}">
              <c16:uniqueId val="{00000005-A16E-463C-950C-08AB05502259}"/>
            </c:ext>
          </c:extLst>
        </c:ser>
        <c:dLbls>
          <c:showLegendKey val="0"/>
          <c:showVal val="0"/>
          <c:showCatName val="0"/>
          <c:showSerName val="0"/>
          <c:showPercent val="0"/>
          <c:showBubbleSize val="0"/>
        </c:dLbls>
        <c:marker val="1"/>
        <c:smooth val="0"/>
        <c:axId val="250891648"/>
        <c:axId val="250893440"/>
      </c:lineChart>
      <c:catAx>
        <c:axId val="2508916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250893440"/>
        <c:crosses val="autoZero"/>
        <c:auto val="1"/>
        <c:lblAlgn val="ctr"/>
        <c:lblOffset val="100"/>
        <c:noMultiLvlLbl val="0"/>
      </c:catAx>
      <c:valAx>
        <c:axId val="2508934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508916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3405268785846284E-2"/>
          <c:y val="0.69940194975627956"/>
          <c:w val="0.95318946242830915"/>
          <c:h val="0.276788526434195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Sheet2!$B$3</c:f>
              <c:strCache>
                <c:ptCount val="1"/>
              </c:strCache>
            </c:strRef>
          </c:tx>
          <c:spPr>
            <a:no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Sheet2!$B$68:$B$91</c:f>
              <c:numCache>
                <c:formatCode>General</c:formatCode>
                <c:ptCount val="12"/>
                <c:pt idx="0">
                  <c:v>0.13736183430854965</c:v>
                </c:pt>
                <c:pt idx="1">
                  <c:v>7.5594540907032703</c:v>
                </c:pt>
                <c:pt idx="2">
                  <c:v>5.1738939407217828</c:v>
                </c:pt>
                <c:pt idx="3">
                  <c:v>7.5825930160295059</c:v>
                </c:pt>
                <c:pt idx="4">
                  <c:v>3.9467111733943772</c:v>
                </c:pt>
                <c:pt idx="5">
                  <c:v>-5.674773485932282</c:v>
                </c:pt>
                <c:pt idx="6">
                  <c:v>-7.0254711751663015</c:v>
                </c:pt>
                <c:pt idx="7">
                  <c:v>-12.059840710247631</c:v>
                </c:pt>
                <c:pt idx="8">
                  <c:v>-9.6713640217254522</c:v>
                </c:pt>
                <c:pt idx="9">
                  <c:v>-6.5141573123752119</c:v>
                </c:pt>
                <c:pt idx="10">
                  <c:v>-6.2055697814152779</c:v>
                </c:pt>
                <c:pt idx="11">
                  <c:v>-6.18177460420155</c:v>
                </c:pt>
              </c:numCache>
            </c:numRef>
          </c:val>
          <c:extLst>
            <c:ext xmlns:c16="http://schemas.microsoft.com/office/drawing/2014/chart" uri="{C3380CC4-5D6E-409C-BE32-E72D297353CC}">
              <c16:uniqueId val="{00000000-D81B-4BEB-8D7C-F2E2B9E8B4A6}"/>
            </c:ext>
          </c:extLst>
        </c:ser>
        <c:ser>
          <c:idx val="1"/>
          <c:order val="1"/>
          <c:tx>
            <c:strRef>
              <c:f>Sheet2!$C$3</c:f>
              <c:strCache>
                <c:ptCount val="1"/>
              </c:strCache>
            </c:strRef>
          </c:tx>
          <c:spPr>
            <a:solidFill>
              <a:srgbClr val="FF0000">
                <a:alpha val="2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Sheet2!$C$68:$C$91</c:f>
              <c:numCache>
                <c:formatCode>General</c:formatCode>
                <c:ptCount val="12"/>
                <c:pt idx="7">
                  <c:v>0.90932566732581011</c:v>
                </c:pt>
                <c:pt idx="8">
                  <c:v>1.9152612564930618</c:v>
                </c:pt>
                <c:pt idx="9">
                  <c:v>1.9925379860906005</c:v>
                </c:pt>
                <c:pt idx="10">
                  <c:v>2.0415628371166479</c:v>
                </c:pt>
                <c:pt idx="11">
                  <c:v>2.0737601115289142</c:v>
                </c:pt>
              </c:numCache>
            </c:numRef>
          </c:val>
          <c:extLst>
            <c:ext xmlns:c16="http://schemas.microsoft.com/office/drawing/2014/chart" uri="{C3380CC4-5D6E-409C-BE32-E72D297353CC}">
              <c16:uniqueId val="{00000001-D81B-4BEB-8D7C-F2E2B9E8B4A6}"/>
            </c:ext>
          </c:extLst>
        </c:ser>
        <c:ser>
          <c:idx val="2"/>
          <c:order val="2"/>
          <c:tx>
            <c:strRef>
              <c:f>Sheet2!$D$3</c:f>
              <c:strCache>
                <c:ptCount val="1"/>
              </c:strCache>
            </c:strRef>
          </c:tx>
          <c:spPr>
            <a:solidFill>
              <a:srgbClr val="FF0000">
                <a:alpha val="3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Sheet2!$D$68:$D$91</c:f>
              <c:numCache>
                <c:formatCode>General</c:formatCode>
                <c:ptCount val="12"/>
                <c:pt idx="7">
                  <c:v>0.61351771071143446</c:v>
                </c:pt>
                <c:pt idx="8">
                  <c:v>1.2922176770326592</c:v>
                </c:pt>
                <c:pt idx="9">
                  <c:v>1.3443559196200217</c:v>
                </c:pt>
                <c:pt idx="10">
                  <c:v>1.377432753861294</c:v>
                </c:pt>
                <c:pt idx="11">
                  <c:v>1.399156102050348</c:v>
                </c:pt>
              </c:numCache>
            </c:numRef>
          </c:val>
          <c:extLst>
            <c:ext xmlns:c16="http://schemas.microsoft.com/office/drawing/2014/chart" uri="{C3380CC4-5D6E-409C-BE32-E72D297353CC}">
              <c16:uniqueId val="{00000002-D81B-4BEB-8D7C-F2E2B9E8B4A6}"/>
            </c:ext>
          </c:extLst>
        </c:ser>
        <c:ser>
          <c:idx val="3"/>
          <c:order val="3"/>
          <c:tx>
            <c:strRef>
              <c:f>Sheet2!$E$3</c:f>
              <c:strCache>
                <c:ptCount val="1"/>
              </c:strCache>
            </c:strRef>
          </c:tx>
          <c:spPr>
            <a:solidFill>
              <a:srgbClr val="FF0000">
                <a:alpha val="4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Sheet2!$E$68:$E$91</c:f>
              <c:numCache>
                <c:formatCode>General</c:formatCode>
                <c:ptCount val="12"/>
                <c:pt idx="7">
                  <c:v>0.48760442756623235</c:v>
                </c:pt>
                <c:pt idx="8">
                  <c:v>1.0270136455715697</c:v>
                </c:pt>
                <c:pt idx="9">
                  <c:v>1.0684514679640804</c:v>
                </c:pt>
                <c:pt idx="10">
                  <c:v>1.0947398872620591</c:v>
                </c:pt>
                <c:pt idx="11">
                  <c:v>1.1120049157585683</c:v>
                </c:pt>
              </c:numCache>
            </c:numRef>
          </c:val>
          <c:extLst>
            <c:ext xmlns:c16="http://schemas.microsoft.com/office/drawing/2014/chart" uri="{C3380CC4-5D6E-409C-BE32-E72D297353CC}">
              <c16:uniqueId val="{00000003-D81B-4BEB-8D7C-F2E2B9E8B4A6}"/>
            </c:ext>
          </c:extLst>
        </c:ser>
        <c:ser>
          <c:idx val="4"/>
          <c:order val="4"/>
          <c:tx>
            <c:strRef>
              <c:f>Sheet2!$F$3</c:f>
              <c:strCache>
                <c:ptCount val="1"/>
              </c:strCache>
            </c:strRef>
          </c:tx>
          <c:spPr>
            <a:solidFill>
              <a:srgbClr val="FF0000">
                <a:alpha val="5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Sheet2!$F$68:$F$91</c:f>
              <c:numCache>
                <c:formatCode>General</c:formatCode>
                <c:ptCount val="12"/>
                <c:pt idx="7">
                  <c:v>0.41832118173033828</c:v>
                </c:pt>
                <c:pt idx="8">
                  <c:v>0.88108626087142417</c:v>
                </c:pt>
                <c:pt idx="9">
                  <c:v>0.91663622279052914</c:v>
                </c:pt>
                <c:pt idx="10">
                  <c:v>0.9391893457829571</c:v>
                </c:pt>
                <c:pt idx="11">
                  <c:v>0.95400120292567503</c:v>
                </c:pt>
              </c:numCache>
            </c:numRef>
          </c:val>
          <c:extLst>
            <c:ext xmlns:c16="http://schemas.microsoft.com/office/drawing/2014/chart" uri="{C3380CC4-5D6E-409C-BE32-E72D297353CC}">
              <c16:uniqueId val="{00000004-D81B-4BEB-8D7C-F2E2B9E8B4A6}"/>
            </c:ext>
          </c:extLst>
        </c:ser>
        <c:ser>
          <c:idx val="5"/>
          <c:order val="5"/>
          <c:tx>
            <c:strRef>
              <c:f>Sheet2!$G$3</c:f>
              <c:strCache>
                <c:ptCount val="1"/>
              </c:strCache>
            </c:strRef>
          </c:tx>
          <c:spPr>
            <a:solidFill>
              <a:srgbClr val="FF0000">
                <a:alpha val="6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Sheet2!$G$68:$G$91</c:f>
              <c:numCache>
                <c:formatCode>General</c:formatCode>
                <c:ptCount val="12"/>
                <c:pt idx="7">
                  <c:v>0.375665349953483</c:v>
                </c:pt>
                <c:pt idx="8">
                  <c:v>0.79124269337821485</c:v>
                </c:pt>
                <c:pt idx="9">
                  <c:v>0.82316765789933388</c:v>
                </c:pt>
                <c:pt idx="10">
                  <c:v>0.84342105938010392</c:v>
                </c:pt>
                <c:pt idx="11">
                  <c:v>0.85672256487395249</c:v>
                </c:pt>
              </c:numCache>
            </c:numRef>
          </c:val>
          <c:extLst>
            <c:ext xmlns:c16="http://schemas.microsoft.com/office/drawing/2014/chart" uri="{C3380CC4-5D6E-409C-BE32-E72D297353CC}">
              <c16:uniqueId val="{00000005-D81B-4BEB-8D7C-F2E2B9E8B4A6}"/>
            </c:ext>
          </c:extLst>
        </c:ser>
        <c:ser>
          <c:idx val="6"/>
          <c:order val="6"/>
          <c:tx>
            <c:strRef>
              <c:f>Sheet2!$H$3</c:f>
              <c:strCache>
                <c:ptCount val="1"/>
              </c:strCache>
            </c:strRef>
          </c:tx>
          <c:spPr>
            <a:solidFill>
              <a:srgbClr val="FF0000">
                <a:alpha val="7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Sheet2!$H$68:$H$91</c:f>
              <c:numCache>
                <c:formatCode>General</c:formatCode>
                <c:ptCount val="12"/>
                <c:pt idx="7">
                  <c:v>0.34810993206076546</c:v>
                </c:pt>
                <c:pt idx="8">
                  <c:v>0.73320427414871481</c:v>
                </c:pt>
                <c:pt idx="9">
                  <c:v>0.76278751154834445</c:v>
                </c:pt>
                <c:pt idx="10">
                  <c:v>0.78155530638048232</c:v>
                </c:pt>
                <c:pt idx="11">
                  <c:v>0.79388113354112688</c:v>
                </c:pt>
              </c:numCache>
            </c:numRef>
          </c:val>
          <c:extLst>
            <c:ext xmlns:c16="http://schemas.microsoft.com/office/drawing/2014/chart" uri="{C3380CC4-5D6E-409C-BE32-E72D297353CC}">
              <c16:uniqueId val="{00000006-D81B-4BEB-8D7C-F2E2B9E8B4A6}"/>
            </c:ext>
          </c:extLst>
        </c:ser>
        <c:ser>
          <c:idx val="7"/>
          <c:order val="7"/>
          <c:tx>
            <c:strRef>
              <c:f>Sheet2!$I$3</c:f>
              <c:strCache>
                <c:ptCount val="1"/>
              </c:strCache>
            </c:strRef>
          </c:tx>
          <c:spPr>
            <a:solidFill>
              <a:srgbClr val="FF0000">
                <a:alpha val="8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Sheet2!$I$68:$I$91</c:f>
              <c:numCache>
                <c:formatCode>General</c:formatCode>
                <c:ptCount val="12"/>
                <c:pt idx="7">
                  <c:v>0.33032228378118988</c:v>
                </c:pt>
                <c:pt idx="8">
                  <c:v>0.6957391559648356</c:v>
                </c:pt>
                <c:pt idx="9">
                  <c:v>0.72381075530599204</c:v>
                </c:pt>
                <c:pt idx="10">
                  <c:v>0.74161955729503282</c:v>
                </c:pt>
                <c:pt idx="11">
                  <c:v>0.75331556192521787</c:v>
                </c:pt>
              </c:numCache>
            </c:numRef>
          </c:val>
          <c:extLst>
            <c:ext xmlns:c16="http://schemas.microsoft.com/office/drawing/2014/chart" uri="{C3380CC4-5D6E-409C-BE32-E72D297353CC}">
              <c16:uniqueId val="{00000007-D81B-4BEB-8D7C-F2E2B9E8B4A6}"/>
            </c:ext>
          </c:extLst>
        </c:ser>
        <c:ser>
          <c:idx val="8"/>
          <c:order val="8"/>
          <c:tx>
            <c:strRef>
              <c:f>Sheet2!$J$3</c:f>
              <c:strCache>
                <c:ptCount val="1"/>
              </c:strCache>
            </c:strRef>
          </c:tx>
          <c:spPr>
            <a:solidFill>
              <a:srgbClr val="FF0000">
                <a:alpha val="9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Sheet2!$J$68:$J$91</c:f>
              <c:numCache>
                <c:formatCode>General</c:formatCode>
                <c:ptCount val="12"/>
                <c:pt idx="7">
                  <c:v>0.31959063234694646</c:v>
                </c:pt>
                <c:pt idx="8">
                  <c:v>0.67313568511963151</c:v>
                </c:pt>
                <c:pt idx="9">
                  <c:v>0.70029528235217287</c:v>
                </c:pt>
                <c:pt idx="10">
                  <c:v>0.7175255043761547</c:v>
                </c:pt>
                <c:pt idx="11">
                  <c:v>0.72884152421261861</c:v>
                </c:pt>
              </c:numCache>
            </c:numRef>
          </c:val>
          <c:extLst>
            <c:ext xmlns:c16="http://schemas.microsoft.com/office/drawing/2014/chart" uri="{C3380CC4-5D6E-409C-BE32-E72D297353CC}">
              <c16:uniqueId val="{00000008-D81B-4BEB-8D7C-F2E2B9E8B4A6}"/>
            </c:ext>
          </c:extLst>
        </c:ser>
        <c:ser>
          <c:idx val="9"/>
          <c:order val="9"/>
          <c:tx>
            <c:strRef>
              <c:f>Sheet2!$K$3</c:f>
              <c:strCache>
                <c:ptCount val="1"/>
              </c:strCache>
            </c:strRef>
          </c:tx>
          <c:spPr>
            <a:solidFill>
              <a:srgbClr val="FF0000"/>
            </a:solidFill>
            <a:ln>
              <a:solidFill>
                <a:srgbClr val="FF0000"/>
              </a:solidFill>
              <a:prstDash val="solid"/>
            </a:ln>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Sheet2!$K$68:$K$91</c:f>
              <c:numCache>
                <c:formatCode>General</c:formatCode>
                <c:ptCount val="12"/>
                <c:pt idx="7">
                  <c:v>0.47155414469979018</c:v>
                </c:pt>
                <c:pt idx="8">
                  <c:v>0.8524473187080106</c:v>
                </c:pt>
                <c:pt idx="9">
                  <c:v>0.90590530286685367</c:v>
                </c:pt>
                <c:pt idx="10">
                  <c:v>0.93981938959373013</c:v>
                </c:pt>
                <c:pt idx="11">
                  <c:v>0.96209260682811704</c:v>
                </c:pt>
              </c:numCache>
            </c:numRef>
          </c:val>
          <c:extLst>
            <c:ext xmlns:c16="http://schemas.microsoft.com/office/drawing/2014/chart" uri="{C3380CC4-5D6E-409C-BE32-E72D297353CC}">
              <c16:uniqueId val="{00000009-D81B-4BEB-8D7C-F2E2B9E8B4A6}"/>
            </c:ext>
          </c:extLst>
        </c:ser>
        <c:ser>
          <c:idx val="10"/>
          <c:order val="10"/>
          <c:tx>
            <c:strRef>
              <c:f>Sheet2!$L$3</c:f>
              <c:strCache>
                <c:ptCount val="1"/>
              </c:strCache>
            </c:strRef>
          </c:tx>
          <c:spPr>
            <a:solidFill>
              <a:srgbClr val="FF0000">
                <a:alpha val="9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Sheet2!$L$68:$L$91</c:f>
              <c:numCache>
                <c:formatCode>General</c:formatCode>
                <c:ptCount val="12"/>
                <c:pt idx="7">
                  <c:v>0.15956026886649197</c:v>
                </c:pt>
                <c:pt idx="8">
                  <c:v>0.19304459467826821</c:v>
                </c:pt>
                <c:pt idx="9">
                  <c:v>0.22020419191080931</c:v>
                </c:pt>
                <c:pt idx="10">
                  <c:v>0.23743441393479228</c:v>
                </c:pt>
                <c:pt idx="11">
                  <c:v>0.24875043377125583</c:v>
                </c:pt>
              </c:numCache>
            </c:numRef>
          </c:val>
          <c:extLst>
            <c:ext xmlns:c16="http://schemas.microsoft.com/office/drawing/2014/chart" uri="{C3380CC4-5D6E-409C-BE32-E72D297353CC}">
              <c16:uniqueId val="{0000000A-D81B-4BEB-8D7C-F2E2B9E8B4A6}"/>
            </c:ext>
          </c:extLst>
        </c:ser>
        <c:ser>
          <c:idx val="11"/>
          <c:order val="11"/>
          <c:tx>
            <c:strRef>
              <c:f>Sheet2!$M$3</c:f>
              <c:strCache>
                <c:ptCount val="1"/>
              </c:strCache>
            </c:strRef>
          </c:tx>
          <c:spPr>
            <a:solidFill>
              <a:srgbClr val="FF0000">
                <a:alpha val="8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Sheet2!$M$68:$M$91</c:f>
              <c:numCache>
                <c:formatCode>General</c:formatCode>
                <c:ptCount val="12"/>
                <c:pt idx="7">
                  <c:v>0.16491820184360784</c:v>
                </c:pt>
                <c:pt idx="8">
                  <c:v>0.19952691015209101</c:v>
                </c:pt>
                <c:pt idx="9">
                  <c:v>0.22759850949324711</c:v>
                </c:pt>
                <c:pt idx="10">
                  <c:v>0.24540731148228745</c:v>
                </c:pt>
                <c:pt idx="11">
                  <c:v>0.25710331611247295</c:v>
                </c:pt>
              </c:numCache>
            </c:numRef>
          </c:val>
          <c:extLst>
            <c:ext xmlns:c16="http://schemas.microsoft.com/office/drawing/2014/chart" uri="{C3380CC4-5D6E-409C-BE32-E72D297353CC}">
              <c16:uniqueId val="{0000000B-D81B-4BEB-8D7C-F2E2B9E8B4A6}"/>
            </c:ext>
          </c:extLst>
        </c:ser>
        <c:ser>
          <c:idx val="12"/>
          <c:order val="12"/>
          <c:tx>
            <c:strRef>
              <c:f>Sheet2!$N$3</c:f>
              <c:strCache>
                <c:ptCount val="1"/>
              </c:strCache>
            </c:strRef>
          </c:tx>
          <c:spPr>
            <a:solidFill>
              <a:srgbClr val="FF0000">
                <a:alpha val="7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Sheet2!$N$68:$N$91</c:f>
              <c:numCache>
                <c:formatCode>General</c:formatCode>
                <c:ptCount val="12"/>
                <c:pt idx="7">
                  <c:v>0.17379894381388894</c:v>
                </c:pt>
                <c:pt idx="8">
                  <c:v>0.21027130940808347</c:v>
                </c:pt>
                <c:pt idx="9">
                  <c:v>0.23985454680771356</c:v>
                </c:pt>
                <c:pt idx="10">
                  <c:v>0.25862234163985187</c:v>
                </c:pt>
                <c:pt idx="11">
                  <c:v>0.27094816880049621</c:v>
                </c:pt>
              </c:numCache>
            </c:numRef>
          </c:val>
          <c:extLst>
            <c:ext xmlns:c16="http://schemas.microsoft.com/office/drawing/2014/chart" uri="{C3380CC4-5D6E-409C-BE32-E72D297353CC}">
              <c16:uniqueId val="{0000000C-D81B-4BEB-8D7C-F2E2B9E8B4A6}"/>
            </c:ext>
          </c:extLst>
        </c:ser>
        <c:ser>
          <c:idx val="13"/>
          <c:order val="13"/>
          <c:tx>
            <c:strRef>
              <c:f>Sheet2!$O$3</c:f>
              <c:strCache>
                <c:ptCount val="1"/>
              </c:strCache>
            </c:strRef>
          </c:tx>
          <c:spPr>
            <a:solidFill>
              <a:srgbClr val="FF0000">
                <a:alpha val="6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Sheet2!$O$68:$O$91</c:f>
              <c:numCache>
                <c:formatCode>General</c:formatCode>
                <c:ptCount val="12"/>
                <c:pt idx="7">
                  <c:v>0.18755638675081801</c:v>
                </c:pt>
                <c:pt idx="8">
                  <c:v>0.22691580377021844</c:v>
                </c:pt>
                <c:pt idx="9">
                  <c:v>0.2588407682913374</c:v>
                </c:pt>
                <c:pt idx="10">
                  <c:v>0.27909416977210738</c:v>
                </c:pt>
                <c:pt idx="11">
                  <c:v>0.29239567526595645</c:v>
                </c:pt>
              </c:numCache>
            </c:numRef>
          </c:val>
          <c:extLst>
            <c:ext xmlns:c16="http://schemas.microsoft.com/office/drawing/2014/chart" uri="{C3380CC4-5D6E-409C-BE32-E72D297353CC}">
              <c16:uniqueId val="{0000000D-D81B-4BEB-8D7C-F2E2B9E8B4A6}"/>
            </c:ext>
          </c:extLst>
        </c:ser>
        <c:ser>
          <c:idx val="14"/>
          <c:order val="14"/>
          <c:tx>
            <c:strRef>
              <c:f>Sheet2!$P$3</c:f>
              <c:strCache>
                <c:ptCount val="1"/>
              </c:strCache>
            </c:strRef>
          </c:tx>
          <c:spPr>
            <a:solidFill>
              <a:srgbClr val="FF0000">
                <a:alpha val="5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Sheet2!$P$68:$P$91</c:f>
              <c:numCache>
                <c:formatCode>General</c:formatCode>
                <c:ptCount val="12"/>
                <c:pt idx="7">
                  <c:v>0.2088529308236442</c:v>
                </c:pt>
                <c:pt idx="8">
                  <c:v>0.25268150815134133</c:v>
                </c:pt>
                <c:pt idx="9">
                  <c:v>0.28823147007044631</c:v>
                </c:pt>
                <c:pt idx="10">
                  <c:v>0.31078459306287493</c:v>
                </c:pt>
                <c:pt idx="11">
                  <c:v>0.32559645020559108</c:v>
                </c:pt>
              </c:numCache>
            </c:numRef>
          </c:val>
          <c:extLst>
            <c:ext xmlns:c16="http://schemas.microsoft.com/office/drawing/2014/chart" uri="{C3380CC4-5D6E-409C-BE32-E72D297353CC}">
              <c16:uniqueId val="{0000000E-D81B-4BEB-8D7C-F2E2B9E8B4A6}"/>
            </c:ext>
          </c:extLst>
        </c:ser>
        <c:ser>
          <c:idx val="15"/>
          <c:order val="15"/>
          <c:tx>
            <c:strRef>
              <c:f>Sheet2!$Q$3</c:f>
              <c:strCache>
                <c:ptCount val="1"/>
              </c:strCache>
            </c:strRef>
          </c:tx>
          <c:spPr>
            <a:solidFill>
              <a:srgbClr val="FF0000">
                <a:alpha val="4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Sheet2!$Q$68:$Q$91</c:f>
              <c:numCache>
                <c:formatCode>General</c:formatCode>
                <c:ptCount val="12"/>
                <c:pt idx="7">
                  <c:v>0.24344359842968721</c:v>
                </c:pt>
                <c:pt idx="8">
                  <c:v>0.29453115816193604</c:v>
                </c:pt>
                <c:pt idx="9">
                  <c:v>0.33596898055444663</c:v>
                </c:pt>
                <c:pt idx="10">
                  <c:v>0.36225739985242655</c:v>
                </c:pt>
                <c:pt idx="11">
                  <c:v>0.37952242834893313</c:v>
                </c:pt>
              </c:numCache>
            </c:numRef>
          </c:val>
          <c:extLst>
            <c:ext xmlns:c16="http://schemas.microsoft.com/office/drawing/2014/chart" uri="{C3380CC4-5D6E-409C-BE32-E72D297353CC}">
              <c16:uniqueId val="{0000000F-D81B-4BEB-8D7C-F2E2B9E8B4A6}"/>
            </c:ext>
          </c:extLst>
        </c:ser>
        <c:ser>
          <c:idx val="16"/>
          <c:order val="16"/>
          <c:tx>
            <c:strRef>
              <c:f>Sheet2!$R$3</c:f>
              <c:strCache>
                <c:ptCount val="1"/>
              </c:strCache>
            </c:strRef>
          </c:tx>
          <c:spPr>
            <a:solidFill>
              <a:srgbClr val="FF0000">
                <a:alpha val="3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Sheet2!$R$68:$R$91</c:f>
              <c:numCache>
                <c:formatCode>General</c:formatCode>
                <c:ptCount val="12"/>
                <c:pt idx="7">
                  <c:v>0.30630763535396394</c:v>
                </c:pt>
                <c:pt idx="8">
                  <c:v>0.37058745096024498</c:v>
                </c:pt>
                <c:pt idx="9">
                  <c:v>0.42272569354760603</c:v>
                </c:pt>
                <c:pt idx="10">
                  <c:v>0.45580252778887898</c:v>
                </c:pt>
                <c:pt idx="11">
                  <c:v>0.47752587597793239</c:v>
                </c:pt>
              </c:numCache>
            </c:numRef>
          </c:val>
          <c:extLst>
            <c:ext xmlns:c16="http://schemas.microsoft.com/office/drawing/2014/chart" uri="{C3380CC4-5D6E-409C-BE32-E72D297353CC}">
              <c16:uniqueId val="{00000010-D81B-4BEB-8D7C-F2E2B9E8B4A6}"/>
            </c:ext>
          </c:extLst>
        </c:ser>
        <c:ser>
          <c:idx val="17"/>
          <c:order val="17"/>
          <c:tx>
            <c:strRef>
              <c:f>Sheet2!$S$3</c:f>
              <c:strCache>
                <c:ptCount val="1"/>
              </c:strCache>
            </c:strRef>
          </c:tx>
          <c:spPr>
            <a:solidFill>
              <a:srgbClr val="FF0000">
                <a:alpha val="2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Sheet2!$S$68:$S$91</c:f>
              <c:numCache>
                <c:formatCode>General</c:formatCode>
                <c:ptCount val="12"/>
                <c:pt idx="7">
                  <c:v>0.45399405764871315</c:v>
                </c:pt>
                <c:pt idx="8">
                  <c:v>0.54926642746177312</c:v>
                </c:pt>
                <c:pt idx="9">
                  <c:v>0.62654315705930963</c:v>
                </c:pt>
                <c:pt idx="10">
                  <c:v>0.67556800808536011</c:v>
                </c:pt>
                <c:pt idx="11">
                  <c:v>0.7077652824976256</c:v>
                </c:pt>
              </c:numCache>
            </c:numRef>
          </c:val>
          <c:extLst>
            <c:ext xmlns:c16="http://schemas.microsoft.com/office/drawing/2014/chart" uri="{C3380CC4-5D6E-409C-BE32-E72D297353CC}">
              <c16:uniqueId val="{00000011-D81B-4BEB-8D7C-F2E2B9E8B4A6}"/>
            </c:ext>
          </c:extLst>
        </c:ser>
        <c:dLbls>
          <c:showLegendKey val="0"/>
          <c:showVal val="0"/>
          <c:showCatName val="0"/>
          <c:showSerName val="0"/>
          <c:showPercent val="0"/>
          <c:showBubbleSize val="0"/>
        </c:dLbls>
        <c:axId val="251062144"/>
        <c:axId val="251063680"/>
      </c:areaChart>
      <c:catAx>
        <c:axId val="251062144"/>
        <c:scaling>
          <c:orientation val="minMax"/>
        </c:scaling>
        <c:delete val="0"/>
        <c:axPos val="b"/>
        <c:numFmt formatCode="General" sourceLinked="1"/>
        <c:majorTickMark val="out"/>
        <c:minorTickMark val="none"/>
        <c:tickLblPos val="low"/>
        <c:crossAx val="251063680"/>
        <c:crosses val="autoZero"/>
        <c:auto val="1"/>
        <c:lblAlgn val="ctr"/>
        <c:lblOffset val="100"/>
        <c:noMultiLvlLbl val="0"/>
      </c:catAx>
      <c:valAx>
        <c:axId val="251063680"/>
        <c:scaling>
          <c:orientation val="minMax"/>
        </c:scaling>
        <c:delete val="0"/>
        <c:axPos val="l"/>
        <c:majorGridlines/>
        <c:numFmt formatCode="General" sourceLinked="1"/>
        <c:majorTickMark val="out"/>
        <c:minorTickMark val="none"/>
        <c:tickLblPos val="nextTo"/>
        <c:crossAx val="251062144"/>
        <c:crosses val="autoZero"/>
        <c:crossBetween val="between"/>
      </c:valAx>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932E-2"/>
          <c:w val="0.78348499218615153"/>
          <c:h val="0.60569828630873046"/>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Sheet1!$A$2:$A$99</c:f>
              <c:numCache>
                <c:formatCode>d\-mmm\-yy</c:formatCode>
                <c:ptCount val="98"/>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44143</c:v>
                </c:pt>
                <c:pt idx="97">
                  <c:v>44150</c:v>
                </c:pt>
              </c:numCache>
            </c:numRef>
          </c:cat>
          <c:val>
            <c:numRef>
              <c:f>Sheet1!$B$2:$B$99</c:f>
              <c:numCache>
                <c:formatCode>0</c:formatCode>
                <c:ptCount val="98"/>
                <c:pt idx="0">
                  <c:v>100</c:v>
                </c:pt>
                <c:pt idx="1">
                  <c:v>102.86758645127992</c:v>
                </c:pt>
                <c:pt idx="2">
                  <c:v>102.63841063683913</c:v>
                </c:pt>
                <c:pt idx="3">
                  <c:v>104.24726337115703</c:v>
                </c:pt>
                <c:pt idx="4">
                  <c:v>104.29926124502173</c:v>
                </c:pt>
                <c:pt idx="5">
                  <c:v>106.90762866585017</c:v>
                </c:pt>
                <c:pt idx="6">
                  <c:v>107.56511289316168</c:v>
                </c:pt>
                <c:pt idx="7">
                  <c:v>107.98956961167224</c:v>
                </c:pt>
                <c:pt idx="8">
                  <c:v>105.65467249042852</c:v>
                </c:pt>
                <c:pt idx="9">
                  <c:v>108.71330298198178</c:v>
                </c:pt>
                <c:pt idx="10">
                  <c:v>107.87478911973373</c:v>
                </c:pt>
                <c:pt idx="11">
                  <c:v>109.17242494973539</c:v>
                </c:pt>
                <c:pt idx="12">
                  <c:v>111.41950343956307</c:v>
                </c:pt>
                <c:pt idx="13">
                  <c:v>111.98454700222625</c:v>
                </c:pt>
                <c:pt idx="14">
                  <c:v>111.89287667644992</c:v>
                </c:pt>
                <c:pt idx="15">
                  <c:v>113.23519216103161</c:v>
                </c:pt>
                <c:pt idx="16">
                  <c:v>113.45704975618774</c:v>
                </c:pt>
                <c:pt idx="17">
                  <c:v>110.98272129909948</c:v>
                </c:pt>
                <c:pt idx="18">
                  <c:v>110.1403557424911</c:v>
                </c:pt>
                <c:pt idx="19">
                  <c:v>108.8511936400823</c:v>
                </c:pt>
                <c:pt idx="20">
                  <c:v>106.00093981342387</c:v>
                </c:pt>
                <c:pt idx="21">
                  <c:v>110.67227473365529</c:v>
                </c:pt>
                <c:pt idx="22">
                  <c:v>111.19764584440695</c:v>
                </c:pt>
                <c:pt idx="23">
                  <c:v>113.64270142435656</c:v>
                </c:pt>
                <c:pt idx="24">
                  <c:v>113.30760401500622</c:v>
                </c:pt>
                <c:pt idx="25">
                  <c:v>115.18145332131607</c:v>
                </c:pt>
                <c:pt idx="26">
                  <c:v>116.08120912389361</c:v>
                </c:pt>
                <c:pt idx="27">
                  <c:v>114.64991949958791</c:v>
                </c:pt>
                <c:pt idx="28">
                  <c:v>116.54687897205977</c:v>
                </c:pt>
                <c:pt idx="29">
                  <c:v>112.93360449261634</c:v>
                </c:pt>
                <c:pt idx="30">
                  <c:v>112.41747744832952</c:v>
                </c:pt>
                <c:pt idx="31">
                  <c:v>111.26312464853294</c:v>
                </c:pt>
                <c:pt idx="32">
                  <c:v>109.66197530293573</c:v>
                </c:pt>
                <c:pt idx="33">
                  <c:v>112.7182947778728</c:v>
                </c:pt>
                <c:pt idx="34">
                  <c:v>114.73080508115521</c:v>
                </c:pt>
                <c:pt idx="35">
                  <c:v>115.83547102370326</c:v>
                </c:pt>
                <c:pt idx="36">
                  <c:v>115.24539144769783</c:v>
                </c:pt>
                <c:pt idx="37">
                  <c:v>114.07909839538405</c:v>
                </c:pt>
                <c:pt idx="38">
                  <c:v>113.70240268694197</c:v>
                </c:pt>
                <c:pt idx="39">
                  <c:v>114.40572207714168</c:v>
                </c:pt>
                <c:pt idx="40">
                  <c:v>115.01929698874537</c:v>
                </c:pt>
                <c:pt idx="41">
                  <c:v>116.41938788873223</c:v>
                </c:pt>
                <c:pt idx="42">
                  <c:v>118.12799950698306</c:v>
                </c:pt>
                <c:pt idx="43">
                  <c:v>119.13598792108642</c:v>
                </c:pt>
                <c:pt idx="44">
                  <c:v>120.19058183695</c:v>
                </c:pt>
                <c:pt idx="45">
                  <c:v>119.79886452050253</c:v>
                </c:pt>
                <c:pt idx="46">
                  <c:v>120.98094951969368</c:v>
                </c:pt>
                <c:pt idx="47">
                  <c:v>121.17083805165882</c:v>
                </c:pt>
                <c:pt idx="48">
                  <c:v>122.05249089074277</c:v>
                </c:pt>
                <c:pt idx="49">
                  <c:v>124.07154907443778</c:v>
                </c:pt>
                <c:pt idx="50">
                  <c:v>124.79566761418343</c:v>
                </c:pt>
                <c:pt idx="51">
                  <c:v>124.59653501575336</c:v>
                </c:pt>
                <c:pt idx="52">
                  <c:v>125.77130179565985</c:v>
                </c:pt>
                <c:pt idx="53">
                  <c:v>128.24678576105609</c:v>
                </c:pt>
                <c:pt idx="54">
                  <c:v>126.931432136997</c:v>
                </c:pt>
                <c:pt idx="55">
                  <c:v>124.23717193193282</c:v>
                </c:pt>
                <c:pt idx="56">
                  <c:v>128.1732183987736</c:v>
                </c:pt>
                <c:pt idx="57">
                  <c:v>130.1934320907767</c:v>
                </c:pt>
                <c:pt idx="58">
                  <c:v>128.55992851255263</c:v>
                </c:pt>
                <c:pt idx="59">
                  <c:v>113.78752513230566</c:v>
                </c:pt>
                <c:pt idx="60">
                  <c:v>114.48660765870902</c:v>
                </c:pt>
                <c:pt idx="61">
                  <c:v>104.42020444793663</c:v>
                </c:pt>
                <c:pt idx="62">
                  <c:v>88.778473650558794</c:v>
                </c:pt>
                <c:pt idx="63">
                  <c:v>97.889656659964672</c:v>
                </c:pt>
                <c:pt idx="64">
                  <c:v>95.855191698828278</c:v>
                </c:pt>
                <c:pt idx="65">
                  <c:v>107.4553396038917</c:v>
                </c:pt>
                <c:pt idx="66">
                  <c:v>110.7192654048516</c:v>
                </c:pt>
                <c:pt idx="67">
                  <c:v>109.26255459776753</c:v>
                </c:pt>
                <c:pt idx="68">
                  <c:v>109.03029742783849</c:v>
                </c:pt>
                <c:pt idx="69">
                  <c:v>112.84694136950843</c:v>
                </c:pt>
                <c:pt idx="70">
                  <c:v>110.30097139731764</c:v>
                </c:pt>
                <c:pt idx="71">
                  <c:v>113.83490097293794</c:v>
                </c:pt>
                <c:pt idx="72">
                  <c:v>117.25751658154419</c:v>
                </c:pt>
                <c:pt idx="73">
                  <c:v>123.02042168349851</c:v>
                </c:pt>
                <c:pt idx="74">
                  <c:v>117.14196575073369</c:v>
                </c:pt>
                <c:pt idx="75">
                  <c:v>119.31547687827866</c:v>
                </c:pt>
                <c:pt idx="76">
                  <c:v>115.89940915008505</c:v>
                </c:pt>
                <c:pt idx="77">
                  <c:v>120.55841864836334</c:v>
                </c:pt>
                <c:pt idx="78">
                  <c:v>122.6780060548634</c:v>
                </c:pt>
                <c:pt idx="79">
                  <c:v>124.20674354648598</c:v>
                </c:pt>
                <c:pt idx="80">
                  <c:v>123.85623935969423</c:v>
                </c:pt>
                <c:pt idx="81">
                  <c:v>125.99354456025196</c:v>
                </c:pt>
                <c:pt idx="82">
                  <c:v>129.08106275950777</c:v>
                </c:pt>
                <c:pt idx="83">
                  <c:v>129.91187323303512</c:v>
                </c:pt>
                <c:pt idx="84">
                  <c:v>130.84822013203606</c:v>
                </c:pt>
                <c:pt idx="85">
                  <c:v>135.11782333048299</c:v>
                </c:pt>
                <c:pt idx="86">
                  <c:v>131.99602505142008</c:v>
                </c:pt>
                <c:pt idx="87">
                  <c:v>128.68395307095577</c:v>
                </c:pt>
                <c:pt idx="88">
                  <c:v>127.85583878348068</c:v>
                </c:pt>
                <c:pt idx="89">
                  <c:v>127.04659779837142</c:v>
                </c:pt>
                <c:pt idx="90">
                  <c:v>128.97167463967384</c:v>
                </c:pt>
                <c:pt idx="91">
                  <c:v>133.92842011200727</c:v>
                </c:pt>
                <c:pt idx="92">
                  <c:v>134.18571329527842</c:v>
                </c:pt>
                <c:pt idx="93">
                  <c:v>133.47623119410213</c:v>
                </c:pt>
                <c:pt idx="94">
                  <c:v>125.94886490567195</c:v>
                </c:pt>
                <c:pt idx="95">
                  <c:v>135.17290255983599</c:v>
                </c:pt>
                <c:pt idx="96">
                  <c:v>138.08902036005631</c:v>
                </c:pt>
                <c:pt idx="97">
                  <c:v>139.02806344510944</c:v>
                </c:pt>
              </c:numCache>
            </c:numRef>
          </c:val>
          <c:smooth val="0"/>
          <c:extLst>
            <c:ext xmlns:c16="http://schemas.microsoft.com/office/drawing/2014/chart" uri="{C3380CC4-5D6E-409C-BE32-E72D297353CC}">
              <c16:uniqueId val="{00000000-FB14-428C-B9B3-221A021196FF}"/>
            </c:ext>
          </c:extLst>
        </c:ser>
        <c:ser>
          <c:idx val="2"/>
          <c:order val="1"/>
          <c:tx>
            <c:strRef>
              <c:f>Sheet1!$D$1</c:f>
              <c:strCache>
                <c:ptCount val="1"/>
                <c:pt idx="0">
                  <c:v>DAX (Գերմանիա)</c:v>
                </c:pt>
              </c:strCache>
            </c:strRef>
          </c:tx>
          <c:spPr>
            <a:ln w="28575" cap="rnd">
              <a:solidFill>
                <a:srgbClr val="C00000"/>
              </a:solidFill>
              <a:round/>
            </a:ln>
            <a:effectLst/>
          </c:spPr>
          <c:marker>
            <c:symbol val="none"/>
          </c:marker>
          <c:cat>
            <c:numRef>
              <c:f>Sheet1!$A$2:$A$99</c:f>
              <c:numCache>
                <c:formatCode>d\-mmm\-yy</c:formatCode>
                <c:ptCount val="98"/>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44143</c:v>
                </c:pt>
                <c:pt idx="97">
                  <c:v>44150</c:v>
                </c:pt>
              </c:numCache>
            </c:numRef>
          </c:cat>
          <c:val>
            <c:numRef>
              <c:f>Sheet1!$D$2:$D$99</c:f>
              <c:numCache>
                <c:formatCode>0</c:formatCode>
                <c:ptCount val="98"/>
                <c:pt idx="0">
                  <c:v>100</c:v>
                </c:pt>
                <c:pt idx="1">
                  <c:v>102.92152623293222</c:v>
                </c:pt>
                <c:pt idx="2">
                  <c:v>103.62187323765134</c:v>
                </c:pt>
                <c:pt idx="3">
                  <c:v>102.69300644962185</c:v>
                </c:pt>
                <c:pt idx="4">
                  <c:v>100.17745185745798</c:v>
                </c:pt>
                <c:pt idx="5">
                  <c:v>103.78729290394639</c:v>
                </c:pt>
                <c:pt idx="6">
                  <c:v>105.23758525863705</c:v>
                </c:pt>
                <c:pt idx="7">
                  <c:v>106.56002410112187</c:v>
                </c:pt>
                <c:pt idx="8">
                  <c:v>105.23887114166205</c:v>
                </c:pt>
                <c:pt idx="9">
                  <c:v>107.3316457649443</c:v>
                </c:pt>
                <c:pt idx="10">
                  <c:v>104.37852354911067</c:v>
                </c:pt>
                <c:pt idx="11">
                  <c:v>105.86527987244038</c:v>
                </c:pt>
                <c:pt idx="12">
                  <c:v>110.3080975728039</c:v>
                </c:pt>
                <c:pt idx="13">
                  <c:v>110.21790206347488</c:v>
                </c:pt>
                <c:pt idx="14">
                  <c:v>112.26117019029233</c:v>
                </c:pt>
                <c:pt idx="15">
                  <c:v>113.11343508954342</c:v>
                </c:pt>
                <c:pt idx="16">
                  <c:v>114.00960370922149</c:v>
                </c:pt>
                <c:pt idx="17">
                  <c:v>110.76807630062473</c:v>
                </c:pt>
                <c:pt idx="18">
                  <c:v>112.41317993361173</c:v>
                </c:pt>
                <c:pt idx="19">
                  <c:v>110.31994606639202</c:v>
                </c:pt>
                <c:pt idx="20">
                  <c:v>107.70960352552389</c:v>
                </c:pt>
                <c:pt idx="21">
                  <c:v>110.63535480268122</c:v>
                </c:pt>
                <c:pt idx="22">
                  <c:v>111.10396731652743</c:v>
                </c:pt>
                <c:pt idx="23">
                  <c:v>113.34066898982873</c:v>
                </c:pt>
                <c:pt idx="24">
                  <c:v>113.88147465065315</c:v>
                </c:pt>
                <c:pt idx="25">
                  <c:v>115.44042412096125</c:v>
                </c:pt>
                <c:pt idx="26">
                  <c:v>113.18820000257176</c:v>
                </c:pt>
                <c:pt idx="27">
                  <c:v>112.60725642160806</c:v>
                </c:pt>
                <c:pt idx="28">
                  <c:v>114.0752755922869</c:v>
                </c:pt>
                <c:pt idx="29">
                  <c:v>109.0469218715844</c:v>
                </c:pt>
                <c:pt idx="30">
                  <c:v>107.40613513161017</c:v>
                </c:pt>
                <c:pt idx="31">
                  <c:v>106.20236492258067</c:v>
                </c:pt>
                <c:pt idx="32">
                  <c:v>106.65031145923847</c:v>
                </c:pt>
                <c:pt idx="33">
                  <c:v>109.6608391672622</c:v>
                </c:pt>
                <c:pt idx="34">
                  <c:v>111.97956180780457</c:v>
                </c:pt>
                <c:pt idx="35">
                  <c:v>114.52193624591966</c:v>
                </c:pt>
                <c:pt idx="36">
                  <c:v>114.51716010896942</c:v>
                </c:pt>
                <c:pt idx="37">
                  <c:v>113.71743271617071</c:v>
                </c:pt>
                <c:pt idx="38">
                  <c:v>110.33620330178022</c:v>
                </c:pt>
                <c:pt idx="39">
                  <c:v>114.91798821763754</c:v>
                </c:pt>
                <c:pt idx="40">
                  <c:v>116.03808418125074</c:v>
                </c:pt>
                <c:pt idx="41">
                  <c:v>118.43451089602168</c:v>
                </c:pt>
                <c:pt idx="42">
                  <c:v>119.04567272807431</c:v>
                </c:pt>
                <c:pt idx="43">
                  <c:v>121.50271964259801</c:v>
                </c:pt>
                <c:pt idx="44">
                  <c:v>121.62386819331597</c:v>
                </c:pt>
                <c:pt idx="45">
                  <c:v>120.90864168502112</c:v>
                </c:pt>
                <c:pt idx="46">
                  <c:v>121.57454539442624</c:v>
                </c:pt>
                <c:pt idx="47">
                  <c:v>120.93344085764726</c:v>
                </c:pt>
                <c:pt idx="48">
                  <c:v>122.00017267572051</c:v>
                </c:pt>
                <c:pt idx="49">
                  <c:v>122.33248158891055</c:v>
                </c:pt>
                <c:pt idx="50">
                  <c:v>122.4997382309556</c:v>
                </c:pt>
                <c:pt idx="51">
                  <c:v>121.41619808476909</c:v>
                </c:pt>
                <c:pt idx="52">
                  <c:v>123.84256750426638</c:v>
                </c:pt>
                <c:pt idx="53">
                  <c:v>124.23586401235916</c:v>
                </c:pt>
                <c:pt idx="54">
                  <c:v>124.70015963319274</c:v>
                </c:pt>
                <c:pt idx="55">
                  <c:v>119.23782039153303</c:v>
                </c:pt>
                <c:pt idx="56">
                  <c:v>124.122706306154</c:v>
                </c:pt>
                <c:pt idx="57">
                  <c:v>126.2389023702498</c:v>
                </c:pt>
                <c:pt idx="58">
                  <c:v>124.7244995618813</c:v>
                </c:pt>
                <c:pt idx="59">
                  <c:v>109.21142305000436</c:v>
                </c:pt>
                <c:pt idx="60">
                  <c:v>106.01067650305947</c:v>
                </c:pt>
                <c:pt idx="61">
                  <c:v>84.795535414137007</c:v>
                </c:pt>
                <c:pt idx="62">
                  <c:v>82.011323118523492</c:v>
                </c:pt>
                <c:pt idx="63">
                  <c:v>88.473528260953429</c:v>
                </c:pt>
                <c:pt idx="64">
                  <c:v>87.493042454346565</c:v>
                </c:pt>
                <c:pt idx="65">
                  <c:v>97.035855929665871</c:v>
                </c:pt>
                <c:pt idx="66">
                  <c:v>97.596500928591254</c:v>
                </c:pt>
                <c:pt idx="67">
                  <c:v>94.935733403383352</c:v>
                </c:pt>
                <c:pt idx="68">
                  <c:v>99.762846430664254</c:v>
                </c:pt>
                <c:pt idx="69">
                  <c:v>100.1563266363321</c:v>
                </c:pt>
                <c:pt idx="70">
                  <c:v>96.121317552486943</c:v>
                </c:pt>
                <c:pt idx="71">
                  <c:v>101.71215324786505</c:v>
                </c:pt>
                <c:pt idx="72">
                  <c:v>106.42381234925321</c:v>
                </c:pt>
                <c:pt idx="73">
                  <c:v>118.00438302413974</c:v>
                </c:pt>
                <c:pt idx="74">
                  <c:v>109.75268795476633</c:v>
                </c:pt>
                <c:pt idx="75">
                  <c:v>113.25653550047487</c:v>
                </c:pt>
                <c:pt idx="76">
                  <c:v>111.03958131648702</c:v>
                </c:pt>
                <c:pt idx="77">
                  <c:v>115.06981426338194</c:v>
                </c:pt>
                <c:pt idx="78">
                  <c:v>116.03909451791328</c:v>
                </c:pt>
                <c:pt idx="79">
                  <c:v>118.66505135265706</c:v>
                </c:pt>
                <c:pt idx="80">
                  <c:v>117.91602449056074</c:v>
                </c:pt>
                <c:pt idx="81">
                  <c:v>113.09671861021766</c:v>
                </c:pt>
                <c:pt idx="82">
                  <c:v>116.41723597606793</c:v>
                </c:pt>
                <c:pt idx="83">
                  <c:v>118.49724361788709</c:v>
                </c:pt>
                <c:pt idx="84">
                  <c:v>117.24314027330531</c:v>
                </c:pt>
                <c:pt idx="85">
                  <c:v>119.70836172991686</c:v>
                </c:pt>
                <c:pt idx="86">
                  <c:v>117.95827493281266</c:v>
                </c:pt>
                <c:pt idx="87">
                  <c:v>121.26648456113739</c:v>
                </c:pt>
                <c:pt idx="88">
                  <c:v>120.47116591013886</c:v>
                </c:pt>
                <c:pt idx="89">
                  <c:v>114.52809011468239</c:v>
                </c:pt>
                <c:pt idx="90">
                  <c:v>116.54729385917385</c:v>
                </c:pt>
                <c:pt idx="91">
                  <c:v>119.87396509378677</c:v>
                </c:pt>
                <c:pt idx="92">
                  <c:v>118.56750794032773</c:v>
                </c:pt>
                <c:pt idx="93">
                  <c:v>116.1496804580683</c:v>
                </c:pt>
                <c:pt idx="94">
                  <c:v>106.14486758160309</c:v>
                </c:pt>
                <c:pt idx="95">
                  <c:v>114.62747050276188</c:v>
                </c:pt>
                <c:pt idx="96">
                  <c:v>120.10808765313487</c:v>
                </c:pt>
                <c:pt idx="97">
                  <c:v>120.83534635259278</c:v>
                </c:pt>
              </c:numCache>
            </c:numRef>
          </c:val>
          <c:smooth val="0"/>
          <c:extLst>
            <c:ext xmlns:c16="http://schemas.microsoft.com/office/drawing/2014/chart" uri="{C3380CC4-5D6E-409C-BE32-E72D297353CC}">
              <c16:uniqueId val="{00000001-FB14-428C-B9B3-221A021196FF}"/>
            </c:ext>
          </c:extLst>
        </c:ser>
        <c:ser>
          <c:idx val="4"/>
          <c:order val="2"/>
          <c:tx>
            <c:strRef>
              <c:f>Sheet1!$F$1</c:f>
              <c:strCache>
                <c:ptCount val="1"/>
                <c:pt idx="0">
                  <c:v>MOEX (ՌԴ)</c:v>
                </c:pt>
              </c:strCache>
            </c:strRef>
          </c:tx>
          <c:spPr>
            <a:ln w="28575" cap="rnd">
              <a:solidFill>
                <a:schemeClr val="accent2">
                  <a:lumMod val="75000"/>
                </a:schemeClr>
              </a:solidFill>
              <a:round/>
            </a:ln>
            <a:effectLst/>
          </c:spPr>
          <c:marker>
            <c:symbol val="none"/>
          </c:marker>
          <c:cat>
            <c:numRef>
              <c:f>Sheet1!$A$2:$A$99</c:f>
              <c:numCache>
                <c:formatCode>d\-mmm\-yy</c:formatCode>
                <c:ptCount val="98"/>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44143</c:v>
                </c:pt>
                <c:pt idx="97">
                  <c:v>44150</c:v>
                </c:pt>
              </c:numCache>
            </c:numRef>
          </c:cat>
          <c:val>
            <c:numRef>
              <c:f>Sheet1!$F$2:$F$99</c:f>
              <c:numCache>
                <c:formatCode>0</c:formatCode>
                <c:ptCount val="98"/>
                <c:pt idx="0">
                  <c:v>100</c:v>
                </c:pt>
                <c:pt idx="1">
                  <c:v>101.19290637975821</c:v>
                </c:pt>
                <c:pt idx="2">
                  <c:v>102.20008590889566</c:v>
                </c:pt>
                <c:pt idx="3">
                  <c:v>103.16022009040887</c:v>
                </c:pt>
                <c:pt idx="4">
                  <c:v>102.38785820941317</c:v>
                </c:pt>
                <c:pt idx="5">
                  <c:v>101.86995029556752</c:v>
                </c:pt>
                <c:pt idx="6">
                  <c:v>101.80735952872836</c:v>
                </c:pt>
                <c:pt idx="7">
                  <c:v>101.37290597066824</c:v>
                </c:pt>
                <c:pt idx="8">
                  <c:v>101.31686064349854</c:v>
                </c:pt>
                <c:pt idx="9">
                  <c:v>101.32054245331263</c:v>
                </c:pt>
                <c:pt idx="10">
                  <c:v>101.97385915032011</c:v>
                </c:pt>
                <c:pt idx="11">
                  <c:v>102.15385874123014</c:v>
                </c:pt>
                <c:pt idx="12">
                  <c:v>103.94935466055762</c:v>
                </c:pt>
                <c:pt idx="13">
                  <c:v>104.71558019186321</c:v>
                </c:pt>
                <c:pt idx="14">
                  <c:v>104.88657980322775</c:v>
                </c:pt>
                <c:pt idx="15">
                  <c:v>104.87921618359957</c:v>
                </c:pt>
                <c:pt idx="16">
                  <c:v>105.58407821800402</c:v>
                </c:pt>
                <c:pt idx="17">
                  <c:v>102.88081163451901</c:v>
                </c:pt>
                <c:pt idx="18">
                  <c:v>105.44212399517282</c:v>
                </c:pt>
                <c:pt idx="19">
                  <c:v>107.15048374890058</c:v>
                </c:pt>
                <c:pt idx="20">
                  <c:v>109.03597946368305</c:v>
                </c:pt>
                <c:pt idx="21">
                  <c:v>111.66560985088668</c:v>
                </c:pt>
                <c:pt idx="22">
                  <c:v>112.06119986090947</c:v>
                </c:pt>
                <c:pt idx="23">
                  <c:v>112.95915236556283</c:v>
                </c:pt>
                <c:pt idx="24">
                  <c:v>113.14815193601835</c:v>
                </c:pt>
                <c:pt idx="25">
                  <c:v>115.991327292438</c:v>
                </c:pt>
                <c:pt idx="26">
                  <c:v>113.6280144817853</c:v>
                </c:pt>
                <c:pt idx="27">
                  <c:v>110.47761255088058</c:v>
                </c:pt>
                <c:pt idx="28">
                  <c:v>111.09574750966473</c:v>
                </c:pt>
                <c:pt idx="29">
                  <c:v>109.42747857391237</c:v>
                </c:pt>
                <c:pt idx="30">
                  <c:v>109.62425085397535</c:v>
                </c:pt>
                <c:pt idx="31">
                  <c:v>106.98521139724684</c:v>
                </c:pt>
                <c:pt idx="32">
                  <c:v>108.84820716316555</c:v>
                </c:pt>
                <c:pt idx="33">
                  <c:v>112.09229069933937</c:v>
                </c:pt>
                <c:pt idx="34">
                  <c:v>114.44496717052918</c:v>
                </c:pt>
                <c:pt idx="35">
                  <c:v>114.20728589253208</c:v>
                </c:pt>
                <c:pt idx="36">
                  <c:v>114.39833091288422</c:v>
                </c:pt>
                <c:pt idx="37">
                  <c:v>112.82619812227701</c:v>
                </c:pt>
                <c:pt idx="38">
                  <c:v>110.14952238744911</c:v>
                </c:pt>
                <c:pt idx="39">
                  <c:v>110.78443003538628</c:v>
                </c:pt>
                <c:pt idx="40">
                  <c:v>112.61878950275106</c:v>
                </c:pt>
                <c:pt idx="41">
                  <c:v>117.54832375380963</c:v>
                </c:pt>
                <c:pt idx="42">
                  <c:v>119.8797275460737</c:v>
                </c:pt>
                <c:pt idx="43">
                  <c:v>121.63022356767371</c:v>
                </c:pt>
                <c:pt idx="44">
                  <c:v>120.06054531694244</c:v>
                </c:pt>
                <c:pt idx="45">
                  <c:v>120.58663503037491</c:v>
                </c:pt>
                <c:pt idx="46">
                  <c:v>120.08304526580619</c:v>
                </c:pt>
                <c:pt idx="47">
                  <c:v>119.81263678946181</c:v>
                </c:pt>
                <c:pt idx="48">
                  <c:v>122.58913047924889</c:v>
                </c:pt>
                <c:pt idx="49">
                  <c:v>123.3786741393769</c:v>
                </c:pt>
                <c:pt idx="50">
                  <c:v>124.79167092802059</c:v>
                </c:pt>
                <c:pt idx="51">
                  <c:v>125.8512139745137</c:v>
                </c:pt>
                <c:pt idx="52">
                  <c:v>127.78580048681708</c:v>
                </c:pt>
                <c:pt idx="53">
                  <c:v>130.78115731555161</c:v>
                </c:pt>
                <c:pt idx="54">
                  <c:v>128.70788930025157</c:v>
                </c:pt>
                <c:pt idx="55">
                  <c:v>125.86266849393523</c:v>
                </c:pt>
                <c:pt idx="56">
                  <c:v>126.3118492912516</c:v>
                </c:pt>
                <c:pt idx="57">
                  <c:v>126.69025752214198</c:v>
                </c:pt>
                <c:pt idx="58">
                  <c:v>127.06457485323897</c:v>
                </c:pt>
                <c:pt idx="59">
                  <c:v>113.93483196629096</c:v>
                </c:pt>
                <c:pt idx="60">
                  <c:v>111.25242897175231</c:v>
                </c:pt>
                <c:pt idx="61">
                  <c:v>94.760784634580332</c:v>
                </c:pt>
                <c:pt idx="62">
                  <c:v>95.383828673116639</c:v>
                </c:pt>
                <c:pt idx="63">
                  <c:v>98.227004029536275</c:v>
                </c:pt>
                <c:pt idx="64">
                  <c:v>105.22735175601871</c:v>
                </c:pt>
                <c:pt idx="65">
                  <c:v>109.54856920779726</c:v>
                </c:pt>
                <c:pt idx="66">
                  <c:v>103.70308249299427</c:v>
                </c:pt>
                <c:pt idx="67">
                  <c:v>104.81007997709095</c:v>
                </c:pt>
                <c:pt idx="68">
                  <c:v>108.43175356419644</c:v>
                </c:pt>
                <c:pt idx="69">
                  <c:v>108.06316349281028</c:v>
                </c:pt>
                <c:pt idx="70">
                  <c:v>106.11425883122988</c:v>
                </c:pt>
                <c:pt idx="71">
                  <c:v>110.83802082267987</c:v>
                </c:pt>
                <c:pt idx="72">
                  <c:v>111.87915482010264</c:v>
                </c:pt>
                <c:pt idx="73">
                  <c:v>114.24819489046611</c:v>
                </c:pt>
                <c:pt idx="74">
                  <c:v>112.24610853157148</c:v>
                </c:pt>
                <c:pt idx="75">
                  <c:v>112.85442533085147</c:v>
                </c:pt>
                <c:pt idx="76">
                  <c:v>112.98001595450917</c:v>
                </c:pt>
                <c:pt idx="77">
                  <c:v>114.61310315203828</c:v>
                </c:pt>
                <c:pt idx="78">
                  <c:v>114.58364867352572</c:v>
                </c:pt>
                <c:pt idx="79">
                  <c:v>113.51387837754908</c:v>
                </c:pt>
                <c:pt idx="80">
                  <c:v>117.12737016506776</c:v>
                </c:pt>
                <c:pt idx="81">
                  <c:v>119.10941111497469</c:v>
                </c:pt>
                <c:pt idx="82">
                  <c:v>121.59586000940907</c:v>
                </c:pt>
                <c:pt idx="83">
                  <c:v>125.26294258422138</c:v>
                </c:pt>
                <c:pt idx="84">
                  <c:v>122.54740330135617</c:v>
                </c:pt>
                <c:pt idx="85">
                  <c:v>121.91576837325368</c:v>
                </c:pt>
                <c:pt idx="86">
                  <c:v>119.51768291435707</c:v>
                </c:pt>
                <c:pt idx="87">
                  <c:v>119.06604757716458</c:v>
                </c:pt>
                <c:pt idx="88">
                  <c:v>120.75477101188403</c:v>
                </c:pt>
                <c:pt idx="89">
                  <c:v>118.50641248542618</c:v>
                </c:pt>
                <c:pt idx="90">
                  <c:v>116.68964388717299</c:v>
                </c:pt>
                <c:pt idx="91">
                  <c:v>115.93978195504101</c:v>
                </c:pt>
                <c:pt idx="92">
                  <c:v>114.52637607641796</c:v>
                </c:pt>
                <c:pt idx="93">
                  <c:v>115.22837448096709</c:v>
                </c:pt>
                <c:pt idx="94">
                  <c:v>110.06934075149826</c:v>
                </c:pt>
                <c:pt idx="95">
                  <c:v>118.45691259792588</c:v>
                </c:pt>
                <c:pt idx="96">
                  <c:v>123.75871873018463</c:v>
                </c:pt>
                <c:pt idx="97">
                  <c:v>125.31326065168032</c:v>
                </c:pt>
              </c:numCache>
            </c:numRef>
          </c:val>
          <c:smooth val="0"/>
          <c:extLst>
            <c:ext xmlns:c16="http://schemas.microsoft.com/office/drawing/2014/chart" uri="{C3380CC4-5D6E-409C-BE32-E72D297353CC}">
              <c16:uniqueId val="{00000002-FB14-428C-B9B3-221A021196FF}"/>
            </c:ext>
          </c:extLst>
        </c:ser>
        <c:dLbls>
          <c:showLegendKey val="0"/>
          <c:showVal val="0"/>
          <c:showCatName val="0"/>
          <c:showSerName val="0"/>
          <c:showPercent val="0"/>
          <c:showBubbleSize val="0"/>
        </c:dLbls>
        <c:smooth val="0"/>
        <c:axId val="122182272"/>
        <c:axId val="122200448"/>
      </c:lineChart>
      <c:dateAx>
        <c:axId val="122182272"/>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2200448"/>
        <c:crosses val="autoZero"/>
        <c:auto val="1"/>
        <c:lblOffset val="100"/>
        <c:baseTimeUnit val="days"/>
      </c:dateAx>
      <c:valAx>
        <c:axId val="122200448"/>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r>
                  <a:rPr lang="hy-AM" sz="500" b="0" i="0" u="none" strike="noStrike" baseline="0">
                    <a:effectLst/>
                  </a:rPr>
                  <a:t>Ինդեքս՝ 201</a:t>
                </a:r>
                <a:r>
                  <a:rPr lang="en-GB" sz="500" b="0" i="0" u="none" strike="noStrike" baseline="0">
                    <a:effectLst/>
                  </a:rPr>
                  <a:t>9 </a:t>
                </a:r>
                <a:r>
                  <a:rPr lang="hy-AM" sz="500" b="0" i="0" u="none" strike="noStrike" baseline="0">
                    <a:effectLst/>
                  </a:rPr>
                  <a:t>թ. հունվար</a:t>
                </a:r>
                <a:r>
                  <a:rPr lang="en-GB" sz="500" b="0" i="0" u="none" strike="noStrike" baseline="0">
                    <a:effectLst/>
                  </a:rPr>
                  <a:t>  </a:t>
                </a:r>
                <a:r>
                  <a:rPr lang="hy-AM" sz="500" b="0" i="0" u="none" strike="noStrike" baseline="0">
                    <a:effectLst/>
                  </a:rPr>
                  <a:t> =100</a:t>
                </a:r>
                <a:endParaRPr lang="en-US" sz="500"/>
              </a:p>
            </c:rich>
          </c:tx>
          <c:layout>
            <c:manualLayout>
              <c:xMode val="edge"/>
              <c:yMode val="edge"/>
              <c:x val="1.0471204188481676E-2"/>
              <c:y val="5.673758865248230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82272"/>
        <c:crosses val="autoZero"/>
        <c:crossBetween val="between"/>
      </c:valAx>
      <c:spPr>
        <a:noFill/>
        <a:ln>
          <a:noFill/>
        </a:ln>
        <a:effectLst/>
      </c:spPr>
    </c:plotArea>
    <c:legend>
      <c:legendPos val="b"/>
      <c:layout>
        <c:manualLayout>
          <c:xMode val="edge"/>
          <c:yMode val="edge"/>
          <c:x val="1.5918499878236868E-2"/>
          <c:y val="0.87685714443811202"/>
          <c:w val="0.93723489460724629"/>
          <c:h val="0.106682123272890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5196995403199"/>
          <c:y val="7.7165906699403722E-2"/>
          <c:w val="0.8143446617975697"/>
          <c:h val="0.55352314562924432"/>
        </c:manualLayout>
      </c:layout>
      <c:lineChart>
        <c:grouping val="standard"/>
        <c:varyColors val="0"/>
        <c:ser>
          <c:idx val="0"/>
          <c:order val="0"/>
          <c:tx>
            <c:strRef>
              <c:f>Sheet1!$B$1</c:f>
              <c:strCache>
                <c:ptCount val="1"/>
                <c:pt idx="0">
                  <c:v>Հայաստան (2025թ.)</c:v>
                </c:pt>
              </c:strCache>
            </c:strRef>
          </c:tx>
          <c:spPr>
            <a:ln w="28575" cap="rnd">
              <a:solidFill>
                <a:schemeClr val="accent1"/>
              </a:solidFill>
              <a:round/>
            </a:ln>
            <a:effectLst/>
          </c:spPr>
          <c:marker>
            <c:symbol val="none"/>
          </c:marker>
          <c:cat>
            <c:numRef>
              <c:f>Sheet1!$A$2:$A$483</c:f>
              <c:numCache>
                <c:formatCode>m\/d\/yyyy</c:formatCode>
                <c:ptCount val="482"/>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numCache>
            </c:numRef>
          </c:cat>
          <c:val>
            <c:numRef>
              <c:f>Sheet1!$B$2:$B$483</c:f>
              <c:numCache>
                <c:formatCode>0</c:formatCode>
                <c:ptCount val="482"/>
                <c:pt idx="0">
                  <c:v>348.70499999999993</c:v>
                </c:pt>
                <c:pt idx="1">
                  <c:v>352.69600000000003</c:v>
                </c:pt>
                <c:pt idx="2">
                  <c:v>361.13400000000001</c:v>
                </c:pt>
                <c:pt idx="3">
                  <c:v>347.70299999999986</c:v>
                </c:pt>
                <c:pt idx="4">
                  <c:v>340.77499999999986</c:v>
                </c:pt>
                <c:pt idx="5">
                  <c:v>333.61</c:v>
                </c:pt>
                <c:pt idx="6">
                  <c:v>331.3</c:v>
                </c:pt>
                <c:pt idx="7">
                  <c:v>331.27199999999988</c:v>
                </c:pt>
                <c:pt idx="8">
                  <c:v>333.39400000000001</c:v>
                </c:pt>
                <c:pt idx="9">
                  <c:v>334.38499999999999</c:v>
                </c:pt>
                <c:pt idx="10">
                  <c:v>329.75299999999999</c:v>
                </c:pt>
                <c:pt idx="11">
                  <c:v>327.49499999999989</c:v>
                </c:pt>
                <c:pt idx="12">
                  <c:v>320.31799999999993</c:v>
                </c:pt>
                <c:pt idx="13">
                  <c:v>286.29700000000003</c:v>
                </c:pt>
                <c:pt idx="14">
                  <c:v>285.86399999999986</c:v>
                </c:pt>
                <c:pt idx="15">
                  <c:v>293.00900000000001</c:v>
                </c:pt>
                <c:pt idx="16">
                  <c:v>290.04700000000008</c:v>
                </c:pt>
                <c:pt idx="17">
                  <c:v>287.94299999999993</c:v>
                </c:pt>
                <c:pt idx="18">
                  <c:v>288.18599999999986</c:v>
                </c:pt>
                <c:pt idx="19">
                  <c:v>295.01099999999991</c:v>
                </c:pt>
                <c:pt idx="20">
                  <c:v>298.45400000000001</c:v>
                </c:pt>
                <c:pt idx="21">
                  <c:v>298.88599999999991</c:v>
                </c:pt>
                <c:pt idx="22">
                  <c:v>294.01299999999986</c:v>
                </c:pt>
                <c:pt idx="23">
                  <c:v>286.50700000000001</c:v>
                </c:pt>
                <c:pt idx="24">
                  <c:v>284.57</c:v>
                </c:pt>
                <c:pt idx="25">
                  <c:v>278.03500000000003</c:v>
                </c:pt>
                <c:pt idx="26">
                  <c:v>279.78399999999988</c:v>
                </c:pt>
                <c:pt idx="27">
                  <c:v>277.21899999999988</c:v>
                </c:pt>
                <c:pt idx="28">
                  <c:v>279.70099999999991</c:v>
                </c:pt>
                <c:pt idx="29">
                  <c:v>278.54599999999999</c:v>
                </c:pt>
                <c:pt idx="30">
                  <c:v>275.03199999999975</c:v>
                </c:pt>
                <c:pt idx="31">
                  <c:v>269.74700000000001</c:v>
                </c:pt>
                <c:pt idx="32">
                  <c:v>271.74599999999987</c:v>
                </c:pt>
                <c:pt idx="33">
                  <c:v>270.59399999999988</c:v>
                </c:pt>
                <c:pt idx="34">
                  <c:v>270.75</c:v>
                </c:pt>
                <c:pt idx="35">
                  <c:v>271.14400000000012</c:v>
                </c:pt>
                <c:pt idx="36">
                  <c:v>269.73699999999985</c:v>
                </c:pt>
                <c:pt idx="37">
                  <c:v>265.14999999999998</c:v>
                </c:pt>
                <c:pt idx="38">
                  <c:v>270.358</c:v>
                </c:pt>
                <c:pt idx="39">
                  <c:v>267.68400000000008</c:v>
                </c:pt>
                <c:pt idx="40">
                  <c:v>271.07</c:v>
                </c:pt>
                <c:pt idx="41">
                  <c:v>258.7949999999999</c:v>
                </c:pt>
                <c:pt idx="42">
                  <c:v>253.67099999999999</c:v>
                </c:pt>
                <c:pt idx="43">
                  <c:v>254.13499999999999</c:v>
                </c:pt>
                <c:pt idx="44">
                  <c:v>255.22200000000001</c:v>
                </c:pt>
                <c:pt idx="45">
                  <c:v>253.96600000000001</c:v>
                </c:pt>
                <c:pt idx="46">
                  <c:v>256.01400000000001</c:v>
                </c:pt>
                <c:pt idx="47">
                  <c:v>260.77499999999986</c:v>
                </c:pt>
                <c:pt idx="48">
                  <c:v>260.31799999999993</c:v>
                </c:pt>
                <c:pt idx="49">
                  <c:v>257.75599999999986</c:v>
                </c:pt>
                <c:pt idx="50">
                  <c:v>258.79199999999975</c:v>
                </c:pt>
                <c:pt idx="51">
                  <c:v>260.94799999999987</c:v>
                </c:pt>
                <c:pt idx="52">
                  <c:v>257.26900000000001</c:v>
                </c:pt>
                <c:pt idx="53">
                  <c:v>259.75099999999986</c:v>
                </c:pt>
                <c:pt idx="54">
                  <c:v>256.78599999999989</c:v>
                </c:pt>
                <c:pt idx="55">
                  <c:v>257.197</c:v>
                </c:pt>
                <c:pt idx="56">
                  <c:v>263.24099999999999</c:v>
                </c:pt>
                <c:pt idx="57">
                  <c:v>258.25299999999999</c:v>
                </c:pt>
                <c:pt idx="58">
                  <c:v>268.36900000000014</c:v>
                </c:pt>
                <c:pt idx="59">
                  <c:v>274.68099999999993</c:v>
                </c:pt>
                <c:pt idx="60">
                  <c:v>267.04700000000008</c:v>
                </c:pt>
                <c:pt idx="61">
                  <c:v>271.31799999999993</c:v>
                </c:pt>
                <c:pt idx="62">
                  <c:v>270.05099999999999</c:v>
                </c:pt>
                <c:pt idx="63">
                  <c:v>261.30700000000002</c:v>
                </c:pt>
                <c:pt idx="64">
                  <c:v>256.553</c:v>
                </c:pt>
                <c:pt idx="65">
                  <c:v>259.012</c:v>
                </c:pt>
                <c:pt idx="66">
                  <c:v>256.27699999999987</c:v>
                </c:pt>
                <c:pt idx="67">
                  <c:v>256.28399999999988</c:v>
                </c:pt>
                <c:pt idx="68">
                  <c:v>256.4609999999999</c:v>
                </c:pt>
                <c:pt idx="69">
                  <c:v>255.374</c:v>
                </c:pt>
                <c:pt idx="70">
                  <c:v>255.87300000000002</c:v>
                </c:pt>
                <c:pt idx="71">
                  <c:v>260.4249999999999</c:v>
                </c:pt>
                <c:pt idx="72">
                  <c:v>259.26400000000001</c:v>
                </c:pt>
                <c:pt idx="73">
                  <c:v>252.77699999999999</c:v>
                </c:pt>
                <c:pt idx="74">
                  <c:v>249.44</c:v>
                </c:pt>
                <c:pt idx="75">
                  <c:v>244.70299999999997</c:v>
                </c:pt>
                <c:pt idx="76">
                  <c:v>247.69499999999999</c:v>
                </c:pt>
                <c:pt idx="77">
                  <c:v>248.88900000000001</c:v>
                </c:pt>
                <c:pt idx="78">
                  <c:v>248.88900000000001</c:v>
                </c:pt>
                <c:pt idx="79">
                  <c:v>248.88900000000001</c:v>
                </c:pt>
                <c:pt idx="80">
                  <c:v>249.863</c:v>
                </c:pt>
                <c:pt idx="81">
                  <c:v>251.77899999999997</c:v>
                </c:pt>
                <c:pt idx="82">
                  <c:v>252.75200000000001</c:v>
                </c:pt>
                <c:pt idx="83">
                  <c:v>254.34399999999999</c:v>
                </c:pt>
                <c:pt idx="84">
                  <c:v>252.71799999999999</c:v>
                </c:pt>
                <c:pt idx="85">
                  <c:v>254.85400000000001</c:v>
                </c:pt>
                <c:pt idx="86">
                  <c:v>256.959</c:v>
                </c:pt>
                <c:pt idx="87">
                  <c:v>242.625</c:v>
                </c:pt>
                <c:pt idx="88">
                  <c:v>241.10999999999999</c:v>
                </c:pt>
                <c:pt idx="89">
                  <c:v>241.10999999999999</c:v>
                </c:pt>
                <c:pt idx="90">
                  <c:v>249.089</c:v>
                </c:pt>
                <c:pt idx="91">
                  <c:v>243.14599999999999</c:v>
                </c:pt>
                <c:pt idx="92">
                  <c:v>249.03900000000002</c:v>
                </c:pt>
                <c:pt idx="93">
                  <c:v>243.36100000000005</c:v>
                </c:pt>
                <c:pt idx="94">
                  <c:v>253.88300000000001</c:v>
                </c:pt>
                <c:pt idx="95">
                  <c:v>247.28200000000001</c:v>
                </c:pt>
                <c:pt idx="96">
                  <c:v>249.74599999999998</c:v>
                </c:pt>
                <c:pt idx="97">
                  <c:v>243.67499999999998</c:v>
                </c:pt>
                <c:pt idx="98">
                  <c:v>244.47900000000001</c:v>
                </c:pt>
                <c:pt idx="99">
                  <c:v>241.43800000000005</c:v>
                </c:pt>
                <c:pt idx="100">
                  <c:v>235.60999999999999</c:v>
                </c:pt>
                <c:pt idx="101">
                  <c:v>239.41399999999999</c:v>
                </c:pt>
                <c:pt idx="102">
                  <c:v>250.99700000000001</c:v>
                </c:pt>
                <c:pt idx="103">
                  <c:v>245.846</c:v>
                </c:pt>
                <c:pt idx="104">
                  <c:v>245.846</c:v>
                </c:pt>
                <c:pt idx="105">
                  <c:v>248.48600000000005</c:v>
                </c:pt>
                <c:pt idx="106">
                  <c:v>251.09900000000002</c:v>
                </c:pt>
                <c:pt idx="107">
                  <c:v>247.684</c:v>
                </c:pt>
                <c:pt idx="108">
                  <c:v>260.87700000000001</c:v>
                </c:pt>
                <c:pt idx="109">
                  <c:v>268.78699999999975</c:v>
                </c:pt>
                <c:pt idx="110">
                  <c:v>262.53099999999989</c:v>
                </c:pt>
                <c:pt idx="111">
                  <c:v>261.74799999999999</c:v>
                </c:pt>
                <c:pt idx="112">
                  <c:v>260.834</c:v>
                </c:pt>
                <c:pt idx="113">
                  <c:v>260.048</c:v>
                </c:pt>
                <c:pt idx="114">
                  <c:v>254.25800000000001</c:v>
                </c:pt>
                <c:pt idx="115">
                  <c:v>251.202</c:v>
                </c:pt>
                <c:pt idx="116">
                  <c:v>257.41599999999988</c:v>
                </c:pt>
                <c:pt idx="117">
                  <c:v>262.82900000000001</c:v>
                </c:pt>
                <c:pt idx="118">
                  <c:v>260.11500000000001</c:v>
                </c:pt>
                <c:pt idx="119">
                  <c:v>254.125</c:v>
                </c:pt>
                <c:pt idx="120">
                  <c:v>249.91200000000001</c:v>
                </c:pt>
                <c:pt idx="121">
                  <c:v>244.01499999999999</c:v>
                </c:pt>
                <c:pt idx="122">
                  <c:v>242.76900000000001</c:v>
                </c:pt>
                <c:pt idx="123">
                  <c:v>243.727</c:v>
                </c:pt>
                <c:pt idx="124">
                  <c:v>243.16900000000001</c:v>
                </c:pt>
                <c:pt idx="125">
                  <c:v>242.41800000000001</c:v>
                </c:pt>
                <c:pt idx="126">
                  <c:v>237.61299999999997</c:v>
                </c:pt>
                <c:pt idx="127">
                  <c:v>238.44200000000001</c:v>
                </c:pt>
                <c:pt idx="128">
                  <c:v>233.708</c:v>
                </c:pt>
                <c:pt idx="129">
                  <c:v>222.92400000000001</c:v>
                </c:pt>
                <c:pt idx="130">
                  <c:v>228.923</c:v>
                </c:pt>
                <c:pt idx="131">
                  <c:v>228.00299999999999</c:v>
                </c:pt>
                <c:pt idx="132">
                  <c:v>227.636</c:v>
                </c:pt>
                <c:pt idx="133">
                  <c:v>222.36500000000001</c:v>
                </c:pt>
                <c:pt idx="134">
                  <c:v>223.95600000000005</c:v>
                </c:pt>
                <c:pt idx="135">
                  <c:v>221.91</c:v>
                </c:pt>
                <c:pt idx="136">
                  <c:v>223.37700000000001</c:v>
                </c:pt>
                <c:pt idx="137">
                  <c:v>214.012</c:v>
                </c:pt>
                <c:pt idx="138">
                  <c:v>216.98400000000001</c:v>
                </c:pt>
                <c:pt idx="139">
                  <c:v>221.012</c:v>
                </c:pt>
                <c:pt idx="140">
                  <c:v>216.78900000000002</c:v>
                </c:pt>
                <c:pt idx="141">
                  <c:v>222.13900000000001</c:v>
                </c:pt>
                <c:pt idx="142">
                  <c:v>223.01</c:v>
                </c:pt>
                <c:pt idx="143">
                  <c:v>217.83800000000005</c:v>
                </c:pt>
                <c:pt idx="144">
                  <c:v>221.26499999999999</c:v>
                </c:pt>
                <c:pt idx="145">
                  <c:v>217.566</c:v>
                </c:pt>
                <c:pt idx="146">
                  <c:v>217.94499999999999</c:v>
                </c:pt>
                <c:pt idx="147">
                  <c:v>216.49700000000001</c:v>
                </c:pt>
                <c:pt idx="148">
                  <c:v>212.833</c:v>
                </c:pt>
                <c:pt idx="149">
                  <c:v>215.227</c:v>
                </c:pt>
                <c:pt idx="150">
                  <c:v>215.35500000000005</c:v>
                </c:pt>
                <c:pt idx="151">
                  <c:v>217.934</c:v>
                </c:pt>
                <c:pt idx="152">
                  <c:v>227.86700000000005</c:v>
                </c:pt>
                <c:pt idx="153">
                  <c:v>237.309</c:v>
                </c:pt>
                <c:pt idx="154">
                  <c:v>258.02699999999987</c:v>
                </c:pt>
                <c:pt idx="155">
                  <c:v>254.761</c:v>
                </c:pt>
                <c:pt idx="156">
                  <c:v>259.05900000000008</c:v>
                </c:pt>
                <c:pt idx="157">
                  <c:v>249.93100000000001</c:v>
                </c:pt>
                <c:pt idx="158">
                  <c:v>250.697</c:v>
                </c:pt>
                <c:pt idx="159">
                  <c:v>258.99699999999984</c:v>
                </c:pt>
                <c:pt idx="160">
                  <c:v>251.86700000000005</c:v>
                </c:pt>
                <c:pt idx="161">
                  <c:v>261.565</c:v>
                </c:pt>
                <c:pt idx="162">
                  <c:v>271.08499999999987</c:v>
                </c:pt>
                <c:pt idx="163">
                  <c:v>267.51900000000001</c:v>
                </c:pt>
                <c:pt idx="164">
                  <c:v>263.87</c:v>
                </c:pt>
                <c:pt idx="165">
                  <c:v>268.68099999999993</c:v>
                </c:pt>
                <c:pt idx="166">
                  <c:v>264.40899999999988</c:v>
                </c:pt>
                <c:pt idx="167">
                  <c:v>261.04199999999986</c:v>
                </c:pt>
                <c:pt idx="168">
                  <c:v>270.13499999999999</c:v>
                </c:pt>
                <c:pt idx="169">
                  <c:v>270.13499999999999</c:v>
                </c:pt>
                <c:pt idx="170">
                  <c:v>269.95299999999986</c:v>
                </c:pt>
                <c:pt idx="171">
                  <c:v>271.57599999999991</c:v>
                </c:pt>
                <c:pt idx="172">
                  <c:v>269.27199999999988</c:v>
                </c:pt>
                <c:pt idx="173">
                  <c:v>265.15600000000001</c:v>
                </c:pt>
                <c:pt idx="174">
                  <c:v>269.4899999999999</c:v>
                </c:pt>
                <c:pt idx="175">
                  <c:v>274.92699999999985</c:v>
                </c:pt>
                <c:pt idx="176">
                  <c:v>274.65600000000001</c:v>
                </c:pt>
                <c:pt idx="177">
                  <c:v>260.089</c:v>
                </c:pt>
                <c:pt idx="178">
                  <c:v>261.67099999999999</c:v>
                </c:pt>
                <c:pt idx="179">
                  <c:v>256.053</c:v>
                </c:pt>
                <c:pt idx="180">
                  <c:v>247.108</c:v>
                </c:pt>
                <c:pt idx="181">
                  <c:v>245.76999999999998</c:v>
                </c:pt>
                <c:pt idx="182">
                  <c:v>239.947</c:v>
                </c:pt>
                <c:pt idx="183">
                  <c:v>234.815</c:v>
                </c:pt>
                <c:pt idx="184">
                  <c:v>234.959</c:v>
                </c:pt>
                <c:pt idx="185">
                  <c:v>235.00399999999999</c:v>
                </c:pt>
                <c:pt idx="186">
                  <c:v>237.99100000000001</c:v>
                </c:pt>
                <c:pt idx="187">
                  <c:v>224.423</c:v>
                </c:pt>
                <c:pt idx="188">
                  <c:v>217.96300000000002</c:v>
                </c:pt>
                <c:pt idx="189">
                  <c:v>216.83200000000005</c:v>
                </c:pt>
                <c:pt idx="190">
                  <c:v>223.154</c:v>
                </c:pt>
                <c:pt idx="191">
                  <c:v>221.76</c:v>
                </c:pt>
                <c:pt idx="192">
                  <c:v>223.24699999999999</c:v>
                </c:pt>
                <c:pt idx="193">
                  <c:v>221.84300000000002</c:v>
                </c:pt>
                <c:pt idx="194">
                  <c:v>222.82200000000006</c:v>
                </c:pt>
                <c:pt idx="195">
                  <c:v>231.58100000000005</c:v>
                </c:pt>
                <c:pt idx="196">
                  <c:v>238.494</c:v>
                </c:pt>
                <c:pt idx="197">
                  <c:v>248.16399999999999</c:v>
                </c:pt>
                <c:pt idx="198">
                  <c:v>243.983</c:v>
                </c:pt>
                <c:pt idx="199">
                  <c:v>241.39200000000005</c:v>
                </c:pt>
                <c:pt idx="200">
                  <c:v>243.41499999999999</c:v>
                </c:pt>
                <c:pt idx="201">
                  <c:v>241.411</c:v>
                </c:pt>
                <c:pt idx="202">
                  <c:v>232.81399999999999</c:v>
                </c:pt>
                <c:pt idx="203">
                  <c:v>220.941</c:v>
                </c:pt>
                <c:pt idx="204">
                  <c:v>223.37200000000001</c:v>
                </c:pt>
                <c:pt idx="205">
                  <c:v>215.63399999999999</c:v>
                </c:pt>
                <c:pt idx="206">
                  <c:v>216.798</c:v>
                </c:pt>
                <c:pt idx="207">
                  <c:v>215.12700000000001</c:v>
                </c:pt>
                <c:pt idx="208">
                  <c:v>217.846</c:v>
                </c:pt>
                <c:pt idx="209">
                  <c:v>213.85800000000006</c:v>
                </c:pt>
                <c:pt idx="210">
                  <c:v>215.06399999999999</c:v>
                </c:pt>
                <c:pt idx="211">
                  <c:v>215.82400000000001</c:v>
                </c:pt>
                <c:pt idx="212">
                  <c:v>215.45600000000005</c:v>
                </c:pt>
                <c:pt idx="213">
                  <c:v>211.74699999999999</c:v>
                </c:pt>
                <c:pt idx="214">
                  <c:v>208.85000000000005</c:v>
                </c:pt>
                <c:pt idx="215">
                  <c:v>207.584</c:v>
                </c:pt>
                <c:pt idx="216">
                  <c:v>213.22300000000001</c:v>
                </c:pt>
                <c:pt idx="217">
                  <c:v>220.95500000000001</c:v>
                </c:pt>
                <c:pt idx="218">
                  <c:v>216.27699999999999</c:v>
                </c:pt>
                <c:pt idx="219">
                  <c:v>210.10399999999998</c:v>
                </c:pt>
                <c:pt idx="220">
                  <c:v>205.95400000000001</c:v>
                </c:pt>
                <c:pt idx="221">
                  <c:v>210.26399999999998</c:v>
                </c:pt>
                <c:pt idx="222">
                  <c:v>197.71399999999994</c:v>
                </c:pt>
                <c:pt idx="223">
                  <c:v>199.11299999999997</c:v>
                </c:pt>
                <c:pt idx="224">
                  <c:v>205.21899999999999</c:v>
                </c:pt>
                <c:pt idx="225">
                  <c:v>207.655</c:v>
                </c:pt>
                <c:pt idx="226">
                  <c:v>211.36700000000005</c:v>
                </c:pt>
                <c:pt idx="227">
                  <c:v>209.61199999999999</c:v>
                </c:pt>
                <c:pt idx="228">
                  <c:v>205.34</c:v>
                </c:pt>
                <c:pt idx="229">
                  <c:v>206.83500000000001</c:v>
                </c:pt>
                <c:pt idx="230">
                  <c:v>208.43800000000005</c:v>
                </c:pt>
                <c:pt idx="231">
                  <c:v>213.02600000000001</c:v>
                </c:pt>
                <c:pt idx="232">
                  <c:v>210.495</c:v>
                </c:pt>
                <c:pt idx="233">
                  <c:v>207.21699999999998</c:v>
                </c:pt>
                <c:pt idx="234">
                  <c:v>207.25800000000001</c:v>
                </c:pt>
                <c:pt idx="235">
                  <c:v>207.73399999999998</c:v>
                </c:pt>
                <c:pt idx="236">
                  <c:v>203.00299999999999</c:v>
                </c:pt>
                <c:pt idx="237">
                  <c:v>201.58100000000005</c:v>
                </c:pt>
                <c:pt idx="238">
                  <c:v>199.94</c:v>
                </c:pt>
                <c:pt idx="239">
                  <c:v>203.124</c:v>
                </c:pt>
                <c:pt idx="240">
                  <c:v>213.02100000000004</c:v>
                </c:pt>
                <c:pt idx="241">
                  <c:v>205.88100000000006</c:v>
                </c:pt>
                <c:pt idx="242">
                  <c:v>201.45400000000001</c:v>
                </c:pt>
                <c:pt idx="243">
                  <c:v>195.904</c:v>
                </c:pt>
                <c:pt idx="244">
                  <c:v>196.51499999999999</c:v>
                </c:pt>
                <c:pt idx="245">
                  <c:v>195.11199999999999</c:v>
                </c:pt>
                <c:pt idx="246">
                  <c:v>198.64499999999998</c:v>
                </c:pt>
                <c:pt idx="247">
                  <c:v>189.029</c:v>
                </c:pt>
                <c:pt idx="248">
                  <c:v>194.94900000000001</c:v>
                </c:pt>
                <c:pt idx="249">
                  <c:v>187.12200000000001</c:v>
                </c:pt>
                <c:pt idx="250">
                  <c:v>185.07300000000001</c:v>
                </c:pt>
                <c:pt idx="251">
                  <c:v>182.1</c:v>
                </c:pt>
                <c:pt idx="252">
                  <c:v>177.82800000000006</c:v>
                </c:pt>
                <c:pt idx="253">
                  <c:v>176.93700000000001</c:v>
                </c:pt>
                <c:pt idx="254">
                  <c:v>173.03399999999999</c:v>
                </c:pt>
                <c:pt idx="255">
                  <c:v>168.935</c:v>
                </c:pt>
                <c:pt idx="256">
                  <c:v>168.935</c:v>
                </c:pt>
                <c:pt idx="257">
                  <c:v>168.935</c:v>
                </c:pt>
                <c:pt idx="258">
                  <c:v>173.934</c:v>
                </c:pt>
                <c:pt idx="259">
                  <c:v>172.476</c:v>
                </c:pt>
                <c:pt idx="260">
                  <c:v>168.59</c:v>
                </c:pt>
                <c:pt idx="261">
                  <c:v>168.59</c:v>
                </c:pt>
                <c:pt idx="262">
                  <c:v>174.77699999999999</c:v>
                </c:pt>
                <c:pt idx="263">
                  <c:v>182.55100000000004</c:v>
                </c:pt>
                <c:pt idx="264">
                  <c:v>184.61899999999997</c:v>
                </c:pt>
                <c:pt idx="265">
                  <c:v>185.30100000000004</c:v>
                </c:pt>
                <c:pt idx="266">
                  <c:v>176.298</c:v>
                </c:pt>
                <c:pt idx="267">
                  <c:v>171.441</c:v>
                </c:pt>
                <c:pt idx="268">
                  <c:v>169.59700000000001</c:v>
                </c:pt>
                <c:pt idx="269">
                  <c:v>168.232</c:v>
                </c:pt>
                <c:pt idx="270">
                  <c:v>164.4</c:v>
                </c:pt>
                <c:pt idx="271">
                  <c:v>165.82800000000006</c:v>
                </c:pt>
                <c:pt idx="272">
                  <c:v>160.566</c:v>
                </c:pt>
                <c:pt idx="273">
                  <c:v>161.85700000000006</c:v>
                </c:pt>
                <c:pt idx="274">
                  <c:v>160.589</c:v>
                </c:pt>
                <c:pt idx="275">
                  <c:v>165.39600000000004</c:v>
                </c:pt>
                <c:pt idx="276">
                  <c:v>166.464</c:v>
                </c:pt>
                <c:pt idx="277">
                  <c:v>171.768</c:v>
                </c:pt>
                <c:pt idx="278">
                  <c:v>174.583</c:v>
                </c:pt>
                <c:pt idx="279">
                  <c:v>183.017</c:v>
                </c:pt>
                <c:pt idx="280">
                  <c:v>178.46900000000002</c:v>
                </c:pt>
                <c:pt idx="281">
                  <c:v>183.524</c:v>
                </c:pt>
                <c:pt idx="282">
                  <c:v>185.91800000000001</c:v>
                </c:pt>
                <c:pt idx="283">
                  <c:v>185.22900000000001</c:v>
                </c:pt>
                <c:pt idx="284">
                  <c:v>182.233</c:v>
                </c:pt>
                <c:pt idx="285">
                  <c:v>180.11299999999997</c:v>
                </c:pt>
                <c:pt idx="286">
                  <c:v>175.846</c:v>
                </c:pt>
                <c:pt idx="287">
                  <c:v>171.053</c:v>
                </c:pt>
                <c:pt idx="288">
                  <c:v>178.58500000000001</c:v>
                </c:pt>
                <c:pt idx="289">
                  <c:v>181.50200000000001</c:v>
                </c:pt>
                <c:pt idx="290">
                  <c:v>179.459</c:v>
                </c:pt>
                <c:pt idx="291">
                  <c:v>176.40600000000001</c:v>
                </c:pt>
                <c:pt idx="292">
                  <c:v>175.101</c:v>
                </c:pt>
                <c:pt idx="293">
                  <c:v>177.66</c:v>
                </c:pt>
                <c:pt idx="294">
                  <c:v>174.23499999999999</c:v>
                </c:pt>
                <c:pt idx="295">
                  <c:v>177.84700000000001</c:v>
                </c:pt>
                <c:pt idx="296">
                  <c:v>175.63900000000001</c:v>
                </c:pt>
                <c:pt idx="297">
                  <c:v>175.631</c:v>
                </c:pt>
                <c:pt idx="298">
                  <c:v>181.22900000000001</c:v>
                </c:pt>
                <c:pt idx="299">
                  <c:v>189.16300000000001</c:v>
                </c:pt>
                <c:pt idx="300">
                  <c:v>195.92600000000004</c:v>
                </c:pt>
                <c:pt idx="301">
                  <c:v>195.54900000000001</c:v>
                </c:pt>
                <c:pt idx="302">
                  <c:v>209.55500000000001</c:v>
                </c:pt>
                <c:pt idx="303">
                  <c:v>230.81</c:v>
                </c:pt>
                <c:pt idx="304">
                  <c:v>223.82900000000001</c:v>
                </c:pt>
                <c:pt idx="305">
                  <c:v>219.364</c:v>
                </c:pt>
                <c:pt idx="306">
                  <c:v>233.79399999999998</c:v>
                </c:pt>
                <c:pt idx="307">
                  <c:v>238.19800000000001</c:v>
                </c:pt>
                <c:pt idx="308">
                  <c:v>245.66800000000001</c:v>
                </c:pt>
                <c:pt idx="309">
                  <c:v>328.6400000000001</c:v>
                </c:pt>
                <c:pt idx="310">
                  <c:v>324.30399999999986</c:v>
                </c:pt>
                <c:pt idx="311">
                  <c:v>335.64900000000011</c:v>
                </c:pt>
                <c:pt idx="312">
                  <c:v>405.19499999999999</c:v>
                </c:pt>
                <c:pt idx="313">
                  <c:v>402.24200000000002</c:v>
                </c:pt>
                <c:pt idx="314">
                  <c:v>417.32900000000001</c:v>
                </c:pt>
                <c:pt idx="315">
                  <c:v>438.57100000000003</c:v>
                </c:pt>
                <c:pt idx="316">
                  <c:v>501.28699999999975</c:v>
                </c:pt>
                <c:pt idx="317">
                  <c:v>572.38900000000001</c:v>
                </c:pt>
                <c:pt idx="318">
                  <c:v>614.08500000000004</c:v>
                </c:pt>
                <c:pt idx="319">
                  <c:v>670.245</c:v>
                </c:pt>
                <c:pt idx="320">
                  <c:v>660.89800000000002</c:v>
                </c:pt>
                <c:pt idx="321">
                  <c:v>627.34599999999978</c:v>
                </c:pt>
                <c:pt idx="322">
                  <c:v>613.50099999999998</c:v>
                </c:pt>
                <c:pt idx="323">
                  <c:v>608.726</c:v>
                </c:pt>
                <c:pt idx="324">
                  <c:v>609.45799999999974</c:v>
                </c:pt>
                <c:pt idx="325">
                  <c:v>608.77900000000022</c:v>
                </c:pt>
                <c:pt idx="326">
                  <c:v>608.72</c:v>
                </c:pt>
                <c:pt idx="327">
                  <c:v>603.64800000000002</c:v>
                </c:pt>
                <c:pt idx="328">
                  <c:v>584.86399999999981</c:v>
                </c:pt>
                <c:pt idx="329">
                  <c:v>571.95699999999977</c:v>
                </c:pt>
                <c:pt idx="330">
                  <c:v>569.73299999999972</c:v>
                </c:pt>
                <c:pt idx="331">
                  <c:v>572.35199999999975</c:v>
                </c:pt>
                <c:pt idx="332">
                  <c:v>538.98599999999999</c:v>
                </c:pt>
                <c:pt idx="333">
                  <c:v>538.98599999999999</c:v>
                </c:pt>
                <c:pt idx="334">
                  <c:v>538.98599999999999</c:v>
                </c:pt>
                <c:pt idx="335">
                  <c:v>518.10400000000004</c:v>
                </c:pt>
                <c:pt idx="336">
                  <c:v>525.89400000000001</c:v>
                </c:pt>
                <c:pt idx="337">
                  <c:v>526.98599999999999</c:v>
                </c:pt>
                <c:pt idx="338">
                  <c:v>517.93199999999979</c:v>
                </c:pt>
                <c:pt idx="339">
                  <c:v>521.69100000000003</c:v>
                </c:pt>
                <c:pt idx="340">
                  <c:v>531.01300000000003</c:v>
                </c:pt>
                <c:pt idx="341">
                  <c:v>532.77599999999995</c:v>
                </c:pt>
                <c:pt idx="342">
                  <c:v>530.96400000000006</c:v>
                </c:pt>
                <c:pt idx="343">
                  <c:v>529.77800000000025</c:v>
                </c:pt>
                <c:pt idx="344">
                  <c:v>531.67600000000004</c:v>
                </c:pt>
                <c:pt idx="345">
                  <c:v>536.31899999999996</c:v>
                </c:pt>
                <c:pt idx="346">
                  <c:v>537.202</c:v>
                </c:pt>
                <c:pt idx="347">
                  <c:v>523.56699999999978</c:v>
                </c:pt>
                <c:pt idx="348">
                  <c:v>526.60199999999998</c:v>
                </c:pt>
                <c:pt idx="349">
                  <c:v>518.95499999999981</c:v>
                </c:pt>
                <c:pt idx="350">
                  <c:v>485.94900000000001</c:v>
                </c:pt>
                <c:pt idx="351">
                  <c:v>481.60300000000001</c:v>
                </c:pt>
                <c:pt idx="352">
                  <c:v>476.40599999999989</c:v>
                </c:pt>
                <c:pt idx="353">
                  <c:v>476.40599999999989</c:v>
                </c:pt>
                <c:pt idx="354">
                  <c:v>434.02199999999988</c:v>
                </c:pt>
                <c:pt idx="355">
                  <c:v>434.9559999999999</c:v>
                </c:pt>
                <c:pt idx="356">
                  <c:v>390.28199999999975</c:v>
                </c:pt>
                <c:pt idx="357">
                  <c:v>373.27799999999991</c:v>
                </c:pt>
                <c:pt idx="358">
                  <c:v>363.06299999999999</c:v>
                </c:pt>
                <c:pt idx="359">
                  <c:v>349.85599999999999</c:v>
                </c:pt>
                <c:pt idx="360">
                  <c:v>347.88</c:v>
                </c:pt>
                <c:pt idx="361">
                  <c:v>344.04</c:v>
                </c:pt>
                <c:pt idx="362">
                  <c:v>342.065</c:v>
                </c:pt>
                <c:pt idx="363">
                  <c:v>340.005</c:v>
                </c:pt>
                <c:pt idx="364">
                  <c:v>340.005</c:v>
                </c:pt>
                <c:pt idx="365">
                  <c:v>342.01400000000001</c:v>
                </c:pt>
                <c:pt idx="366">
                  <c:v>339.54300000000001</c:v>
                </c:pt>
                <c:pt idx="367">
                  <c:v>338.661</c:v>
                </c:pt>
                <c:pt idx="368">
                  <c:v>340.58699999999988</c:v>
                </c:pt>
                <c:pt idx="369">
                  <c:v>338.12</c:v>
                </c:pt>
                <c:pt idx="370">
                  <c:v>335.76299999999986</c:v>
                </c:pt>
                <c:pt idx="371">
                  <c:v>334.41699999999975</c:v>
                </c:pt>
                <c:pt idx="372">
                  <c:v>332.16399999999999</c:v>
                </c:pt>
                <c:pt idx="373">
                  <c:v>319.54399999999993</c:v>
                </c:pt>
                <c:pt idx="374">
                  <c:v>326.96199999999988</c:v>
                </c:pt>
                <c:pt idx="375">
                  <c:v>340.10599999999999</c:v>
                </c:pt>
                <c:pt idx="376">
                  <c:v>330.69</c:v>
                </c:pt>
                <c:pt idx="377">
                  <c:v>351.70699999999988</c:v>
                </c:pt>
                <c:pt idx="378">
                  <c:v>360.90899999999988</c:v>
                </c:pt>
                <c:pt idx="379">
                  <c:v>392.74099999999999</c:v>
                </c:pt>
                <c:pt idx="380">
                  <c:v>390.06900000000002</c:v>
                </c:pt>
                <c:pt idx="381">
                  <c:v>391.55399999999986</c:v>
                </c:pt>
                <c:pt idx="382">
                  <c:v>391.13900000000001</c:v>
                </c:pt>
                <c:pt idx="383">
                  <c:v>381.339</c:v>
                </c:pt>
                <c:pt idx="384">
                  <c:v>387.86099999999999</c:v>
                </c:pt>
                <c:pt idx="385">
                  <c:v>387.392</c:v>
                </c:pt>
                <c:pt idx="386">
                  <c:v>386.113</c:v>
                </c:pt>
                <c:pt idx="387">
                  <c:v>395.40499999999986</c:v>
                </c:pt>
                <c:pt idx="388">
                  <c:v>392.541</c:v>
                </c:pt>
                <c:pt idx="389">
                  <c:v>397.42099999999988</c:v>
                </c:pt>
                <c:pt idx="390">
                  <c:v>394.125</c:v>
                </c:pt>
                <c:pt idx="391">
                  <c:v>384.25700000000001</c:v>
                </c:pt>
                <c:pt idx="392">
                  <c:v>359.97399999999988</c:v>
                </c:pt>
                <c:pt idx="393">
                  <c:v>350.82499999999999</c:v>
                </c:pt>
                <c:pt idx="394">
                  <c:v>354.07400000000001</c:v>
                </c:pt>
                <c:pt idx="395">
                  <c:v>354.25</c:v>
                </c:pt>
                <c:pt idx="396">
                  <c:v>356.69</c:v>
                </c:pt>
                <c:pt idx="397">
                  <c:v>358.0329999999999</c:v>
                </c:pt>
                <c:pt idx="398">
                  <c:v>357.92399999999975</c:v>
                </c:pt>
                <c:pt idx="399">
                  <c:v>358.53</c:v>
                </c:pt>
                <c:pt idx="400">
                  <c:v>356.25200000000001</c:v>
                </c:pt>
                <c:pt idx="401">
                  <c:v>356.91499999999991</c:v>
                </c:pt>
                <c:pt idx="402">
                  <c:v>356.93299999999988</c:v>
                </c:pt>
                <c:pt idx="403">
                  <c:v>360.79799999999989</c:v>
                </c:pt>
                <c:pt idx="404">
                  <c:v>364.673</c:v>
                </c:pt>
                <c:pt idx="405">
                  <c:v>365.97599999999989</c:v>
                </c:pt>
                <c:pt idx="406">
                  <c:v>362.55500000000001</c:v>
                </c:pt>
                <c:pt idx="407">
                  <c:v>357.279</c:v>
                </c:pt>
                <c:pt idx="408">
                  <c:v>361.33300000000003</c:v>
                </c:pt>
                <c:pt idx="409">
                  <c:v>353.24099999999999</c:v>
                </c:pt>
                <c:pt idx="410">
                  <c:v>358.43299999999988</c:v>
                </c:pt>
                <c:pt idx="411">
                  <c:v>359.57599999999991</c:v>
                </c:pt>
                <c:pt idx="412">
                  <c:v>361.27799999999991</c:v>
                </c:pt>
                <c:pt idx="413">
                  <c:v>359.72899999999976</c:v>
                </c:pt>
                <c:pt idx="414">
                  <c:v>357.65199999999999</c:v>
                </c:pt>
                <c:pt idx="415">
                  <c:v>352.90999999999991</c:v>
                </c:pt>
                <c:pt idx="416">
                  <c:v>348.11500000000001</c:v>
                </c:pt>
                <c:pt idx="417">
                  <c:v>342.01900000000001</c:v>
                </c:pt>
                <c:pt idx="418">
                  <c:v>340.97399999999988</c:v>
                </c:pt>
                <c:pt idx="419">
                  <c:v>341.37099999999987</c:v>
                </c:pt>
                <c:pt idx="420">
                  <c:v>330.65699999999993</c:v>
                </c:pt>
                <c:pt idx="421">
                  <c:v>324.16500000000002</c:v>
                </c:pt>
                <c:pt idx="422">
                  <c:v>315.46499999999986</c:v>
                </c:pt>
                <c:pt idx="423">
                  <c:v>318.22000000000003</c:v>
                </c:pt>
                <c:pt idx="424">
                  <c:v>328.36700000000002</c:v>
                </c:pt>
                <c:pt idx="425">
                  <c:v>326.99299999999988</c:v>
                </c:pt>
                <c:pt idx="426">
                  <c:v>327.81099999999986</c:v>
                </c:pt>
                <c:pt idx="427">
                  <c:v>327.92399999999975</c:v>
                </c:pt>
                <c:pt idx="428">
                  <c:v>322.91899999999976</c:v>
                </c:pt>
                <c:pt idx="429">
                  <c:v>327.58300000000003</c:v>
                </c:pt>
                <c:pt idx="430">
                  <c:v>319.57400000000001</c:v>
                </c:pt>
                <c:pt idx="431">
                  <c:v>323.69</c:v>
                </c:pt>
                <c:pt idx="432">
                  <c:v>313.73299999999989</c:v>
                </c:pt>
                <c:pt idx="433">
                  <c:v>325.35700000000008</c:v>
                </c:pt>
                <c:pt idx="434">
                  <c:v>325.35700000000008</c:v>
                </c:pt>
                <c:pt idx="435">
                  <c:v>318.89699999999988</c:v>
                </c:pt>
                <c:pt idx="436">
                  <c:v>317.29700000000003</c:v>
                </c:pt>
                <c:pt idx="437">
                  <c:v>318.01400000000001</c:v>
                </c:pt>
                <c:pt idx="438">
                  <c:v>313.79599999999988</c:v>
                </c:pt>
                <c:pt idx="439">
                  <c:v>310.14499999999998</c:v>
                </c:pt>
                <c:pt idx="440">
                  <c:v>324.63</c:v>
                </c:pt>
                <c:pt idx="441">
                  <c:v>318.24400000000014</c:v>
                </c:pt>
                <c:pt idx="442">
                  <c:v>319.61900000000014</c:v>
                </c:pt>
                <c:pt idx="443">
                  <c:v>319.34699999999987</c:v>
                </c:pt>
                <c:pt idx="444">
                  <c:v>318.577</c:v>
                </c:pt>
                <c:pt idx="445">
                  <c:v>317.94499999999999</c:v>
                </c:pt>
                <c:pt idx="446">
                  <c:v>314.75900000000001</c:v>
                </c:pt>
                <c:pt idx="447">
                  <c:v>316.89999999999986</c:v>
                </c:pt>
                <c:pt idx="448">
                  <c:v>312.54199999999986</c:v>
                </c:pt>
                <c:pt idx="449">
                  <c:v>321.4559999999999</c:v>
                </c:pt>
                <c:pt idx="450">
                  <c:v>318.762</c:v>
                </c:pt>
                <c:pt idx="451">
                  <c:v>332.54</c:v>
                </c:pt>
                <c:pt idx="452">
                  <c:v>336.339</c:v>
                </c:pt>
                <c:pt idx="453">
                  <c:v>334.43400000000003</c:v>
                </c:pt>
                <c:pt idx="454">
                  <c:v>426.12799999999999</c:v>
                </c:pt>
                <c:pt idx="455">
                  <c:v>457.601</c:v>
                </c:pt>
                <c:pt idx="456">
                  <c:v>455.87700000000001</c:v>
                </c:pt>
                <c:pt idx="457">
                  <c:v>426.44600000000003</c:v>
                </c:pt>
                <c:pt idx="458">
                  <c:v>408.15600000000001</c:v>
                </c:pt>
                <c:pt idx="459">
                  <c:v>412.83699999999988</c:v>
                </c:pt>
                <c:pt idx="460">
                  <c:v>410.28899999999987</c:v>
                </c:pt>
                <c:pt idx="461">
                  <c:v>410.12700000000001</c:v>
                </c:pt>
                <c:pt idx="462">
                  <c:v>408.22099999999989</c:v>
                </c:pt>
                <c:pt idx="463">
                  <c:v>402.18799999999999</c:v>
                </c:pt>
                <c:pt idx="464">
                  <c:v>403.81</c:v>
                </c:pt>
                <c:pt idx="465">
                  <c:v>406.38200000000001</c:v>
                </c:pt>
                <c:pt idx="466">
                  <c:v>417.06799999999993</c:v>
                </c:pt>
                <c:pt idx="467">
                  <c:v>419.44799999999987</c:v>
                </c:pt>
                <c:pt idx="468">
                  <c:v>416.904</c:v>
                </c:pt>
                <c:pt idx="469">
                  <c:v>411.35700000000008</c:v>
                </c:pt>
                <c:pt idx="470">
                  <c:v>417.35500000000002</c:v>
                </c:pt>
                <c:pt idx="471">
                  <c:v>424.577</c:v>
                </c:pt>
                <c:pt idx="472">
                  <c:v>430.36799999999999</c:v>
                </c:pt>
                <c:pt idx="473">
                  <c:v>430.67</c:v>
                </c:pt>
                <c:pt idx="474">
                  <c:v>444.77299999999991</c:v>
                </c:pt>
                <c:pt idx="475">
                  <c:v>449.68900000000002</c:v>
                </c:pt>
                <c:pt idx="476">
                  <c:v>454.46299999999991</c:v>
                </c:pt>
                <c:pt idx="477">
                  <c:v>462.14100000000002</c:v>
                </c:pt>
                <c:pt idx="478">
                  <c:v>474.05900000000008</c:v>
                </c:pt>
                <c:pt idx="479">
                  <c:v>481.66899999999993</c:v>
                </c:pt>
                <c:pt idx="480">
                  <c:v>455.28999999999991</c:v>
                </c:pt>
                <c:pt idx="481">
                  <c:v>455.28999999999991</c:v>
                </c:pt>
              </c:numCache>
            </c:numRef>
          </c:val>
          <c:smooth val="0"/>
          <c:extLst>
            <c:ext xmlns:c16="http://schemas.microsoft.com/office/drawing/2014/chart" uri="{C3380CC4-5D6E-409C-BE32-E72D297353CC}">
              <c16:uniqueId val="{00000000-BFD6-4FA7-9FC9-9398EA1E3504}"/>
            </c:ext>
          </c:extLst>
        </c:ser>
        <c:ser>
          <c:idx val="2"/>
          <c:order val="1"/>
          <c:tx>
            <c:strRef>
              <c:f>Sheet1!$C$1</c:f>
              <c:strCache>
                <c:ptCount val="1"/>
                <c:pt idx="0">
                  <c:v>Ռուսաստան (2026թ.)</c:v>
                </c:pt>
              </c:strCache>
            </c:strRef>
          </c:tx>
          <c:spPr>
            <a:ln w="28575" cap="rnd">
              <a:solidFill>
                <a:srgbClr val="00B050"/>
              </a:solidFill>
              <a:round/>
            </a:ln>
            <a:effectLst/>
          </c:spPr>
          <c:marker>
            <c:symbol val="none"/>
          </c:marker>
          <c:cat>
            <c:numRef>
              <c:f>Sheet1!$A$2:$A$483</c:f>
              <c:numCache>
                <c:formatCode>m\/d\/yyyy</c:formatCode>
                <c:ptCount val="482"/>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numCache>
            </c:numRef>
          </c:cat>
          <c:val>
            <c:numRef>
              <c:f>Sheet1!$C$2:$C$483</c:f>
              <c:numCache>
                <c:formatCode>0</c:formatCode>
                <c:ptCount val="482"/>
                <c:pt idx="0">
                  <c:v>220.47</c:v>
                </c:pt>
                <c:pt idx="1">
                  <c:v>222.61599999999999</c:v>
                </c:pt>
                <c:pt idx="2">
                  <c:v>228.64</c:v>
                </c:pt>
                <c:pt idx="3">
                  <c:v>203.69300000000001</c:v>
                </c:pt>
                <c:pt idx="4">
                  <c:v>194.91399999999999</c:v>
                </c:pt>
                <c:pt idx="5">
                  <c:v>190.78800000000001</c:v>
                </c:pt>
                <c:pt idx="6">
                  <c:v>188.86800000000005</c:v>
                </c:pt>
                <c:pt idx="7">
                  <c:v>190.86100000000005</c:v>
                </c:pt>
                <c:pt idx="8">
                  <c:v>190.32200000000006</c:v>
                </c:pt>
                <c:pt idx="9">
                  <c:v>190.33800000000005</c:v>
                </c:pt>
                <c:pt idx="10">
                  <c:v>187.42600000000004</c:v>
                </c:pt>
                <c:pt idx="11">
                  <c:v>184.25200000000001</c:v>
                </c:pt>
                <c:pt idx="12">
                  <c:v>182.411</c:v>
                </c:pt>
                <c:pt idx="13">
                  <c:v>174.941</c:v>
                </c:pt>
                <c:pt idx="14">
                  <c:v>174.941</c:v>
                </c:pt>
                <c:pt idx="15">
                  <c:v>181.71899999999999</c:v>
                </c:pt>
                <c:pt idx="16">
                  <c:v>180.08800000000005</c:v>
                </c:pt>
                <c:pt idx="17">
                  <c:v>179.535</c:v>
                </c:pt>
                <c:pt idx="18">
                  <c:v>180.68900000000002</c:v>
                </c:pt>
                <c:pt idx="19">
                  <c:v>183.042</c:v>
                </c:pt>
                <c:pt idx="20">
                  <c:v>186.56100000000001</c:v>
                </c:pt>
                <c:pt idx="21">
                  <c:v>185.767</c:v>
                </c:pt>
                <c:pt idx="22">
                  <c:v>184.21299999999999</c:v>
                </c:pt>
                <c:pt idx="23">
                  <c:v>187.19800000000001</c:v>
                </c:pt>
                <c:pt idx="24">
                  <c:v>183.68900000000002</c:v>
                </c:pt>
                <c:pt idx="25">
                  <c:v>184.85800000000006</c:v>
                </c:pt>
                <c:pt idx="26">
                  <c:v>184.22399999999999</c:v>
                </c:pt>
                <c:pt idx="27">
                  <c:v>188.13</c:v>
                </c:pt>
                <c:pt idx="28">
                  <c:v>195.702</c:v>
                </c:pt>
                <c:pt idx="29">
                  <c:v>192.81</c:v>
                </c:pt>
                <c:pt idx="30">
                  <c:v>190.14099999999999</c:v>
                </c:pt>
                <c:pt idx="31">
                  <c:v>189.18300000000002</c:v>
                </c:pt>
                <c:pt idx="32">
                  <c:v>202.32200000000006</c:v>
                </c:pt>
                <c:pt idx="33">
                  <c:v>201.553</c:v>
                </c:pt>
                <c:pt idx="34">
                  <c:v>197.084</c:v>
                </c:pt>
                <c:pt idx="35">
                  <c:v>200.726</c:v>
                </c:pt>
                <c:pt idx="36">
                  <c:v>197.63399999999999</c:v>
                </c:pt>
                <c:pt idx="37">
                  <c:v>195.68</c:v>
                </c:pt>
                <c:pt idx="38">
                  <c:v>197.51300000000001</c:v>
                </c:pt>
                <c:pt idx="39">
                  <c:v>191.53700000000001</c:v>
                </c:pt>
                <c:pt idx="40">
                  <c:v>193.12</c:v>
                </c:pt>
                <c:pt idx="41">
                  <c:v>187.99200000000005</c:v>
                </c:pt>
                <c:pt idx="42">
                  <c:v>181.21299999999999</c:v>
                </c:pt>
                <c:pt idx="43">
                  <c:v>183.69399999999999</c:v>
                </c:pt>
                <c:pt idx="44">
                  <c:v>180.36200000000005</c:v>
                </c:pt>
                <c:pt idx="45">
                  <c:v>181.018</c:v>
                </c:pt>
                <c:pt idx="46">
                  <c:v>182.005</c:v>
                </c:pt>
                <c:pt idx="47">
                  <c:v>185.40300000000002</c:v>
                </c:pt>
                <c:pt idx="48">
                  <c:v>188.21499999999995</c:v>
                </c:pt>
                <c:pt idx="49">
                  <c:v>180.041</c:v>
                </c:pt>
                <c:pt idx="50">
                  <c:v>178.89400000000001</c:v>
                </c:pt>
                <c:pt idx="51">
                  <c:v>178.21699999999998</c:v>
                </c:pt>
                <c:pt idx="52">
                  <c:v>177.172</c:v>
                </c:pt>
                <c:pt idx="53">
                  <c:v>182.084</c:v>
                </c:pt>
                <c:pt idx="54">
                  <c:v>178.44300000000001</c:v>
                </c:pt>
                <c:pt idx="55">
                  <c:v>176.13499999999999</c:v>
                </c:pt>
                <c:pt idx="56">
                  <c:v>184.18900000000002</c:v>
                </c:pt>
                <c:pt idx="57">
                  <c:v>181.82800000000006</c:v>
                </c:pt>
                <c:pt idx="58">
                  <c:v>190.333</c:v>
                </c:pt>
                <c:pt idx="59">
                  <c:v>194.73</c:v>
                </c:pt>
                <c:pt idx="60">
                  <c:v>187.976</c:v>
                </c:pt>
                <c:pt idx="61">
                  <c:v>195.23499999999999</c:v>
                </c:pt>
                <c:pt idx="62">
                  <c:v>190.71199999999999</c:v>
                </c:pt>
                <c:pt idx="63">
                  <c:v>189.29399999999998</c:v>
                </c:pt>
                <c:pt idx="64">
                  <c:v>180.93300000000002</c:v>
                </c:pt>
                <c:pt idx="65">
                  <c:v>182.21699999999998</c:v>
                </c:pt>
                <c:pt idx="66">
                  <c:v>182.06700000000001</c:v>
                </c:pt>
                <c:pt idx="67">
                  <c:v>182.21499999999995</c:v>
                </c:pt>
                <c:pt idx="68">
                  <c:v>179.923</c:v>
                </c:pt>
                <c:pt idx="69">
                  <c:v>178.18300000000002</c:v>
                </c:pt>
                <c:pt idx="70">
                  <c:v>178.82300000000001</c:v>
                </c:pt>
                <c:pt idx="71">
                  <c:v>182.16900000000001</c:v>
                </c:pt>
                <c:pt idx="72">
                  <c:v>178.756</c:v>
                </c:pt>
                <c:pt idx="73">
                  <c:v>177.315</c:v>
                </c:pt>
                <c:pt idx="74">
                  <c:v>175.22</c:v>
                </c:pt>
                <c:pt idx="75">
                  <c:v>171.541</c:v>
                </c:pt>
                <c:pt idx="76">
                  <c:v>168.61499999999998</c:v>
                </c:pt>
                <c:pt idx="77">
                  <c:v>173.81900000000002</c:v>
                </c:pt>
                <c:pt idx="78">
                  <c:v>173.81900000000002</c:v>
                </c:pt>
                <c:pt idx="79">
                  <c:v>173.81900000000002</c:v>
                </c:pt>
                <c:pt idx="80">
                  <c:v>170.02600000000001</c:v>
                </c:pt>
                <c:pt idx="81">
                  <c:v>173.369</c:v>
                </c:pt>
                <c:pt idx="82">
                  <c:v>173.547</c:v>
                </c:pt>
                <c:pt idx="83">
                  <c:v>174.36600000000001</c:v>
                </c:pt>
                <c:pt idx="84">
                  <c:v>169.33100000000005</c:v>
                </c:pt>
                <c:pt idx="85">
                  <c:v>169.196</c:v>
                </c:pt>
                <c:pt idx="86">
                  <c:v>167.797</c:v>
                </c:pt>
                <c:pt idx="87">
                  <c:v>170.71199999999999</c:v>
                </c:pt>
                <c:pt idx="88">
                  <c:v>172.20399999999998</c:v>
                </c:pt>
                <c:pt idx="89">
                  <c:v>172.20399999999998</c:v>
                </c:pt>
                <c:pt idx="90">
                  <c:v>182.655</c:v>
                </c:pt>
                <c:pt idx="91">
                  <c:v>184.08600000000001</c:v>
                </c:pt>
                <c:pt idx="92">
                  <c:v>184.38000000000005</c:v>
                </c:pt>
                <c:pt idx="93">
                  <c:v>184.80100000000004</c:v>
                </c:pt>
                <c:pt idx="94">
                  <c:v>191.227</c:v>
                </c:pt>
                <c:pt idx="95">
                  <c:v>189.58500000000001</c:v>
                </c:pt>
                <c:pt idx="96">
                  <c:v>192.88000000000005</c:v>
                </c:pt>
                <c:pt idx="97">
                  <c:v>183.01900000000001</c:v>
                </c:pt>
                <c:pt idx="98">
                  <c:v>179.34900000000002</c:v>
                </c:pt>
                <c:pt idx="99">
                  <c:v>175.02600000000001</c:v>
                </c:pt>
                <c:pt idx="100">
                  <c:v>170.11899999999997</c:v>
                </c:pt>
                <c:pt idx="101">
                  <c:v>174.001</c:v>
                </c:pt>
                <c:pt idx="102">
                  <c:v>183.63300000000001</c:v>
                </c:pt>
                <c:pt idx="103">
                  <c:v>180.81</c:v>
                </c:pt>
                <c:pt idx="104">
                  <c:v>180.81</c:v>
                </c:pt>
                <c:pt idx="105">
                  <c:v>182.161</c:v>
                </c:pt>
                <c:pt idx="106">
                  <c:v>184.13399999999999</c:v>
                </c:pt>
                <c:pt idx="107">
                  <c:v>186.82800000000006</c:v>
                </c:pt>
                <c:pt idx="108">
                  <c:v>192.01900000000001</c:v>
                </c:pt>
                <c:pt idx="109">
                  <c:v>202.62300000000002</c:v>
                </c:pt>
                <c:pt idx="110">
                  <c:v>193.38400000000001</c:v>
                </c:pt>
                <c:pt idx="111">
                  <c:v>185.79900000000001</c:v>
                </c:pt>
                <c:pt idx="112">
                  <c:v>184.20399999999998</c:v>
                </c:pt>
                <c:pt idx="113">
                  <c:v>185.92200000000005</c:v>
                </c:pt>
                <c:pt idx="114">
                  <c:v>175.82200000000006</c:v>
                </c:pt>
                <c:pt idx="115">
                  <c:v>177.95500000000001</c:v>
                </c:pt>
                <c:pt idx="116">
                  <c:v>182.14399999999998</c:v>
                </c:pt>
                <c:pt idx="117">
                  <c:v>187.02100000000004</c:v>
                </c:pt>
                <c:pt idx="118">
                  <c:v>188.13</c:v>
                </c:pt>
                <c:pt idx="119">
                  <c:v>186.99</c:v>
                </c:pt>
                <c:pt idx="120">
                  <c:v>181.41900000000001</c:v>
                </c:pt>
                <c:pt idx="121">
                  <c:v>182.62900000000002</c:v>
                </c:pt>
                <c:pt idx="122">
                  <c:v>168.601</c:v>
                </c:pt>
                <c:pt idx="123">
                  <c:v>181.87</c:v>
                </c:pt>
                <c:pt idx="124">
                  <c:v>187.42500000000001</c:v>
                </c:pt>
                <c:pt idx="125">
                  <c:v>189.51499999999999</c:v>
                </c:pt>
                <c:pt idx="126">
                  <c:v>190.28399999999999</c:v>
                </c:pt>
                <c:pt idx="127">
                  <c:v>187.233</c:v>
                </c:pt>
                <c:pt idx="128">
                  <c:v>182.88600000000005</c:v>
                </c:pt>
                <c:pt idx="129">
                  <c:v>174.417</c:v>
                </c:pt>
                <c:pt idx="130">
                  <c:v>178.92200000000005</c:v>
                </c:pt>
                <c:pt idx="131">
                  <c:v>178.666</c:v>
                </c:pt>
                <c:pt idx="132">
                  <c:v>178.80800000000005</c:v>
                </c:pt>
                <c:pt idx="133">
                  <c:v>176.39400000000001</c:v>
                </c:pt>
                <c:pt idx="134">
                  <c:v>171.553</c:v>
                </c:pt>
                <c:pt idx="135">
                  <c:v>174.74699999999999</c:v>
                </c:pt>
                <c:pt idx="136">
                  <c:v>180.14299999999997</c:v>
                </c:pt>
                <c:pt idx="137">
                  <c:v>175.655</c:v>
                </c:pt>
                <c:pt idx="138">
                  <c:v>178.364</c:v>
                </c:pt>
                <c:pt idx="139">
                  <c:v>174.33800000000005</c:v>
                </c:pt>
                <c:pt idx="140">
                  <c:v>169.30500000000001</c:v>
                </c:pt>
                <c:pt idx="141">
                  <c:v>171.316</c:v>
                </c:pt>
                <c:pt idx="142">
                  <c:v>173.75200000000001</c:v>
                </c:pt>
                <c:pt idx="143">
                  <c:v>170.12100000000001</c:v>
                </c:pt>
                <c:pt idx="144">
                  <c:v>170.476</c:v>
                </c:pt>
                <c:pt idx="145">
                  <c:v>165.11199999999999</c:v>
                </c:pt>
                <c:pt idx="146">
                  <c:v>167.52200000000005</c:v>
                </c:pt>
                <c:pt idx="147">
                  <c:v>163.04599999999999</c:v>
                </c:pt>
                <c:pt idx="148">
                  <c:v>162.96900000000002</c:v>
                </c:pt>
                <c:pt idx="149">
                  <c:v>162.19399999999999</c:v>
                </c:pt>
                <c:pt idx="150">
                  <c:v>163</c:v>
                </c:pt>
                <c:pt idx="151">
                  <c:v>167.01499999999999</c:v>
                </c:pt>
                <c:pt idx="152">
                  <c:v>183.78900000000002</c:v>
                </c:pt>
                <c:pt idx="153">
                  <c:v>187.166</c:v>
                </c:pt>
                <c:pt idx="154">
                  <c:v>197.92200000000005</c:v>
                </c:pt>
                <c:pt idx="155">
                  <c:v>197.68</c:v>
                </c:pt>
                <c:pt idx="156">
                  <c:v>198.76399999999998</c:v>
                </c:pt>
                <c:pt idx="157">
                  <c:v>187.483</c:v>
                </c:pt>
                <c:pt idx="158">
                  <c:v>189.81399999999999</c:v>
                </c:pt>
                <c:pt idx="159">
                  <c:v>195.34100000000001</c:v>
                </c:pt>
                <c:pt idx="160">
                  <c:v>189.38800000000006</c:v>
                </c:pt>
                <c:pt idx="161">
                  <c:v>194.435</c:v>
                </c:pt>
                <c:pt idx="162">
                  <c:v>198.15900000000002</c:v>
                </c:pt>
                <c:pt idx="163">
                  <c:v>197.78300000000002</c:v>
                </c:pt>
                <c:pt idx="164">
                  <c:v>192.083</c:v>
                </c:pt>
                <c:pt idx="165">
                  <c:v>191.72300000000001</c:v>
                </c:pt>
                <c:pt idx="166">
                  <c:v>187.441</c:v>
                </c:pt>
                <c:pt idx="167">
                  <c:v>184.49800000000005</c:v>
                </c:pt>
                <c:pt idx="168">
                  <c:v>193.935</c:v>
                </c:pt>
                <c:pt idx="169">
                  <c:v>193.935</c:v>
                </c:pt>
                <c:pt idx="170">
                  <c:v>188.88000000000005</c:v>
                </c:pt>
                <c:pt idx="171">
                  <c:v>188.77199999999999</c:v>
                </c:pt>
                <c:pt idx="172">
                  <c:v>182.72800000000001</c:v>
                </c:pt>
                <c:pt idx="173">
                  <c:v>182.38800000000006</c:v>
                </c:pt>
                <c:pt idx="174">
                  <c:v>182.17299999999997</c:v>
                </c:pt>
                <c:pt idx="175">
                  <c:v>181.59900000000002</c:v>
                </c:pt>
                <c:pt idx="176">
                  <c:v>174.374</c:v>
                </c:pt>
                <c:pt idx="177">
                  <c:v>167.85900000000001</c:v>
                </c:pt>
                <c:pt idx="178">
                  <c:v>169.79499999999999</c:v>
                </c:pt>
                <c:pt idx="179">
                  <c:v>165.93200000000004</c:v>
                </c:pt>
                <c:pt idx="180">
                  <c:v>163.298</c:v>
                </c:pt>
                <c:pt idx="181">
                  <c:v>162.18100000000001</c:v>
                </c:pt>
                <c:pt idx="182">
                  <c:v>158.28</c:v>
                </c:pt>
                <c:pt idx="183">
                  <c:v>151.82000000000005</c:v>
                </c:pt>
                <c:pt idx="184">
                  <c:v>155.33100000000005</c:v>
                </c:pt>
                <c:pt idx="185">
                  <c:v>156.499</c:v>
                </c:pt>
                <c:pt idx="186">
                  <c:v>153.09200000000001</c:v>
                </c:pt>
                <c:pt idx="187">
                  <c:v>153.56399999999999</c:v>
                </c:pt>
                <c:pt idx="188">
                  <c:v>154.24699999999999</c:v>
                </c:pt>
                <c:pt idx="189">
                  <c:v>149.71599999999998</c:v>
                </c:pt>
                <c:pt idx="190">
                  <c:v>160.53200000000001</c:v>
                </c:pt>
                <c:pt idx="191">
                  <c:v>155.22800000000001</c:v>
                </c:pt>
                <c:pt idx="192">
                  <c:v>161.185</c:v>
                </c:pt>
                <c:pt idx="193">
                  <c:v>163.53800000000001</c:v>
                </c:pt>
                <c:pt idx="194">
                  <c:v>166.42100000000005</c:v>
                </c:pt>
                <c:pt idx="195">
                  <c:v>172.67599999999999</c:v>
                </c:pt>
                <c:pt idx="196">
                  <c:v>179.76999999999998</c:v>
                </c:pt>
                <c:pt idx="197">
                  <c:v>182.221</c:v>
                </c:pt>
                <c:pt idx="198">
                  <c:v>180.22900000000001</c:v>
                </c:pt>
                <c:pt idx="199">
                  <c:v>175.11199999999999</c:v>
                </c:pt>
                <c:pt idx="200">
                  <c:v>181.26300000000001</c:v>
                </c:pt>
                <c:pt idx="201">
                  <c:v>176.654</c:v>
                </c:pt>
                <c:pt idx="202">
                  <c:v>172.941</c:v>
                </c:pt>
                <c:pt idx="203">
                  <c:v>160.67899999999997</c:v>
                </c:pt>
                <c:pt idx="204">
                  <c:v>164.048</c:v>
                </c:pt>
                <c:pt idx="205">
                  <c:v>156.50299999999999</c:v>
                </c:pt>
                <c:pt idx="206">
                  <c:v>156.89800000000005</c:v>
                </c:pt>
                <c:pt idx="207">
                  <c:v>155.65800000000004</c:v>
                </c:pt>
                <c:pt idx="208">
                  <c:v>156.78800000000001</c:v>
                </c:pt>
                <c:pt idx="209">
                  <c:v>150.32600000000005</c:v>
                </c:pt>
                <c:pt idx="210">
                  <c:v>152.09</c:v>
                </c:pt>
                <c:pt idx="211">
                  <c:v>149.35700000000006</c:v>
                </c:pt>
                <c:pt idx="212">
                  <c:v>149.01599999999999</c:v>
                </c:pt>
                <c:pt idx="213">
                  <c:v>145.33100000000005</c:v>
                </c:pt>
                <c:pt idx="214">
                  <c:v>143.309</c:v>
                </c:pt>
                <c:pt idx="215">
                  <c:v>143.45100000000005</c:v>
                </c:pt>
                <c:pt idx="216">
                  <c:v>147.46700000000001</c:v>
                </c:pt>
                <c:pt idx="217">
                  <c:v>150.02000000000001</c:v>
                </c:pt>
                <c:pt idx="218">
                  <c:v>143.78800000000001</c:v>
                </c:pt>
                <c:pt idx="219">
                  <c:v>137.36500000000001</c:v>
                </c:pt>
                <c:pt idx="220">
                  <c:v>135.18600000000001</c:v>
                </c:pt>
                <c:pt idx="221">
                  <c:v>136.941</c:v>
                </c:pt>
                <c:pt idx="222">
                  <c:v>131.54300000000001</c:v>
                </c:pt>
                <c:pt idx="223">
                  <c:v>128.46700000000001</c:v>
                </c:pt>
                <c:pt idx="224">
                  <c:v>127.599</c:v>
                </c:pt>
                <c:pt idx="225">
                  <c:v>128.15</c:v>
                </c:pt>
                <c:pt idx="226">
                  <c:v>132.90900000000002</c:v>
                </c:pt>
                <c:pt idx="227">
                  <c:v>134.148</c:v>
                </c:pt>
                <c:pt idx="228">
                  <c:v>133.12300000000002</c:v>
                </c:pt>
                <c:pt idx="229">
                  <c:v>134.541</c:v>
                </c:pt>
                <c:pt idx="230">
                  <c:v>137.90700000000001</c:v>
                </c:pt>
                <c:pt idx="231">
                  <c:v>136.19900000000001</c:v>
                </c:pt>
                <c:pt idx="232">
                  <c:v>131.785</c:v>
                </c:pt>
                <c:pt idx="233">
                  <c:v>131.012</c:v>
                </c:pt>
                <c:pt idx="234">
                  <c:v>131.17899999999997</c:v>
                </c:pt>
                <c:pt idx="235">
                  <c:v>132.12800000000001</c:v>
                </c:pt>
                <c:pt idx="236">
                  <c:v>127.896</c:v>
                </c:pt>
                <c:pt idx="237">
                  <c:v>125.32499999999999</c:v>
                </c:pt>
                <c:pt idx="238">
                  <c:v>126.52</c:v>
                </c:pt>
                <c:pt idx="239">
                  <c:v>126.01700000000002</c:v>
                </c:pt>
                <c:pt idx="240">
                  <c:v>134.637</c:v>
                </c:pt>
                <c:pt idx="241">
                  <c:v>128.36500000000001</c:v>
                </c:pt>
                <c:pt idx="242">
                  <c:v>122.666</c:v>
                </c:pt>
                <c:pt idx="243">
                  <c:v>120.76</c:v>
                </c:pt>
                <c:pt idx="244">
                  <c:v>119.771</c:v>
                </c:pt>
                <c:pt idx="245">
                  <c:v>116.18300000000001</c:v>
                </c:pt>
                <c:pt idx="246">
                  <c:v>113.79</c:v>
                </c:pt>
                <c:pt idx="247">
                  <c:v>103.974</c:v>
                </c:pt>
                <c:pt idx="248">
                  <c:v>110.374</c:v>
                </c:pt>
                <c:pt idx="249">
                  <c:v>99.992000000000004</c:v>
                </c:pt>
                <c:pt idx="250">
                  <c:v>98.933000000000007</c:v>
                </c:pt>
                <c:pt idx="251">
                  <c:v>96.568000000000012</c:v>
                </c:pt>
                <c:pt idx="252">
                  <c:v>101.67100000000001</c:v>
                </c:pt>
                <c:pt idx="253">
                  <c:v>99.706000000000003</c:v>
                </c:pt>
                <c:pt idx="254">
                  <c:v>96.239000000000004</c:v>
                </c:pt>
                <c:pt idx="255">
                  <c:v>100.36799999999999</c:v>
                </c:pt>
                <c:pt idx="256">
                  <c:v>100.36799999999999</c:v>
                </c:pt>
                <c:pt idx="257">
                  <c:v>100.36799999999999</c:v>
                </c:pt>
                <c:pt idx="258">
                  <c:v>101.43</c:v>
                </c:pt>
                <c:pt idx="259">
                  <c:v>98.611999999999995</c:v>
                </c:pt>
                <c:pt idx="260">
                  <c:v>94.194000000000003</c:v>
                </c:pt>
                <c:pt idx="261">
                  <c:v>94.194000000000003</c:v>
                </c:pt>
                <c:pt idx="262">
                  <c:v>100.93600000000002</c:v>
                </c:pt>
                <c:pt idx="263">
                  <c:v>111.648</c:v>
                </c:pt>
                <c:pt idx="264">
                  <c:v>114.49400000000003</c:v>
                </c:pt>
                <c:pt idx="265">
                  <c:v>114.39</c:v>
                </c:pt>
                <c:pt idx="266">
                  <c:v>106.19199999999999</c:v>
                </c:pt>
                <c:pt idx="267">
                  <c:v>107.033</c:v>
                </c:pt>
                <c:pt idx="268">
                  <c:v>110.68799999999999</c:v>
                </c:pt>
                <c:pt idx="269">
                  <c:v>102.11199999999999</c:v>
                </c:pt>
                <c:pt idx="270">
                  <c:v>103.60599999999998</c:v>
                </c:pt>
                <c:pt idx="271">
                  <c:v>103.29100000000003</c:v>
                </c:pt>
                <c:pt idx="272">
                  <c:v>100.49600000000002</c:v>
                </c:pt>
                <c:pt idx="273">
                  <c:v>100.22199999999999</c:v>
                </c:pt>
                <c:pt idx="274">
                  <c:v>99.262</c:v>
                </c:pt>
                <c:pt idx="275">
                  <c:v>103.64100000000002</c:v>
                </c:pt>
                <c:pt idx="276">
                  <c:v>102.696</c:v>
                </c:pt>
                <c:pt idx="277">
                  <c:v>105.20099999999999</c:v>
                </c:pt>
                <c:pt idx="278">
                  <c:v>109.562</c:v>
                </c:pt>
                <c:pt idx="279">
                  <c:v>116.07899999999998</c:v>
                </c:pt>
                <c:pt idx="280">
                  <c:v>109.01900000000002</c:v>
                </c:pt>
                <c:pt idx="281">
                  <c:v>114.27</c:v>
                </c:pt>
                <c:pt idx="282">
                  <c:v>107.89</c:v>
                </c:pt>
                <c:pt idx="283">
                  <c:v>111.60299999999998</c:v>
                </c:pt>
                <c:pt idx="284">
                  <c:v>112.84399999999999</c:v>
                </c:pt>
                <c:pt idx="285">
                  <c:v>112.34099999999999</c:v>
                </c:pt>
                <c:pt idx="286">
                  <c:v>106.116</c:v>
                </c:pt>
                <c:pt idx="287">
                  <c:v>107.691</c:v>
                </c:pt>
                <c:pt idx="288">
                  <c:v>113.49100000000003</c:v>
                </c:pt>
                <c:pt idx="289">
                  <c:v>115.01900000000002</c:v>
                </c:pt>
                <c:pt idx="290">
                  <c:v>101.31100000000002</c:v>
                </c:pt>
                <c:pt idx="291">
                  <c:v>99.956999999999994</c:v>
                </c:pt>
                <c:pt idx="292">
                  <c:v>100.726</c:v>
                </c:pt>
                <c:pt idx="293">
                  <c:v>101.929</c:v>
                </c:pt>
                <c:pt idx="294">
                  <c:v>98.477000000000004</c:v>
                </c:pt>
                <c:pt idx="295">
                  <c:v>104.703</c:v>
                </c:pt>
                <c:pt idx="296">
                  <c:v>101.74400000000003</c:v>
                </c:pt>
                <c:pt idx="297">
                  <c:v>105.26</c:v>
                </c:pt>
                <c:pt idx="298">
                  <c:v>107.235</c:v>
                </c:pt>
                <c:pt idx="299">
                  <c:v>111.428</c:v>
                </c:pt>
                <c:pt idx="300">
                  <c:v>115.85899999999998</c:v>
                </c:pt>
                <c:pt idx="301">
                  <c:v>117.76</c:v>
                </c:pt>
                <c:pt idx="302">
                  <c:v>128.88600000000005</c:v>
                </c:pt>
                <c:pt idx="303">
                  <c:v>150.929</c:v>
                </c:pt>
                <c:pt idx="304">
                  <c:v>147.44300000000001</c:v>
                </c:pt>
                <c:pt idx="305">
                  <c:v>145.12</c:v>
                </c:pt>
                <c:pt idx="306">
                  <c:v>151.506</c:v>
                </c:pt>
                <c:pt idx="307">
                  <c:v>151.506</c:v>
                </c:pt>
                <c:pt idx="308">
                  <c:v>159.226</c:v>
                </c:pt>
                <c:pt idx="309">
                  <c:v>204.905</c:v>
                </c:pt>
                <c:pt idx="310">
                  <c:v>187.87100000000001</c:v>
                </c:pt>
                <c:pt idx="311">
                  <c:v>192.14</c:v>
                </c:pt>
                <c:pt idx="312">
                  <c:v>255.07399999999998</c:v>
                </c:pt>
                <c:pt idx="313">
                  <c:v>235.77499999999998</c:v>
                </c:pt>
                <c:pt idx="314">
                  <c:v>276.42699999999985</c:v>
                </c:pt>
                <c:pt idx="315">
                  <c:v>268.709</c:v>
                </c:pt>
                <c:pt idx="316">
                  <c:v>350.7179999999999</c:v>
                </c:pt>
                <c:pt idx="317">
                  <c:v>369.35700000000008</c:v>
                </c:pt>
                <c:pt idx="318">
                  <c:v>373.59599999999989</c:v>
                </c:pt>
                <c:pt idx="319">
                  <c:v>391.041</c:v>
                </c:pt>
                <c:pt idx="320">
                  <c:v>391.041</c:v>
                </c:pt>
                <c:pt idx="321">
                  <c:v>300.49799999999988</c:v>
                </c:pt>
                <c:pt idx="322">
                  <c:v>307.61399999999986</c:v>
                </c:pt>
                <c:pt idx="323">
                  <c:v>289.13</c:v>
                </c:pt>
                <c:pt idx="324">
                  <c:v>316.29299999999989</c:v>
                </c:pt>
                <c:pt idx="325">
                  <c:v>302.99499999999989</c:v>
                </c:pt>
                <c:pt idx="326">
                  <c:v>304.36200000000002</c:v>
                </c:pt>
                <c:pt idx="327">
                  <c:v>297.51</c:v>
                </c:pt>
                <c:pt idx="328">
                  <c:v>297.51</c:v>
                </c:pt>
                <c:pt idx="329">
                  <c:v>257.024</c:v>
                </c:pt>
                <c:pt idx="330">
                  <c:v>226.33100000000005</c:v>
                </c:pt>
                <c:pt idx="331">
                  <c:v>233.64099999999999</c:v>
                </c:pt>
                <c:pt idx="332">
                  <c:v>226.18900000000002</c:v>
                </c:pt>
                <c:pt idx="333">
                  <c:v>226.18900000000002</c:v>
                </c:pt>
                <c:pt idx="334">
                  <c:v>226.18900000000002</c:v>
                </c:pt>
                <c:pt idx="335">
                  <c:v>223.184</c:v>
                </c:pt>
                <c:pt idx="336">
                  <c:v>240.17099999999999</c:v>
                </c:pt>
                <c:pt idx="337">
                  <c:v>236.28700000000001</c:v>
                </c:pt>
                <c:pt idx="338">
                  <c:v>233.61699999999999</c:v>
                </c:pt>
                <c:pt idx="339">
                  <c:v>241.256</c:v>
                </c:pt>
                <c:pt idx="340">
                  <c:v>253.69</c:v>
                </c:pt>
                <c:pt idx="341">
                  <c:v>249.61199999999999</c:v>
                </c:pt>
                <c:pt idx="342">
                  <c:v>238.85400000000001</c:v>
                </c:pt>
                <c:pt idx="343">
                  <c:v>242.83600000000001</c:v>
                </c:pt>
                <c:pt idx="344">
                  <c:v>238.036</c:v>
                </c:pt>
                <c:pt idx="345">
                  <c:v>243.584</c:v>
                </c:pt>
                <c:pt idx="346">
                  <c:v>240.95100000000005</c:v>
                </c:pt>
                <c:pt idx="347">
                  <c:v>228.006</c:v>
                </c:pt>
                <c:pt idx="348">
                  <c:v>230.893</c:v>
                </c:pt>
                <c:pt idx="349">
                  <c:v>232.702</c:v>
                </c:pt>
                <c:pt idx="350">
                  <c:v>225.27599999999998</c:v>
                </c:pt>
                <c:pt idx="351">
                  <c:v>225.036</c:v>
                </c:pt>
                <c:pt idx="352">
                  <c:v>231.078</c:v>
                </c:pt>
                <c:pt idx="353">
                  <c:v>231.078</c:v>
                </c:pt>
                <c:pt idx="354">
                  <c:v>220.053</c:v>
                </c:pt>
                <c:pt idx="355">
                  <c:v>216.86700000000005</c:v>
                </c:pt>
                <c:pt idx="356">
                  <c:v>219.04399999999998</c:v>
                </c:pt>
                <c:pt idx="357">
                  <c:v>221.32400000000001</c:v>
                </c:pt>
                <c:pt idx="358">
                  <c:v>209.64899999999997</c:v>
                </c:pt>
                <c:pt idx="359">
                  <c:v>192.946</c:v>
                </c:pt>
                <c:pt idx="360">
                  <c:v>189.46900000000002</c:v>
                </c:pt>
                <c:pt idx="361">
                  <c:v>175.03200000000001</c:v>
                </c:pt>
                <c:pt idx="362">
                  <c:v>170.89000000000001</c:v>
                </c:pt>
                <c:pt idx="363">
                  <c:v>175.52100000000004</c:v>
                </c:pt>
                <c:pt idx="364">
                  <c:v>175.52100000000004</c:v>
                </c:pt>
                <c:pt idx="365">
                  <c:v>169.767</c:v>
                </c:pt>
                <c:pt idx="366">
                  <c:v>171.91300000000001</c:v>
                </c:pt>
                <c:pt idx="367">
                  <c:v>168.52</c:v>
                </c:pt>
                <c:pt idx="368">
                  <c:v>171.929</c:v>
                </c:pt>
                <c:pt idx="369">
                  <c:v>168.64</c:v>
                </c:pt>
                <c:pt idx="370">
                  <c:v>166.846</c:v>
                </c:pt>
                <c:pt idx="371">
                  <c:v>162.49700000000001</c:v>
                </c:pt>
                <c:pt idx="372">
                  <c:v>160.99100000000001</c:v>
                </c:pt>
                <c:pt idx="373">
                  <c:v>162.14099999999999</c:v>
                </c:pt>
                <c:pt idx="374">
                  <c:v>165.70099999999999</c:v>
                </c:pt>
                <c:pt idx="375">
                  <c:v>168.18700000000001</c:v>
                </c:pt>
                <c:pt idx="376">
                  <c:v>174.41300000000001</c:v>
                </c:pt>
                <c:pt idx="377">
                  <c:v>182.74099999999999</c:v>
                </c:pt>
                <c:pt idx="378">
                  <c:v>177.62900000000002</c:v>
                </c:pt>
                <c:pt idx="379">
                  <c:v>176.71499999999995</c:v>
                </c:pt>
                <c:pt idx="380">
                  <c:v>161.70699999999999</c:v>
                </c:pt>
                <c:pt idx="381">
                  <c:v>165.25800000000001</c:v>
                </c:pt>
                <c:pt idx="382">
                  <c:v>166.69399999999999</c:v>
                </c:pt>
                <c:pt idx="383">
                  <c:v>165.608</c:v>
                </c:pt>
                <c:pt idx="384">
                  <c:v>163.506</c:v>
                </c:pt>
                <c:pt idx="385">
                  <c:v>165.03200000000001</c:v>
                </c:pt>
                <c:pt idx="386">
                  <c:v>168.82900000000001</c:v>
                </c:pt>
                <c:pt idx="387">
                  <c:v>172.83200000000005</c:v>
                </c:pt>
                <c:pt idx="388">
                  <c:v>172.86</c:v>
                </c:pt>
                <c:pt idx="389">
                  <c:v>178.542</c:v>
                </c:pt>
                <c:pt idx="390">
                  <c:v>179.38400000000001</c:v>
                </c:pt>
                <c:pt idx="391">
                  <c:v>168.65</c:v>
                </c:pt>
                <c:pt idx="392">
                  <c:v>169.61299999999997</c:v>
                </c:pt>
                <c:pt idx="393">
                  <c:v>169.94900000000001</c:v>
                </c:pt>
                <c:pt idx="394">
                  <c:v>173.94399999999999</c:v>
                </c:pt>
                <c:pt idx="395">
                  <c:v>176.82500000000005</c:v>
                </c:pt>
                <c:pt idx="396">
                  <c:v>173.47300000000001</c:v>
                </c:pt>
                <c:pt idx="397">
                  <c:v>172.804</c:v>
                </c:pt>
                <c:pt idx="398">
                  <c:v>170.607</c:v>
                </c:pt>
                <c:pt idx="399">
                  <c:v>169.083</c:v>
                </c:pt>
                <c:pt idx="400">
                  <c:v>167.18</c:v>
                </c:pt>
                <c:pt idx="401">
                  <c:v>163.11599999999999</c:v>
                </c:pt>
                <c:pt idx="402">
                  <c:v>162.096</c:v>
                </c:pt>
                <c:pt idx="403">
                  <c:v>162.28800000000001</c:v>
                </c:pt>
                <c:pt idx="404">
                  <c:v>159.21899999999999</c:v>
                </c:pt>
                <c:pt idx="405">
                  <c:v>158.88400000000001</c:v>
                </c:pt>
                <c:pt idx="406">
                  <c:v>158.51300000000001</c:v>
                </c:pt>
                <c:pt idx="407">
                  <c:v>158.09800000000001</c:v>
                </c:pt>
                <c:pt idx="408">
                  <c:v>155.03700000000001</c:v>
                </c:pt>
                <c:pt idx="409">
                  <c:v>152.24399999999994</c:v>
                </c:pt>
                <c:pt idx="410">
                  <c:v>155.66800000000001</c:v>
                </c:pt>
                <c:pt idx="411">
                  <c:v>154.691</c:v>
                </c:pt>
                <c:pt idx="412">
                  <c:v>158.30000000000001</c:v>
                </c:pt>
                <c:pt idx="413">
                  <c:v>159.84800000000001</c:v>
                </c:pt>
                <c:pt idx="414">
                  <c:v>155.268</c:v>
                </c:pt>
                <c:pt idx="415">
                  <c:v>152.24499999999998</c:v>
                </c:pt>
                <c:pt idx="416">
                  <c:v>142.267</c:v>
                </c:pt>
                <c:pt idx="417">
                  <c:v>137.17399999999998</c:v>
                </c:pt>
                <c:pt idx="418">
                  <c:v>137.17399999999998</c:v>
                </c:pt>
                <c:pt idx="419">
                  <c:v>127.146</c:v>
                </c:pt>
                <c:pt idx="420">
                  <c:v>130.64599999999999</c:v>
                </c:pt>
                <c:pt idx="421">
                  <c:v>129.95600000000005</c:v>
                </c:pt>
                <c:pt idx="422">
                  <c:v>131.44</c:v>
                </c:pt>
                <c:pt idx="423">
                  <c:v>136.256</c:v>
                </c:pt>
                <c:pt idx="424">
                  <c:v>149.66</c:v>
                </c:pt>
                <c:pt idx="425">
                  <c:v>143.90200000000004</c:v>
                </c:pt>
                <c:pt idx="426">
                  <c:v>146.75899999999999</c:v>
                </c:pt>
                <c:pt idx="427">
                  <c:v>152.072</c:v>
                </c:pt>
                <c:pt idx="428">
                  <c:v>150.10300000000001</c:v>
                </c:pt>
                <c:pt idx="429">
                  <c:v>150.47200000000001</c:v>
                </c:pt>
                <c:pt idx="430">
                  <c:v>150.21899999999999</c:v>
                </c:pt>
                <c:pt idx="431">
                  <c:v>153.64499999999998</c:v>
                </c:pt>
                <c:pt idx="432">
                  <c:v>151.291</c:v>
                </c:pt>
                <c:pt idx="433">
                  <c:v>151.63999999999999</c:v>
                </c:pt>
                <c:pt idx="434">
                  <c:v>151.63999999999999</c:v>
                </c:pt>
                <c:pt idx="435">
                  <c:v>148.99300000000002</c:v>
                </c:pt>
                <c:pt idx="436">
                  <c:v>152.291</c:v>
                </c:pt>
                <c:pt idx="437">
                  <c:v>155.12800000000001</c:v>
                </c:pt>
                <c:pt idx="438">
                  <c:v>152.89000000000001</c:v>
                </c:pt>
                <c:pt idx="439">
                  <c:v>158.11799999999999</c:v>
                </c:pt>
                <c:pt idx="440">
                  <c:v>160.483</c:v>
                </c:pt>
                <c:pt idx="441">
                  <c:v>157.26599999999999</c:v>
                </c:pt>
                <c:pt idx="442">
                  <c:v>157.34700000000001</c:v>
                </c:pt>
                <c:pt idx="443">
                  <c:v>159.75700000000001</c:v>
                </c:pt>
                <c:pt idx="444">
                  <c:v>157.69</c:v>
                </c:pt>
                <c:pt idx="445">
                  <c:v>154.07599999999999</c:v>
                </c:pt>
                <c:pt idx="446">
                  <c:v>150.21399999999994</c:v>
                </c:pt>
                <c:pt idx="447">
                  <c:v>151.02700000000004</c:v>
                </c:pt>
                <c:pt idx="448">
                  <c:v>150.65900000000002</c:v>
                </c:pt>
                <c:pt idx="449">
                  <c:v>156.999</c:v>
                </c:pt>
                <c:pt idx="450">
                  <c:v>156.04300000000001</c:v>
                </c:pt>
                <c:pt idx="451">
                  <c:v>153.71099999999998</c:v>
                </c:pt>
                <c:pt idx="452">
                  <c:v>158.91999999999999</c:v>
                </c:pt>
                <c:pt idx="453">
                  <c:v>158.51900000000001</c:v>
                </c:pt>
                <c:pt idx="454">
                  <c:v>159.83500000000001</c:v>
                </c:pt>
                <c:pt idx="455">
                  <c:v>160.22499999999999</c:v>
                </c:pt>
                <c:pt idx="456">
                  <c:v>154.82200000000006</c:v>
                </c:pt>
                <c:pt idx="457">
                  <c:v>151.76900000000001</c:v>
                </c:pt>
                <c:pt idx="458">
                  <c:v>154.34300000000002</c:v>
                </c:pt>
                <c:pt idx="459">
                  <c:v>152.1</c:v>
                </c:pt>
                <c:pt idx="460">
                  <c:v>153.77799999999999</c:v>
                </c:pt>
                <c:pt idx="461">
                  <c:v>151.489</c:v>
                </c:pt>
                <c:pt idx="462">
                  <c:v>151.374</c:v>
                </c:pt>
                <c:pt idx="463">
                  <c:v>144.625</c:v>
                </c:pt>
                <c:pt idx="464">
                  <c:v>146.09200000000001</c:v>
                </c:pt>
                <c:pt idx="465">
                  <c:v>147.791</c:v>
                </c:pt>
                <c:pt idx="466">
                  <c:v>148.404</c:v>
                </c:pt>
                <c:pt idx="467">
                  <c:v>146.77599999999998</c:v>
                </c:pt>
                <c:pt idx="468">
                  <c:v>143.16499999999999</c:v>
                </c:pt>
                <c:pt idx="469">
                  <c:v>141.09</c:v>
                </c:pt>
                <c:pt idx="470">
                  <c:v>142.01399999999998</c:v>
                </c:pt>
                <c:pt idx="471">
                  <c:v>141.45800000000006</c:v>
                </c:pt>
                <c:pt idx="472">
                  <c:v>139.571</c:v>
                </c:pt>
                <c:pt idx="473">
                  <c:v>140.77799999999999</c:v>
                </c:pt>
                <c:pt idx="474">
                  <c:v>144.42800000000005</c:v>
                </c:pt>
                <c:pt idx="475">
                  <c:v>145.63499999999999</c:v>
                </c:pt>
                <c:pt idx="476">
                  <c:v>151.10900000000001</c:v>
                </c:pt>
                <c:pt idx="477">
                  <c:v>148.04</c:v>
                </c:pt>
                <c:pt idx="478">
                  <c:v>148.27799999999999</c:v>
                </c:pt>
                <c:pt idx="479">
                  <c:v>153.107</c:v>
                </c:pt>
                <c:pt idx="480">
                  <c:v>147.03300000000002</c:v>
                </c:pt>
                <c:pt idx="481">
                  <c:v>147.03300000000002</c:v>
                </c:pt>
              </c:numCache>
            </c:numRef>
          </c:val>
          <c:smooth val="0"/>
          <c:extLst>
            <c:ext xmlns:c16="http://schemas.microsoft.com/office/drawing/2014/chart" uri="{C3380CC4-5D6E-409C-BE32-E72D297353CC}">
              <c16:uniqueId val="{00000001-BFD6-4FA7-9FC9-9398EA1E3504}"/>
            </c:ext>
          </c:extLst>
        </c:ser>
        <c:ser>
          <c:idx val="3"/>
          <c:order val="2"/>
          <c:tx>
            <c:strRef>
              <c:f>Sheet1!$D$1</c:f>
              <c:strCache>
                <c:ptCount val="1"/>
                <c:pt idx="0">
                  <c:v>Վրաստան (2021թ.)</c:v>
                </c:pt>
              </c:strCache>
            </c:strRef>
          </c:tx>
          <c:spPr>
            <a:ln w="28575" cap="rnd">
              <a:solidFill>
                <a:srgbClr val="C00000"/>
              </a:solidFill>
              <a:round/>
            </a:ln>
            <a:effectLst/>
          </c:spPr>
          <c:marker>
            <c:symbol val="none"/>
          </c:marker>
          <c:cat>
            <c:numRef>
              <c:f>Sheet1!$A$2:$A$483</c:f>
              <c:numCache>
                <c:formatCode>m\/d\/yyyy</c:formatCode>
                <c:ptCount val="482"/>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numCache>
            </c:numRef>
          </c:cat>
          <c:val>
            <c:numRef>
              <c:f>Sheet1!$D$2:$D$483</c:f>
              <c:numCache>
                <c:formatCode>0</c:formatCode>
                <c:ptCount val="482"/>
                <c:pt idx="0">
                  <c:v>177.14599999999999</c:v>
                </c:pt>
                <c:pt idx="1">
                  <c:v>177.49800000000005</c:v>
                </c:pt>
                <c:pt idx="2">
                  <c:v>183.01499999999999</c:v>
                </c:pt>
                <c:pt idx="3">
                  <c:v>168.48000000000005</c:v>
                </c:pt>
                <c:pt idx="4">
                  <c:v>166.012</c:v>
                </c:pt>
                <c:pt idx="5">
                  <c:v>160.762</c:v>
                </c:pt>
                <c:pt idx="6">
                  <c:v>166.06100000000001</c:v>
                </c:pt>
                <c:pt idx="7">
                  <c:v>159.315</c:v>
                </c:pt>
                <c:pt idx="8">
                  <c:v>161.54499999999999</c:v>
                </c:pt>
                <c:pt idx="9">
                  <c:v>164.14399999999998</c:v>
                </c:pt>
                <c:pt idx="10">
                  <c:v>161.53200000000001</c:v>
                </c:pt>
                <c:pt idx="11">
                  <c:v>155.84700000000001</c:v>
                </c:pt>
                <c:pt idx="12">
                  <c:v>154.89800000000005</c:v>
                </c:pt>
                <c:pt idx="13">
                  <c:v>125.895</c:v>
                </c:pt>
                <c:pt idx="14">
                  <c:v>139.37800000000001</c:v>
                </c:pt>
                <c:pt idx="15">
                  <c:v>150.917</c:v>
                </c:pt>
                <c:pt idx="16">
                  <c:v>139.76399999999998</c:v>
                </c:pt>
                <c:pt idx="17">
                  <c:v>138.05000000000001</c:v>
                </c:pt>
                <c:pt idx="18">
                  <c:v>136.58500000000001</c:v>
                </c:pt>
                <c:pt idx="19">
                  <c:v>141.678</c:v>
                </c:pt>
                <c:pt idx="20">
                  <c:v>138.95700000000005</c:v>
                </c:pt>
                <c:pt idx="21">
                  <c:v>137.99</c:v>
                </c:pt>
                <c:pt idx="22">
                  <c:v>128.62200000000001</c:v>
                </c:pt>
                <c:pt idx="23">
                  <c:v>124.286</c:v>
                </c:pt>
                <c:pt idx="24">
                  <c:v>121.30200000000001</c:v>
                </c:pt>
                <c:pt idx="25">
                  <c:v>121.76600000000002</c:v>
                </c:pt>
                <c:pt idx="26">
                  <c:v>123.038</c:v>
                </c:pt>
                <c:pt idx="27">
                  <c:v>129.267</c:v>
                </c:pt>
                <c:pt idx="28">
                  <c:v>127.301</c:v>
                </c:pt>
                <c:pt idx="29">
                  <c:v>130.30700000000004</c:v>
                </c:pt>
                <c:pt idx="30">
                  <c:v>127.729</c:v>
                </c:pt>
                <c:pt idx="31">
                  <c:v>124.254</c:v>
                </c:pt>
                <c:pt idx="32">
                  <c:v>127.98</c:v>
                </c:pt>
                <c:pt idx="33">
                  <c:v>128.30100000000004</c:v>
                </c:pt>
                <c:pt idx="34">
                  <c:v>128.81700000000001</c:v>
                </c:pt>
                <c:pt idx="35">
                  <c:v>133.08800000000005</c:v>
                </c:pt>
                <c:pt idx="36">
                  <c:v>142.50200000000001</c:v>
                </c:pt>
                <c:pt idx="37">
                  <c:v>140.91900000000001</c:v>
                </c:pt>
                <c:pt idx="38">
                  <c:v>141.09200000000001</c:v>
                </c:pt>
                <c:pt idx="39">
                  <c:v>132.58000000000001</c:v>
                </c:pt>
                <c:pt idx="40">
                  <c:v>135.43900000000002</c:v>
                </c:pt>
                <c:pt idx="41">
                  <c:v>134.60999999999999</c:v>
                </c:pt>
                <c:pt idx="42">
                  <c:v>131.14399999999998</c:v>
                </c:pt>
                <c:pt idx="43">
                  <c:v>133.94999999999999</c:v>
                </c:pt>
                <c:pt idx="44">
                  <c:v>144.40100000000001</c:v>
                </c:pt>
                <c:pt idx="45">
                  <c:v>144.15600000000001</c:v>
                </c:pt>
                <c:pt idx="46">
                  <c:v>139.82300000000001</c:v>
                </c:pt>
                <c:pt idx="47">
                  <c:v>142.51</c:v>
                </c:pt>
                <c:pt idx="48">
                  <c:v>141.607</c:v>
                </c:pt>
                <c:pt idx="49">
                  <c:v>138.959</c:v>
                </c:pt>
                <c:pt idx="50">
                  <c:v>136.126</c:v>
                </c:pt>
                <c:pt idx="51">
                  <c:v>136.56200000000001</c:v>
                </c:pt>
                <c:pt idx="52">
                  <c:v>140.90600000000001</c:v>
                </c:pt>
                <c:pt idx="53">
                  <c:v>142.29</c:v>
                </c:pt>
                <c:pt idx="54">
                  <c:v>139.702</c:v>
                </c:pt>
                <c:pt idx="55">
                  <c:v>141.35600000000005</c:v>
                </c:pt>
                <c:pt idx="56">
                  <c:v>147.042</c:v>
                </c:pt>
                <c:pt idx="57">
                  <c:v>136.197</c:v>
                </c:pt>
                <c:pt idx="58">
                  <c:v>145.18</c:v>
                </c:pt>
                <c:pt idx="59">
                  <c:v>154.61299999999997</c:v>
                </c:pt>
                <c:pt idx="60">
                  <c:v>153.53200000000001</c:v>
                </c:pt>
                <c:pt idx="61">
                  <c:v>156.15800000000004</c:v>
                </c:pt>
                <c:pt idx="62">
                  <c:v>153.84300000000002</c:v>
                </c:pt>
                <c:pt idx="63">
                  <c:v>151.285</c:v>
                </c:pt>
                <c:pt idx="64">
                  <c:v>140.67299999999997</c:v>
                </c:pt>
                <c:pt idx="65">
                  <c:v>141.42400000000001</c:v>
                </c:pt>
                <c:pt idx="66">
                  <c:v>139.74199999999999</c:v>
                </c:pt>
                <c:pt idx="67">
                  <c:v>137.02200000000005</c:v>
                </c:pt>
                <c:pt idx="68">
                  <c:v>134.08700000000005</c:v>
                </c:pt>
                <c:pt idx="69">
                  <c:v>133.035</c:v>
                </c:pt>
                <c:pt idx="70">
                  <c:v>130.44499999999999</c:v>
                </c:pt>
                <c:pt idx="71">
                  <c:v>128.66200000000001</c:v>
                </c:pt>
                <c:pt idx="72">
                  <c:v>132.227</c:v>
                </c:pt>
                <c:pt idx="73">
                  <c:v>132.82900000000001</c:v>
                </c:pt>
                <c:pt idx="74">
                  <c:v>125.84099999999999</c:v>
                </c:pt>
                <c:pt idx="75">
                  <c:v>121.983</c:v>
                </c:pt>
                <c:pt idx="76">
                  <c:v>120.782</c:v>
                </c:pt>
                <c:pt idx="77">
                  <c:v>124.14400000000002</c:v>
                </c:pt>
                <c:pt idx="78">
                  <c:v>124.14400000000002</c:v>
                </c:pt>
                <c:pt idx="79">
                  <c:v>124.14400000000002</c:v>
                </c:pt>
                <c:pt idx="80">
                  <c:v>125.84399999999999</c:v>
                </c:pt>
                <c:pt idx="81">
                  <c:v>127.009</c:v>
                </c:pt>
                <c:pt idx="82">
                  <c:v>126.527</c:v>
                </c:pt>
                <c:pt idx="83">
                  <c:v>126.8</c:v>
                </c:pt>
                <c:pt idx="84">
                  <c:v>125.768</c:v>
                </c:pt>
                <c:pt idx="85">
                  <c:v>124.748</c:v>
                </c:pt>
                <c:pt idx="86">
                  <c:v>126.35799999999999</c:v>
                </c:pt>
                <c:pt idx="87">
                  <c:v>115.063</c:v>
                </c:pt>
                <c:pt idx="88">
                  <c:v>114.636</c:v>
                </c:pt>
                <c:pt idx="89">
                  <c:v>114.636</c:v>
                </c:pt>
                <c:pt idx="90">
                  <c:v>124.065</c:v>
                </c:pt>
                <c:pt idx="91">
                  <c:v>126.221</c:v>
                </c:pt>
                <c:pt idx="92">
                  <c:v>123.65600000000001</c:v>
                </c:pt>
                <c:pt idx="93">
                  <c:v>119.212</c:v>
                </c:pt>
                <c:pt idx="94">
                  <c:v>136.70599999999999</c:v>
                </c:pt>
                <c:pt idx="95">
                  <c:v>140.29599999999999</c:v>
                </c:pt>
                <c:pt idx="96">
                  <c:v>139.09800000000001</c:v>
                </c:pt>
                <c:pt idx="97">
                  <c:v>131.04499999999999</c:v>
                </c:pt>
                <c:pt idx="98">
                  <c:v>130.678</c:v>
                </c:pt>
                <c:pt idx="99">
                  <c:v>123.83799999999999</c:v>
                </c:pt>
                <c:pt idx="100">
                  <c:v>119.276</c:v>
                </c:pt>
                <c:pt idx="101">
                  <c:v>123.61999999999999</c:v>
                </c:pt>
                <c:pt idx="102">
                  <c:v>132.64399999999998</c:v>
                </c:pt>
                <c:pt idx="103">
                  <c:v>134.85800000000006</c:v>
                </c:pt>
                <c:pt idx="104">
                  <c:v>134.85800000000006</c:v>
                </c:pt>
                <c:pt idx="105">
                  <c:v>144.14399999999998</c:v>
                </c:pt>
                <c:pt idx="106">
                  <c:v>148.99800000000005</c:v>
                </c:pt>
                <c:pt idx="107">
                  <c:v>149.10999999999999</c:v>
                </c:pt>
                <c:pt idx="108">
                  <c:v>165.416</c:v>
                </c:pt>
                <c:pt idx="109">
                  <c:v>176.35200000000006</c:v>
                </c:pt>
                <c:pt idx="110">
                  <c:v>173.148</c:v>
                </c:pt>
                <c:pt idx="111">
                  <c:v>164.536</c:v>
                </c:pt>
                <c:pt idx="112">
                  <c:v>156.14399999999998</c:v>
                </c:pt>
                <c:pt idx="113">
                  <c:v>151.964</c:v>
                </c:pt>
                <c:pt idx="114">
                  <c:v>147.74799999999999</c:v>
                </c:pt>
                <c:pt idx="115">
                  <c:v>147.31300000000002</c:v>
                </c:pt>
                <c:pt idx="116">
                  <c:v>154.06399999999999</c:v>
                </c:pt>
                <c:pt idx="117">
                  <c:v>156.79499999999999</c:v>
                </c:pt>
                <c:pt idx="118">
                  <c:v>153.95800000000006</c:v>
                </c:pt>
                <c:pt idx="119">
                  <c:v>149.76300000000001</c:v>
                </c:pt>
                <c:pt idx="120">
                  <c:v>141.102</c:v>
                </c:pt>
                <c:pt idx="121">
                  <c:v>139.005</c:v>
                </c:pt>
                <c:pt idx="122">
                  <c:v>143.52700000000004</c:v>
                </c:pt>
                <c:pt idx="123">
                  <c:v>145.036</c:v>
                </c:pt>
                <c:pt idx="124">
                  <c:v>154.35600000000005</c:v>
                </c:pt>
                <c:pt idx="125">
                  <c:v>173.48600000000005</c:v>
                </c:pt>
                <c:pt idx="126">
                  <c:v>172.32500000000005</c:v>
                </c:pt>
                <c:pt idx="127">
                  <c:v>162.46100000000001</c:v>
                </c:pt>
                <c:pt idx="128">
                  <c:v>158.39400000000001</c:v>
                </c:pt>
                <c:pt idx="129">
                  <c:v>145.523</c:v>
                </c:pt>
                <c:pt idx="130">
                  <c:v>143.446</c:v>
                </c:pt>
                <c:pt idx="131">
                  <c:v>139.82100000000005</c:v>
                </c:pt>
                <c:pt idx="132">
                  <c:v>144.77199999999999</c:v>
                </c:pt>
                <c:pt idx="133">
                  <c:v>140.541</c:v>
                </c:pt>
                <c:pt idx="134">
                  <c:v>138.476</c:v>
                </c:pt>
                <c:pt idx="135">
                  <c:v>140.166</c:v>
                </c:pt>
                <c:pt idx="136">
                  <c:v>144.10300000000001</c:v>
                </c:pt>
                <c:pt idx="137">
                  <c:v>135.589</c:v>
                </c:pt>
                <c:pt idx="138">
                  <c:v>137.09200000000001</c:v>
                </c:pt>
                <c:pt idx="139">
                  <c:v>139.85300000000001</c:v>
                </c:pt>
                <c:pt idx="140">
                  <c:v>136.80500000000001</c:v>
                </c:pt>
                <c:pt idx="141">
                  <c:v>141.29</c:v>
                </c:pt>
                <c:pt idx="142">
                  <c:v>141.80100000000004</c:v>
                </c:pt>
                <c:pt idx="143">
                  <c:v>134.11499999999998</c:v>
                </c:pt>
                <c:pt idx="144">
                  <c:v>131.48400000000001</c:v>
                </c:pt>
                <c:pt idx="145">
                  <c:v>129.93300000000002</c:v>
                </c:pt>
                <c:pt idx="146">
                  <c:v>137.56300000000002</c:v>
                </c:pt>
                <c:pt idx="147">
                  <c:v>135.40800000000004</c:v>
                </c:pt>
                <c:pt idx="148">
                  <c:v>131.46700000000001</c:v>
                </c:pt>
                <c:pt idx="149">
                  <c:v>129.345</c:v>
                </c:pt>
                <c:pt idx="150">
                  <c:v>134.23099999999999</c:v>
                </c:pt>
                <c:pt idx="151">
                  <c:v>124.637</c:v>
                </c:pt>
                <c:pt idx="152">
                  <c:v>138.929</c:v>
                </c:pt>
                <c:pt idx="153">
                  <c:v>137.40300000000002</c:v>
                </c:pt>
                <c:pt idx="154">
                  <c:v>160.923</c:v>
                </c:pt>
                <c:pt idx="155">
                  <c:v>152.72399999999999</c:v>
                </c:pt>
                <c:pt idx="156">
                  <c:v>158.41399999999999</c:v>
                </c:pt>
                <c:pt idx="157">
                  <c:v>148.63499999999999</c:v>
                </c:pt>
                <c:pt idx="158">
                  <c:v>146.15800000000004</c:v>
                </c:pt>
                <c:pt idx="159">
                  <c:v>150.87200000000001</c:v>
                </c:pt>
                <c:pt idx="160">
                  <c:v>144.505</c:v>
                </c:pt>
                <c:pt idx="161">
                  <c:v>145.45500000000001</c:v>
                </c:pt>
                <c:pt idx="162">
                  <c:v>159.02700000000004</c:v>
                </c:pt>
                <c:pt idx="163">
                  <c:v>151.66300000000001</c:v>
                </c:pt>
                <c:pt idx="164">
                  <c:v>152.01</c:v>
                </c:pt>
                <c:pt idx="165">
                  <c:v>154.17299999999997</c:v>
                </c:pt>
                <c:pt idx="166">
                  <c:v>153.67599999999999</c:v>
                </c:pt>
                <c:pt idx="167">
                  <c:v>147.98100000000005</c:v>
                </c:pt>
                <c:pt idx="168">
                  <c:v>140.285</c:v>
                </c:pt>
                <c:pt idx="169">
                  <c:v>140.285</c:v>
                </c:pt>
                <c:pt idx="170">
                  <c:v>145.90200000000004</c:v>
                </c:pt>
                <c:pt idx="171">
                  <c:v>138.971</c:v>
                </c:pt>
                <c:pt idx="172">
                  <c:v>133.17899999999997</c:v>
                </c:pt>
                <c:pt idx="173">
                  <c:v>128.32400000000001</c:v>
                </c:pt>
                <c:pt idx="174">
                  <c:v>134.24699999999999</c:v>
                </c:pt>
                <c:pt idx="175">
                  <c:v>133.899</c:v>
                </c:pt>
                <c:pt idx="176">
                  <c:v>133.34300000000002</c:v>
                </c:pt>
                <c:pt idx="177">
                  <c:v>129.55500000000001</c:v>
                </c:pt>
                <c:pt idx="178">
                  <c:v>133.30600000000001</c:v>
                </c:pt>
                <c:pt idx="179">
                  <c:v>136.16200000000001</c:v>
                </c:pt>
                <c:pt idx="180">
                  <c:v>132.23099999999999</c:v>
                </c:pt>
                <c:pt idx="181">
                  <c:v>125.324</c:v>
                </c:pt>
                <c:pt idx="182">
                  <c:v>121.01100000000002</c:v>
                </c:pt>
                <c:pt idx="183">
                  <c:v>119.43700000000003</c:v>
                </c:pt>
                <c:pt idx="184">
                  <c:v>111.85599999999998</c:v>
                </c:pt>
                <c:pt idx="185">
                  <c:v>112.91200000000002</c:v>
                </c:pt>
                <c:pt idx="186">
                  <c:v>110.848</c:v>
                </c:pt>
                <c:pt idx="187">
                  <c:v>109.235</c:v>
                </c:pt>
                <c:pt idx="188">
                  <c:v>107.068</c:v>
                </c:pt>
                <c:pt idx="189">
                  <c:v>103.4</c:v>
                </c:pt>
                <c:pt idx="190">
                  <c:v>104.051</c:v>
                </c:pt>
                <c:pt idx="191">
                  <c:v>104.15799999999999</c:v>
                </c:pt>
                <c:pt idx="192">
                  <c:v>103.32</c:v>
                </c:pt>
                <c:pt idx="193">
                  <c:v>100.057</c:v>
                </c:pt>
                <c:pt idx="194">
                  <c:v>97.162999999999982</c:v>
                </c:pt>
                <c:pt idx="195">
                  <c:v>100.10299999999998</c:v>
                </c:pt>
                <c:pt idx="196">
                  <c:v>105.191</c:v>
                </c:pt>
                <c:pt idx="197">
                  <c:v>107.70699999999999</c:v>
                </c:pt>
                <c:pt idx="198">
                  <c:v>104.31399999999999</c:v>
                </c:pt>
                <c:pt idx="199">
                  <c:v>102.02500000000001</c:v>
                </c:pt>
                <c:pt idx="200">
                  <c:v>105.73099999999999</c:v>
                </c:pt>
                <c:pt idx="201">
                  <c:v>105.18899999999998</c:v>
                </c:pt>
                <c:pt idx="202">
                  <c:v>102.46299999999999</c:v>
                </c:pt>
                <c:pt idx="203">
                  <c:v>92.206999999999994</c:v>
                </c:pt>
                <c:pt idx="204">
                  <c:v>92.206999999999994</c:v>
                </c:pt>
                <c:pt idx="205">
                  <c:v>85.617999999999995</c:v>
                </c:pt>
                <c:pt idx="206">
                  <c:v>82.387</c:v>
                </c:pt>
                <c:pt idx="207">
                  <c:v>80.215999999999994</c:v>
                </c:pt>
                <c:pt idx="208">
                  <c:v>80.132999999999981</c:v>
                </c:pt>
                <c:pt idx="209">
                  <c:v>80.138999999999982</c:v>
                </c:pt>
                <c:pt idx="210">
                  <c:v>76.691000000000003</c:v>
                </c:pt>
                <c:pt idx="211">
                  <c:v>80.521000000000001</c:v>
                </c:pt>
                <c:pt idx="212">
                  <c:v>71.894999999999996</c:v>
                </c:pt>
                <c:pt idx="213">
                  <c:v>70.915999999999997</c:v>
                </c:pt>
                <c:pt idx="214">
                  <c:v>72.787999999999997</c:v>
                </c:pt>
                <c:pt idx="215">
                  <c:v>73.442000000000007</c:v>
                </c:pt>
                <c:pt idx="216">
                  <c:v>73.915000000000006</c:v>
                </c:pt>
                <c:pt idx="217">
                  <c:v>70.849000000000004</c:v>
                </c:pt>
                <c:pt idx="218">
                  <c:v>66.60799999999999</c:v>
                </c:pt>
                <c:pt idx="219">
                  <c:v>68.570999999999998</c:v>
                </c:pt>
                <c:pt idx="220">
                  <c:v>66.933000000000007</c:v>
                </c:pt>
                <c:pt idx="221">
                  <c:v>72.027999999999992</c:v>
                </c:pt>
                <c:pt idx="222">
                  <c:v>73.909000000000006</c:v>
                </c:pt>
                <c:pt idx="223">
                  <c:v>72.568000000000012</c:v>
                </c:pt>
                <c:pt idx="224">
                  <c:v>86.192999999999998</c:v>
                </c:pt>
                <c:pt idx="225">
                  <c:v>74.745000000000005</c:v>
                </c:pt>
                <c:pt idx="226">
                  <c:v>83.040999999999997</c:v>
                </c:pt>
                <c:pt idx="227">
                  <c:v>79.055999999999983</c:v>
                </c:pt>
                <c:pt idx="228">
                  <c:v>77.019000000000005</c:v>
                </c:pt>
                <c:pt idx="229">
                  <c:v>76.977000000000004</c:v>
                </c:pt>
                <c:pt idx="230">
                  <c:v>79.254000000000005</c:v>
                </c:pt>
                <c:pt idx="231">
                  <c:v>83.149999999999991</c:v>
                </c:pt>
                <c:pt idx="232">
                  <c:v>77.667999999999992</c:v>
                </c:pt>
                <c:pt idx="233">
                  <c:v>76.531999999999996</c:v>
                </c:pt>
                <c:pt idx="234">
                  <c:v>74.188999999999979</c:v>
                </c:pt>
                <c:pt idx="235">
                  <c:v>77.910000000000025</c:v>
                </c:pt>
                <c:pt idx="236">
                  <c:v>79.069999999999993</c:v>
                </c:pt>
                <c:pt idx="237">
                  <c:v>77.3</c:v>
                </c:pt>
                <c:pt idx="238">
                  <c:v>82.848000000000013</c:v>
                </c:pt>
                <c:pt idx="239">
                  <c:v>84.843000000000004</c:v>
                </c:pt>
                <c:pt idx="240">
                  <c:v>94.531000000000006</c:v>
                </c:pt>
                <c:pt idx="241">
                  <c:v>90.027000000000001</c:v>
                </c:pt>
                <c:pt idx="242">
                  <c:v>90.783000000000001</c:v>
                </c:pt>
                <c:pt idx="243">
                  <c:v>91.124999999999986</c:v>
                </c:pt>
                <c:pt idx="244">
                  <c:v>84.831999999999994</c:v>
                </c:pt>
                <c:pt idx="245">
                  <c:v>83.946000000000026</c:v>
                </c:pt>
                <c:pt idx="246">
                  <c:v>82.631999999999991</c:v>
                </c:pt>
                <c:pt idx="247">
                  <c:v>81.149999999999991</c:v>
                </c:pt>
                <c:pt idx="248">
                  <c:v>80.546000000000006</c:v>
                </c:pt>
                <c:pt idx="249">
                  <c:v>82.683999999999983</c:v>
                </c:pt>
                <c:pt idx="250">
                  <c:v>70.161999999999992</c:v>
                </c:pt>
                <c:pt idx="251">
                  <c:v>73.915000000000006</c:v>
                </c:pt>
                <c:pt idx="252">
                  <c:v>57.809000000000005</c:v>
                </c:pt>
                <c:pt idx="253">
                  <c:v>56.862000000000002</c:v>
                </c:pt>
                <c:pt idx="254">
                  <c:v>55.073</c:v>
                </c:pt>
                <c:pt idx="255">
                  <c:v>50.810999999999993</c:v>
                </c:pt>
                <c:pt idx="256">
                  <c:v>50.810999999999993</c:v>
                </c:pt>
                <c:pt idx="257">
                  <c:v>50.810999999999993</c:v>
                </c:pt>
                <c:pt idx="258">
                  <c:v>49.171000000000006</c:v>
                </c:pt>
                <c:pt idx="259">
                  <c:v>53.699000000000012</c:v>
                </c:pt>
                <c:pt idx="260">
                  <c:v>53.282000000000011</c:v>
                </c:pt>
                <c:pt idx="261">
                  <c:v>53.282000000000011</c:v>
                </c:pt>
                <c:pt idx="262">
                  <c:v>51.744</c:v>
                </c:pt>
                <c:pt idx="263">
                  <c:v>53.403000000000006</c:v>
                </c:pt>
                <c:pt idx="264">
                  <c:v>51.496000000000002</c:v>
                </c:pt>
                <c:pt idx="265">
                  <c:v>49.896000000000001</c:v>
                </c:pt>
                <c:pt idx="266">
                  <c:v>49.475000000000001</c:v>
                </c:pt>
                <c:pt idx="267">
                  <c:v>43.596000000000011</c:v>
                </c:pt>
                <c:pt idx="268">
                  <c:v>42.935000000000002</c:v>
                </c:pt>
                <c:pt idx="269">
                  <c:v>42.366</c:v>
                </c:pt>
                <c:pt idx="270">
                  <c:v>41.587000000000003</c:v>
                </c:pt>
                <c:pt idx="271">
                  <c:v>38.509</c:v>
                </c:pt>
                <c:pt idx="272">
                  <c:v>40.691000000000003</c:v>
                </c:pt>
                <c:pt idx="273">
                  <c:v>40.457999999999998</c:v>
                </c:pt>
                <c:pt idx="274">
                  <c:v>34.849000000000004</c:v>
                </c:pt>
                <c:pt idx="275">
                  <c:v>35.332000000000001</c:v>
                </c:pt>
                <c:pt idx="276">
                  <c:v>34.809000000000005</c:v>
                </c:pt>
                <c:pt idx="277">
                  <c:v>35.046000000000006</c:v>
                </c:pt>
                <c:pt idx="278">
                  <c:v>31.616000000000007</c:v>
                </c:pt>
                <c:pt idx="279">
                  <c:v>41.591000000000001</c:v>
                </c:pt>
                <c:pt idx="280">
                  <c:v>37.095000000000013</c:v>
                </c:pt>
                <c:pt idx="281">
                  <c:v>40.026000000000003</c:v>
                </c:pt>
                <c:pt idx="282">
                  <c:v>42.235000000000014</c:v>
                </c:pt>
                <c:pt idx="283">
                  <c:v>42.021000000000001</c:v>
                </c:pt>
                <c:pt idx="284">
                  <c:v>44.057000000000002</c:v>
                </c:pt>
                <c:pt idx="285">
                  <c:v>40.840000000000003</c:v>
                </c:pt>
                <c:pt idx="286">
                  <c:v>41.448</c:v>
                </c:pt>
                <c:pt idx="287">
                  <c:v>33.199000000000012</c:v>
                </c:pt>
                <c:pt idx="288">
                  <c:v>36.143000000000001</c:v>
                </c:pt>
                <c:pt idx="289">
                  <c:v>30.335999999999999</c:v>
                </c:pt>
                <c:pt idx="290">
                  <c:v>32.662000000000013</c:v>
                </c:pt>
                <c:pt idx="291">
                  <c:v>28.18</c:v>
                </c:pt>
                <c:pt idx="292">
                  <c:v>28.616000000000007</c:v>
                </c:pt>
                <c:pt idx="293">
                  <c:v>25.288999999999991</c:v>
                </c:pt>
                <c:pt idx="294">
                  <c:v>25.454000000000001</c:v>
                </c:pt>
                <c:pt idx="295">
                  <c:v>26.05</c:v>
                </c:pt>
                <c:pt idx="296">
                  <c:v>22.332999999999991</c:v>
                </c:pt>
                <c:pt idx="297">
                  <c:v>20.193000000000001</c:v>
                </c:pt>
                <c:pt idx="298">
                  <c:v>25.152000000000001</c:v>
                </c:pt>
                <c:pt idx="299">
                  <c:v>31.300999999999991</c:v>
                </c:pt>
                <c:pt idx="300">
                  <c:v>32.998000000000012</c:v>
                </c:pt>
                <c:pt idx="301">
                  <c:v>44.661000000000001</c:v>
                </c:pt>
                <c:pt idx="302">
                  <c:v>61.535000000000011</c:v>
                </c:pt>
                <c:pt idx="303">
                  <c:v>120.691</c:v>
                </c:pt>
                <c:pt idx="304">
                  <c:v>140.131</c:v>
                </c:pt>
                <c:pt idx="305">
                  <c:v>103.59399999999999</c:v>
                </c:pt>
                <c:pt idx="306">
                  <c:v>119.79700000000003</c:v>
                </c:pt>
                <c:pt idx="307">
                  <c:v>123.30800000000001</c:v>
                </c:pt>
                <c:pt idx="308">
                  <c:v>144.84399999999999</c:v>
                </c:pt>
                <c:pt idx="309">
                  <c:v>245.285</c:v>
                </c:pt>
                <c:pt idx="310">
                  <c:v>238.52500000000001</c:v>
                </c:pt>
                <c:pt idx="311">
                  <c:v>245.89100000000005</c:v>
                </c:pt>
                <c:pt idx="312">
                  <c:v>245.89100000000005</c:v>
                </c:pt>
                <c:pt idx="313">
                  <c:v>245.89100000000005</c:v>
                </c:pt>
                <c:pt idx="314">
                  <c:v>403.34000000000009</c:v>
                </c:pt>
                <c:pt idx="315">
                  <c:v>407.5</c:v>
                </c:pt>
                <c:pt idx="316">
                  <c:v>422.02499999999986</c:v>
                </c:pt>
                <c:pt idx="317">
                  <c:v>422.02499999999986</c:v>
                </c:pt>
                <c:pt idx="318">
                  <c:v>520.12599999999998</c:v>
                </c:pt>
                <c:pt idx="319">
                  <c:v>586.8209999999998</c:v>
                </c:pt>
                <c:pt idx="320">
                  <c:v>584.024</c:v>
                </c:pt>
                <c:pt idx="321">
                  <c:v>587.702</c:v>
                </c:pt>
                <c:pt idx="322">
                  <c:v>533.80999999999972</c:v>
                </c:pt>
                <c:pt idx="323">
                  <c:v>541.00900000000001</c:v>
                </c:pt>
                <c:pt idx="324">
                  <c:v>527.72299999999996</c:v>
                </c:pt>
                <c:pt idx="325">
                  <c:v>536.18299999999999</c:v>
                </c:pt>
                <c:pt idx="326">
                  <c:v>527.53499999999997</c:v>
                </c:pt>
                <c:pt idx="327">
                  <c:v>521.08900000000028</c:v>
                </c:pt>
                <c:pt idx="328">
                  <c:v>541.4409999999998</c:v>
                </c:pt>
                <c:pt idx="329">
                  <c:v>457.13200000000001</c:v>
                </c:pt>
                <c:pt idx="330">
                  <c:v>460.09199999999976</c:v>
                </c:pt>
                <c:pt idx="331">
                  <c:v>489.89499999999987</c:v>
                </c:pt>
                <c:pt idx="332">
                  <c:v>448.625</c:v>
                </c:pt>
                <c:pt idx="333">
                  <c:v>448.625</c:v>
                </c:pt>
                <c:pt idx="334">
                  <c:v>448.625</c:v>
                </c:pt>
                <c:pt idx="335">
                  <c:v>382.53599999999989</c:v>
                </c:pt>
                <c:pt idx="336">
                  <c:v>449.87</c:v>
                </c:pt>
                <c:pt idx="337">
                  <c:v>458.7179999999999</c:v>
                </c:pt>
                <c:pt idx="338">
                  <c:v>458.09</c:v>
                </c:pt>
                <c:pt idx="339">
                  <c:v>465.11099999999999</c:v>
                </c:pt>
                <c:pt idx="340">
                  <c:v>459.5</c:v>
                </c:pt>
                <c:pt idx="341">
                  <c:v>496.4609999999999</c:v>
                </c:pt>
                <c:pt idx="342">
                  <c:v>490.34899999999999</c:v>
                </c:pt>
                <c:pt idx="343">
                  <c:v>504.255</c:v>
                </c:pt>
                <c:pt idx="344">
                  <c:v>505.14400000000012</c:v>
                </c:pt>
                <c:pt idx="345">
                  <c:v>507.15100000000001</c:v>
                </c:pt>
                <c:pt idx="346">
                  <c:v>524.59299999999996</c:v>
                </c:pt>
                <c:pt idx="347">
                  <c:v>499.7349999999999</c:v>
                </c:pt>
                <c:pt idx="348">
                  <c:v>502.57100000000003</c:v>
                </c:pt>
                <c:pt idx="349">
                  <c:v>547.02499999999998</c:v>
                </c:pt>
                <c:pt idx="350">
                  <c:v>517.928</c:v>
                </c:pt>
                <c:pt idx="351">
                  <c:v>514.73400000000004</c:v>
                </c:pt>
                <c:pt idx="352">
                  <c:v>535.74199999999996</c:v>
                </c:pt>
                <c:pt idx="353">
                  <c:v>535.74199999999996</c:v>
                </c:pt>
                <c:pt idx="354">
                  <c:v>521.41099999999972</c:v>
                </c:pt>
                <c:pt idx="355">
                  <c:v>501</c:v>
                </c:pt>
                <c:pt idx="356">
                  <c:v>501.62099999999987</c:v>
                </c:pt>
                <c:pt idx="357">
                  <c:v>470.23099999999988</c:v>
                </c:pt>
                <c:pt idx="358">
                  <c:v>392.375</c:v>
                </c:pt>
                <c:pt idx="359">
                  <c:v>361.3309999999999</c:v>
                </c:pt>
                <c:pt idx="360">
                  <c:v>357.46199999999988</c:v>
                </c:pt>
                <c:pt idx="361">
                  <c:v>329.78999999999991</c:v>
                </c:pt>
                <c:pt idx="362">
                  <c:v>320.32</c:v>
                </c:pt>
                <c:pt idx="363">
                  <c:v>298.93400000000003</c:v>
                </c:pt>
                <c:pt idx="364">
                  <c:v>298.93400000000003</c:v>
                </c:pt>
                <c:pt idx="365">
                  <c:v>316.19900000000001</c:v>
                </c:pt>
                <c:pt idx="366">
                  <c:v>302.63299999999987</c:v>
                </c:pt>
                <c:pt idx="367">
                  <c:v>315.43299999999988</c:v>
                </c:pt>
                <c:pt idx="368">
                  <c:v>303.38499999999999</c:v>
                </c:pt>
                <c:pt idx="369">
                  <c:v>298.25</c:v>
                </c:pt>
                <c:pt idx="370">
                  <c:v>300.863</c:v>
                </c:pt>
                <c:pt idx="371">
                  <c:v>302.4079999999999</c:v>
                </c:pt>
                <c:pt idx="372">
                  <c:v>299.30799999999999</c:v>
                </c:pt>
                <c:pt idx="373">
                  <c:v>297.14200000000011</c:v>
                </c:pt>
                <c:pt idx="374">
                  <c:v>302.69200000000001</c:v>
                </c:pt>
                <c:pt idx="375">
                  <c:v>296.60399999999993</c:v>
                </c:pt>
                <c:pt idx="376">
                  <c:v>299.27799999999991</c:v>
                </c:pt>
                <c:pt idx="377">
                  <c:v>321.63799999999986</c:v>
                </c:pt>
                <c:pt idx="378">
                  <c:v>322.31200000000001</c:v>
                </c:pt>
                <c:pt idx="379">
                  <c:v>330.702</c:v>
                </c:pt>
                <c:pt idx="380">
                  <c:v>325.04899999999986</c:v>
                </c:pt>
                <c:pt idx="381">
                  <c:v>324.57</c:v>
                </c:pt>
                <c:pt idx="382">
                  <c:v>321.78399999999988</c:v>
                </c:pt>
                <c:pt idx="383">
                  <c:v>321.303</c:v>
                </c:pt>
                <c:pt idx="384">
                  <c:v>338.3</c:v>
                </c:pt>
                <c:pt idx="385">
                  <c:v>326.822</c:v>
                </c:pt>
                <c:pt idx="386">
                  <c:v>336.702</c:v>
                </c:pt>
                <c:pt idx="387">
                  <c:v>323.125</c:v>
                </c:pt>
                <c:pt idx="388">
                  <c:v>343.76499999999999</c:v>
                </c:pt>
                <c:pt idx="389">
                  <c:v>343.63799999999986</c:v>
                </c:pt>
                <c:pt idx="390">
                  <c:v>343.41699999999975</c:v>
                </c:pt>
                <c:pt idx="391">
                  <c:v>340.95499999999993</c:v>
                </c:pt>
                <c:pt idx="392">
                  <c:v>340.79700000000003</c:v>
                </c:pt>
                <c:pt idx="393">
                  <c:v>342.22499999999991</c:v>
                </c:pt>
                <c:pt idx="394">
                  <c:v>335.62900000000002</c:v>
                </c:pt>
                <c:pt idx="395">
                  <c:v>322.54700000000008</c:v>
                </c:pt>
                <c:pt idx="396">
                  <c:v>325.05</c:v>
                </c:pt>
                <c:pt idx="397">
                  <c:v>323.16899999999993</c:v>
                </c:pt>
                <c:pt idx="398">
                  <c:v>322.80500000000001</c:v>
                </c:pt>
                <c:pt idx="399">
                  <c:v>322.83</c:v>
                </c:pt>
                <c:pt idx="400">
                  <c:v>310.41199999999975</c:v>
                </c:pt>
                <c:pt idx="401">
                  <c:v>315.678</c:v>
                </c:pt>
                <c:pt idx="402">
                  <c:v>313.62700000000001</c:v>
                </c:pt>
                <c:pt idx="403">
                  <c:v>313.66699999999986</c:v>
                </c:pt>
                <c:pt idx="404">
                  <c:v>312.43199999999985</c:v>
                </c:pt>
                <c:pt idx="405">
                  <c:v>311.93299999999988</c:v>
                </c:pt>
                <c:pt idx="406">
                  <c:v>306.33699999999988</c:v>
                </c:pt>
                <c:pt idx="407">
                  <c:v>280.28199999999975</c:v>
                </c:pt>
                <c:pt idx="408">
                  <c:v>279.86599999999999</c:v>
                </c:pt>
                <c:pt idx="409">
                  <c:v>277.98599999999988</c:v>
                </c:pt>
                <c:pt idx="410">
                  <c:v>282.86</c:v>
                </c:pt>
                <c:pt idx="411">
                  <c:v>274.38299999999987</c:v>
                </c:pt>
                <c:pt idx="412">
                  <c:v>264.32400000000001</c:v>
                </c:pt>
                <c:pt idx="413">
                  <c:v>264.16199999999986</c:v>
                </c:pt>
                <c:pt idx="414">
                  <c:v>253.578</c:v>
                </c:pt>
                <c:pt idx="415">
                  <c:v>243.655</c:v>
                </c:pt>
                <c:pt idx="416">
                  <c:v>242.22200000000001</c:v>
                </c:pt>
                <c:pt idx="417">
                  <c:v>230.13900000000001</c:v>
                </c:pt>
                <c:pt idx="418">
                  <c:v>214.89200000000005</c:v>
                </c:pt>
                <c:pt idx="419">
                  <c:v>226.17</c:v>
                </c:pt>
                <c:pt idx="420">
                  <c:v>229.83500000000001</c:v>
                </c:pt>
                <c:pt idx="421">
                  <c:v>219.06200000000001</c:v>
                </c:pt>
                <c:pt idx="422">
                  <c:v>232.07300000000001</c:v>
                </c:pt>
                <c:pt idx="423">
                  <c:v>227.517</c:v>
                </c:pt>
                <c:pt idx="424">
                  <c:v>250.94800000000001</c:v>
                </c:pt>
                <c:pt idx="425">
                  <c:v>231.517</c:v>
                </c:pt>
                <c:pt idx="426">
                  <c:v>219.4</c:v>
                </c:pt>
                <c:pt idx="427">
                  <c:v>211.91399999999999</c:v>
                </c:pt>
                <c:pt idx="428">
                  <c:v>203.23399999999998</c:v>
                </c:pt>
                <c:pt idx="429">
                  <c:v>202.84</c:v>
                </c:pt>
                <c:pt idx="430">
                  <c:v>200.11199999999999</c:v>
                </c:pt>
                <c:pt idx="431">
                  <c:v>216.87200000000001</c:v>
                </c:pt>
                <c:pt idx="432">
                  <c:v>209.47900000000001</c:v>
                </c:pt>
                <c:pt idx="433">
                  <c:v>198.76599999999999</c:v>
                </c:pt>
                <c:pt idx="434">
                  <c:v>198.76599999999999</c:v>
                </c:pt>
                <c:pt idx="435">
                  <c:v>203.57900000000001</c:v>
                </c:pt>
                <c:pt idx="436">
                  <c:v>193.51300000000001</c:v>
                </c:pt>
                <c:pt idx="437">
                  <c:v>189.86500000000001</c:v>
                </c:pt>
                <c:pt idx="438">
                  <c:v>198.78</c:v>
                </c:pt>
                <c:pt idx="439">
                  <c:v>213.00200000000001</c:v>
                </c:pt>
                <c:pt idx="440">
                  <c:v>197.131</c:v>
                </c:pt>
                <c:pt idx="441">
                  <c:v>203.98400000000001</c:v>
                </c:pt>
                <c:pt idx="442">
                  <c:v>193.26</c:v>
                </c:pt>
                <c:pt idx="443">
                  <c:v>181.88200000000006</c:v>
                </c:pt>
                <c:pt idx="444">
                  <c:v>191.20399999999998</c:v>
                </c:pt>
                <c:pt idx="445">
                  <c:v>197.75700000000001</c:v>
                </c:pt>
                <c:pt idx="446">
                  <c:v>196.32800000000006</c:v>
                </c:pt>
                <c:pt idx="447">
                  <c:v>191.29599999999999</c:v>
                </c:pt>
                <c:pt idx="448">
                  <c:v>189.64499999999998</c:v>
                </c:pt>
                <c:pt idx="449">
                  <c:v>208.15600000000001</c:v>
                </c:pt>
                <c:pt idx="450">
                  <c:v>194.21099999999998</c:v>
                </c:pt>
                <c:pt idx="451">
                  <c:v>221.751</c:v>
                </c:pt>
                <c:pt idx="452">
                  <c:v>272.78199999999975</c:v>
                </c:pt>
                <c:pt idx="453">
                  <c:v>275.22099999999989</c:v>
                </c:pt>
                <c:pt idx="454">
                  <c:v>255.535</c:v>
                </c:pt>
                <c:pt idx="455">
                  <c:v>257.7759999999999</c:v>
                </c:pt>
                <c:pt idx="456">
                  <c:v>260.13299999999987</c:v>
                </c:pt>
                <c:pt idx="457">
                  <c:v>245.995</c:v>
                </c:pt>
                <c:pt idx="458">
                  <c:v>228.29900000000001</c:v>
                </c:pt>
                <c:pt idx="459">
                  <c:v>216.35600000000005</c:v>
                </c:pt>
                <c:pt idx="460">
                  <c:v>203.102</c:v>
                </c:pt>
                <c:pt idx="461">
                  <c:v>241.809</c:v>
                </c:pt>
                <c:pt idx="462">
                  <c:v>210.066</c:v>
                </c:pt>
                <c:pt idx="463">
                  <c:v>228.60499999999999</c:v>
                </c:pt>
                <c:pt idx="464">
                  <c:v>212.483</c:v>
                </c:pt>
                <c:pt idx="465">
                  <c:v>200.499</c:v>
                </c:pt>
                <c:pt idx="466">
                  <c:v>240.167</c:v>
                </c:pt>
                <c:pt idx="467">
                  <c:v>218.29300000000001</c:v>
                </c:pt>
                <c:pt idx="468">
                  <c:v>217.364</c:v>
                </c:pt>
                <c:pt idx="469">
                  <c:v>207.572</c:v>
                </c:pt>
                <c:pt idx="470">
                  <c:v>189.82700000000006</c:v>
                </c:pt>
                <c:pt idx="471">
                  <c:v>204.39600000000004</c:v>
                </c:pt>
                <c:pt idx="472">
                  <c:v>228.96700000000001</c:v>
                </c:pt>
                <c:pt idx="473">
                  <c:v>231.87300000000002</c:v>
                </c:pt>
                <c:pt idx="474">
                  <c:v>220.595</c:v>
                </c:pt>
                <c:pt idx="475">
                  <c:v>218.47200000000001</c:v>
                </c:pt>
                <c:pt idx="476">
                  <c:v>224.16</c:v>
                </c:pt>
                <c:pt idx="477">
                  <c:v>219.785</c:v>
                </c:pt>
                <c:pt idx="478">
                  <c:v>213.672</c:v>
                </c:pt>
                <c:pt idx="479">
                  <c:v>229.267</c:v>
                </c:pt>
                <c:pt idx="480">
                  <c:v>231.542</c:v>
                </c:pt>
                <c:pt idx="481">
                  <c:v>231.542</c:v>
                </c:pt>
              </c:numCache>
            </c:numRef>
          </c:val>
          <c:smooth val="0"/>
          <c:extLst>
            <c:ext xmlns:c16="http://schemas.microsoft.com/office/drawing/2014/chart" uri="{C3380CC4-5D6E-409C-BE32-E72D297353CC}">
              <c16:uniqueId val="{00000002-BFD6-4FA7-9FC9-9398EA1E3504}"/>
            </c:ext>
          </c:extLst>
        </c:ser>
        <c:ser>
          <c:idx val="4"/>
          <c:order val="3"/>
          <c:tx>
            <c:strRef>
              <c:f>Sheet1!$E$1</c:f>
              <c:strCache>
                <c:ptCount val="1"/>
                <c:pt idx="0">
                  <c:v>Հայաստան (2029թ.)</c:v>
                </c:pt>
              </c:strCache>
            </c:strRef>
          </c:tx>
          <c:spPr>
            <a:ln w="28575" cap="rnd">
              <a:solidFill>
                <a:schemeClr val="accent2"/>
              </a:solidFill>
              <a:round/>
            </a:ln>
            <a:effectLst/>
          </c:spPr>
          <c:marker>
            <c:symbol val="none"/>
          </c:marker>
          <c:cat>
            <c:numRef>
              <c:f>Sheet1!$A$2:$A$483</c:f>
              <c:numCache>
                <c:formatCode>m\/d\/yyyy</c:formatCode>
                <c:ptCount val="482"/>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numCache>
            </c:numRef>
          </c:cat>
          <c:val>
            <c:numRef>
              <c:f>Sheet1!$E$2:$E$483</c:f>
              <c:numCache>
                <c:formatCode>General</c:formatCode>
                <c:ptCount val="482"/>
                <c:pt idx="190" formatCode="0">
                  <c:v>258.63799999999986</c:v>
                </c:pt>
                <c:pt idx="191" formatCode="0">
                  <c:v>254.71399999999994</c:v>
                </c:pt>
                <c:pt idx="192" formatCode="0">
                  <c:v>258.86200000000002</c:v>
                </c:pt>
                <c:pt idx="193" formatCode="0">
                  <c:v>257.44799999999987</c:v>
                </c:pt>
                <c:pt idx="194" formatCode="0">
                  <c:v>259.69200000000001</c:v>
                </c:pt>
                <c:pt idx="195" formatCode="0">
                  <c:v>265.20299999999986</c:v>
                </c:pt>
                <c:pt idx="196" formatCode="0">
                  <c:v>272.97199999999975</c:v>
                </c:pt>
                <c:pt idx="197" formatCode="0">
                  <c:v>283.39400000000001</c:v>
                </c:pt>
                <c:pt idx="198" formatCode="0">
                  <c:v>273.75099999999986</c:v>
                </c:pt>
                <c:pt idx="199" formatCode="0">
                  <c:v>274.37099999999987</c:v>
                </c:pt>
                <c:pt idx="200" formatCode="0">
                  <c:v>272.62200000000001</c:v>
                </c:pt>
                <c:pt idx="201" formatCode="0">
                  <c:v>272.55700000000002</c:v>
                </c:pt>
                <c:pt idx="202" formatCode="0">
                  <c:v>266.63900000000001</c:v>
                </c:pt>
                <c:pt idx="203" formatCode="0">
                  <c:v>257.51400000000001</c:v>
                </c:pt>
                <c:pt idx="204" formatCode="0">
                  <c:v>258.59199999999976</c:v>
                </c:pt>
                <c:pt idx="205" formatCode="0">
                  <c:v>251.38000000000005</c:v>
                </c:pt>
                <c:pt idx="206" formatCode="0">
                  <c:v>252.364</c:v>
                </c:pt>
                <c:pt idx="207" formatCode="0">
                  <c:v>252.261</c:v>
                </c:pt>
                <c:pt idx="208" formatCode="0">
                  <c:v>256.25099999999986</c:v>
                </c:pt>
                <c:pt idx="209" formatCode="0">
                  <c:v>252.547</c:v>
                </c:pt>
                <c:pt idx="210" formatCode="0">
                  <c:v>252.45700000000005</c:v>
                </c:pt>
                <c:pt idx="211" formatCode="0">
                  <c:v>257.9609999999999</c:v>
                </c:pt>
                <c:pt idx="212" formatCode="0">
                  <c:v>256.48399999999975</c:v>
                </c:pt>
                <c:pt idx="213" formatCode="0">
                  <c:v>253.304</c:v>
                </c:pt>
                <c:pt idx="214" formatCode="0">
                  <c:v>249.50399999999999</c:v>
                </c:pt>
                <c:pt idx="215" formatCode="0">
                  <c:v>251.13300000000001</c:v>
                </c:pt>
                <c:pt idx="216" formatCode="0">
                  <c:v>257.46599999999989</c:v>
                </c:pt>
                <c:pt idx="217" formatCode="0">
                  <c:v>265.54199999999986</c:v>
                </c:pt>
                <c:pt idx="218" formatCode="0">
                  <c:v>262.52299999999991</c:v>
                </c:pt>
                <c:pt idx="219" formatCode="0">
                  <c:v>254.47200000000001</c:v>
                </c:pt>
                <c:pt idx="220" formatCode="0">
                  <c:v>249.96</c:v>
                </c:pt>
                <c:pt idx="221" formatCode="0">
                  <c:v>254.012</c:v>
                </c:pt>
                <c:pt idx="222" formatCode="0">
                  <c:v>245.96600000000001</c:v>
                </c:pt>
                <c:pt idx="223" formatCode="0">
                  <c:v>247.05500000000001</c:v>
                </c:pt>
                <c:pt idx="224" formatCode="0">
                  <c:v>246.26300000000001</c:v>
                </c:pt>
                <c:pt idx="225" formatCode="0">
                  <c:v>249.02500000000001</c:v>
                </c:pt>
                <c:pt idx="226" formatCode="0">
                  <c:v>253.238</c:v>
                </c:pt>
                <c:pt idx="227" formatCode="0">
                  <c:v>256.74799999999999</c:v>
                </c:pt>
                <c:pt idx="228" formatCode="0">
                  <c:v>253.14599999999999</c:v>
                </c:pt>
                <c:pt idx="229" formatCode="0">
                  <c:v>255.58500000000001</c:v>
                </c:pt>
                <c:pt idx="230" formatCode="0">
                  <c:v>256.57499999999999</c:v>
                </c:pt>
                <c:pt idx="231" formatCode="0">
                  <c:v>256.99599999999975</c:v>
                </c:pt>
                <c:pt idx="232" formatCode="0">
                  <c:v>253.459</c:v>
                </c:pt>
                <c:pt idx="233" formatCode="0">
                  <c:v>247.631</c:v>
                </c:pt>
                <c:pt idx="234" formatCode="0">
                  <c:v>245.17399999999998</c:v>
                </c:pt>
                <c:pt idx="235" formatCode="0">
                  <c:v>246.44800000000001</c:v>
                </c:pt>
                <c:pt idx="236" formatCode="0">
                  <c:v>243.79399999999998</c:v>
                </c:pt>
                <c:pt idx="237" formatCode="0">
                  <c:v>241.36800000000005</c:v>
                </c:pt>
                <c:pt idx="238" formatCode="0">
                  <c:v>235.44800000000001</c:v>
                </c:pt>
                <c:pt idx="239" formatCode="0">
                  <c:v>231.95400000000001</c:v>
                </c:pt>
                <c:pt idx="240" formatCode="0">
                  <c:v>244.84900000000002</c:v>
                </c:pt>
                <c:pt idx="241" formatCode="0">
                  <c:v>239.31800000000001</c:v>
                </c:pt>
                <c:pt idx="242" formatCode="0">
                  <c:v>233.52600000000001</c:v>
                </c:pt>
                <c:pt idx="243" formatCode="0">
                  <c:v>227.80200000000005</c:v>
                </c:pt>
                <c:pt idx="244" formatCode="0">
                  <c:v>230.03800000000001</c:v>
                </c:pt>
                <c:pt idx="245" formatCode="0">
                  <c:v>228.84700000000001</c:v>
                </c:pt>
                <c:pt idx="246" formatCode="0">
                  <c:v>234.35800000000006</c:v>
                </c:pt>
                <c:pt idx="247" formatCode="0">
                  <c:v>223.42500000000001</c:v>
                </c:pt>
                <c:pt idx="248" formatCode="0">
                  <c:v>230.65</c:v>
                </c:pt>
                <c:pt idx="249" formatCode="0">
                  <c:v>224.94499999999999</c:v>
                </c:pt>
                <c:pt idx="250" formatCode="0">
                  <c:v>223.93700000000001</c:v>
                </c:pt>
                <c:pt idx="251" formatCode="0">
                  <c:v>221.161</c:v>
                </c:pt>
                <c:pt idx="252" formatCode="0">
                  <c:v>220.22499999999999</c:v>
                </c:pt>
                <c:pt idx="253" formatCode="0">
                  <c:v>217.87900000000002</c:v>
                </c:pt>
                <c:pt idx="254" formatCode="0">
                  <c:v>217.45700000000005</c:v>
                </c:pt>
                <c:pt idx="255" formatCode="0">
                  <c:v>216.90900000000002</c:v>
                </c:pt>
                <c:pt idx="256" formatCode="0">
                  <c:v>216.90900000000002</c:v>
                </c:pt>
                <c:pt idx="257" formatCode="0">
                  <c:v>216.90900000000002</c:v>
                </c:pt>
                <c:pt idx="258" formatCode="0">
                  <c:v>221.11599999999999</c:v>
                </c:pt>
                <c:pt idx="259" formatCode="0">
                  <c:v>217.39800000000005</c:v>
                </c:pt>
                <c:pt idx="260" formatCode="0">
                  <c:v>214.87900000000002</c:v>
                </c:pt>
                <c:pt idx="261" formatCode="0">
                  <c:v>214.87900000000002</c:v>
                </c:pt>
                <c:pt idx="262" formatCode="0">
                  <c:v>217.46200000000005</c:v>
                </c:pt>
                <c:pt idx="263" formatCode="0">
                  <c:v>227.965</c:v>
                </c:pt>
                <c:pt idx="264" formatCode="0">
                  <c:v>231.256</c:v>
                </c:pt>
                <c:pt idx="265" formatCode="0">
                  <c:v>228.47800000000001</c:v>
                </c:pt>
                <c:pt idx="266" formatCode="0">
                  <c:v>220.798</c:v>
                </c:pt>
                <c:pt idx="267" formatCode="0">
                  <c:v>217.01399999999998</c:v>
                </c:pt>
                <c:pt idx="268" formatCode="0">
                  <c:v>214.23</c:v>
                </c:pt>
                <c:pt idx="269" formatCode="0">
                  <c:v>214.38100000000006</c:v>
                </c:pt>
                <c:pt idx="270" formatCode="0">
                  <c:v>211.435</c:v>
                </c:pt>
                <c:pt idx="271" formatCode="0">
                  <c:v>213.18300000000002</c:v>
                </c:pt>
                <c:pt idx="272" formatCode="0">
                  <c:v>202.42000000000004</c:v>
                </c:pt>
                <c:pt idx="273" formatCode="0">
                  <c:v>205.36100000000005</c:v>
                </c:pt>
                <c:pt idx="274" formatCode="0">
                  <c:v>205.33100000000005</c:v>
                </c:pt>
                <c:pt idx="275" formatCode="0">
                  <c:v>208.73</c:v>
                </c:pt>
                <c:pt idx="276" formatCode="0">
                  <c:v>210.506</c:v>
                </c:pt>
                <c:pt idx="277" formatCode="0">
                  <c:v>213.875</c:v>
                </c:pt>
                <c:pt idx="278" formatCode="0">
                  <c:v>218.84900000000002</c:v>
                </c:pt>
                <c:pt idx="279" formatCode="0">
                  <c:v>228.523</c:v>
                </c:pt>
                <c:pt idx="280" formatCode="0">
                  <c:v>223.03399999999999</c:v>
                </c:pt>
                <c:pt idx="281" formatCode="0">
                  <c:v>227.44499999999999</c:v>
                </c:pt>
                <c:pt idx="282" formatCode="0">
                  <c:v>230.92700000000005</c:v>
                </c:pt>
                <c:pt idx="283" formatCode="0">
                  <c:v>232.18100000000001</c:v>
                </c:pt>
                <c:pt idx="284" formatCode="0">
                  <c:v>234.16</c:v>
                </c:pt>
                <c:pt idx="285" formatCode="0">
                  <c:v>228.35300000000001</c:v>
                </c:pt>
                <c:pt idx="286" formatCode="0">
                  <c:v>222.41200000000001</c:v>
                </c:pt>
                <c:pt idx="287" formatCode="0">
                  <c:v>219.839</c:v>
                </c:pt>
                <c:pt idx="288" formatCode="0">
                  <c:v>225.81300000000002</c:v>
                </c:pt>
                <c:pt idx="289" formatCode="0">
                  <c:v>228.37200000000001</c:v>
                </c:pt>
                <c:pt idx="290" formatCode="0">
                  <c:v>225.43200000000004</c:v>
                </c:pt>
                <c:pt idx="291" formatCode="0">
                  <c:v>221.65800000000004</c:v>
                </c:pt>
                <c:pt idx="292" formatCode="0">
                  <c:v>222.369</c:v>
                </c:pt>
                <c:pt idx="293" formatCode="0">
                  <c:v>221.56</c:v>
                </c:pt>
                <c:pt idx="294" formatCode="0">
                  <c:v>220.41900000000001</c:v>
                </c:pt>
                <c:pt idx="295" formatCode="0">
                  <c:v>222.66300000000001</c:v>
                </c:pt>
                <c:pt idx="296" formatCode="0">
                  <c:v>220.74099999999999</c:v>
                </c:pt>
                <c:pt idx="297" formatCode="0">
                  <c:v>225.19200000000001</c:v>
                </c:pt>
                <c:pt idx="298" formatCode="0">
                  <c:v>230.18600000000001</c:v>
                </c:pt>
                <c:pt idx="299" formatCode="0">
                  <c:v>238.82700000000006</c:v>
                </c:pt>
                <c:pt idx="300" formatCode="0">
                  <c:v>242.24399999999994</c:v>
                </c:pt>
                <c:pt idx="301" formatCode="0">
                  <c:v>238.86800000000005</c:v>
                </c:pt>
                <c:pt idx="302" formatCode="0">
                  <c:v>254.21499999999995</c:v>
                </c:pt>
                <c:pt idx="303" formatCode="0">
                  <c:v>286.19099999999986</c:v>
                </c:pt>
                <c:pt idx="304" formatCode="0">
                  <c:v>279.762</c:v>
                </c:pt>
                <c:pt idx="305" formatCode="0">
                  <c:v>268.07400000000001</c:v>
                </c:pt>
                <c:pt idx="306" formatCode="0">
                  <c:v>271.387</c:v>
                </c:pt>
                <c:pt idx="307" formatCode="0">
                  <c:v>275.77499999999986</c:v>
                </c:pt>
                <c:pt idx="308" formatCode="0">
                  <c:v>291.065</c:v>
                </c:pt>
                <c:pt idx="309" formatCode="0">
                  <c:v>368.565</c:v>
                </c:pt>
                <c:pt idx="310" formatCode="0">
                  <c:v>353.03399999999988</c:v>
                </c:pt>
                <c:pt idx="311" formatCode="0">
                  <c:v>350.12799999999999</c:v>
                </c:pt>
                <c:pt idx="312" formatCode="0">
                  <c:v>393.26499999999999</c:v>
                </c:pt>
                <c:pt idx="313" formatCode="0">
                  <c:v>375.44900000000001</c:v>
                </c:pt>
                <c:pt idx="314" formatCode="0">
                  <c:v>406.47699999999975</c:v>
                </c:pt>
                <c:pt idx="315" formatCode="0">
                  <c:v>416.02799999999991</c:v>
                </c:pt>
                <c:pt idx="316" formatCode="0">
                  <c:v>479.49099999999987</c:v>
                </c:pt>
                <c:pt idx="317" formatCode="0">
                  <c:v>499.57599999999991</c:v>
                </c:pt>
                <c:pt idx="318" formatCode="0">
                  <c:v>513.25300000000004</c:v>
                </c:pt>
                <c:pt idx="319" formatCode="0">
                  <c:v>542.36499999999978</c:v>
                </c:pt>
                <c:pt idx="320" formatCode="0">
                  <c:v>541.01699999999983</c:v>
                </c:pt>
                <c:pt idx="321" formatCode="0">
                  <c:v>519.73400000000004</c:v>
                </c:pt>
                <c:pt idx="322" formatCode="0">
                  <c:v>480.66699999999986</c:v>
                </c:pt>
                <c:pt idx="323" formatCode="0">
                  <c:v>485.38499999999999</c:v>
                </c:pt>
                <c:pt idx="324" formatCode="0">
                  <c:v>496.88299999999987</c:v>
                </c:pt>
                <c:pt idx="325" formatCode="0">
                  <c:v>483.30799999999999</c:v>
                </c:pt>
                <c:pt idx="326" formatCode="0">
                  <c:v>475.62299999999999</c:v>
                </c:pt>
                <c:pt idx="327" formatCode="0">
                  <c:v>478.88900000000001</c:v>
                </c:pt>
                <c:pt idx="328" formatCode="0">
                  <c:v>462.57599999999991</c:v>
                </c:pt>
                <c:pt idx="329" formatCode="0">
                  <c:v>447.05</c:v>
                </c:pt>
                <c:pt idx="330" formatCode="0">
                  <c:v>440.51099999999991</c:v>
                </c:pt>
                <c:pt idx="331" formatCode="0">
                  <c:v>438.358</c:v>
                </c:pt>
                <c:pt idx="332" formatCode="0">
                  <c:v>424.61900000000014</c:v>
                </c:pt>
                <c:pt idx="333" formatCode="0">
                  <c:v>424.61900000000014</c:v>
                </c:pt>
                <c:pt idx="334" formatCode="0">
                  <c:v>424.61900000000014</c:v>
                </c:pt>
                <c:pt idx="335" formatCode="0">
                  <c:v>412.92399999999975</c:v>
                </c:pt>
                <c:pt idx="336" formatCode="0">
                  <c:v>424.54500000000002</c:v>
                </c:pt>
                <c:pt idx="337" formatCode="0">
                  <c:v>427.90499999999986</c:v>
                </c:pt>
                <c:pt idx="338" formatCode="0">
                  <c:v>419.9199999999999</c:v>
                </c:pt>
                <c:pt idx="339" formatCode="0">
                  <c:v>418.08499999999987</c:v>
                </c:pt>
                <c:pt idx="340" formatCode="0">
                  <c:v>423.44400000000002</c:v>
                </c:pt>
                <c:pt idx="341" formatCode="0">
                  <c:v>427.9079999999999</c:v>
                </c:pt>
                <c:pt idx="342" formatCode="0">
                  <c:v>429.31700000000001</c:v>
                </c:pt>
                <c:pt idx="343" formatCode="0">
                  <c:v>430.17500000000001</c:v>
                </c:pt>
                <c:pt idx="344" formatCode="0">
                  <c:v>426.74200000000002</c:v>
                </c:pt>
                <c:pt idx="345" formatCode="0">
                  <c:v>430.52</c:v>
                </c:pt>
                <c:pt idx="346" formatCode="0">
                  <c:v>430.18</c:v>
                </c:pt>
                <c:pt idx="347" formatCode="0">
                  <c:v>419.24400000000014</c:v>
                </c:pt>
                <c:pt idx="348" formatCode="0">
                  <c:v>423.5329999999999</c:v>
                </c:pt>
                <c:pt idx="349" formatCode="0">
                  <c:v>424.40699999999975</c:v>
                </c:pt>
                <c:pt idx="350" formatCode="0">
                  <c:v>398.04599999999999</c:v>
                </c:pt>
                <c:pt idx="351" formatCode="0">
                  <c:v>391.4129999999999</c:v>
                </c:pt>
                <c:pt idx="352" formatCode="0">
                  <c:v>405.00099999999986</c:v>
                </c:pt>
                <c:pt idx="353" formatCode="0">
                  <c:v>405.00099999999986</c:v>
                </c:pt>
                <c:pt idx="354" formatCode="0">
                  <c:v>377.51599999999991</c:v>
                </c:pt>
                <c:pt idx="355" formatCode="0">
                  <c:v>379.76299999999986</c:v>
                </c:pt>
                <c:pt idx="356" formatCode="0">
                  <c:v>378.95299999999986</c:v>
                </c:pt>
                <c:pt idx="357" formatCode="0">
                  <c:v>377.05200000000002</c:v>
                </c:pt>
                <c:pt idx="358" formatCode="0">
                  <c:v>377.084</c:v>
                </c:pt>
                <c:pt idx="359" formatCode="0">
                  <c:v>352.89499999999987</c:v>
                </c:pt>
                <c:pt idx="360" formatCode="0">
                  <c:v>349.16699999999986</c:v>
                </c:pt>
                <c:pt idx="361" formatCode="0">
                  <c:v>338.62099999999987</c:v>
                </c:pt>
                <c:pt idx="362" formatCode="0">
                  <c:v>338.28399999999988</c:v>
                </c:pt>
                <c:pt idx="363" formatCode="0">
                  <c:v>336.11500000000001</c:v>
                </c:pt>
                <c:pt idx="364" formatCode="0">
                  <c:v>336.11500000000001</c:v>
                </c:pt>
                <c:pt idx="365" formatCode="0">
                  <c:v>332.05599999999993</c:v>
                </c:pt>
                <c:pt idx="366" formatCode="0">
                  <c:v>331.05900000000008</c:v>
                </c:pt>
                <c:pt idx="367" formatCode="0">
                  <c:v>330.16199999999986</c:v>
                </c:pt>
                <c:pt idx="368" formatCode="0">
                  <c:v>332.60199999999986</c:v>
                </c:pt>
                <c:pt idx="369" formatCode="0">
                  <c:v>331.85399999999993</c:v>
                </c:pt>
                <c:pt idx="370" formatCode="0">
                  <c:v>331.19799999999987</c:v>
                </c:pt>
                <c:pt idx="371" formatCode="0">
                  <c:v>324.964</c:v>
                </c:pt>
                <c:pt idx="372" formatCode="0">
                  <c:v>321.80099999999999</c:v>
                </c:pt>
                <c:pt idx="373" formatCode="0">
                  <c:v>308.62299999999999</c:v>
                </c:pt>
                <c:pt idx="374" formatCode="0">
                  <c:v>316.23699999999985</c:v>
                </c:pt>
                <c:pt idx="375" formatCode="0">
                  <c:v>320.72399999999988</c:v>
                </c:pt>
                <c:pt idx="376" formatCode="0">
                  <c:v>323.55099999999999</c:v>
                </c:pt>
                <c:pt idx="377" formatCode="0">
                  <c:v>346.80799999999999</c:v>
                </c:pt>
                <c:pt idx="378" formatCode="0">
                  <c:v>348.71699999999976</c:v>
                </c:pt>
                <c:pt idx="379" formatCode="0">
                  <c:v>377.17399999999986</c:v>
                </c:pt>
                <c:pt idx="380" formatCode="0">
                  <c:v>364.60899999999987</c:v>
                </c:pt>
                <c:pt idx="381" formatCode="0">
                  <c:v>369.88099999999986</c:v>
                </c:pt>
                <c:pt idx="382" formatCode="0">
                  <c:v>374.9679999999999</c:v>
                </c:pt>
                <c:pt idx="383" formatCode="0">
                  <c:v>373.15800000000002</c:v>
                </c:pt>
                <c:pt idx="384" formatCode="0">
                  <c:v>374.84100000000001</c:v>
                </c:pt>
                <c:pt idx="385" formatCode="0">
                  <c:v>372.2829999999999</c:v>
                </c:pt>
                <c:pt idx="386" formatCode="0">
                  <c:v>372.90599999999989</c:v>
                </c:pt>
                <c:pt idx="387" formatCode="0">
                  <c:v>382.31200000000001</c:v>
                </c:pt>
                <c:pt idx="388" formatCode="0">
                  <c:v>383.63499999999999</c:v>
                </c:pt>
                <c:pt idx="389" formatCode="0">
                  <c:v>386.13099999999986</c:v>
                </c:pt>
                <c:pt idx="390" formatCode="0">
                  <c:v>385.93299999999988</c:v>
                </c:pt>
                <c:pt idx="391" formatCode="0">
                  <c:v>382.137</c:v>
                </c:pt>
                <c:pt idx="392" formatCode="0">
                  <c:v>362.45400000000001</c:v>
                </c:pt>
                <c:pt idx="393" formatCode="0">
                  <c:v>351.13</c:v>
                </c:pt>
                <c:pt idx="394" formatCode="0">
                  <c:v>356.12</c:v>
                </c:pt>
                <c:pt idx="395" formatCode="0">
                  <c:v>362.3</c:v>
                </c:pt>
                <c:pt idx="396" formatCode="0">
                  <c:v>363.661</c:v>
                </c:pt>
                <c:pt idx="397" formatCode="0">
                  <c:v>361.07400000000001</c:v>
                </c:pt>
                <c:pt idx="398" formatCode="0">
                  <c:v>362.84899999999999</c:v>
                </c:pt>
                <c:pt idx="399" formatCode="0">
                  <c:v>363.26</c:v>
                </c:pt>
                <c:pt idx="400" formatCode="0">
                  <c:v>362.08199999999988</c:v>
                </c:pt>
                <c:pt idx="401" formatCode="0">
                  <c:v>362.21199999999988</c:v>
                </c:pt>
                <c:pt idx="402" formatCode="0">
                  <c:v>363.25799999999987</c:v>
                </c:pt>
                <c:pt idx="403" formatCode="0">
                  <c:v>366.34300000000002</c:v>
                </c:pt>
                <c:pt idx="404" formatCode="0">
                  <c:v>366.17200000000008</c:v>
                </c:pt>
                <c:pt idx="405" formatCode="0">
                  <c:v>362.34199999999993</c:v>
                </c:pt>
                <c:pt idx="406" formatCode="0">
                  <c:v>357.71299999999991</c:v>
                </c:pt>
                <c:pt idx="407" formatCode="0">
                  <c:v>356.80599999999993</c:v>
                </c:pt>
                <c:pt idx="408" formatCode="0">
                  <c:v>356.00900000000001</c:v>
                </c:pt>
                <c:pt idx="409" formatCode="0">
                  <c:v>354.03599999999989</c:v>
                </c:pt>
                <c:pt idx="410" formatCode="0">
                  <c:v>351.91699999999975</c:v>
                </c:pt>
                <c:pt idx="411" formatCode="0">
                  <c:v>351.9559999999999</c:v>
                </c:pt>
                <c:pt idx="412" formatCode="0">
                  <c:v>353.80399999999986</c:v>
                </c:pt>
                <c:pt idx="413" formatCode="0">
                  <c:v>353.137</c:v>
                </c:pt>
                <c:pt idx="414" formatCode="0">
                  <c:v>353.16199999999986</c:v>
                </c:pt>
                <c:pt idx="415" formatCode="0">
                  <c:v>344.72799999999989</c:v>
                </c:pt>
                <c:pt idx="416" formatCode="0">
                  <c:v>334.96599999999989</c:v>
                </c:pt>
                <c:pt idx="417" formatCode="0">
                  <c:v>333.02199999999988</c:v>
                </c:pt>
                <c:pt idx="418" formatCode="0">
                  <c:v>329.834</c:v>
                </c:pt>
                <c:pt idx="419" formatCode="0">
                  <c:v>324.96199999999988</c:v>
                </c:pt>
                <c:pt idx="420" formatCode="0">
                  <c:v>318.9799999999999</c:v>
                </c:pt>
                <c:pt idx="421" formatCode="0">
                  <c:v>316.98399999999975</c:v>
                </c:pt>
                <c:pt idx="422" formatCode="0">
                  <c:v>311.61500000000001</c:v>
                </c:pt>
                <c:pt idx="423" formatCode="0">
                  <c:v>307.16899999999993</c:v>
                </c:pt>
                <c:pt idx="424" formatCode="0">
                  <c:v>314.62299999999999</c:v>
                </c:pt>
                <c:pt idx="425" formatCode="0">
                  <c:v>313.9079999999999</c:v>
                </c:pt>
                <c:pt idx="426" formatCode="0">
                  <c:v>313.76499999999999</c:v>
                </c:pt>
                <c:pt idx="427" formatCode="0">
                  <c:v>315.91699999999975</c:v>
                </c:pt>
                <c:pt idx="428" formatCode="0">
                  <c:v>315.964</c:v>
                </c:pt>
                <c:pt idx="429" formatCode="0">
                  <c:v>316.0379999999999</c:v>
                </c:pt>
                <c:pt idx="430" formatCode="0">
                  <c:v>309.80799999999999</c:v>
                </c:pt>
                <c:pt idx="431" formatCode="0">
                  <c:v>309.42999999999989</c:v>
                </c:pt>
                <c:pt idx="432" formatCode="0">
                  <c:v>298.58699999999988</c:v>
                </c:pt>
                <c:pt idx="433" formatCode="0">
                  <c:v>299.22799999999989</c:v>
                </c:pt>
                <c:pt idx="434" formatCode="0">
                  <c:v>299.22799999999989</c:v>
                </c:pt>
                <c:pt idx="435" formatCode="0">
                  <c:v>304.19400000000002</c:v>
                </c:pt>
                <c:pt idx="436" formatCode="0">
                  <c:v>307.47499999999991</c:v>
                </c:pt>
                <c:pt idx="437" formatCode="0">
                  <c:v>308.03399999999988</c:v>
                </c:pt>
                <c:pt idx="438" formatCode="0">
                  <c:v>301.34300000000002</c:v>
                </c:pt>
                <c:pt idx="439" formatCode="0">
                  <c:v>297.01900000000001</c:v>
                </c:pt>
                <c:pt idx="440" formatCode="0">
                  <c:v>305.64299999999997</c:v>
                </c:pt>
                <c:pt idx="441" formatCode="0">
                  <c:v>302.62900000000002</c:v>
                </c:pt>
                <c:pt idx="442" formatCode="0">
                  <c:v>304.43099999999976</c:v>
                </c:pt>
                <c:pt idx="443" formatCode="0">
                  <c:v>306.678</c:v>
                </c:pt>
                <c:pt idx="444" formatCode="0">
                  <c:v>307.52199999999988</c:v>
                </c:pt>
                <c:pt idx="445" formatCode="0">
                  <c:v>305.52799999999991</c:v>
                </c:pt>
                <c:pt idx="446" formatCode="0">
                  <c:v>305.35599999999999</c:v>
                </c:pt>
                <c:pt idx="447" formatCode="0">
                  <c:v>305.38799999999986</c:v>
                </c:pt>
                <c:pt idx="448" formatCode="0">
                  <c:v>302.834</c:v>
                </c:pt>
                <c:pt idx="449" formatCode="0">
                  <c:v>311.54199999999986</c:v>
                </c:pt>
                <c:pt idx="450" formatCode="0">
                  <c:v>312.42799999999988</c:v>
                </c:pt>
                <c:pt idx="451" formatCode="0">
                  <c:v>313.84899999999999</c:v>
                </c:pt>
                <c:pt idx="452" formatCode="0">
                  <c:v>320.41899999999976</c:v>
                </c:pt>
                <c:pt idx="453" formatCode="0">
                  <c:v>318.96199999999988</c:v>
                </c:pt>
                <c:pt idx="454" formatCode="0">
                  <c:v>371.26299999999986</c:v>
                </c:pt>
                <c:pt idx="455" formatCode="0">
                  <c:v>392.13099999999986</c:v>
                </c:pt>
                <c:pt idx="456" formatCode="0">
                  <c:v>364.51799999999986</c:v>
                </c:pt>
                <c:pt idx="457" formatCode="0">
                  <c:v>347.1400000000001</c:v>
                </c:pt>
                <c:pt idx="458" formatCode="0">
                  <c:v>339.28399999999988</c:v>
                </c:pt>
                <c:pt idx="459" formatCode="0">
                  <c:v>334.56400000000002</c:v>
                </c:pt>
                <c:pt idx="460" formatCode="0">
                  <c:v>333.66</c:v>
                </c:pt>
                <c:pt idx="461" formatCode="0">
                  <c:v>335.75099999999986</c:v>
                </c:pt>
                <c:pt idx="462" formatCode="0">
                  <c:v>335.363</c:v>
                </c:pt>
                <c:pt idx="463" formatCode="0">
                  <c:v>329.2759999999999</c:v>
                </c:pt>
                <c:pt idx="464" formatCode="0">
                  <c:v>329.36200000000002</c:v>
                </c:pt>
                <c:pt idx="465" formatCode="0">
                  <c:v>332.67599999999999</c:v>
                </c:pt>
                <c:pt idx="466" formatCode="0">
                  <c:v>344.58799999999991</c:v>
                </c:pt>
                <c:pt idx="467" formatCode="0">
                  <c:v>358.88599999999991</c:v>
                </c:pt>
                <c:pt idx="468" formatCode="0">
                  <c:v>356.73699999999985</c:v>
                </c:pt>
                <c:pt idx="469" formatCode="0">
                  <c:v>348.96899999999988</c:v>
                </c:pt>
                <c:pt idx="470" formatCode="0">
                  <c:v>349.86099999999999</c:v>
                </c:pt>
                <c:pt idx="471" formatCode="0">
                  <c:v>351.01499999999999</c:v>
                </c:pt>
                <c:pt idx="472" formatCode="0">
                  <c:v>354.85700000000008</c:v>
                </c:pt>
                <c:pt idx="473" formatCode="0">
                  <c:v>355.36099999999999</c:v>
                </c:pt>
                <c:pt idx="474" formatCode="0">
                  <c:v>368.54899999999986</c:v>
                </c:pt>
                <c:pt idx="475" formatCode="0">
                  <c:v>375.22699999999975</c:v>
                </c:pt>
                <c:pt idx="476" formatCode="0">
                  <c:v>382.178</c:v>
                </c:pt>
                <c:pt idx="477" formatCode="0">
                  <c:v>388.81599999999986</c:v>
                </c:pt>
                <c:pt idx="478" formatCode="0">
                  <c:v>387.4079999999999</c:v>
                </c:pt>
                <c:pt idx="479" formatCode="0">
                  <c:v>402.36500000000001</c:v>
                </c:pt>
                <c:pt idx="480" formatCode="0">
                  <c:v>391.61099999999999</c:v>
                </c:pt>
                <c:pt idx="481" formatCode="0">
                  <c:v>391.61099999999999</c:v>
                </c:pt>
              </c:numCache>
            </c:numRef>
          </c:val>
          <c:smooth val="0"/>
          <c:extLst>
            <c:ext xmlns:c16="http://schemas.microsoft.com/office/drawing/2014/chart" uri="{C3380CC4-5D6E-409C-BE32-E72D297353CC}">
              <c16:uniqueId val="{00000003-BFD6-4FA7-9FC9-9398EA1E3504}"/>
            </c:ext>
          </c:extLst>
        </c:ser>
        <c:dLbls>
          <c:showLegendKey val="0"/>
          <c:showVal val="0"/>
          <c:showCatName val="0"/>
          <c:showSerName val="0"/>
          <c:showPercent val="0"/>
          <c:showBubbleSize val="0"/>
        </c:dLbls>
        <c:smooth val="0"/>
        <c:axId val="124171008"/>
        <c:axId val="124172544"/>
      </c:lineChart>
      <c:dateAx>
        <c:axId val="124171008"/>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24172544"/>
        <c:crosses val="autoZero"/>
        <c:auto val="1"/>
        <c:lblOffset val="100"/>
        <c:baseTimeUnit val="days"/>
      </c:dateAx>
      <c:valAx>
        <c:axId val="124172544"/>
        <c:scaling>
          <c:orientation val="minMax"/>
          <c:max val="680"/>
          <c:min val="1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4171008"/>
        <c:crosses val="autoZero"/>
        <c:crossBetween val="between"/>
      </c:valAx>
      <c:spPr>
        <a:noFill/>
        <a:ln>
          <a:noFill/>
        </a:ln>
        <a:effectLst/>
      </c:spPr>
    </c:plotArea>
    <c:legend>
      <c:legendPos val="b"/>
      <c:layout>
        <c:manualLayout>
          <c:xMode val="edge"/>
          <c:yMode val="edge"/>
          <c:x val="6.3208351258118523E-2"/>
          <c:y val="0.81672848592978864"/>
          <c:w val="0.93679164874188181"/>
          <c:h val="0.183271611596495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43969387004258"/>
          <c:y val="0.14718253968253969"/>
          <c:w val="0.76378148993058292"/>
          <c:h val="0.66998656417947888"/>
        </c:manualLayout>
      </c:layout>
      <c:barChart>
        <c:barDir val="col"/>
        <c:grouping val="clustered"/>
        <c:varyColors val="0"/>
        <c:ser>
          <c:idx val="0"/>
          <c:order val="0"/>
          <c:tx>
            <c:strRef>
              <c:f>Sheet1!$B$1</c:f>
              <c:strCache>
                <c:ptCount val="1"/>
                <c:pt idx="0">
                  <c:v>Տնտեսական աճի փոփոխություն</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2009 GFC</c:v>
                </c:pt>
                <c:pt idx="1">
                  <c:v>2020 COVID-19</c:v>
                </c:pt>
              </c:strCache>
            </c:strRef>
          </c:cat>
          <c:val>
            <c:numRef>
              <c:f>Sheet1!$B$2:$B$3</c:f>
              <c:numCache>
                <c:formatCode>General</c:formatCode>
                <c:ptCount val="2"/>
                <c:pt idx="0">
                  <c:v>-3.1</c:v>
                </c:pt>
                <c:pt idx="1">
                  <c:v>-7.2</c:v>
                </c:pt>
              </c:numCache>
            </c:numRef>
          </c:val>
          <c:extLst>
            <c:ext xmlns:c16="http://schemas.microsoft.com/office/drawing/2014/chart" uri="{C3380CC4-5D6E-409C-BE32-E72D297353CC}">
              <c16:uniqueId val="{00000000-BC49-4B4F-9D8A-6C6F6EB10749}"/>
            </c:ext>
          </c:extLst>
        </c:ser>
        <c:dLbls>
          <c:showLegendKey val="0"/>
          <c:showVal val="1"/>
          <c:showCatName val="0"/>
          <c:showSerName val="0"/>
          <c:showPercent val="0"/>
          <c:showBubbleSize val="0"/>
        </c:dLbls>
        <c:gapWidth val="219"/>
        <c:overlap val="-27"/>
        <c:axId val="138975488"/>
        <c:axId val="138986624"/>
      </c:barChart>
      <c:catAx>
        <c:axId val="1389754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86624"/>
        <c:crosses val="autoZero"/>
        <c:auto val="1"/>
        <c:lblAlgn val="ctr"/>
        <c:lblOffset val="100"/>
        <c:noMultiLvlLbl val="0"/>
      </c:catAx>
      <c:valAx>
        <c:axId val="138986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baseline="0">
                    <a:latin typeface="GHEA Grapalat" panose="02000506050000020003" pitchFamily="50" charset="0"/>
                  </a:rPr>
                  <a:t> կետ</a:t>
                </a:r>
                <a:endParaRPr lang="hy-AM"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75488"/>
        <c:crosses val="autoZero"/>
        <c:crossBetween val="between"/>
      </c:valAx>
      <c:spPr>
        <a:noFill/>
        <a:ln>
          <a:noFill/>
        </a:ln>
        <a:effectLst/>
      </c:spPr>
    </c:plotArea>
    <c:legend>
      <c:legendPos val="r"/>
      <c:layout>
        <c:manualLayout>
          <c:xMode val="edge"/>
          <c:yMode val="edge"/>
          <c:x val="0"/>
          <c:y val="0.89074015748031565"/>
          <c:w val="0.98333333333333328"/>
          <c:h val="0.107408573928259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08945961194124"/>
          <c:y val="5.4931335830212411E-2"/>
          <c:w val="0.73724875512056365"/>
          <c:h val="0.77590445489615956"/>
        </c:manualLayout>
      </c:layout>
      <c:barChart>
        <c:barDir val="col"/>
        <c:grouping val="clustered"/>
        <c:varyColors val="0"/>
        <c:ser>
          <c:idx val="0"/>
          <c:order val="0"/>
          <c:tx>
            <c:strRef>
              <c:f>Sheet1!$B$1</c:f>
              <c:strCache>
                <c:ptCount val="1"/>
                <c:pt idx="0">
                  <c:v>Պետական պարտքի փոփոխություն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2009 GFC</c:v>
                </c:pt>
                <c:pt idx="1">
                  <c:v>2020 COVID-19</c:v>
                </c:pt>
              </c:strCache>
            </c:strRef>
          </c:cat>
          <c:val>
            <c:numRef>
              <c:f>Sheet1!$B$2:$B$3</c:f>
              <c:numCache>
                <c:formatCode>General</c:formatCode>
                <c:ptCount val="2"/>
                <c:pt idx="0">
                  <c:v>10.5</c:v>
                </c:pt>
                <c:pt idx="1">
                  <c:v>15.700000000000003</c:v>
                </c:pt>
              </c:numCache>
            </c:numRef>
          </c:val>
          <c:extLst>
            <c:ext xmlns:c16="http://schemas.microsoft.com/office/drawing/2014/chart" uri="{C3380CC4-5D6E-409C-BE32-E72D297353CC}">
              <c16:uniqueId val="{00000000-29F4-48A0-9C08-9CCCCCCDAA32}"/>
            </c:ext>
          </c:extLst>
        </c:ser>
        <c:dLbls>
          <c:showLegendKey val="0"/>
          <c:showVal val="1"/>
          <c:showCatName val="0"/>
          <c:showSerName val="0"/>
          <c:showPercent val="0"/>
          <c:showBubbleSize val="0"/>
        </c:dLbls>
        <c:gapWidth val="219"/>
        <c:overlap val="-27"/>
        <c:axId val="142181888"/>
        <c:axId val="142184832"/>
      </c:barChart>
      <c:catAx>
        <c:axId val="1421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84832"/>
        <c:crosses val="autoZero"/>
        <c:auto val="1"/>
        <c:lblAlgn val="ctr"/>
        <c:lblOffset val="100"/>
        <c:noMultiLvlLbl val="0"/>
      </c:catAx>
      <c:valAx>
        <c:axId val="14218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a:latin typeface="GHEA Grapalat" panose="02000506050000020003" pitchFamily="50" charset="0"/>
                  </a:rPr>
                  <a:t> կետ</a:t>
                </a:r>
                <a:endParaRPr lang="en-US"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81888"/>
        <c:crosses val="autoZero"/>
        <c:crossBetween val="between"/>
      </c:valAx>
      <c:spPr>
        <a:noFill/>
        <a:ln>
          <a:noFill/>
        </a:ln>
        <a:effectLst/>
      </c:spPr>
    </c:plotArea>
    <c:legend>
      <c:legendPos val="b"/>
      <c:layout>
        <c:manualLayout>
          <c:xMode val="edge"/>
          <c:yMode val="edge"/>
          <c:x val="4.658768121274582E-2"/>
          <c:y val="0.90074847385650003"/>
          <c:w val="0.91095984497264948"/>
          <c:h val="8.92863392075990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8996429094432"/>
          <c:y val="4.9717514124294052E-2"/>
          <c:w val="0.74415328985164242"/>
          <c:h val="0.74204119400329371"/>
        </c:manualLayout>
      </c:layout>
      <c:barChart>
        <c:barDir val="col"/>
        <c:grouping val="clustered"/>
        <c:varyColors val="0"/>
        <c:ser>
          <c:idx val="0"/>
          <c:order val="0"/>
          <c:tx>
            <c:strRef>
              <c:f>Sheet1!$B$1</c:f>
              <c:strCache>
                <c:ptCount val="1"/>
                <c:pt idx="0">
                  <c:v>Բյուջեի հաշվեկշռի փոփոխություն</c:v>
                </c:pt>
              </c:strCache>
            </c:strRef>
          </c:tx>
          <c:spPr>
            <a:solidFill>
              <a:schemeClr val="accent2">
                <a:lumMod val="60000"/>
                <a:lumOff val="40000"/>
              </a:schemeClr>
            </a:solidFill>
            <a:ln>
              <a:solidFill>
                <a:schemeClr val="accent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2009 GFC</c:v>
                </c:pt>
                <c:pt idx="1">
                  <c:v>2020 COVID-19</c:v>
                </c:pt>
              </c:strCache>
            </c:strRef>
          </c:cat>
          <c:val>
            <c:numRef>
              <c:f>Sheet1!$B$2:$B$3</c:f>
              <c:numCache>
                <c:formatCode>General</c:formatCode>
                <c:ptCount val="2"/>
                <c:pt idx="0">
                  <c:v>-4.9000000000000004</c:v>
                </c:pt>
                <c:pt idx="1">
                  <c:v>-8.8000000000000025</c:v>
                </c:pt>
              </c:numCache>
            </c:numRef>
          </c:val>
          <c:extLst>
            <c:ext xmlns:c16="http://schemas.microsoft.com/office/drawing/2014/chart" uri="{C3380CC4-5D6E-409C-BE32-E72D297353CC}">
              <c16:uniqueId val="{00000000-2AC1-4139-A8E9-3A7455E81C0D}"/>
            </c:ext>
          </c:extLst>
        </c:ser>
        <c:dLbls>
          <c:showLegendKey val="0"/>
          <c:showVal val="0"/>
          <c:showCatName val="0"/>
          <c:showSerName val="0"/>
          <c:showPercent val="0"/>
          <c:showBubbleSize val="0"/>
        </c:dLbls>
        <c:gapWidth val="219"/>
        <c:overlap val="-27"/>
        <c:axId val="142321920"/>
        <c:axId val="142336000"/>
      </c:barChart>
      <c:catAx>
        <c:axId val="142321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36000"/>
        <c:crosses val="autoZero"/>
        <c:auto val="1"/>
        <c:lblAlgn val="ctr"/>
        <c:lblOffset val="100"/>
        <c:noMultiLvlLbl val="0"/>
      </c:catAx>
      <c:valAx>
        <c:axId val="14233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a:t>
                </a:r>
                <a:r>
                  <a:rPr lang="hy-AM" sz="900" b="0" i="0" u="none" strike="noStrike" kern="1200" baseline="0">
                    <a:solidFill>
                      <a:sysClr val="windowText" lastClr="000000">
                        <a:lumMod val="65000"/>
                        <a:lumOff val="35000"/>
                      </a:sysClr>
                    </a:solidFill>
                    <a:latin typeface="GHEA Grapalat" panose="02000506050000020003" pitchFamily="50" charset="0"/>
                    <a:ea typeface="+mn-ea"/>
                    <a:cs typeface="+mn-cs"/>
                  </a:rPr>
                  <a:t>ին</a:t>
                </a:r>
                <a:r>
                  <a:rPr lang="hy-AM" sz="900">
                    <a:latin typeface="GHEA Grapalat" panose="02000506050000020003" pitchFamily="50" charset="0"/>
                  </a:rPr>
                  <a:t> կետ</a:t>
                </a:r>
                <a:endParaRPr lang="en-US"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21920"/>
        <c:crosses val="autoZero"/>
        <c:crossBetween val="between"/>
      </c:valAx>
      <c:spPr>
        <a:noFill/>
        <a:ln>
          <a:noFill/>
        </a:ln>
        <a:effectLst/>
      </c:spPr>
    </c:plotArea>
    <c:legend>
      <c:legendPos val="b"/>
      <c:layout>
        <c:manualLayout>
          <c:xMode val="edge"/>
          <c:yMode val="edge"/>
          <c:x val="3.5228518179935657E-2"/>
          <c:y val="0.88945465150189562"/>
          <c:w val="0.9602641605283212"/>
          <c:h val="0.110545348498104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0.64655</cdr:x>
      <cdr:y>0.00474</cdr:y>
    </cdr:from>
    <cdr:to>
      <cdr:x>1</cdr:x>
      <cdr:y>0.85714</cdr:y>
    </cdr:to>
    <cdr:sp macro="" textlink="">
      <cdr:nvSpPr>
        <cdr:cNvPr id="2" name="Rectangle 1"/>
        <cdr:cNvSpPr/>
      </cdr:nvSpPr>
      <cdr:spPr>
        <a:xfrm xmlns:a="http://schemas.openxmlformats.org/drawingml/2006/main">
          <a:off x="2026110" y="8533"/>
          <a:ext cx="1107615" cy="1534517"/>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0.32349</cdr:x>
      <cdr:y>0.00972</cdr:y>
    </cdr:from>
    <cdr:to>
      <cdr:x>0.98738</cdr:x>
      <cdr:y>0.65111</cdr:y>
    </cdr:to>
    <cdr:sp macro="" textlink="">
      <cdr:nvSpPr>
        <cdr:cNvPr id="2" name="Rectangle 1"/>
        <cdr:cNvSpPr/>
      </cdr:nvSpPr>
      <cdr:spPr>
        <a:xfrm xmlns:a="http://schemas.openxmlformats.org/drawingml/2006/main">
          <a:off x="976746" y="19041"/>
          <a:ext cx="2004574" cy="1256467"/>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0.83131</cdr:x>
      <cdr:y>0</cdr:y>
    </cdr:from>
    <cdr:to>
      <cdr:x>0.90586</cdr:x>
      <cdr:y>0.83194</cdr:y>
    </cdr:to>
    <cdr:sp macro="" textlink="">
      <cdr:nvSpPr>
        <cdr:cNvPr id="2" name="Rectangle 1"/>
        <cdr:cNvSpPr/>
      </cdr:nvSpPr>
      <cdr:spPr>
        <a:xfrm xmlns:a="http://schemas.openxmlformats.org/drawingml/2006/main">
          <a:off x="2596661" y="0"/>
          <a:ext cx="232852" cy="141263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0.64919</cdr:x>
      <cdr:y>1.17304E-6</cdr:y>
    </cdr:from>
    <cdr:to>
      <cdr:x>0.96631</cdr:x>
      <cdr:y>0.7087</cdr:y>
    </cdr:to>
    <cdr:sp macro="" textlink="">
      <cdr:nvSpPr>
        <cdr:cNvPr id="2" name="Rectangle 1"/>
        <cdr:cNvSpPr/>
      </cdr:nvSpPr>
      <cdr:spPr>
        <a:xfrm xmlns:a="http://schemas.openxmlformats.org/drawingml/2006/main">
          <a:off x="2008414" y="2"/>
          <a:ext cx="981079" cy="1208314"/>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0.65867</cdr:x>
      <cdr:y>0</cdr:y>
    </cdr:from>
    <cdr:to>
      <cdr:x>0.9364</cdr:x>
      <cdr:y>0.77128</cdr:y>
    </cdr:to>
    <cdr:sp macro="" textlink="">
      <cdr:nvSpPr>
        <cdr:cNvPr id="2" name="Rectangle 1"/>
        <cdr:cNvSpPr/>
      </cdr:nvSpPr>
      <cdr:spPr>
        <a:xfrm xmlns:a="http://schemas.openxmlformats.org/drawingml/2006/main">
          <a:off x="2057400" y="0"/>
          <a:ext cx="867508" cy="1289538"/>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0.66419</cdr:x>
      <cdr:y>0.05824</cdr:y>
    </cdr:from>
    <cdr:to>
      <cdr:x>0.91798</cdr:x>
      <cdr:y>0.79945</cdr:y>
    </cdr:to>
    <cdr:sp macro="" textlink="">
      <cdr:nvSpPr>
        <cdr:cNvPr id="2" name="Rectangle 1"/>
        <cdr:cNvSpPr/>
      </cdr:nvSpPr>
      <cdr:spPr>
        <a:xfrm xmlns:a="http://schemas.openxmlformats.org/drawingml/2006/main">
          <a:off x="2060716" y="108244"/>
          <a:ext cx="787412" cy="1377655"/>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0.61847</cdr:x>
      <cdr:y>0.02286</cdr:y>
    </cdr:from>
    <cdr:to>
      <cdr:x>0.92016</cdr:x>
      <cdr:y>0.84874</cdr:y>
    </cdr:to>
    <cdr:sp macro="" textlink="">
      <cdr:nvSpPr>
        <cdr:cNvPr id="3" name="Rectangle 2"/>
        <cdr:cNvSpPr/>
      </cdr:nvSpPr>
      <cdr:spPr>
        <a:xfrm xmlns:a="http://schemas.openxmlformats.org/drawingml/2006/main">
          <a:off x="1990725" y="51822"/>
          <a:ext cx="971100" cy="187222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6.xml><?xml version="1.0" encoding="utf-8"?>
<c:userShapes xmlns:c="http://schemas.openxmlformats.org/drawingml/2006/chart">
  <cdr:relSizeAnchor xmlns:cdr="http://schemas.openxmlformats.org/drawingml/2006/chartDrawing">
    <cdr:from>
      <cdr:x>0.67788</cdr:x>
      <cdr:y>0.25092</cdr:y>
    </cdr:from>
    <cdr:to>
      <cdr:x>0.90808</cdr:x>
      <cdr:y>0.34034</cdr:y>
    </cdr:to>
    <cdr:cxnSp macro="">
      <cdr:nvCxnSpPr>
        <cdr:cNvPr id="4" name="Straight Arrow Connector 3"/>
        <cdr:cNvCxnSpPr/>
      </cdr:nvCxnSpPr>
      <cdr:spPr>
        <a:xfrm xmlns:a="http://schemas.openxmlformats.org/drawingml/2006/main" flipV="1">
          <a:off x="2085975" y="568823"/>
          <a:ext cx="708378" cy="20270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0.64693</cdr:x>
      <cdr:y>0.04305</cdr:y>
    </cdr:from>
    <cdr:to>
      <cdr:x>0.94986</cdr:x>
      <cdr:y>0.86975</cdr:y>
    </cdr:to>
    <cdr:sp macro="" textlink="">
      <cdr:nvSpPr>
        <cdr:cNvPr id="5" name="Rectangle 4"/>
        <cdr:cNvSpPr/>
      </cdr:nvSpPr>
      <cdr:spPr>
        <a:xfrm xmlns:a="http://schemas.openxmlformats.org/drawingml/2006/main">
          <a:off x="1990739" y="97592"/>
          <a:ext cx="932180" cy="18740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0.19497</cdr:x>
      <cdr:y>0</cdr:y>
    </cdr:from>
    <cdr:to>
      <cdr:x>0.64951</cdr:x>
      <cdr:y>0.10455</cdr:y>
    </cdr:to>
    <cdr:sp macro="" textlink="">
      <cdr:nvSpPr>
        <cdr:cNvPr id="3" name="Text Box 2"/>
        <cdr:cNvSpPr txBox="1"/>
      </cdr:nvSpPr>
      <cdr:spPr>
        <a:xfrm xmlns:a="http://schemas.openxmlformats.org/drawingml/2006/main">
          <a:off x="633260" y="0"/>
          <a:ext cx="1476357" cy="231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0.75015</cdr:x>
      <cdr:y>0.02879</cdr:y>
    </cdr:from>
    <cdr:to>
      <cdr:x>1</cdr:x>
      <cdr:y>0.86752</cdr:y>
    </cdr:to>
    <cdr:sp macro="" textlink="">
      <cdr:nvSpPr>
        <cdr:cNvPr id="4" name="Rectangle 3"/>
        <cdr:cNvSpPr/>
      </cdr:nvSpPr>
      <cdr:spPr>
        <a:xfrm xmlns:a="http://schemas.openxmlformats.org/drawingml/2006/main">
          <a:off x="2428875" y="64169"/>
          <a:ext cx="808990" cy="1869406"/>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0.62463</cdr:x>
      <cdr:y>0</cdr:y>
    </cdr:from>
    <cdr:to>
      <cdr:x>1</cdr:x>
      <cdr:y>0.83491</cdr:y>
    </cdr:to>
    <cdr:sp macro="" textlink="">
      <cdr:nvSpPr>
        <cdr:cNvPr id="2" name="Rectangle 1"/>
        <cdr:cNvSpPr/>
      </cdr:nvSpPr>
      <cdr:spPr>
        <a:xfrm xmlns:a="http://schemas.openxmlformats.org/drawingml/2006/main">
          <a:off x="2028826" y="0"/>
          <a:ext cx="1219199" cy="1685934"/>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0.2209</cdr:x>
      <cdr:y>0</cdr:y>
    </cdr:from>
    <cdr:to>
      <cdr:x>0.5992</cdr:x>
      <cdr:y>0.1122</cdr:y>
    </cdr:to>
    <cdr:sp macro="" textlink="">
      <cdr:nvSpPr>
        <cdr:cNvPr id="3" name="Text Box 2"/>
        <cdr:cNvSpPr txBox="1"/>
      </cdr:nvSpPr>
      <cdr:spPr>
        <a:xfrm xmlns:a="http://schemas.openxmlformats.org/drawingml/2006/main">
          <a:off x="673303" y="0"/>
          <a:ext cx="1153059"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0.79063</cdr:x>
      <cdr:y>0.16752</cdr:y>
    </cdr:from>
    <cdr:to>
      <cdr:x>0.95683</cdr:x>
      <cdr:y>0.24893</cdr:y>
    </cdr:to>
    <cdr:cxnSp macro="">
      <cdr:nvCxnSpPr>
        <cdr:cNvPr id="5" name="Straight Arrow Connector 4"/>
        <cdr:cNvCxnSpPr/>
      </cdr:nvCxnSpPr>
      <cdr:spPr>
        <a:xfrm xmlns:a="http://schemas.openxmlformats.org/drawingml/2006/main" flipV="1">
          <a:off x="2409825" y="371788"/>
          <a:ext cx="506593" cy="18066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0.79063</cdr:x>
      <cdr:y>0.02175</cdr:y>
    </cdr:from>
    <cdr:to>
      <cdr:x>1</cdr:x>
      <cdr:y>0.86266</cdr:y>
    </cdr:to>
    <cdr:sp macro="" textlink="">
      <cdr:nvSpPr>
        <cdr:cNvPr id="4" name="Rectangle 3"/>
        <cdr:cNvSpPr/>
      </cdr:nvSpPr>
      <cdr:spPr>
        <a:xfrm xmlns:a="http://schemas.openxmlformats.org/drawingml/2006/main">
          <a:off x="2507740" y="48279"/>
          <a:ext cx="664085" cy="1866252"/>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0.90841</cdr:x>
      <cdr:y>0</cdr:y>
    </cdr:from>
    <cdr:to>
      <cdr:x>0.91449</cdr:x>
      <cdr:y>0.95495</cdr:y>
    </cdr:to>
    <cdr:cxnSp macro="">
      <cdr:nvCxnSpPr>
        <cdr:cNvPr id="2" name="Straight Connector 1"/>
        <cdr:cNvCxnSpPr>
          <a:cxnSpLocks xmlns:a="http://schemas.openxmlformats.org/drawingml/2006/main"/>
        </cdr:cNvCxnSpPr>
      </cdr:nvCxnSpPr>
      <cdr:spPr>
        <a:xfrm xmlns:a="http://schemas.openxmlformats.org/drawingml/2006/main" flipH="1">
          <a:off x="2846705" y="-4953000"/>
          <a:ext cx="19050" cy="201930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relSizeAnchor>
</c:userShapes>
</file>

<file path=word/drawings/drawing22.xml><?xml version="1.0" encoding="utf-8"?>
<c:userShapes xmlns:c="http://schemas.openxmlformats.org/drawingml/2006/chart">
  <cdr:relSizeAnchor xmlns:cdr="http://schemas.openxmlformats.org/drawingml/2006/chartDrawing">
    <cdr:from>
      <cdr:x>0.6078</cdr:x>
      <cdr:y>0.16295</cdr:y>
    </cdr:from>
    <cdr:to>
      <cdr:x>0.97487</cdr:x>
      <cdr:y>0.82037</cdr:y>
    </cdr:to>
    <cdr:sp macro="" textlink="">
      <cdr:nvSpPr>
        <cdr:cNvPr id="2" name="Rectangle 1"/>
        <cdr:cNvSpPr/>
      </cdr:nvSpPr>
      <cdr:spPr>
        <a:xfrm xmlns:a="http://schemas.openxmlformats.org/drawingml/2006/main">
          <a:off x="3829050" y="353879"/>
          <a:ext cx="2312470" cy="1427719"/>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3.xml><?xml version="1.0" encoding="utf-8"?>
<c:userShapes xmlns:c="http://schemas.openxmlformats.org/drawingml/2006/chart">
  <cdr:relSizeAnchor xmlns:cdr="http://schemas.openxmlformats.org/drawingml/2006/chartDrawing">
    <cdr:from>
      <cdr:x>0.64833</cdr:x>
      <cdr:y>0</cdr:y>
    </cdr:from>
    <cdr:to>
      <cdr:x>0.97237</cdr:x>
      <cdr:y>0.83248</cdr:y>
    </cdr:to>
    <cdr:sp macro="" textlink="">
      <cdr:nvSpPr>
        <cdr:cNvPr id="2" name="Rectangle 1"/>
        <cdr:cNvSpPr/>
      </cdr:nvSpPr>
      <cdr:spPr>
        <a:xfrm xmlns:a="http://schemas.openxmlformats.org/drawingml/2006/main">
          <a:off x="2007404" y="0"/>
          <a:ext cx="1003312" cy="144050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0.58314</cdr:x>
      <cdr:y>0</cdr:y>
    </cdr:from>
    <cdr:to>
      <cdr:x>1</cdr:x>
      <cdr:y>0.82273</cdr:y>
    </cdr:to>
    <cdr:sp macro="" textlink="">
      <cdr:nvSpPr>
        <cdr:cNvPr id="2" name="Rectangle 1"/>
        <cdr:cNvSpPr/>
      </cdr:nvSpPr>
      <cdr:spPr>
        <a:xfrm xmlns:a="http://schemas.openxmlformats.org/drawingml/2006/main">
          <a:off x="1133475" y="0"/>
          <a:ext cx="810260" cy="172402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0.57944</cdr:x>
      <cdr:y>0</cdr:y>
    </cdr:from>
    <cdr:to>
      <cdr:x>0.96851</cdr:x>
      <cdr:y>0.83486</cdr:y>
    </cdr:to>
    <cdr:sp macro="" textlink="">
      <cdr:nvSpPr>
        <cdr:cNvPr id="3" name="Rectangle 2"/>
        <cdr:cNvSpPr/>
      </cdr:nvSpPr>
      <cdr:spPr>
        <a:xfrm xmlns:a="http://schemas.openxmlformats.org/drawingml/2006/main">
          <a:off x="1181100" y="0"/>
          <a:ext cx="793062" cy="173355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0.57729</cdr:x>
      <cdr:y>0</cdr:y>
    </cdr:from>
    <cdr:to>
      <cdr:x>0.98556</cdr:x>
      <cdr:y>0.80093</cdr:y>
    </cdr:to>
    <cdr:sp macro="" textlink="">
      <cdr:nvSpPr>
        <cdr:cNvPr id="2" name="Rectangle 1"/>
        <cdr:cNvSpPr/>
      </cdr:nvSpPr>
      <cdr:spPr>
        <a:xfrm xmlns:a="http://schemas.openxmlformats.org/drawingml/2006/main">
          <a:off x="1143000" y="0"/>
          <a:ext cx="808340" cy="164782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0.37072</cdr:x>
      <cdr:y>4.92742E-7</cdr:y>
    </cdr:from>
    <cdr:to>
      <cdr:x>0.89044</cdr:x>
      <cdr:y>0.66646</cdr:y>
    </cdr:to>
    <cdr:sp macro="" textlink="">
      <cdr:nvSpPr>
        <cdr:cNvPr id="2" name="Rectangle 1"/>
        <cdr:cNvSpPr/>
      </cdr:nvSpPr>
      <cdr:spPr>
        <a:xfrm xmlns:a="http://schemas.openxmlformats.org/drawingml/2006/main">
          <a:off x="1136073" y="1"/>
          <a:ext cx="1592690" cy="1352553"/>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0.26987</cdr:x>
      <cdr:y>0</cdr:y>
    </cdr:from>
    <cdr:to>
      <cdr:x>0.92964</cdr:x>
      <cdr:y>0.70064</cdr:y>
    </cdr:to>
    <cdr:sp macro="" textlink="">
      <cdr:nvSpPr>
        <cdr:cNvPr id="2" name="Rectangle 1"/>
        <cdr:cNvSpPr/>
      </cdr:nvSpPr>
      <cdr:spPr>
        <a:xfrm xmlns:a="http://schemas.openxmlformats.org/drawingml/2006/main">
          <a:off x="817418" y="0"/>
          <a:ext cx="1998415" cy="1471305"/>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0.38713</cdr:x>
      <cdr:y>0</cdr:y>
    </cdr:from>
    <cdr:to>
      <cdr:x>1</cdr:x>
      <cdr:y>0.65131</cdr:y>
    </cdr:to>
    <cdr:sp macro="" textlink="">
      <cdr:nvSpPr>
        <cdr:cNvPr id="2" name="Rectangle 1"/>
        <cdr:cNvSpPr/>
      </cdr:nvSpPr>
      <cdr:spPr>
        <a:xfrm xmlns:a="http://schemas.openxmlformats.org/drawingml/2006/main">
          <a:off x="1198419" y="0"/>
          <a:ext cx="1897206" cy="1256462"/>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Աղյուսակ</b:Tag>
    <b:RefOrder>1</b:RefOrder>
  </b:Source>
</b:Sources>
</file>

<file path=customXml/itemProps1.xml><?xml version="1.0" encoding="utf-8"?>
<ds:datastoreItem xmlns:ds="http://schemas.openxmlformats.org/officeDocument/2006/customXml" ds:itemID="{84FAC091-231E-4732-B5A4-AE5EE551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7239</Words>
  <Characters>41263</Characters>
  <Application>Microsoft Office Word</Application>
  <DocSecurity>0</DocSecurity>
  <Lines>343</Lines>
  <Paragraphs>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Մ Ա Ս   I</vt:lpstr>
      <vt:lpstr>Մ Ա Ս   I</vt:lpstr>
    </vt:vector>
  </TitlesOfParts>
  <Company>Compass</Company>
  <LinksUpToDate>false</LinksUpToDate>
  <CharactersWithSpaces>48406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lastModifiedBy>Emma Baghdasaryan</cp:lastModifiedBy>
  <cp:revision>2</cp:revision>
  <cp:lastPrinted>2020-11-30T08:20:00Z</cp:lastPrinted>
  <dcterms:created xsi:type="dcterms:W3CDTF">2021-02-18T06:56:00Z</dcterms:created>
  <dcterms:modified xsi:type="dcterms:W3CDTF">2021-02-18T06:56:00Z</dcterms:modified>
</cp:coreProperties>
</file>