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092" w:rsidRPr="00AF261F" w:rsidRDefault="000C7092" w:rsidP="000C7092">
      <w:pPr>
        <w:jc w:val="center"/>
      </w:pPr>
      <w:r w:rsidRPr="00AF261F">
        <w:rPr>
          <w:noProof/>
        </w:rPr>
        <w:drawing>
          <wp:inline distT="0" distB="0" distL="0" distR="0" wp14:anchorId="50EB2064" wp14:editId="67466F32">
            <wp:extent cx="71437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33425"/>
                    </a:xfrm>
                    <a:prstGeom prst="rect">
                      <a:avLst/>
                    </a:prstGeom>
                    <a:noFill/>
                    <a:ln>
                      <a:noFill/>
                    </a:ln>
                  </pic:spPr>
                </pic:pic>
              </a:graphicData>
            </a:graphic>
          </wp:inline>
        </w:drawing>
      </w:r>
    </w:p>
    <w:p w:rsidR="000C7092" w:rsidRPr="00A61CA4" w:rsidRDefault="000C7092" w:rsidP="000C7092">
      <w:pPr>
        <w:jc w:val="center"/>
        <w:rPr>
          <w:rFonts w:ascii="Sylfaen" w:hAnsi="Sylfaen"/>
          <w:b/>
          <w:bCs/>
          <w:sz w:val="28"/>
        </w:rPr>
      </w:pPr>
      <w:r w:rsidRPr="00AF261F">
        <w:rPr>
          <w:rFonts w:ascii="Sylfaen" w:hAnsi="Sylfaen"/>
          <w:b/>
          <w:bCs/>
          <w:sz w:val="28"/>
        </w:rPr>
        <w:t xml:space="preserve">      MINISTER OF FINANC</w:t>
      </w:r>
      <w:r w:rsidR="00A61CA4">
        <w:rPr>
          <w:rFonts w:ascii="Sylfaen" w:hAnsi="Sylfaen"/>
          <w:b/>
          <w:bCs/>
          <w:sz w:val="28"/>
        </w:rPr>
        <w:t>E</w:t>
      </w:r>
    </w:p>
    <w:p w:rsidR="000C7092" w:rsidRPr="00AF261F" w:rsidRDefault="000C7092" w:rsidP="000C7092">
      <w:pPr>
        <w:jc w:val="center"/>
        <w:rPr>
          <w:rFonts w:ascii="Sylfaen" w:hAnsi="Sylfaen"/>
          <w:b/>
          <w:bCs/>
          <w:sz w:val="28"/>
        </w:rPr>
      </w:pPr>
      <w:r w:rsidRPr="00AF261F">
        <w:rPr>
          <w:rFonts w:ascii="Sylfaen" w:hAnsi="Sylfaen"/>
          <w:b/>
          <w:bCs/>
          <w:sz w:val="28"/>
        </w:rPr>
        <w:t>OF THE REPUBLIC OF ARMENIA</w:t>
      </w:r>
    </w:p>
    <w:p w:rsidR="000C7092" w:rsidRPr="00AF261F" w:rsidRDefault="000C7092" w:rsidP="000C7092">
      <w:pPr>
        <w:jc w:val="center"/>
        <w:rPr>
          <w:rFonts w:ascii="GHEA Grapalat" w:hAnsi="GHEA Grapalat"/>
        </w:rPr>
      </w:pPr>
      <w:r w:rsidRPr="00AF261F">
        <w:rPr>
          <w:rFonts w:ascii="GHEA Grapalat" w:hAnsi="GHEA Grapalat"/>
          <w:noProof/>
        </w:rPr>
        <mc:AlternateContent>
          <mc:Choice Requires="wps">
            <w:drawing>
              <wp:anchor distT="0" distB="0" distL="114300" distR="114300" simplePos="0" relativeHeight="251659264" behindDoc="0" locked="0" layoutInCell="1" allowOverlap="1" wp14:anchorId="1424CD53" wp14:editId="62E59BCD">
                <wp:simplePos x="0" y="0"/>
                <wp:positionH relativeFrom="column">
                  <wp:posOffset>104775</wp:posOffset>
                </wp:positionH>
                <wp:positionV relativeFrom="paragraph">
                  <wp:posOffset>17145</wp:posOffset>
                </wp:positionV>
                <wp:extent cx="5897880" cy="5080"/>
                <wp:effectExtent l="19050" t="17780" r="17145"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7880" cy="508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DA95BC"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35pt" to="472.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" strokeweight="2pt"/>
            </w:pict>
          </mc:Fallback>
        </mc:AlternateContent>
      </w:r>
    </w:p>
    <w:p w:rsidR="000701F4" w:rsidRPr="00AF261F" w:rsidRDefault="000C7092" w:rsidP="000C7092">
      <w:pPr>
        <w:rPr>
          <w:rFonts w:ascii="Sylfaen" w:hAnsi="Sylfaen" w:cs="Arial"/>
          <w:szCs w:val="24"/>
        </w:rPr>
      </w:pPr>
      <w:r w:rsidRPr="00AF261F">
        <w:rPr>
          <w:rFonts w:ascii="Sylfaen" w:hAnsi="Sylfaen"/>
        </w:rPr>
        <w:t>13 July 2017</w:t>
      </w:r>
      <w:r w:rsidRPr="00AF261F">
        <w:rPr>
          <w:rFonts w:ascii="Sylfaen" w:hAnsi="Sylfaen"/>
        </w:rPr>
        <w:tab/>
        <w:t xml:space="preserve">                  </w:t>
      </w:r>
      <w:r w:rsidRPr="00AF261F">
        <w:rPr>
          <w:rFonts w:ascii="Sylfaen" w:hAnsi="Sylfaen"/>
        </w:rPr>
        <w:tab/>
      </w:r>
      <w:r w:rsidRPr="00AF261F">
        <w:rPr>
          <w:rFonts w:ascii="Sylfaen" w:hAnsi="Sylfaen"/>
        </w:rPr>
        <w:tab/>
      </w:r>
      <w:r w:rsidRPr="00AF261F">
        <w:rPr>
          <w:rFonts w:ascii="Sylfaen" w:hAnsi="Sylfaen"/>
        </w:rPr>
        <w:tab/>
        <w:t xml:space="preserve">             </w:t>
      </w:r>
      <w:r w:rsidRPr="00AF261F">
        <w:rPr>
          <w:rFonts w:ascii="Sylfaen" w:hAnsi="Sylfaen"/>
        </w:rPr>
        <w:tab/>
      </w:r>
      <w:r w:rsidRPr="00AF261F">
        <w:rPr>
          <w:rFonts w:ascii="Sylfaen" w:hAnsi="Sylfaen"/>
        </w:rPr>
        <w:tab/>
      </w:r>
      <w:r w:rsidRPr="00AF261F">
        <w:rPr>
          <w:rFonts w:ascii="Sylfaen" w:hAnsi="Sylfaen"/>
        </w:rPr>
        <w:tab/>
      </w:r>
      <w:r w:rsidRPr="00AF261F">
        <w:rPr>
          <w:rFonts w:ascii="Sylfaen" w:hAnsi="Sylfaen"/>
        </w:rPr>
        <w:tab/>
      </w:r>
      <w:r w:rsidRPr="00AF261F">
        <w:rPr>
          <w:rFonts w:ascii="Sylfaen" w:hAnsi="Sylfaen"/>
        </w:rPr>
        <w:tab/>
      </w:r>
      <w:r w:rsidR="00060E79" w:rsidRPr="00AF261F">
        <w:rPr>
          <w:rFonts w:ascii="Sylfaen" w:hAnsi="Sylfaen" w:cs="Arial"/>
          <w:szCs w:val="24"/>
        </w:rPr>
        <w:t>N</w:t>
      </w:r>
      <w:r w:rsidRPr="00AF261F">
        <w:rPr>
          <w:rFonts w:ascii="Sylfaen" w:hAnsi="Sylfaen" w:cs="Arial"/>
          <w:szCs w:val="24"/>
        </w:rPr>
        <w:t xml:space="preserve"> 348</w:t>
      </w:r>
      <w:r w:rsidR="000701F4" w:rsidRPr="00AF261F">
        <w:rPr>
          <w:rFonts w:ascii="Sylfaen" w:hAnsi="Sylfaen" w:cs="Arial"/>
          <w:szCs w:val="24"/>
        </w:rPr>
        <w:t>-</w:t>
      </w:r>
      <w:r w:rsidR="00060E79" w:rsidRPr="00AF261F">
        <w:rPr>
          <w:rFonts w:ascii="Sylfaen" w:hAnsi="Sylfaen" w:cs="Arial"/>
          <w:szCs w:val="24"/>
        </w:rPr>
        <w:t>N</w:t>
      </w:r>
    </w:p>
    <w:p w:rsidR="000701F4" w:rsidRPr="00AF261F" w:rsidRDefault="000701F4" w:rsidP="000701F4">
      <w:pPr>
        <w:pStyle w:val="BodyText"/>
        <w:tabs>
          <w:tab w:val="left" w:pos="1719"/>
        </w:tabs>
        <w:spacing w:line="360" w:lineRule="auto"/>
        <w:jc w:val="center"/>
        <w:rPr>
          <w:rFonts w:ascii="Arial" w:hAnsi="Arial" w:cs="Arial"/>
          <w:b/>
          <w:sz w:val="32"/>
          <w:szCs w:val="24"/>
        </w:rPr>
      </w:pPr>
    </w:p>
    <w:p w:rsidR="000701F4" w:rsidRPr="00AF261F" w:rsidRDefault="00047F9B" w:rsidP="000701F4">
      <w:pPr>
        <w:pStyle w:val="BodyText"/>
        <w:tabs>
          <w:tab w:val="left" w:pos="1719"/>
        </w:tabs>
        <w:spacing w:line="360" w:lineRule="auto"/>
        <w:jc w:val="center"/>
        <w:rPr>
          <w:rFonts w:ascii="Arial" w:hAnsi="Arial" w:cs="Arial"/>
          <w:b/>
          <w:sz w:val="32"/>
          <w:szCs w:val="24"/>
        </w:rPr>
      </w:pPr>
      <w:r w:rsidRPr="00AF261F">
        <w:rPr>
          <w:rFonts w:ascii="Arial" w:hAnsi="Arial" w:cs="Arial"/>
          <w:b/>
          <w:sz w:val="32"/>
          <w:szCs w:val="24"/>
        </w:rPr>
        <w:t>ORDER</w:t>
      </w:r>
    </w:p>
    <w:p w:rsidR="000701F4" w:rsidRPr="00AF261F" w:rsidRDefault="00047F9B" w:rsidP="000701F4">
      <w:pPr>
        <w:pStyle w:val="BodyText"/>
        <w:spacing w:line="360" w:lineRule="auto"/>
        <w:jc w:val="center"/>
        <w:rPr>
          <w:rFonts w:ascii="Arial" w:hAnsi="Arial" w:cs="Arial"/>
          <w:szCs w:val="24"/>
        </w:rPr>
      </w:pPr>
      <w:r w:rsidRPr="00AF261F">
        <w:rPr>
          <w:rFonts w:ascii="Arial" w:hAnsi="Arial" w:cs="Arial"/>
        </w:rPr>
        <w:t xml:space="preserve">ON PROCEDURE FOR </w:t>
      </w:r>
      <w:r w:rsidR="00867534" w:rsidRPr="00AF261F">
        <w:rPr>
          <w:rFonts w:ascii="Arial" w:hAnsi="Arial" w:cs="Arial"/>
        </w:rPr>
        <w:t xml:space="preserve">EVALUATION OF THE BEHAVIOR </w:t>
      </w:r>
      <w:r w:rsidRPr="00AF261F">
        <w:rPr>
          <w:rFonts w:ascii="Arial" w:hAnsi="Arial" w:cs="Arial"/>
        </w:rPr>
        <w:t>AND SELECTION OF STATE TREASURY BONDS PRIMARY MAR</w:t>
      </w:r>
      <w:bookmarkStart w:id="0" w:name="_GoBack"/>
      <w:bookmarkEnd w:id="0"/>
      <w:r w:rsidRPr="00AF261F">
        <w:rPr>
          <w:rFonts w:ascii="Arial" w:hAnsi="Arial" w:cs="Arial"/>
        </w:rPr>
        <w:t xml:space="preserve">ET PARTICIPANTS OF THE REPUBLIC OF ARMENIA            </w:t>
      </w:r>
    </w:p>
    <w:p w:rsidR="000701F4" w:rsidRPr="00AF261F" w:rsidRDefault="000701F4" w:rsidP="000701F4">
      <w:pPr>
        <w:pStyle w:val="BodyText"/>
        <w:spacing w:line="360" w:lineRule="auto"/>
        <w:ind w:firstLine="720"/>
        <w:rPr>
          <w:rFonts w:ascii="Arial" w:hAnsi="Arial" w:cs="Arial"/>
          <w:szCs w:val="24"/>
        </w:rPr>
      </w:pPr>
    </w:p>
    <w:p w:rsidR="000701F4" w:rsidRPr="00AF261F" w:rsidRDefault="003A27E2" w:rsidP="00867534">
      <w:pPr>
        <w:pStyle w:val="BodyText"/>
        <w:spacing w:line="360" w:lineRule="auto"/>
        <w:ind w:firstLine="720"/>
        <w:jc w:val="left"/>
        <w:rPr>
          <w:rFonts w:ascii="Arial" w:hAnsi="Arial" w:cs="Arial"/>
          <w:szCs w:val="24"/>
        </w:rPr>
      </w:pPr>
      <w:r w:rsidRPr="00AF261F">
        <w:rPr>
          <w:rFonts w:ascii="Arial" w:hAnsi="Arial" w:cs="Arial"/>
          <w:szCs w:val="24"/>
        </w:rPr>
        <w:t xml:space="preserve">Guided </w:t>
      </w:r>
      <w:r w:rsidR="00047F9B" w:rsidRPr="00AF261F">
        <w:rPr>
          <w:rFonts w:ascii="Arial" w:hAnsi="Arial" w:cs="Arial"/>
          <w:szCs w:val="24"/>
        </w:rPr>
        <w:t>with part</w:t>
      </w:r>
      <w:r w:rsidRPr="00AF261F">
        <w:rPr>
          <w:rFonts w:ascii="Arial" w:hAnsi="Arial" w:cs="Arial"/>
          <w:szCs w:val="24"/>
        </w:rPr>
        <w:t xml:space="preserve"> 1 of Article 18 of the RA law “On Public Debt”</w:t>
      </w:r>
    </w:p>
    <w:p w:rsidR="000701F4" w:rsidRPr="00AF261F" w:rsidRDefault="000701F4" w:rsidP="000701F4">
      <w:pPr>
        <w:spacing w:line="360" w:lineRule="auto"/>
        <w:jc w:val="center"/>
        <w:rPr>
          <w:rFonts w:ascii="Arial" w:hAnsi="Arial" w:cs="Arial"/>
        </w:rPr>
      </w:pPr>
    </w:p>
    <w:p w:rsidR="000701F4" w:rsidRPr="00AF261F" w:rsidRDefault="00047F9B" w:rsidP="000701F4">
      <w:pPr>
        <w:spacing w:line="360" w:lineRule="auto"/>
        <w:jc w:val="center"/>
        <w:rPr>
          <w:rFonts w:ascii="Arial" w:hAnsi="Arial" w:cs="Arial"/>
          <w:sz w:val="24"/>
          <w:szCs w:val="24"/>
        </w:rPr>
      </w:pPr>
      <w:r w:rsidRPr="00AF261F">
        <w:rPr>
          <w:rFonts w:ascii="Arial" w:hAnsi="Arial" w:cs="Arial"/>
          <w:sz w:val="24"/>
          <w:szCs w:val="24"/>
        </w:rPr>
        <w:t xml:space="preserve">I order </w:t>
      </w:r>
    </w:p>
    <w:p w:rsidR="000701F4" w:rsidRPr="00AF261F" w:rsidRDefault="00047F9B" w:rsidP="00FA2C88">
      <w:pPr>
        <w:numPr>
          <w:ilvl w:val="0"/>
          <w:numId w:val="4"/>
        </w:numPr>
        <w:tabs>
          <w:tab w:val="clear" w:pos="502"/>
          <w:tab w:val="num" w:pos="284"/>
        </w:tabs>
        <w:spacing w:line="360" w:lineRule="auto"/>
        <w:ind w:left="0" w:firstLine="0"/>
        <w:jc w:val="both"/>
        <w:rPr>
          <w:rFonts w:ascii="Arial" w:hAnsi="Arial" w:cs="Arial"/>
          <w:sz w:val="24"/>
          <w:szCs w:val="24"/>
        </w:rPr>
      </w:pPr>
      <w:r w:rsidRPr="00AF261F">
        <w:rPr>
          <w:rFonts w:ascii="Arial" w:hAnsi="Arial" w:cs="Arial"/>
          <w:sz w:val="24"/>
          <w:szCs w:val="24"/>
        </w:rPr>
        <w:t xml:space="preserve">To approve the </w:t>
      </w:r>
      <w:r w:rsidR="00FA2C88" w:rsidRPr="00AF261F">
        <w:rPr>
          <w:rFonts w:ascii="Arial" w:hAnsi="Arial" w:cs="Arial"/>
          <w:sz w:val="24"/>
          <w:szCs w:val="24"/>
        </w:rPr>
        <w:t>P</w:t>
      </w:r>
      <w:r w:rsidRPr="00AF261F">
        <w:rPr>
          <w:rFonts w:ascii="Arial" w:hAnsi="Arial" w:cs="Arial"/>
          <w:sz w:val="24"/>
          <w:szCs w:val="24"/>
        </w:rPr>
        <w:t xml:space="preserve">rocedure for </w:t>
      </w:r>
      <w:r w:rsidR="00867534" w:rsidRPr="00AF261F">
        <w:rPr>
          <w:rFonts w:ascii="Arial" w:hAnsi="Arial" w:cs="Arial"/>
          <w:sz w:val="24"/>
          <w:szCs w:val="24"/>
        </w:rPr>
        <w:t>evaluation of the behavior</w:t>
      </w:r>
      <w:r w:rsidR="003A27E2" w:rsidRPr="00AF261F">
        <w:rPr>
          <w:rFonts w:ascii="Arial" w:hAnsi="Arial" w:cs="Arial"/>
          <w:sz w:val="24"/>
          <w:szCs w:val="24"/>
        </w:rPr>
        <w:t xml:space="preserve"> </w:t>
      </w:r>
      <w:r w:rsidRPr="00AF261F">
        <w:rPr>
          <w:rFonts w:ascii="Arial" w:hAnsi="Arial" w:cs="Arial"/>
          <w:sz w:val="24"/>
          <w:szCs w:val="24"/>
        </w:rPr>
        <w:t>and selection of state treasury bonds primary mar</w:t>
      </w:r>
      <w:r w:rsidR="000A423C" w:rsidRPr="00AF261F">
        <w:rPr>
          <w:rFonts w:ascii="Arial" w:hAnsi="Arial" w:cs="Arial"/>
          <w:sz w:val="24"/>
          <w:szCs w:val="24"/>
        </w:rPr>
        <w:t>k</w:t>
      </w:r>
      <w:r w:rsidRPr="00AF261F">
        <w:rPr>
          <w:rFonts w:ascii="Arial" w:hAnsi="Arial" w:cs="Arial"/>
          <w:sz w:val="24"/>
          <w:szCs w:val="24"/>
        </w:rPr>
        <w:t xml:space="preserve">et </w:t>
      </w:r>
      <w:r w:rsidR="003A27E2" w:rsidRPr="00AF261F">
        <w:rPr>
          <w:rFonts w:ascii="Arial" w:hAnsi="Arial" w:cs="Arial"/>
          <w:sz w:val="24"/>
          <w:szCs w:val="24"/>
        </w:rPr>
        <w:t xml:space="preserve">participants </w:t>
      </w:r>
      <w:r w:rsidRPr="00AF261F">
        <w:rPr>
          <w:rFonts w:ascii="Arial" w:hAnsi="Arial" w:cs="Arial"/>
          <w:sz w:val="24"/>
          <w:szCs w:val="24"/>
        </w:rPr>
        <w:t>of the Republic of Armenia in line with the Annex.</w:t>
      </w:r>
    </w:p>
    <w:p w:rsidR="000701F4" w:rsidRPr="00AF261F" w:rsidRDefault="00047F9B" w:rsidP="00FA2C88">
      <w:pPr>
        <w:numPr>
          <w:ilvl w:val="0"/>
          <w:numId w:val="4"/>
        </w:numPr>
        <w:spacing w:line="360" w:lineRule="auto"/>
        <w:ind w:left="0" w:firstLine="0"/>
        <w:jc w:val="both"/>
        <w:rPr>
          <w:rFonts w:ascii="Arial" w:hAnsi="Arial" w:cs="Arial"/>
          <w:sz w:val="24"/>
          <w:szCs w:val="24"/>
        </w:rPr>
      </w:pPr>
      <w:r w:rsidRPr="00AF261F">
        <w:rPr>
          <w:rFonts w:ascii="Arial" w:hAnsi="Arial" w:cs="Arial"/>
          <w:sz w:val="24"/>
          <w:szCs w:val="24"/>
        </w:rPr>
        <w:t xml:space="preserve">To define that </w:t>
      </w:r>
    </w:p>
    <w:p w:rsidR="00E12EFD" w:rsidRPr="00AF261F" w:rsidRDefault="00667759" w:rsidP="00FA2C88">
      <w:pPr>
        <w:numPr>
          <w:ilvl w:val="0"/>
          <w:numId w:val="5"/>
        </w:numPr>
        <w:spacing w:line="360" w:lineRule="auto"/>
        <w:ind w:left="0" w:firstLine="0"/>
        <w:jc w:val="both"/>
        <w:rPr>
          <w:rFonts w:ascii="Arial" w:hAnsi="Arial" w:cs="Arial"/>
          <w:sz w:val="24"/>
          <w:szCs w:val="24"/>
        </w:rPr>
      </w:pPr>
      <w:r w:rsidRPr="00AF261F">
        <w:rPr>
          <w:rFonts w:ascii="Arial" w:hAnsi="Arial" w:cs="Arial"/>
          <w:sz w:val="24"/>
          <w:szCs w:val="24"/>
        </w:rPr>
        <w:t>The agreeme</w:t>
      </w:r>
      <w:r w:rsidR="00060E79" w:rsidRPr="00AF261F">
        <w:rPr>
          <w:rFonts w:ascii="Arial" w:hAnsi="Arial" w:cs="Arial"/>
          <w:sz w:val="24"/>
          <w:szCs w:val="24"/>
        </w:rPr>
        <w:t>nts “</w:t>
      </w:r>
      <w:r w:rsidRPr="00AF261F">
        <w:rPr>
          <w:rFonts w:ascii="Arial" w:hAnsi="Arial" w:cs="Arial"/>
          <w:sz w:val="24"/>
          <w:szCs w:val="24"/>
        </w:rPr>
        <w:t xml:space="preserve">On implementation of </w:t>
      </w:r>
      <w:r w:rsidR="00060E79" w:rsidRPr="00AF261F">
        <w:rPr>
          <w:rFonts w:ascii="Arial" w:hAnsi="Arial" w:cs="Arial"/>
          <w:sz w:val="24"/>
          <w:szCs w:val="24"/>
        </w:rPr>
        <w:t>functions</w:t>
      </w:r>
      <w:r w:rsidRPr="00AF261F">
        <w:rPr>
          <w:rFonts w:ascii="Arial" w:hAnsi="Arial" w:cs="Arial"/>
          <w:sz w:val="24"/>
          <w:szCs w:val="24"/>
        </w:rPr>
        <w:t xml:space="preserve"> of </w:t>
      </w:r>
      <w:r w:rsidR="004E1F8B" w:rsidRPr="00AF261F">
        <w:rPr>
          <w:rFonts w:ascii="Arial" w:hAnsi="Arial" w:cs="Arial"/>
          <w:sz w:val="24"/>
          <w:szCs w:val="24"/>
        </w:rPr>
        <w:t>Agent</w:t>
      </w:r>
      <w:r w:rsidR="003A27E2" w:rsidRPr="00AF261F">
        <w:rPr>
          <w:rFonts w:ascii="Arial" w:hAnsi="Arial" w:cs="Arial"/>
          <w:sz w:val="24"/>
          <w:szCs w:val="24"/>
        </w:rPr>
        <w:t xml:space="preserve">s </w:t>
      </w:r>
      <w:r w:rsidRPr="00AF261F">
        <w:rPr>
          <w:rFonts w:ascii="Arial" w:hAnsi="Arial" w:cs="Arial"/>
          <w:sz w:val="24"/>
          <w:szCs w:val="24"/>
        </w:rPr>
        <w:t xml:space="preserve">in </w:t>
      </w:r>
      <w:r w:rsidR="00900F75" w:rsidRPr="00AF261F">
        <w:rPr>
          <w:rFonts w:ascii="Arial" w:hAnsi="Arial" w:cs="Arial"/>
          <w:sz w:val="24"/>
          <w:szCs w:val="24"/>
        </w:rPr>
        <w:t>the</w:t>
      </w:r>
      <w:r w:rsidRPr="00AF261F">
        <w:rPr>
          <w:rFonts w:ascii="Arial" w:hAnsi="Arial" w:cs="Arial"/>
          <w:sz w:val="24"/>
          <w:szCs w:val="24"/>
        </w:rPr>
        <w:t xml:space="preserve"> </w:t>
      </w:r>
      <w:r w:rsidR="003A27E2" w:rsidRPr="00AF261F">
        <w:rPr>
          <w:rFonts w:ascii="Arial" w:hAnsi="Arial" w:cs="Arial"/>
          <w:sz w:val="24"/>
          <w:szCs w:val="24"/>
        </w:rPr>
        <w:t xml:space="preserve">market of </w:t>
      </w:r>
      <w:r w:rsidRPr="00AF261F">
        <w:rPr>
          <w:rFonts w:ascii="Arial" w:hAnsi="Arial" w:cs="Arial"/>
          <w:sz w:val="24"/>
          <w:szCs w:val="24"/>
        </w:rPr>
        <w:t xml:space="preserve">state treasury </w:t>
      </w:r>
      <w:r w:rsidR="003A27E2" w:rsidRPr="00AF261F">
        <w:rPr>
          <w:rFonts w:ascii="Arial" w:hAnsi="Arial" w:cs="Arial"/>
          <w:sz w:val="24"/>
          <w:szCs w:val="24"/>
        </w:rPr>
        <w:t>T-</w:t>
      </w:r>
      <w:r w:rsidRPr="00AF261F">
        <w:rPr>
          <w:rFonts w:ascii="Arial" w:hAnsi="Arial" w:cs="Arial"/>
          <w:sz w:val="24"/>
          <w:szCs w:val="24"/>
        </w:rPr>
        <w:t xml:space="preserve">bills, medium-term </w:t>
      </w:r>
      <w:r w:rsidR="003A27E2" w:rsidRPr="00AF261F">
        <w:rPr>
          <w:rFonts w:ascii="Arial" w:hAnsi="Arial" w:cs="Arial"/>
          <w:sz w:val="24"/>
          <w:szCs w:val="24"/>
        </w:rPr>
        <w:t>T-notes and l</w:t>
      </w:r>
      <w:r w:rsidR="00060E79" w:rsidRPr="00AF261F">
        <w:rPr>
          <w:rFonts w:ascii="Arial" w:hAnsi="Arial" w:cs="Arial"/>
          <w:sz w:val="24"/>
          <w:szCs w:val="24"/>
        </w:rPr>
        <w:t>ong</w:t>
      </w:r>
      <w:r w:rsidRPr="00AF261F">
        <w:rPr>
          <w:rFonts w:ascii="Arial" w:hAnsi="Arial" w:cs="Arial"/>
          <w:sz w:val="24"/>
          <w:szCs w:val="24"/>
        </w:rPr>
        <w:t>-term coupon bonds</w:t>
      </w:r>
      <w:r w:rsidR="00060E79" w:rsidRPr="00AF261F">
        <w:rPr>
          <w:rFonts w:ascii="Arial" w:hAnsi="Arial" w:cs="Arial"/>
          <w:sz w:val="24"/>
          <w:szCs w:val="24"/>
        </w:rPr>
        <w:t>”</w:t>
      </w:r>
      <w:r w:rsidRPr="00AF261F">
        <w:rPr>
          <w:rFonts w:ascii="Arial" w:hAnsi="Arial" w:cs="Arial"/>
          <w:sz w:val="24"/>
          <w:szCs w:val="24"/>
        </w:rPr>
        <w:t xml:space="preserve"> signed by the RA Ministry of Finance with Ameriabank CJSC</w:t>
      </w:r>
      <w:r w:rsidR="003A27E2" w:rsidRPr="00AF261F">
        <w:rPr>
          <w:rFonts w:ascii="Arial" w:hAnsi="Arial" w:cs="Arial"/>
          <w:sz w:val="24"/>
          <w:szCs w:val="24"/>
        </w:rPr>
        <w:t>, Ararat Bank OJSC, Ardshinbank CJSC, ArmSwiss</w:t>
      </w:r>
      <w:r w:rsidRPr="00AF261F">
        <w:rPr>
          <w:rFonts w:ascii="Arial" w:hAnsi="Arial" w:cs="Arial"/>
          <w:sz w:val="24"/>
          <w:szCs w:val="24"/>
        </w:rPr>
        <w:t>Bank CJSC, HSBC Bank-Armenia CJSC, Converse Bank CJSC and VTB-Armenia Bank CJSC</w:t>
      </w:r>
      <w:r w:rsidR="003A27E2" w:rsidRPr="00AF261F">
        <w:rPr>
          <w:rFonts w:ascii="Arial" w:hAnsi="Arial" w:cs="Arial"/>
          <w:sz w:val="24"/>
          <w:szCs w:val="24"/>
        </w:rPr>
        <w:t>,</w:t>
      </w:r>
      <w:r w:rsidRPr="00AF261F">
        <w:rPr>
          <w:rFonts w:ascii="Arial" w:hAnsi="Arial" w:cs="Arial"/>
          <w:sz w:val="24"/>
          <w:szCs w:val="24"/>
        </w:rPr>
        <w:t xml:space="preserve"> </w:t>
      </w:r>
      <w:r w:rsidR="003A27E2" w:rsidRPr="00AF261F">
        <w:rPr>
          <w:rFonts w:ascii="Arial" w:hAnsi="Arial" w:cs="Arial"/>
          <w:sz w:val="24"/>
          <w:szCs w:val="24"/>
        </w:rPr>
        <w:t>who acted</w:t>
      </w:r>
      <w:r w:rsidRPr="00AF261F">
        <w:rPr>
          <w:rFonts w:ascii="Arial" w:hAnsi="Arial" w:cs="Arial"/>
          <w:sz w:val="24"/>
          <w:szCs w:val="24"/>
        </w:rPr>
        <w:t xml:space="preserve"> as </w:t>
      </w:r>
      <w:r w:rsidR="004E1F8B" w:rsidRPr="00AF261F">
        <w:rPr>
          <w:rFonts w:ascii="Arial" w:hAnsi="Arial" w:cs="Arial"/>
          <w:sz w:val="24"/>
          <w:szCs w:val="24"/>
        </w:rPr>
        <w:t>Agent</w:t>
      </w:r>
      <w:r w:rsidR="003A27E2" w:rsidRPr="00AF261F">
        <w:rPr>
          <w:rFonts w:ascii="Arial" w:hAnsi="Arial" w:cs="Arial"/>
          <w:sz w:val="24"/>
          <w:szCs w:val="24"/>
        </w:rPr>
        <w:t xml:space="preserve">s </w:t>
      </w:r>
      <w:r w:rsidRPr="00AF261F">
        <w:rPr>
          <w:rFonts w:ascii="Arial" w:hAnsi="Arial" w:cs="Arial"/>
          <w:sz w:val="24"/>
          <w:szCs w:val="24"/>
        </w:rPr>
        <w:t xml:space="preserve">at the moment when </w:t>
      </w:r>
      <w:r w:rsidR="00060E79" w:rsidRPr="00AF261F">
        <w:rPr>
          <w:rFonts w:ascii="Arial" w:hAnsi="Arial" w:cs="Arial"/>
          <w:sz w:val="24"/>
          <w:szCs w:val="24"/>
        </w:rPr>
        <w:t>this</w:t>
      </w:r>
      <w:r w:rsidR="00900F75" w:rsidRPr="00AF261F">
        <w:rPr>
          <w:rFonts w:ascii="Arial" w:hAnsi="Arial" w:cs="Arial"/>
          <w:sz w:val="24"/>
          <w:szCs w:val="24"/>
        </w:rPr>
        <w:t xml:space="preserve"> Agreement enter</w:t>
      </w:r>
      <w:r w:rsidR="003A27E2" w:rsidRPr="00AF261F">
        <w:rPr>
          <w:rFonts w:ascii="Arial" w:hAnsi="Arial" w:cs="Arial"/>
          <w:sz w:val="24"/>
          <w:szCs w:val="24"/>
        </w:rPr>
        <w:t>ed</w:t>
      </w:r>
      <w:r w:rsidR="00900F75" w:rsidRPr="00AF261F">
        <w:rPr>
          <w:rFonts w:ascii="Arial" w:hAnsi="Arial" w:cs="Arial"/>
          <w:sz w:val="24"/>
          <w:szCs w:val="24"/>
        </w:rPr>
        <w:t xml:space="preserve"> into force, are effective until December 31, 201</w:t>
      </w:r>
      <w:r w:rsidR="000C7092" w:rsidRPr="00AF261F">
        <w:rPr>
          <w:rFonts w:ascii="Arial" w:hAnsi="Arial" w:cs="Arial"/>
          <w:sz w:val="24"/>
          <w:szCs w:val="24"/>
        </w:rPr>
        <w:t>7</w:t>
      </w:r>
      <w:r w:rsidR="00900F75" w:rsidRPr="00AF261F">
        <w:rPr>
          <w:rFonts w:ascii="Arial" w:hAnsi="Arial" w:cs="Arial"/>
          <w:sz w:val="24"/>
          <w:szCs w:val="24"/>
        </w:rPr>
        <w:t>.</w:t>
      </w:r>
    </w:p>
    <w:p w:rsidR="000701F4" w:rsidRPr="00AF261F" w:rsidRDefault="007B7B98" w:rsidP="00FA2C88">
      <w:pPr>
        <w:numPr>
          <w:ilvl w:val="0"/>
          <w:numId w:val="5"/>
        </w:numPr>
        <w:spacing w:line="360" w:lineRule="auto"/>
        <w:ind w:left="0" w:firstLine="0"/>
        <w:jc w:val="both"/>
        <w:rPr>
          <w:rFonts w:ascii="Arial" w:hAnsi="Arial" w:cs="Arial"/>
          <w:sz w:val="24"/>
          <w:szCs w:val="24"/>
        </w:rPr>
      </w:pPr>
      <w:r w:rsidRPr="00AF261F">
        <w:rPr>
          <w:rFonts w:ascii="Arial" w:hAnsi="Arial" w:cs="Arial"/>
          <w:sz w:val="24"/>
          <w:szCs w:val="24"/>
        </w:rPr>
        <w:t>The e</w:t>
      </w:r>
      <w:r w:rsidR="00867534" w:rsidRPr="00AF261F">
        <w:rPr>
          <w:rFonts w:ascii="Arial" w:hAnsi="Arial" w:cs="Arial"/>
          <w:sz w:val="24"/>
          <w:szCs w:val="24"/>
        </w:rPr>
        <w:t>valuation of the behavior</w:t>
      </w:r>
      <w:r w:rsidR="00900F75" w:rsidRPr="00AF261F">
        <w:rPr>
          <w:rFonts w:ascii="Arial" w:hAnsi="Arial" w:cs="Arial"/>
          <w:sz w:val="24"/>
          <w:szCs w:val="24"/>
        </w:rPr>
        <w:t xml:space="preserve"> of </w:t>
      </w:r>
      <w:r w:rsidR="004E1F8B" w:rsidRPr="00AF261F">
        <w:rPr>
          <w:rFonts w:ascii="Arial" w:hAnsi="Arial" w:cs="Arial"/>
          <w:sz w:val="24"/>
          <w:szCs w:val="24"/>
        </w:rPr>
        <w:t>Agent</w:t>
      </w:r>
      <w:r w:rsidR="003A27E2" w:rsidRPr="00AF261F">
        <w:rPr>
          <w:rFonts w:ascii="Arial" w:hAnsi="Arial" w:cs="Arial"/>
          <w:sz w:val="24"/>
          <w:szCs w:val="24"/>
        </w:rPr>
        <w:t xml:space="preserve">s </w:t>
      </w:r>
      <w:r w:rsidR="00900F75" w:rsidRPr="00AF261F">
        <w:rPr>
          <w:rFonts w:ascii="Arial" w:hAnsi="Arial" w:cs="Arial"/>
          <w:sz w:val="24"/>
          <w:szCs w:val="24"/>
        </w:rPr>
        <w:t>listed in sub</w:t>
      </w:r>
      <w:r w:rsidR="003A27E2" w:rsidRPr="00AF261F">
        <w:rPr>
          <w:rFonts w:ascii="Arial" w:hAnsi="Arial" w:cs="Arial"/>
          <w:sz w:val="24"/>
          <w:szCs w:val="24"/>
        </w:rPr>
        <w:t>-</w:t>
      </w:r>
      <w:r w:rsidR="00900F75" w:rsidRPr="00AF261F">
        <w:rPr>
          <w:rFonts w:ascii="Arial" w:hAnsi="Arial" w:cs="Arial"/>
          <w:sz w:val="24"/>
          <w:szCs w:val="24"/>
        </w:rPr>
        <w:t xml:space="preserve">point 1, point 2 of this </w:t>
      </w:r>
      <w:r w:rsidR="000C7092" w:rsidRPr="00AF261F">
        <w:rPr>
          <w:rFonts w:ascii="Arial" w:hAnsi="Arial" w:cs="Arial"/>
          <w:sz w:val="24"/>
          <w:szCs w:val="24"/>
        </w:rPr>
        <w:t>Order</w:t>
      </w:r>
      <w:r w:rsidR="00900F75" w:rsidRPr="00AF261F">
        <w:rPr>
          <w:rFonts w:ascii="Arial" w:hAnsi="Arial" w:cs="Arial"/>
          <w:sz w:val="24"/>
          <w:szCs w:val="24"/>
        </w:rPr>
        <w:t xml:space="preserve"> in the period of October 1, 201</w:t>
      </w:r>
      <w:r w:rsidR="000C7092" w:rsidRPr="00AF261F">
        <w:rPr>
          <w:rFonts w:ascii="Arial" w:hAnsi="Arial" w:cs="Arial"/>
          <w:sz w:val="24"/>
          <w:szCs w:val="24"/>
        </w:rPr>
        <w:t>6</w:t>
      </w:r>
      <w:r w:rsidR="00900F75" w:rsidRPr="00AF261F">
        <w:rPr>
          <w:rFonts w:ascii="Arial" w:hAnsi="Arial" w:cs="Arial"/>
          <w:sz w:val="24"/>
          <w:szCs w:val="24"/>
        </w:rPr>
        <w:t xml:space="preserve"> to October 1, 201</w:t>
      </w:r>
      <w:r w:rsidR="000C7092" w:rsidRPr="00AF261F">
        <w:rPr>
          <w:rFonts w:ascii="Arial" w:hAnsi="Arial" w:cs="Arial"/>
          <w:sz w:val="24"/>
          <w:szCs w:val="24"/>
        </w:rPr>
        <w:t>7</w:t>
      </w:r>
      <w:r w:rsidR="00900F75" w:rsidRPr="00AF261F">
        <w:rPr>
          <w:rFonts w:ascii="Arial" w:hAnsi="Arial" w:cs="Arial"/>
          <w:sz w:val="24"/>
          <w:szCs w:val="24"/>
        </w:rPr>
        <w:t xml:space="preserve"> is based only on primary market </w:t>
      </w:r>
      <w:r w:rsidR="00060E79" w:rsidRPr="00AF261F">
        <w:rPr>
          <w:rFonts w:ascii="Arial" w:hAnsi="Arial" w:cs="Arial"/>
          <w:sz w:val="24"/>
          <w:szCs w:val="24"/>
        </w:rPr>
        <w:t>participation</w:t>
      </w:r>
      <w:r w:rsidR="00900F75" w:rsidRPr="00AF261F">
        <w:rPr>
          <w:rFonts w:ascii="Arial" w:hAnsi="Arial" w:cs="Arial"/>
          <w:sz w:val="24"/>
          <w:szCs w:val="24"/>
        </w:rPr>
        <w:t xml:space="preserve"> and secondary market activeness </w:t>
      </w:r>
      <w:r w:rsidR="00060E79" w:rsidRPr="00AF261F">
        <w:rPr>
          <w:rFonts w:ascii="Arial" w:hAnsi="Arial" w:cs="Arial"/>
          <w:sz w:val="24"/>
          <w:szCs w:val="24"/>
        </w:rPr>
        <w:t>indicators</w:t>
      </w:r>
      <w:r w:rsidR="00900F75" w:rsidRPr="00AF261F">
        <w:rPr>
          <w:rFonts w:ascii="Arial" w:hAnsi="Arial" w:cs="Arial"/>
          <w:sz w:val="24"/>
          <w:szCs w:val="24"/>
        </w:rPr>
        <w:t xml:space="preserve">. Quarterly </w:t>
      </w:r>
      <w:r w:rsidR="005537E4" w:rsidRPr="00AF261F">
        <w:rPr>
          <w:rFonts w:ascii="Arial" w:hAnsi="Arial" w:cs="Arial"/>
          <w:sz w:val="24"/>
          <w:szCs w:val="24"/>
        </w:rPr>
        <w:t xml:space="preserve">generalized performance of </w:t>
      </w:r>
      <w:r w:rsidR="004E1F8B" w:rsidRPr="00AF261F">
        <w:rPr>
          <w:rFonts w:ascii="Arial" w:hAnsi="Arial" w:cs="Arial"/>
          <w:sz w:val="24"/>
          <w:szCs w:val="24"/>
        </w:rPr>
        <w:t>Agent</w:t>
      </w:r>
      <w:r w:rsidR="003A27E2" w:rsidRPr="00AF261F">
        <w:rPr>
          <w:rFonts w:ascii="Arial" w:hAnsi="Arial" w:cs="Arial"/>
          <w:sz w:val="24"/>
          <w:szCs w:val="24"/>
        </w:rPr>
        <w:t xml:space="preserve">s </w:t>
      </w:r>
      <w:r w:rsidR="005537E4" w:rsidRPr="00AF261F">
        <w:rPr>
          <w:rFonts w:ascii="Arial" w:hAnsi="Arial" w:cs="Arial"/>
          <w:sz w:val="24"/>
          <w:szCs w:val="24"/>
        </w:rPr>
        <w:t xml:space="preserve">is calculated by adding to 40% of primary market participation </w:t>
      </w:r>
      <w:r w:rsidR="003A27E2" w:rsidRPr="00AF261F">
        <w:rPr>
          <w:rFonts w:ascii="Arial" w:hAnsi="Arial" w:cs="Arial"/>
          <w:sz w:val="24"/>
          <w:szCs w:val="24"/>
        </w:rPr>
        <w:t>score</w:t>
      </w:r>
      <w:r w:rsidR="005537E4" w:rsidRPr="00AF261F">
        <w:rPr>
          <w:rFonts w:ascii="Arial" w:hAnsi="Arial" w:cs="Arial"/>
          <w:sz w:val="24"/>
          <w:szCs w:val="24"/>
        </w:rPr>
        <w:t xml:space="preserve"> 60% of secondary market activeness </w:t>
      </w:r>
      <w:r w:rsidR="003A27E2" w:rsidRPr="00AF261F">
        <w:rPr>
          <w:rFonts w:ascii="Arial" w:hAnsi="Arial" w:cs="Arial"/>
          <w:sz w:val="24"/>
          <w:szCs w:val="24"/>
        </w:rPr>
        <w:t>score</w:t>
      </w:r>
      <w:r w:rsidR="005537E4" w:rsidRPr="00AF261F">
        <w:rPr>
          <w:rFonts w:ascii="Arial" w:hAnsi="Arial" w:cs="Arial"/>
          <w:sz w:val="24"/>
          <w:szCs w:val="24"/>
        </w:rPr>
        <w:t xml:space="preserve">. </w:t>
      </w:r>
      <w:r w:rsidR="009051C4" w:rsidRPr="00AF261F">
        <w:rPr>
          <w:rFonts w:ascii="Arial" w:hAnsi="Arial" w:cs="Arial"/>
          <w:sz w:val="24"/>
          <w:szCs w:val="24"/>
        </w:rPr>
        <w:t xml:space="preserve">The </w:t>
      </w:r>
      <w:r w:rsidRPr="00AF261F">
        <w:rPr>
          <w:rFonts w:ascii="Arial" w:hAnsi="Arial" w:cs="Arial"/>
          <w:sz w:val="24"/>
          <w:szCs w:val="24"/>
        </w:rPr>
        <w:t xml:space="preserve">evaluation of the behavior </w:t>
      </w:r>
      <w:r w:rsidR="009051C4" w:rsidRPr="00AF261F">
        <w:rPr>
          <w:rFonts w:ascii="Arial" w:hAnsi="Arial" w:cs="Arial"/>
          <w:sz w:val="24"/>
          <w:szCs w:val="24"/>
        </w:rPr>
        <w:t xml:space="preserve">of </w:t>
      </w:r>
      <w:r w:rsidR="004E1F8B" w:rsidRPr="00AF261F">
        <w:rPr>
          <w:rFonts w:ascii="Arial" w:hAnsi="Arial" w:cs="Arial"/>
          <w:sz w:val="24"/>
          <w:szCs w:val="24"/>
        </w:rPr>
        <w:t>Agent</w:t>
      </w:r>
      <w:r w:rsidR="003A27E2" w:rsidRPr="00AF261F">
        <w:rPr>
          <w:rFonts w:ascii="Arial" w:hAnsi="Arial" w:cs="Arial"/>
          <w:sz w:val="24"/>
          <w:szCs w:val="24"/>
        </w:rPr>
        <w:t xml:space="preserve">s </w:t>
      </w:r>
      <w:r w:rsidR="009051C4" w:rsidRPr="00AF261F">
        <w:rPr>
          <w:rFonts w:ascii="Arial" w:hAnsi="Arial" w:cs="Arial"/>
          <w:sz w:val="24"/>
          <w:szCs w:val="24"/>
        </w:rPr>
        <w:t>listed in sub</w:t>
      </w:r>
      <w:r w:rsidR="00060E79" w:rsidRPr="00AF261F">
        <w:rPr>
          <w:rFonts w:ascii="Arial" w:hAnsi="Arial" w:cs="Arial"/>
          <w:sz w:val="24"/>
          <w:szCs w:val="24"/>
        </w:rPr>
        <w:t>-</w:t>
      </w:r>
      <w:r w:rsidR="009051C4" w:rsidRPr="00AF261F">
        <w:rPr>
          <w:rFonts w:ascii="Arial" w:hAnsi="Arial" w:cs="Arial"/>
          <w:sz w:val="24"/>
          <w:szCs w:val="24"/>
        </w:rPr>
        <w:t xml:space="preserve">point 1, point 2 of this </w:t>
      </w:r>
      <w:r w:rsidR="00E12EFD" w:rsidRPr="00AF261F">
        <w:rPr>
          <w:rFonts w:ascii="Arial" w:hAnsi="Arial" w:cs="Arial"/>
          <w:sz w:val="24"/>
          <w:szCs w:val="24"/>
        </w:rPr>
        <w:t>Order</w:t>
      </w:r>
      <w:r w:rsidR="009051C4" w:rsidRPr="00AF261F">
        <w:rPr>
          <w:rFonts w:ascii="Arial" w:hAnsi="Arial" w:cs="Arial"/>
          <w:sz w:val="24"/>
          <w:szCs w:val="24"/>
        </w:rPr>
        <w:t xml:space="preserve"> for the period of October 1, 201</w:t>
      </w:r>
      <w:r w:rsidR="00E12EFD" w:rsidRPr="00AF261F">
        <w:rPr>
          <w:rFonts w:ascii="Arial" w:hAnsi="Arial" w:cs="Arial"/>
          <w:sz w:val="24"/>
          <w:szCs w:val="24"/>
        </w:rPr>
        <w:t>6</w:t>
      </w:r>
      <w:r w:rsidR="009051C4" w:rsidRPr="00AF261F">
        <w:rPr>
          <w:rFonts w:ascii="Arial" w:hAnsi="Arial" w:cs="Arial"/>
          <w:sz w:val="24"/>
          <w:szCs w:val="24"/>
        </w:rPr>
        <w:t xml:space="preserve"> to </w:t>
      </w:r>
      <w:r w:rsidR="00E12EFD" w:rsidRPr="00AF261F">
        <w:rPr>
          <w:rFonts w:ascii="Arial" w:hAnsi="Arial" w:cs="Arial"/>
          <w:sz w:val="24"/>
          <w:szCs w:val="24"/>
        </w:rPr>
        <w:t>July 31</w:t>
      </w:r>
      <w:r w:rsidR="009051C4" w:rsidRPr="00AF261F">
        <w:rPr>
          <w:rFonts w:ascii="Arial" w:hAnsi="Arial" w:cs="Arial"/>
          <w:sz w:val="24"/>
          <w:szCs w:val="24"/>
        </w:rPr>
        <w:t>, 201</w:t>
      </w:r>
      <w:r w:rsidR="00E12EFD" w:rsidRPr="00AF261F">
        <w:rPr>
          <w:rFonts w:ascii="Arial" w:hAnsi="Arial" w:cs="Arial"/>
          <w:sz w:val="24"/>
          <w:szCs w:val="24"/>
        </w:rPr>
        <w:t>7</w:t>
      </w:r>
      <w:r w:rsidR="009051C4" w:rsidRPr="00AF261F">
        <w:rPr>
          <w:rFonts w:ascii="Arial" w:hAnsi="Arial" w:cs="Arial"/>
          <w:sz w:val="24"/>
          <w:szCs w:val="24"/>
        </w:rPr>
        <w:t xml:space="preserve"> </w:t>
      </w:r>
      <w:r w:rsidR="003A27E2" w:rsidRPr="00AF261F">
        <w:rPr>
          <w:rFonts w:ascii="Arial" w:hAnsi="Arial" w:cs="Arial"/>
          <w:sz w:val="24"/>
          <w:szCs w:val="24"/>
        </w:rPr>
        <w:t xml:space="preserve">shall be </w:t>
      </w:r>
      <w:r w:rsidR="009051C4" w:rsidRPr="00AF261F">
        <w:rPr>
          <w:rFonts w:ascii="Arial" w:hAnsi="Arial" w:cs="Arial"/>
          <w:sz w:val="24"/>
          <w:szCs w:val="24"/>
        </w:rPr>
        <w:t xml:space="preserve">published at the official website of the RA Ministry of Finance - </w:t>
      </w:r>
      <w:hyperlink r:id="rId9" w:history="1">
        <w:r w:rsidR="000701F4" w:rsidRPr="00AF261F">
          <w:rPr>
            <w:rFonts w:ascii="Arial" w:hAnsi="Arial" w:cs="Arial"/>
            <w:sz w:val="24"/>
            <w:szCs w:val="24"/>
          </w:rPr>
          <w:t>www.minfin.am</w:t>
        </w:r>
      </w:hyperlink>
      <w:r w:rsidR="000701F4" w:rsidRPr="00AF261F">
        <w:rPr>
          <w:rFonts w:ascii="Arial" w:hAnsi="Arial" w:cs="Arial"/>
          <w:sz w:val="24"/>
          <w:szCs w:val="24"/>
        </w:rPr>
        <w:t xml:space="preserve">, </w:t>
      </w:r>
      <w:r w:rsidR="00E12EFD" w:rsidRPr="00AF261F">
        <w:rPr>
          <w:rFonts w:ascii="Arial" w:hAnsi="Arial" w:cs="Arial"/>
          <w:sz w:val="24"/>
          <w:szCs w:val="24"/>
        </w:rPr>
        <w:t>within 5 days after the entry into force of this Order</w:t>
      </w:r>
      <w:r w:rsidR="00CD6B8D" w:rsidRPr="00AF261F">
        <w:rPr>
          <w:rFonts w:ascii="Arial" w:hAnsi="Arial" w:cs="Arial"/>
          <w:sz w:val="24"/>
          <w:szCs w:val="24"/>
        </w:rPr>
        <w:t xml:space="preserve">. </w:t>
      </w:r>
    </w:p>
    <w:p w:rsidR="000701F4" w:rsidRPr="00AF261F" w:rsidRDefault="00CD6B8D" w:rsidP="00FA2C88">
      <w:pPr>
        <w:numPr>
          <w:ilvl w:val="0"/>
          <w:numId w:val="4"/>
        </w:numPr>
        <w:tabs>
          <w:tab w:val="clear" w:pos="502"/>
          <w:tab w:val="num" w:pos="284"/>
        </w:tabs>
        <w:spacing w:line="360" w:lineRule="auto"/>
        <w:ind w:left="0" w:firstLine="0"/>
        <w:jc w:val="both"/>
        <w:rPr>
          <w:rFonts w:ascii="Arial" w:hAnsi="Arial" w:cs="Arial"/>
          <w:sz w:val="24"/>
          <w:szCs w:val="24"/>
        </w:rPr>
      </w:pPr>
      <w:r w:rsidRPr="00AF261F">
        <w:rPr>
          <w:rFonts w:ascii="Arial" w:hAnsi="Arial" w:cs="Arial"/>
          <w:sz w:val="24"/>
          <w:szCs w:val="24"/>
        </w:rPr>
        <w:t xml:space="preserve">This </w:t>
      </w:r>
      <w:r w:rsidR="00E12EFD" w:rsidRPr="00AF261F">
        <w:rPr>
          <w:rFonts w:ascii="Arial" w:hAnsi="Arial" w:cs="Arial"/>
          <w:sz w:val="24"/>
          <w:szCs w:val="24"/>
        </w:rPr>
        <w:t>Order</w:t>
      </w:r>
      <w:r w:rsidRPr="00AF261F">
        <w:rPr>
          <w:rFonts w:ascii="Arial" w:hAnsi="Arial" w:cs="Arial"/>
          <w:sz w:val="24"/>
          <w:szCs w:val="24"/>
        </w:rPr>
        <w:t xml:space="preserve"> shall enter into force on t</w:t>
      </w:r>
      <w:r w:rsidR="003A27E2" w:rsidRPr="00AF261F">
        <w:rPr>
          <w:rFonts w:ascii="Arial" w:hAnsi="Arial" w:cs="Arial"/>
          <w:sz w:val="24"/>
          <w:szCs w:val="24"/>
        </w:rPr>
        <w:t>h</w:t>
      </w:r>
      <w:r w:rsidRPr="00AF261F">
        <w:rPr>
          <w:rFonts w:ascii="Arial" w:hAnsi="Arial" w:cs="Arial"/>
          <w:sz w:val="24"/>
          <w:szCs w:val="24"/>
        </w:rPr>
        <w:t xml:space="preserve">e tenths day after its publication. </w:t>
      </w:r>
    </w:p>
    <w:p w:rsidR="000701F4" w:rsidRPr="00AF261F" w:rsidRDefault="000701F4" w:rsidP="000701F4">
      <w:pPr>
        <w:pStyle w:val="BodyTextIndent"/>
        <w:spacing w:line="360" w:lineRule="auto"/>
        <w:ind w:left="0"/>
        <w:jc w:val="both"/>
        <w:rPr>
          <w:rFonts w:ascii="Arial" w:hAnsi="Arial" w:cs="Arial"/>
        </w:rPr>
      </w:pPr>
    </w:p>
    <w:p w:rsidR="000701F4" w:rsidRPr="00AF261F" w:rsidRDefault="000701F4" w:rsidP="000701F4">
      <w:pPr>
        <w:tabs>
          <w:tab w:val="left" w:pos="567"/>
        </w:tabs>
        <w:spacing w:line="360" w:lineRule="auto"/>
        <w:jc w:val="both"/>
        <w:rPr>
          <w:rFonts w:ascii="Arial" w:hAnsi="Arial" w:cs="Arial"/>
          <w:sz w:val="24"/>
          <w:szCs w:val="24"/>
        </w:rPr>
      </w:pPr>
      <w:r w:rsidRPr="00AF261F">
        <w:rPr>
          <w:rFonts w:ascii="Arial" w:hAnsi="Arial" w:cs="Arial"/>
          <w:sz w:val="24"/>
          <w:szCs w:val="24"/>
        </w:rPr>
        <w:tab/>
      </w:r>
      <w:r w:rsidRPr="00AF261F">
        <w:rPr>
          <w:rFonts w:ascii="Arial" w:hAnsi="Arial" w:cs="Arial"/>
          <w:sz w:val="24"/>
          <w:szCs w:val="24"/>
        </w:rPr>
        <w:tab/>
      </w:r>
      <w:r w:rsidRPr="00AF261F">
        <w:rPr>
          <w:rFonts w:ascii="Arial" w:hAnsi="Arial" w:cs="Arial"/>
          <w:sz w:val="24"/>
          <w:szCs w:val="24"/>
        </w:rPr>
        <w:tab/>
      </w:r>
      <w:r w:rsidRPr="00AF261F">
        <w:rPr>
          <w:rFonts w:ascii="Arial" w:hAnsi="Arial" w:cs="Arial"/>
          <w:sz w:val="24"/>
          <w:szCs w:val="24"/>
        </w:rPr>
        <w:tab/>
      </w:r>
      <w:r w:rsidR="00CD6B8D" w:rsidRPr="00AF261F">
        <w:rPr>
          <w:rFonts w:ascii="Arial" w:hAnsi="Arial" w:cs="Arial"/>
          <w:sz w:val="24"/>
          <w:szCs w:val="24"/>
        </w:rPr>
        <w:t>MINISTER</w:t>
      </w:r>
      <w:r w:rsidRPr="00AF261F">
        <w:rPr>
          <w:rFonts w:ascii="Arial" w:hAnsi="Arial" w:cs="Arial"/>
          <w:sz w:val="24"/>
          <w:szCs w:val="24"/>
        </w:rPr>
        <w:t xml:space="preserve"> </w:t>
      </w:r>
      <w:r w:rsidRPr="00AF261F">
        <w:rPr>
          <w:rFonts w:ascii="Arial" w:hAnsi="Arial" w:cs="Arial"/>
          <w:sz w:val="24"/>
          <w:szCs w:val="24"/>
        </w:rPr>
        <w:tab/>
      </w:r>
      <w:r w:rsidRPr="00AF261F">
        <w:rPr>
          <w:rFonts w:ascii="Arial" w:hAnsi="Arial" w:cs="Arial"/>
          <w:sz w:val="24"/>
          <w:szCs w:val="24"/>
        </w:rPr>
        <w:tab/>
      </w:r>
      <w:r w:rsidRPr="00AF261F">
        <w:rPr>
          <w:rFonts w:ascii="Arial" w:hAnsi="Arial" w:cs="Arial"/>
          <w:sz w:val="24"/>
          <w:szCs w:val="24"/>
        </w:rPr>
        <w:tab/>
      </w:r>
      <w:r w:rsidRPr="00AF261F">
        <w:rPr>
          <w:rFonts w:ascii="Arial" w:hAnsi="Arial" w:cs="Arial"/>
          <w:sz w:val="24"/>
          <w:szCs w:val="24"/>
        </w:rPr>
        <w:tab/>
      </w:r>
      <w:r w:rsidRPr="00AF261F">
        <w:rPr>
          <w:rFonts w:ascii="Arial" w:hAnsi="Arial" w:cs="Arial"/>
          <w:sz w:val="24"/>
          <w:szCs w:val="24"/>
        </w:rPr>
        <w:tab/>
      </w:r>
      <w:r w:rsidRPr="00AF261F">
        <w:rPr>
          <w:rFonts w:ascii="Arial" w:hAnsi="Arial" w:cs="Arial"/>
          <w:sz w:val="24"/>
          <w:szCs w:val="24"/>
        </w:rPr>
        <w:tab/>
      </w:r>
      <w:r w:rsidR="00CD6B8D" w:rsidRPr="00AF261F">
        <w:rPr>
          <w:rFonts w:ascii="Arial" w:hAnsi="Arial" w:cs="Arial"/>
          <w:sz w:val="24"/>
          <w:szCs w:val="24"/>
        </w:rPr>
        <w:t>V</w:t>
      </w:r>
      <w:r w:rsidRPr="00AF261F">
        <w:rPr>
          <w:rFonts w:ascii="Arial" w:hAnsi="Arial" w:cs="Arial"/>
          <w:sz w:val="24"/>
          <w:szCs w:val="24"/>
        </w:rPr>
        <w:t xml:space="preserve">. </w:t>
      </w:r>
      <w:r w:rsidR="00CD6B8D" w:rsidRPr="00AF261F">
        <w:rPr>
          <w:rFonts w:ascii="Arial" w:hAnsi="Arial" w:cs="Arial"/>
          <w:sz w:val="24"/>
          <w:szCs w:val="24"/>
        </w:rPr>
        <w:t>ARAMYAN</w:t>
      </w:r>
    </w:p>
    <w:p w:rsidR="004674D2" w:rsidRPr="00AF261F" w:rsidRDefault="000701F4" w:rsidP="00791BED">
      <w:pPr>
        <w:ind w:left="5103"/>
        <w:jc w:val="center"/>
        <w:rPr>
          <w:rFonts w:ascii="Arial" w:hAnsi="Arial" w:cs="Arial"/>
          <w:bCs/>
        </w:rPr>
      </w:pPr>
      <w:r w:rsidRPr="00AF261F">
        <w:rPr>
          <w:rFonts w:ascii="Arial" w:hAnsi="Arial" w:cs="Arial"/>
          <w:bCs/>
        </w:rPr>
        <w:br w:type="page"/>
      </w:r>
      <w:r w:rsidR="004674D2" w:rsidRPr="00AF261F">
        <w:rPr>
          <w:rFonts w:ascii="Arial" w:hAnsi="Arial" w:cs="Arial"/>
          <w:bCs/>
        </w:rPr>
        <w:lastRenderedPageBreak/>
        <w:t xml:space="preserve">Annex to the Order </w:t>
      </w:r>
      <w:r w:rsidR="00FB5296" w:rsidRPr="00AF261F">
        <w:rPr>
          <w:rFonts w:ascii="Arial" w:hAnsi="Arial" w:cs="Arial"/>
          <w:bCs/>
        </w:rPr>
        <w:t>N348-N</w:t>
      </w:r>
    </w:p>
    <w:p w:rsidR="004674D2" w:rsidRPr="00AF261F" w:rsidRDefault="00FB5296" w:rsidP="00791BED">
      <w:pPr>
        <w:ind w:left="5103"/>
        <w:jc w:val="center"/>
        <w:rPr>
          <w:rFonts w:ascii="Arial" w:hAnsi="Arial" w:cs="Arial"/>
          <w:bCs/>
        </w:rPr>
      </w:pPr>
      <w:r w:rsidRPr="00AF261F">
        <w:rPr>
          <w:rFonts w:ascii="Arial" w:hAnsi="Arial" w:cs="Arial"/>
          <w:bCs/>
        </w:rPr>
        <w:t>o</w:t>
      </w:r>
      <w:r w:rsidR="004674D2" w:rsidRPr="00AF261F">
        <w:rPr>
          <w:rFonts w:ascii="Arial" w:hAnsi="Arial" w:cs="Arial"/>
          <w:bCs/>
        </w:rPr>
        <w:t xml:space="preserve">f the RA Minister of Finance  </w:t>
      </w:r>
    </w:p>
    <w:p w:rsidR="00224517" w:rsidRPr="00AF261F" w:rsidRDefault="00FB5296" w:rsidP="00791BED">
      <w:pPr>
        <w:ind w:left="5103"/>
        <w:jc w:val="center"/>
        <w:rPr>
          <w:rFonts w:ascii="Arial" w:hAnsi="Arial" w:cs="Arial"/>
          <w:sz w:val="24"/>
        </w:rPr>
      </w:pPr>
      <w:r w:rsidRPr="00AF261F">
        <w:rPr>
          <w:rFonts w:ascii="Arial" w:hAnsi="Arial" w:cs="Arial"/>
          <w:bCs/>
        </w:rPr>
        <w:t>o</w:t>
      </w:r>
      <w:r w:rsidR="004674D2" w:rsidRPr="00AF261F">
        <w:rPr>
          <w:rFonts w:ascii="Arial" w:hAnsi="Arial" w:cs="Arial"/>
          <w:bCs/>
        </w:rPr>
        <w:t xml:space="preserve">f </w:t>
      </w:r>
      <w:r w:rsidRPr="00AF261F">
        <w:rPr>
          <w:rFonts w:ascii="Arial" w:hAnsi="Arial" w:cs="Arial"/>
          <w:bCs/>
        </w:rPr>
        <w:t xml:space="preserve">July 13, </w:t>
      </w:r>
      <w:r w:rsidR="004674D2" w:rsidRPr="00AF261F">
        <w:rPr>
          <w:rFonts w:ascii="Arial" w:hAnsi="Arial" w:cs="Arial"/>
          <w:bCs/>
        </w:rPr>
        <w:t>201</w:t>
      </w:r>
      <w:r w:rsidRPr="00AF261F">
        <w:rPr>
          <w:rFonts w:ascii="Arial" w:hAnsi="Arial" w:cs="Arial"/>
          <w:bCs/>
        </w:rPr>
        <w:t>7</w:t>
      </w:r>
      <w:r w:rsidR="004674D2" w:rsidRPr="00AF261F">
        <w:rPr>
          <w:rFonts w:ascii="Arial" w:hAnsi="Arial" w:cs="Arial"/>
          <w:bCs/>
        </w:rPr>
        <w:t xml:space="preserve"> </w:t>
      </w:r>
    </w:p>
    <w:p w:rsidR="00224517" w:rsidRPr="00AF261F" w:rsidRDefault="00224517" w:rsidP="00224517">
      <w:pPr>
        <w:jc w:val="center"/>
        <w:rPr>
          <w:rFonts w:ascii="Arial" w:hAnsi="Arial" w:cs="Arial"/>
          <w:sz w:val="24"/>
        </w:rPr>
      </w:pPr>
    </w:p>
    <w:p w:rsidR="00224517" w:rsidRPr="00AF261F" w:rsidRDefault="004674D2" w:rsidP="007B7B98">
      <w:pPr>
        <w:spacing w:line="360" w:lineRule="auto"/>
        <w:jc w:val="center"/>
        <w:rPr>
          <w:rFonts w:ascii="Arial" w:hAnsi="Arial" w:cs="Arial"/>
          <w:sz w:val="24"/>
        </w:rPr>
      </w:pPr>
      <w:r w:rsidRPr="00AF261F">
        <w:rPr>
          <w:rFonts w:ascii="Arial" w:hAnsi="Arial" w:cs="Arial"/>
          <w:sz w:val="24"/>
        </w:rPr>
        <w:t xml:space="preserve">PROCEDURE </w:t>
      </w:r>
    </w:p>
    <w:p w:rsidR="00224517" w:rsidRPr="00AF261F" w:rsidRDefault="007B7B98" w:rsidP="007B7B98">
      <w:pPr>
        <w:spacing w:line="360" w:lineRule="auto"/>
        <w:jc w:val="center"/>
        <w:rPr>
          <w:rFonts w:ascii="Arial" w:hAnsi="Arial" w:cs="Arial"/>
          <w:sz w:val="24"/>
        </w:rPr>
      </w:pPr>
      <w:r w:rsidRPr="00AF261F">
        <w:rPr>
          <w:rFonts w:ascii="Arial" w:hAnsi="Arial" w:cs="Arial"/>
        </w:rPr>
        <w:t xml:space="preserve">FOR EVALUATION OF THE BEHAVIOR </w:t>
      </w:r>
      <w:r w:rsidR="004674D2" w:rsidRPr="00AF261F">
        <w:rPr>
          <w:rFonts w:ascii="Arial" w:hAnsi="Arial" w:cs="Arial"/>
        </w:rPr>
        <w:t>AND SELECTION OF STATE TREASURY BONDS PRIMARY MARET PARTICIPANTS OF THE REPUBLIC OF ARMENIA</w:t>
      </w:r>
      <w:r w:rsidR="001200C6" w:rsidRPr="00AF261F">
        <w:rPr>
          <w:rFonts w:ascii="Arial" w:hAnsi="Arial" w:cs="Arial"/>
          <w:sz w:val="24"/>
        </w:rPr>
        <w:t xml:space="preserve"> </w:t>
      </w:r>
    </w:p>
    <w:p w:rsidR="00224517" w:rsidRPr="00AF261F" w:rsidRDefault="00224517" w:rsidP="007B7B98">
      <w:pPr>
        <w:spacing w:line="360" w:lineRule="auto"/>
        <w:jc w:val="center"/>
        <w:rPr>
          <w:rFonts w:ascii="Arial" w:hAnsi="Arial" w:cs="Arial"/>
          <w:sz w:val="24"/>
        </w:rPr>
      </w:pPr>
    </w:p>
    <w:p w:rsidR="00224517" w:rsidRPr="00AF261F" w:rsidRDefault="000A423C" w:rsidP="007B7B98">
      <w:pPr>
        <w:pStyle w:val="ListParagraph"/>
        <w:numPr>
          <w:ilvl w:val="0"/>
          <w:numId w:val="6"/>
        </w:numPr>
        <w:spacing w:line="360" w:lineRule="auto"/>
        <w:jc w:val="center"/>
        <w:rPr>
          <w:rFonts w:ascii="Arial" w:hAnsi="Arial" w:cs="Arial"/>
          <w:sz w:val="24"/>
        </w:rPr>
      </w:pPr>
      <w:r w:rsidRPr="00AF261F">
        <w:rPr>
          <w:rFonts w:ascii="Arial" w:hAnsi="Arial" w:cs="Arial"/>
          <w:sz w:val="24"/>
        </w:rPr>
        <w:t>GENERAL PROVISIONS</w:t>
      </w:r>
      <w:r w:rsidR="000C0854" w:rsidRPr="00AF261F">
        <w:rPr>
          <w:rFonts w:ascii="Arial" w:hAnsi="Arial" w:cs="Arial"/>
          <w:sz w:val="24"/>
        </w:rPr>
        <w:t xml:space="preserve"> AND </w:t>
      </w:r>
      <w:r w:rsidR="006B6E64" w:rsidRPr="00AF261F">
        <w:rPr>
          <w:rFonts w:ascii="Arial" w:hAnsi="Arial" w:cs="Arial"/>
          <w:sz w:val="24"/>
        </w:rPr>
        <w:t>DEFINITIONS</w:t>
      </w:r>
    </w:p>
    <w:p w:rsidR="007B7B98" w:rsidRPr="00AF261F" w:rsidRDefault="000A423C" w:rsidP="007B7B98">
      <w:pPr>
        <w:numPr>
          <w:ilvl w:val="0"/>
          <w:numId w:val="1"/>
        </w:numPr>
        <w:tabs>
          <w:tab w:val="clear" w:pos="360"/>
          <w:tab w:val="num" w:pos="284"/>
        </w:tabs>
        <w:spacing w:line="360" w:lineRule="auto"/>
        <w:ind w:left="0" w:firstLine="0"/>
        <w:jc w:val="both"/>
        <w:rPr>
          <w:rFonts w:asciiTheme="minorHAnsi" w:hAnsiTheme="minorHAnsi"/>
          <w:spacing w:val="-8"/>
          <w:szCs w:val="22"/>
        </w:rPr>
      </w:pPr>
      <w:r w:rsidRPr="00AF261F">
        <w:rPr>
          <w:rFonts w:ascii="Arial" w:hAnsi="Arial" w:cs="Arial"/>
          <w:sz w:val="24"/>
        </w:rPr>
        <w:t xml:space="preserve">The current </w:t>
      </w:r>
      <w:r w:rsidR="00FA2C88" w:rsidRPr="00AF261F">
        <w:rPr>
          <w:rFonts w:ascii="Arial" w:hAnsi="Arial" w:cs="Arial"/>
          <w:sz w:val="24"/>
        </w:rPr>
        <w:t>P</w:t>
      </w:r>
      <w:r w:rsidRPr="00AF261F">
        <w:rPr>
          <w:rFonts w:ascii="Arial" w:hAnsi="Arial" w:cs="Arial"/>
          <w:sz w:val="24"/>
        </w:rPr>
        <w:t xml:space="preserve">rocedure defines rules for </w:t>
      </w:r>
      <w:r w:rsidR="007B7B98" w:rsidRPr="00AF261F">
        <w:rPr>
          <w:rFonts w:ascii="Arial" w:hAnsi="Arial" w:cs="Arial"/>
          <w:sz w:val="24"/>
        </w:rPr>
        <w:t>evaluation of the behavior</w:t>
      </w:r>
      <w:r w:rsidRPr="00AF261F">
        <w:rPr>
          <w:rFonts w:ascii="Arial" w:hAnsi="Arial" w:cs="Arial"/>
          <w:sz w:val="24"/>
        </w:rPr>
        <w:t xml:space="preserve"> and selection of </w:t>
      </w:r>
      <w:r w:rsidR="00060E79" w:rsidRPr="00AF261F">
        <w:rPr>
          <w:rFonts w:ascii="Arial" w:hAnsi="Arial" w:cs="Arial"/>
          <w:sz w:val="24"/>
        </w:rPr>
        <w:t>participants</w:t>
      </w:r>
      <w:r w:rsidRPr="00AF261F">
        <w:rPr>
          <w:rFonts w:ascii="Arial" w:hAnsi="Arial" w:cs="Arial"/>
          <w:sz w:val="24"/>
        </w:rPr>
        <w:t xml:space="preserve"> of state treasury bills, medium-term bonds and long-term coupon</w:t>
      </w:r>
      <w:r w:rsidRPr="00AF261F">
        <w:rPr>
          <w:rFonts w:ascii="Arial" w:hAnsi="Arial" w:cs="Arial"/>
          <w:sz w:val="24"/>
          <w:szCs w:val="24"/>
        </w:rPr>
        <w:t xml:space="preserve"> bonds primary market of the Republic of Armenia.</w:t>
      </w:r>
    </w:p>
    <w:p w:rsidR="007B7B98" w:rsidRPr="00AF261F" w:rsidRDefault="007B7B98" w:rsidP="007B7B98">
      <w:pPr>
        <w:numPr>
          <w:ilvl w:val="0"/>
          <w:numId w:val="1"/>
        </w:numPr>
        <w:tabs>
          <w:tab w:val="clear" w:pos="360"/>
          <w:tab w:val="num" w:pos="284"/>
        </w:tabs>
        <w:spacing w:line="360" w:lineRule="auto"/>
        <w:ind w:left="0" w:firstLine="0"/>
        <w:jc w:val="both"/>
        <w:rPr>
          <w:rFonts w:ascii="Arial" w:hAnsi="Arial" w:cs="Arial"/>
          <w:sz w:val="24"/>
        </w:rPr>
      </w:pPr>
      <w:r w:rsidRPr="00AF261F">
        <w:rPr>
          <w:rFonts w:ascii="Arial" w:hAnsi="Arial" w:cs="Arial"/>
          <w:sz w:val="24"/>
        </w:rPr>
        <w:t xml:space="preserve">The definitions used in this </w:t>
      </w:r>
      <w:r w:rsidR="00FA2C88" w:rsidRPr="00AF261F">
        <w:rPr>
          <w:rFonts w:ascii="Arial" w:hAnsi="Arial" w:cs="Arial"/>
          <w:sz w:val="24"/>
        </w:rPr>
        <w:t>P</w:t>
      </w:r>
      <w:r w:rsidRPr="00AF261F">
        <w:rPr>
          <w:rFonts w:ascii="Arial" w:hAnsi="Arial" w:cs="Arial"/>
          <w:sz w:val="24"/>
        </w:rPr>
        <w:t>rocedure are as follows:</w:t>
      </w:r>
    </w:p>
    <w:p w:rsidR="007B7B98" w:rsidRPr="00AF261F" w:rsidRDefault="00FA2C88" w:rsidP="007B7B98">
      <w:pPr>
        <w:numPr>
          <w:ilvl w:val="0"/>
          <w:numId w:val="9"/>
        </w:numPr>
        <w:spacing w:line="360" w:lineRule="auto"/>
        <w:jc w:val="both"/>
        <w:rPr>
          <w:rFonts w:ascii="Arial" w:hAnsi="Arial" w:cs="Arial"/>
          <w:sz w:val="24"/>
        </w:rPr>
      </w:pPr>
      <w:r w:rsidRPr="00AF261F">
        <w:rPr>
          <w:rFonts w:ascii="Arial" w:hAnsi="Arial" w:cs="Arial"/>
          <w:sz w:val="24"/>
        </w:rPr>
        <w:t>I</w:t>
      </w:r>
      <w:r w:rsidR="007B7B98" w:rsidRPr="00AF261F">
        <w:rPr>
          <w:rFonts w:ascii="Arial" w:hAnsi="Arial" w:cs="Arial"/>
          <w:sz w:val="24"/>
        </w:rPr>
        <w:t>ssuer: the Ministry of Finance of the Republic of Armenia;</w:t>
      </w:r>
    </w:p>
    <w:p w:rsidR="007B7B98" w:rsidRPr="00AF261F" w:rsidRDefault="007B7B98" w:rsidP="007B7B98">
      <w:pPr>
        <w:numPr>
          <w:ilvl w:val="0"/>
          <w:numId w:val="9"/>
        </w:numPr>
        <w:spacing w:line="360" w:lineRule="auto"/>
        <w:jc w:val="both"/>
        <w:rPr>
          <w:rFonts w:ascii="Arial" w:hAnsi="Arial" w:cs="Arial"/>
          <w:sz w:val="24"/>
        </w:rPr>
      </w:pPr>
      <w:r w:rsidRPr="00AF261F">
        <w:rPr>
          <w:rFonts w:ascii="Arial" w:hAnsi="Arial" w:cs="Arial"/>
          <w:sz w:val="24"/>
        </w:rPr>
        <w:t>bond: the government treasury short-term bill, medium-term and long-term coupon bond;</w:t>
      </w:r>
    </w:p>
    <w:p w:rsidR="007B7B98" w:rsidRPr="00AF261F" w:rsidRDefault="007B7B98" w:rsidP="007B7B98">
      <w:pPr>
        <w:numPr>
          <w:ilvl w:val="0"/>
          <w:numId w:val="9"/>
        </w:numPr>
        <w:spacing w:line="360" w:lineRule="auto"/>
        <w:jc w:val="both"/>
        <w:rPr>
          <w:rFonts w:ascii="Arial" w:hAnsi="Arial" w:cs="Arial"/>
          <w:sz w:val="24"/>
        </w:rPr>
      </w:pPr>
      <w:r w:rsidRPr="00AF261F">
        <w:rPr>
          <w:rFonts w:ascii="Arial" w:hAnsi="Arial" w:cs="Arial"/>
          <w:sz w:val="24"/>
        </w:rPr>
        <w:t xml:space="preserve">primary market participant (hereinafter </w:t>
      </w:r>
      <w:r w:rsidR="00962642" w:rsidRPr="00AF261F">
        <w:rPr>
          <w:rFonts w:ascii="Arial" w:hAnsi="Arial" w:cs="Arial"/>
          <w:sz w:val="24"/>
        </w:rPr>
        <w:t>Agent</w:t>
      </w:r>
      <w:r w:rsidRPr="00AF261F">
        <w:rPr>
          <w:rFonts w:ascii="Arial" w:hAnsi="Arial" w:cs="Arial"/>
          <w:sz w:val="24"/>
        </w:rPr>
        <w:t>)</w:t>
      </w:r>
      <w:r w:rsidR="00726E72" w:rsidRPr="00AF261F">
        <w:rPr>
          <w:rFonts w:ascii="Arial" w:hAnsi="Arial" w:cs="Arial"/>
          <w:sz w:val="24"/>
        </w:rPr>
        <w:t xml:space="preserve">: a person providing investment services defined by the legislation of the Republic of Armenia, which has signed a contract with the </w:t>
      </w:r>
      <w:r w:rsidR="00FA2C88" w:rsidRPr="00AF261F">
        <w:rPr>
          <w:rFonts w:ascii="Arial" w:hAnsi="Arial" w:cs="Arial"/>
          <w:sz w:val="24"/>
        </w:rPr>
        <w:t>I</w:t>
      </w:r>
      <w:r w:rsidR="00726E72" w:rsidRPr="00AF261F">
        <w:rPr>
          <w:rFonts w:ascii="Arial" w:hAnsi="Arial" w:cs="Arial"/>
          <w:sz w:val="24"/>
        </w:rPr>
        <w:t>ssuer about the implementation of the agent functions in the bonds market;</w:t>
      </w:r>
    </w:p>
    <w:p w:rsidR="00726E72" w:rsidRPr="00AF261F" w:rsidRDefault="00726E72" w:rsidP="007B7B98">
      <w:pPr>
        <w:numPr>
          <w:ilvl w:val="0"/>
          <w:numId w:val="9"/>
        </w:numPr>
        <w:spacing w:line="360" w:lineRule="auto"/>
        <w:jc w:val="both"/>
        <w:rPr>
          <w:rFonts w:ascii="Arial" w:hAnsi="Arial" w:cs="Arial"/>
          <w:sz w:val="24"/>
        </w:rPr>
      </w:pPr>
      <w:r w:rsidRPr="00AF261F">
        <w:rPr>
          <w:rFonts w:ascii="Arial" w:hAnsi="Arial" w:cs="Arial"/>
          <w:sz w:val="24"/>
        </w:rPr>
        <w:t xml:space="preserve">potential participant: bonds market participant, which is not an </w:t>
      </w:r>
      <w:r w:rsidR="00962642" w:rsidRPr="00AF261F">
        <w:rPr>
          <w:rFonts w:ascii="Arial" w:hAnsi="Arial" w:cs="Arial"/>
          <w:sz w:val="24"/>
        </w:rPr>
        <w:t>Agent</w:t>
      </w:r>
      <w:r w:rsidRPr="00AF261F">
        <w:rPr>
          <w:rFonts w:ascii="Arial" w:hAnsi="Arial" w:cs="Arial"/>
          <w:sz w:val="24"/>
        </w:rPr>
        <w:t xml:space="preserve">. </w:t>
      </w:r>
    </w:p>
    <w:p w:rsidR="008C791A" w:rsidRPr="00AF261F" w:rsidRDefault="00726E72" w:rsidP="007B7B98">
      <w:pPr>
        <w:numPr>
          <w:ilvl w:val="0"/>
          <w:numId w:val="1"/>
        </w:numPr>
        <w:tabs>
          <w:tab w:val="clear" w:pos="360"/>
          <w:tab w:val="num" w:pos="284"/>
        </w:tabs>
        <w:spacing w:line="360" w:lineRule="auto"/>
        <w:ind w:left="0" w:firstLine="0"/>
        <w:jc w:val="both"/>
        <w:rPr>
          <w:rFonts w:ascii="Arial" w:hAnsi="Arial" w:cs="Arial"/>
          <w:sz w:val="24"/>
        </w:rPr>
      </w:pPr>
      <w:r w:rsidRPr="00AF261F">
        <w:rPr>
          <w:rFonts w:ascii="Arial" w:hAnsi="Arial" w:cs="Arial"/>
          <w:sz w:val="24"/>
        </w:rPr>
        <w:t>Other</w:t>
      </w:r>
      <w:r w:rsidR="000A423C" w:rsidRPr="00AF261F">
        <w:rPr>
          <w:rFonts w:ascii="Arial" w:hAnsi="Arial" w:cs="Arial"/>
          <w:sz w:val="24"/>
        </w:rPr>
        <w:t xml:space="preserve"> definitions used in the current Procedure have the meaning used in legal acts regulating the state treasury bonds</w:t>
      </w:r>
      <w:r w:rsidRPr="00AF261F">
        <w:rPr>
          <w:rFonts w:ascii="Arial" w:hAnsi="Arial" w:cs="Arial"/>
          <w:sz w:val="24"/>
        </w:rPr>
        <w:t xml:space="preserve"> market</w:t>
      </w:r>
      <w:r w:rsidR="000A423C" w:rsidRPr="00AF261F">
        <w:rPr>
          <w:rFonts w:ascii="Arial" w:hAnsi="Arial" w:cs="Arial"/>
          <w:sz w:val="24"/>
        </w:rPr>
        <w:t>.</w:t>
      </w:r>
    </w:p>
    <w:p w:rsidR="00726E72" w:rsidRPr="00AF261F" w:rsidRDefault="00726E72" w:rsidP="007B7B98">
      <w:pPr>
        <w:numPr>
          <w:ilvl w:val="0"/>
          <w:numId w:val="1"/>
        </w:numPr>
        <w:tabs>
          <w:tab w:val="clear" w:pos="360"/>
          <w:tab w:val="num" w:pos="284"/>
        </w:tabs>
        <w:spacing w:line="360" w:lineRule="auto"/>
        <w:ind w:left="0" w:firstLine="0"/>
        <w:jc w:val="both"/>
        <w:rPr>
          <w:rFonts w:ascii="Arial" w:hAnsi="Arial" w:cs="Arial"/>
          <w:sz w:val="24"/>
        </w:rPr>
      </w:pPr>
      <w:r w:rsidRPr="00AF261F">
        <w:rPr>
          <w:rFonts w:ascii="Arial" w:hAnsi="Arial" w:cs="Arial"/>
          <w:sz w:val="24"/>
        </w:rPr>
        <w:t xml:space="preserve">The number of </w:t>
      </w:r>
      <w:r w:rsidR="00962642" w:rsidRPr="00AF261F">
        <w:rPr>
          <w:rFonts w:ascii="Arial" w:hAnsi="Arial" w:cs="Arial"/>
          <w:sz w:val="24"/>
        </w:rPr>
        <w:t>Agent</w:t>
      </w:r>
      <w:r w:rsidRPr="00AF261F">
        <w:rPr>
          <w:rFonts w:ascii="Arial" w:hAnsi="Arial" w:cs="Arial"/>
          <w:sz w:val="24"/>
        </w:rPr>
        <w:t>s shall be limited; minimum number shall be five, maximum number is seven.</w:t>
      </w:r>
    </w:p>
    <w:p w:rsidR="008C791A" w:rsidRPr="00AF261F" w:rsidRDefault="000A423C" w:rsidP="007B7B98">
      <w:pPr>
        <w:numPr>
          <w:ilvl w:val="0"/>
          <w:numId w:val="1"/>
        </w:numPr>
        <w:tabs>
          <w:tab w:val="clear" w:pos="360"/>
          <w:tab w:val="num" w:pos="284"/>
        </w:tabs>
        <w:spacing w:line="360" w:lineRule="auto"/>
        <w:ind w:left="0" w:firstLine="0"/>
        <w:jc w:val="both"/>
        <w:rPr>
          <w:rFonts w:ascii="Arial" w:hAnsi="Arial" w:cs="Arial"/>
          <w:sz w:val="24"/>
        </w:rPr>
      </w:pPr>
      <w:r w:rsidRPr="00AF261F">
        <w:rPr>
          <w:rFonts w:ascii="Arial" w:hAnsi="Arial" w:cs="Arial"/>
          <w:sz w:val="24"/>
        </w:rPr>
        <w:t xml:space="preserve">The Issuer </w:t>
      </w:r>
      <w:r w:rsidR="00271ABA" w:rsidRPr="00AF261F">
        <w:rPr>
          <w:rFonts w:ascii="Arial" w:hAnsi="Arial" w:cs="Arial"/>
          <w:sz w:val="24"/>
        </w:rPr>
        <w:t xml:space="preserve">selects </w:t>
      </w:r>
      <w:r w:rsidR="00295C97" w:rsidRPr="00AF261F">
        <w:rPr>
          <w:rFonts w:ascii="Arial" w:hAnsi="Arial" w:cs="Arial"/>
          <w:sz w:val="24"/>
        </w:rPr>
        <w:t xml:space="preserve">new </w:t>
      </w:r>
      <w:r w:rsidR="00962642" w:rsidRPr="00AF261F">
        <w:rPr>
          <w:rFonts w:ascii="Arial" w:hAnsi="Arial" w:cs="Arial"/>
          <w:sz w:val="24"/>
        </w:rPr>
        <w:t>Agent</w:t>
      </w:r>
      <w:r w:rsidR="00295C97" w:rsidRPr="00AF261F">
        <w:rPr>
          <w:rFonts w:ascii="Arial" w:hAnsi="Arial" w:cs="Arial"/>
          <w:sz w:val="24"/>
        </w:rPr>
        <w:t>s</w:t>
      </w:r>
      <w:r w:rsidR="00F3662B" w:rsidRPr="00AF261F">
        <w:rPr>
          <w:rFonts w:ascii="Arial" w:hAnsi="Arial" w:cs="Arial"/>
          <w:sz w:val="24"/>
        </w:rPr>
        <w:t xml:space="preserve"> </w:t>
      </w:r>
      <w:r w:rsidR="00271ABA" w:rsidRPr="00AF261F">
        <w:rPr>
          <w:rFonts w:ascii="Arial" w:hAnsi="Arial" w:cs="Arial"/>
          <w:sz w:val="24"/>
        </w:rPr>
        <w:t xml:space="preserve">based on </w:t>
      </w:r>
      <w:r w:rsidR="00295C97" w:rsidRPr="00AF261F">
        <w:rPr>
          <w:rFonts w:ascii="Arial" w:hAnsi="Arial" w:cs="Arial"/>
          <w:sz w:val="24"/>
        </w:rPr>
        <w:t xml:space="preserve">the evaluation of the behavior of </w:t>
      </w:r>
      <w:r w:rsidR="00962642" w:rsidRPr="00AF261F">
        <w:rPr>
          <w:rFonts w:ascii="Arial" w:hAnsi="Arial" w:cs="Arial"/>
          <w:sz w:val="24"/>
        </w:rPr>
        <w:t>Agent</w:t>
      </w:r>
      <w:r w:rsidR="00295C97" w:rsidRPr="00AF261F">
        <w:rPr>
          <w:rFonts w:ascii="Arial" w:hAnsi="Arial" w:cs="Arial"/>
          <w:sz w:val="24"/>
        </w:rPr>
        <w:t>s and potential participants.</w:t>
      </w:r>
    </w:p>
    <w:p w:rsidR="00295C97" w:rsidRPr="00AF261F" w:rsidRDefault="00295C97" w:rsidP="007B7B98">
      <w:pPr>
        <w:numPr>
          <w:ilvl w:val="0"/>
          <w:numId w:val="1"/>
        </w:numPr>
        <w:tabs>
          <w:tab w:val="clear" w:pos="360"/>
          <w:tab w:val="num" w:pos="284"/>
        </w:tabs>
        <w:spacing w:line="360" w:lineRule="auto"/>
        <w:ind w:left="0" w:firstLine="0"/>
        <w:jc w:val="both"/>
        <w:rPr>
          <w:rFonts w:ascii="Arial" w:hAnsi="Arial" w:cs="Arial"/>
          <w:sz w:val="24"/>
        </w:rPr>
      </w:pPr>
      <w:r w:rsidRPr="00AF261F">
        <w:rPr>
          <w:rFonts w:ascii="Arial" w:hAnsi="Arial" w:cs="Arial"/>
          <w:sz w:val="24"/>
        </w:rPr>
        <w:t xml:space="preserve">The Issuer, on the second last Thursday of each month, shall organize a meeting with the </w:t>
      </w:r>
      <w:r w:rsidR="00962642" w:rsidRPr="00AF261F">
        <w:rPr>
          <w:rFonts w:ascii="Arial" w:hAnsi="Arial" w:cs="Arial"/>
          <w:sz w:val="24"/>
        </w:rPr>
        <w:t>Agent</w:t>
      </w:r>
      <w:r w:rsidRPr="00AF261F">
        <w:rPr>
          <w:rFonts w:ascii="Arial" w:hAnsi="Arial" w:cs="Arial"/>
          <w:sz w:val="24"/>
        </w:rPr>
        <w:t xml:space="preserve">s to discuss the upcoming programs in bond market. Extra-ordinary meetings can be called upon his or </w:t>
      </w:r>
      <w:r w:rsidR="00962642" w:rsidRPr="00AF261F">
        <w:rPr>
          <w:rFonts w:ascii="Arial" w:hAnsi="Arial" w:cs="Arial"/>
          <w:sz w:val="24"/>
        </w:rPr>
        <w:t>Agent</w:t>
      </w:r>
      <w:r w:rsidRPr="00AF261F">
        <w:rPr>
          <w:rFonts w:ascii="Arial" w:hAnsi="Arial" w:cs="Arial"/>
          <w:sz w:val="24"/>
        </w:rPr>
        <w:t>s' initiative.</w:t>
      </w:r>
    </w:p>
    <w:p w:rsidR="00F749CB" w:rsidRPr="00AF261F" w:rsidRDefault="00F749CB" w:rsidP="00F749CB">
      <w:pPr>
        <w:spacing w:line="360" w:lineRule="auto"/>
        <w:jc w:val="both"/>
        <w:rPr>
          <w:rFonts w:ascii="Arial" w:hAnsi="Arial" w:cs="Arial"/>
          <w:sz w:val="24"/>
        </w:rPr>
      </w:pPr>
    </w:p>
    <w:p w:rsidR="00F749CB" w:rsidRPr="00AF261F" w:rsidRDefault="00F749CB" w:rsidP="00F749CB">
      <w:pPr>
        <w:pStyle w:val="ListParagraph"/>
        <w:numPr>
          <w:ilvl w:val="0"/>
          <w:numId w:val="6"/>
        </w:numPr>
        <w:spacing w:line="360" w:lineRule="auto"/>
        <w:jc w:val="center"/>
        <w:rPr>
          <w:rFonts w:ascii="Arial" w:hAnsi="Arial" w:cs="Arial"/>
          <w:sz w:val="24"/>
        </w:rPr>
      </w:pPr>
      <w:r w:rsidRPr="00AF261F">
        <w:rPr>
          <w:rFonts w:ascii="Arial" w:hAnsi="Arial" w:cs="Arial"/>
          <w:sz w:val="24"/>
        </w:rPr>
        <w:t xml:space="preserve">MINIMUM REQUIREMENTS FOR </w:t>
      </w:r>
      <w:r w:rsidR="00962642" w:rsidRPr="00AF261F">
        <w:rPr>
          <w:rFonts w:ascii="Arial" w:hAnsi="Arial" w:cs="Arial"/>
          <w:sz w:val="24"/>
        </w:rPr>
        <w:t>AGENT</w:t>
      </w:r>
      <w:r w:rsidRPr="00AF261F">
        <w:rPr>
          <w:rFonts w:ascii="Arial" w:hAnsi="Arial" w:cs="Arial"/>
          <w:sz w:val="24"/>
        </w:rPr>
        <w:t>S AND POTENTIAL PARTICIPANTS</w:t>
      </w:r>
    </w:p>
    <w:p w:rsidR="00F749CB" w:rsidRPr="00AF261F" w:rsidRDefault="00F749CB" w:rsidP="007B7B98">
      <w:pPr>
        <w:numPr>
          <w:ilvl w:val="0"/>
          <w:numId w:val="1"/>
        </w:numPr>
        <w:tabs>
          <w:tab w:val="clear" w:pos="360"/>
          <w:tab w:val="num" w:pos="284"/>
        </w:tabs>
        <w:spacing w:line="360" w:lineRule="auto"/>
        <w:ind w:left="0" w:firstLine="0"/>
        <w:jc w:val="both"/>
        <w:rPr>
          <w:rFonts w:ascii="Arial" w:hAnsi="Arial" w:cs="Arial"/>
          <w:sz w:val="24"/>
        </w:rPr>
      </w:pPr>
      <w:r w:rsidRPr="00AF261F">
        <w:rPr>
          <w:rFonts w:ascii="Arial" w:hAnsi="Arial" w:cs="Arial"/>
          <w:sz w:val="24"/>
        </w:rPr>
        <w:t xml:space="preserve">The </w:t>
      </w:r>
      <w:r w:rsidR="00962642" w:rsidRPr="00AF261F">
        <w:rPr>
          <w:rFonts w:ascii="Arial" w:hAnsi="Arial" w:cs="Arial"/>
          <w:sz w:val="24"/>
        </w:rPr>
        <w:t>Agent</w:t>
      </w:r>
      <w:r w:rsidRPr="00AF261F">
        <w:rPr>
          <w:rFonts w:ascii="Arial" w:hAnsi="Arial" w:cs="Arial"/>
          <w:sz w:val="24"/>
        </w:rPr>
        <w:t xml:space="preserve"> shall:</w:t>
      </w:r>
    </w:p>
    <w:p w:rsidR="00F017D1" w:rsidRPr="00AF261F" w:rsidRDefault="00F017D1" w:rsidP="00F017D1">
      <w:pPr>
        <w:spacing w:line="360" w:lineRule="auto"/>
        <w:jc w:val="both"/>
        <w:rPr>
          <w:rFonts w:ascii="Arial" w:hAnsi="Arial" w:cs="Arial"/>
          <w:sz w:val="24"/>
        </w:rPr>
      </w:pPr>
      <w:r w:rsidRPr="00AF261F">
        <w:rPr>
          <w:rFonts w:ascii="Arial" w:hAnsi="Arial" w:cs="Arial"/>
          <w:sz w:val="24"/>
        </w:rPr>
        <w:t>1) act as sub-custodian</w:t>
      </w:r>
      <w:r w:rsidR="00876A9F" w:rsidRPr="00AF261F">
        <w:rPr>
          <w:rFonts w:ascii="Arial" w:hAnsi="Arial" w:cs="Arial"/>
          <w:sz w:val="24"/>
        </w:rPr>
        <w:t>;</w:t>
      </w:r>
      <w:r w:rsidRPr="00AF261F">
        <w:rPr>
          <w:rFonts w:ascii="Arial" w:hAnsi="Arial" w:cs="Arial"/>
          <w:sz w:val="24"/>
        </w:rPr>
        <w:t xml:space="preserve"> </w:t>
      </w:r>
    </w:p>
    <w:p w:rsidR="00F017D1" w:rsidRPr="00AF261F" w:rsidRDefault="00F017D1" w:rsidP="00F017D1">
      <w:pPr>
        <w:spacing w:line="360" w:lineRule="auto"/>
        <w:jc w:val="both"/>
        <w:rPr>
          <w:rFonts w:ascii="Arial" w:hAnsi="Arial" w:cs="Arial"/>
          <w:sz w:val="24"/>
        </w:rPr>
      </w:pPr>
      <w:r w:rsidRPr="00AF261F">
        <w:rPr>
          <w:rFonts w:ascii="Arial" w:hAnsi="Arial" w:cs="Arial"/>
          <w:sz w:val="24"/>
        </w:rPr>
        <w:t>2) have the right to deliver services in security market foresee by sub-points 1, 2 and 4 of point 1 of article 25 and point 1 of article 26 of t</w:t>
      </w:r>
      <w:r w:rsidR="00876A9F" w:rsidRPr="00AF261F">
        <w:rPr>
          <w:rFonts w:ascii="Arial" w:hAnsi="Arial" w:cs="Arial"/>
          <w:sz w:val="24"/>
        </w:rPr>
        <w:t>he RA law “On security market”;</w:t>
      </w:r>
    </w:p>
    <w:p w:rsidR="00F017D1" w:rsidRPr="00AF261F" w:rsidRDefault="00F017D1" w:rsidP="00F017D1">
      <w:pPr>
        <w:spacing w:line="360" w:lineRule="auto"/>
        <w:jc w:val="both"/>
        <w:rPr>
          <w:rFonts w:ascii="Arial" w:hAnsi="Arial" w:cs="Arial"/>
          <w:sz w:val="24"/>
        </w:rPr>
      </w:pPr>
      <w:r w:rsidRPr="00AF261F">
        <w:rPr>
          <w:rFonts w:ascii="Arial" w:hAnsi="Arial" w:cs="Arial"/>
          <w:sz w:val="24"/>
        </w:rPr>
        <w:lastRenderedPageBreak/>
        <w:t>3) have a unit of experts operating in primary and secondary security markets, where the staff are qualified as security market experts in the order est</w:t>
      </w:r>
      <w:r w:rsidR="00876A9F" w:rsidRPr="00AF261F">
        <w:rPr>
          <w:rFonts w:ascii="Arial" w:hAnsi="Arial" w:cs="Arial"/>
          <w:sz w:val="24"/>
        </w:rPr>
        <w:t>ablished by the RA legislation;</w:t>
      </w:r>
    </w:p>
    <w:p w:rsidR="00F017D1" w:rsidRPr="00AF261F" w:rsidRDefault="00F017D1" w:rsidP="00F017D1">
      <w:pPr>
        <w:spacing w:line="360" w:lineRule="auto"/>
        <w:jc w:val="both"/>
        <w:rPr>
          <w:rFonts w:ascii="Arial" w:hAnsi="Arial" w:cs="Arial"/>
          <w:sz w:val="24"/>
        </w:rPr>
      </w:pPr>
      <w:r w:rsidRPr="00AF261F">
        <w:rPr>
          <w:rFonts w:ascii="Arial" w:hAnsi="Arial" w:cs="Arial"/>
          <w:sz w:val="24"/>
        </w:rPr>
        <w:t>4)  have internal control unit, performing also custodial activity control.</w:t>
      </w:r>
    </w:p>
    <w:p w:rsidR="00FA7256" w:rsidRPr="00AF261F" w:rsidRDefault="00FA7256" w:rsidP="00FA7256">
      <w:pPr>
        <w:numPr>
          <w:ilvl w:val="0"/>
          <w:numId w:val="1"/>
        </w:numPr>
        <w:tabs>
          <w:tab w:val="clear" w:pos="360"/>
          <w:tab w:val="num" w:pos="284"/>
        </w:tabs>
        <w:spacing w:line="360" w:lineRule="auto"/>
        <w:ind w:left="0" w:firstLine="0"/>
        <w:jc w:val="both"/>
        <w:rPr>
          <w:rFonts w:ascii="Arial" w:hAnsi="Arial" w:cs="Arial"/>
          <w:sz w:val="24"/>
        </w:rPr>
      </w:pPr>
      <w:r w:rsidRPr="00AF261F">
        <w:rPr>
          <w:rFonts w:ascii="Arial" w:hAnsi="Arial" w:cs="Arial"/>
          <w:sz w:val="24"/>
        </w:rPr>
        <w:t xml:space="preserve">The potential participant who wants to became an </w:t>
      </w:r>
      <w:r w:rsidR="00962642" w:rsidRPr="00AF261F">
        <w:rPr>
          <w:rFonts w:ascii="Arial" w:hAnsi="Arial" w:cs="Arial"/>
          <w:sz w:val="24"/>
        </w:rPr>
        <w:t>Agent</w:t>
      </w:r>
      <w:r w:rsidRPr="00AF261F">
        <w:rPr>
          <w:rFonts w:ascii="Arial" w:hAnsi="Arial" w:cs="Arial"/>
          <w:sz w:val="24"/>
        </w:rPr>
        <w:t xml:space="preserve"> shall develop and submit to the </w:t>
      </w:r>
      <w:r w:rsidR="00FA2C88" w:rsidRPr="00AF261F">
        <w:rPr>
          <w:rFonts w:ascii="Arial" w:hAnsi="Arial" w:cs="Arial"/>
          <w:sz w:val="24"/>
        </w:rPr>
        <w:t>I</w:t>
      </w:r>
      <w:r w:rsidRPr="00AF261F">
        <w:rPr>
          <w:rFonts w:ascii="Arial" w:hAnsi="Arial" w:cs="Arial"/>
          <w:sz w:val="24"/>
        </w:rPr>
        <w:t>ssuer an activity strategy, which should include:</w:t>
      </w:r>
    </w:p>
    <w:p w:rsidR="00FA7256" w:rsidRPr="00AF261F" w:rsidRDefault="00FA7256" w:rsidP="00FA7256">
      <w:pPr>
        <w:numPr>
          <w:ilvl w:val="0"/>
          <w:numId w:val="2"/>
        </w:numPr>
        <w:tabs>
          <w:tab w:val="clear" w:pos="2400"/>
          <w:tab w:val="num" w:pos="360"/>
        </w:tabs>
        <w:spacing w:line="360" w:lineRule="auto"/>
        <w:ind w:left="0" w:firstLine="0"/>
        <w:jc w:val="both"/>
        <w:rPr>
          <w:rFonts w:ascii="Arial" w:hAnsi="Arial" w:cs="Arial"/>
          <w:sz w:val="24"/>
        </w:rPr>
      </w:pPr>
      <w:r w:rsidRPr="00AF261F">
        <w:rPr>
          <w:rFonts w:ascii="Arial" w:hAnsi="Arial" w:cs="Arial"/>
          <w:sz w:val="24"/>
        </w:rPr>
        <w:t>activity plan for the next 2 years in the bond market based on the Government debt management strategy;</w:t>
      </w:r>
    </w:p>
    <w:p w:rsidR="00FA7256" w:rsidRPr="00AF261F" w:rsidRDefault="00FA7256" w:rsidP="00FA7256">
      <w:pPr>
        <w:numPr>
          <w:ilvl w:val="0"/>
          <w:numId w:val="2"/>
        </w:numPr>
        <w:tabs>
          <w:tab w:val="clear" w:pos="2400"/>
          <w:tab w:val="num" w:pos="360"/>
        </w:tabs>
        <w:spacing w:line="360" w:lineRule="auto"/>
        <w:ind w:left="0" w:firstLine="0"/>
        <w:jc w:val="both"/>
        <w:rPr>
          <w:rFonts w:ascii="Arial" w:hAnsi="Arial" w:cs="Arial"/>
          <w:sz w:val="24"/>
        </w:rPr>
      </w:pPr>
      <w:r w:rsidRPr="00AF261F">
        <w:rPr>
          <w:rFonts w:ascii="Arial" w:hAnsi="Arial" w:cs="Arial"/>
          <w:sz w:val="24"/>
        </w:rPr>
        <w:t>actual volume and structure of security portfolio, the desired volume and structure of portfolio for the coming two years;</w:t>
      </w:r>
    </w:p>
    <w:p w:rsidR="00FA7256" w:rsidRPr="00AF261F" w:rsidRDefault="00FA7256" w:rsidP="00FA7256">
      <w:pPr>
        <w:numPr>
          <w:ilvl w:val="0"/>
          <w:numId w:val="2"/>
        </w:numPr>
        <w:tabs>
          <w:tab w:val="clear" w:pos="2400"/>
          <w:tab w:val="num" w:pos="360"/>
        </w:tabs>
        <w:spacing w:line="360" w:lineRule="auto"/>
        <w:ind w:left="0" w:firstLine="0"/>
        <w:jc w:val="both"/>
        <w:rPr>
          <w:rFonts w:ascii="Arial" w:hAnsi="Arial" w:cs="Arial"/>
          <w:sz w:val="24"/>
        </w:rPr>
      </w:pPr>
      <w:r w:rsidRPr="00AF261F">
        <w:rPr>
          <w:rFonts w:ascii="Arial" w:hAnsi="Arial" w:cs="Arial"/>
          <w:sz w:val="24"/>
        </w:rPr>
        <w:t>availability of investors and policy for attracting new investors.</w:t>
      </w:r>
    </w:p>
    <w:p w:rsidR="00FA7256" w:rsidRPr="00AF261F" w:rsidRDefault="00FA7256" w:rsidP="00FA7256">
      <w:pPr>
        <w:spacing w:line="360" w:lineRule="auto"/>
        <w:jc w:val="both"/>
        <w:rPr>
          <w:rFonts w:ascii="Arial" w:hAnsi="Arial" w:cs="Arial"/>
          <w:sz w:val="24"/>
        </w:rPr>
      </w:pPr>
    </w:p>
    <w:p w:rsidR="00FA7256" w:rsidRPr="00AF261F" w:rsidRDefault="00140B95" w:rsidP="00FA7256">
      <w:pPr>
        <w:pStyle w:val="ListParagraph"/>
        <w:numPr>
          <w:ilvl w:val="0"/>
          <w:numId w:val="6"/>
        </w:numPr>
        <w:spacing w:line="360" w:lineRule="auto"/>
        <w:jc w:val="center"/>
        <w:rPr>
          <w:rFonts w:ascii="Arial" w:hAnsi="Arial" w:cs="Arial"/>
          <w:sz w:val="24"/>
        </w:rPr>
      </w:pPr>
      <w:r w:rsidRPr="00AF261F">
        <w:rPr>
          <w:rFonts w:ascii="Arial" w:hAnsi="Arial" w:cs="Arial"/>
          <w:sz w:val="24"/>
        </w:rPr>
        <w:t xml:space="preserve">EVALUATION OF THE BEHAVIOR OF </w:t>
      </w:r>
      <w:r w:rsidR="00962642" w:rsidRPr="00AF261F">
        <w:rPr>
          <w:rFonts w:ascii="Arial" w:hAnsi="Arial" w:cs="Arial"/>
          <w:sz w:val="24"/>
        </w:rPr>
        <w:t>AGENT</w:t>
      </w:r>
      <w:r w:rsidRPr="00AF261F">
        <w:rPr>
          <w:rFonts w:ascii="Arial" w:hAnsi="Arial" w:cs="Arial"/>
          <w:sz w:val="24"/>
        </w:rPr>
        <w:t>S AND POTENTIAL PARTICIPANTS</w:t>
      </w:r>
      <w:r w:rsidR="00FA7256" w:rsidRPr="00AF261F">
        <w:rPr>
          <w:rFonts w:ascii="Arial" w:hAnsi="Arial" w:cs="Arial"/>
          <w:sz w:val="24"/>
        </w:rPr>
        <w:t>S</w:t>
      </w:r>
    </w:p>
    <w:p w:rsidR="00FA7256" w:rsidRPr="00AF261F" w:rsidRDefault="00FA7256" w:rsidP="00FA7256">
      <w:pPr>
        <w:spacing w:line="360" w:lineRule="auto"/>
        <w:jc w:val="both"/>
        <w:rPr>
          <w:rFonts w:ascii="Arial" w:hAnsi="Arial" w:cs="Arial"/>
          <w:sz w:val="24"/>
        </w:rPr>
      </w:pPr>
    </w:p>
    <w:p w:rsidR="00140B95" w:rsidRPr="00AF261F" w:rsidRDefault="00140B95" w:rsidP="007B7B98">
      <w:pPr>
        <w:numPr>
          <w:ilvl w:val="0"/>
          <w:numId w:val="1"/>
        </w:numPr>
        <w:tabs>
          <w:tab w:val="clear" w:pos="360"/>
          <w:tab w:val="num" w:pos="284"/>
        </w:tabs>
        <w:spacing w:line="360" w:lineRule="auto"/>
        <w:ind w:left="0" w:firstLine="0"/>
        <w:jc w:val="both"/>
        <w:rPr>
          <w:rFonts w:ascii="Arial" w:hAnsi="Arial" w:cs="Arial"/>
          <w:sz w:val="24"/>
        </w:rPr>
      </w:pPr>
      <w:r w:rsidRPr="00AF261F">
        <w:rPr>
          <w:rFonts w:ascii="Arial" w:hAnsi="Arial" w:cs="Arial"/>
          <w:sz w:val="24"/>
        </w:rPr>
        <w:t xml:space="preserve">The behavior of </w:t>
      </w:r>
      <w:r w:rsidR="00962642" w:rsidRPr="00AF261F">
        <w:rPr>
          <w:rFonts w:ascii="Arial" w:hAnsi="Arial" w:cs="Arial"/>
          <w:sz w:val="24"/>
        </w:rPr>
        <w:t>Agent</w:t>
      </w:r>
      <w:r w:rsidRPr="00AF261F">
        <w:rPr>
          <w:rFonts w:ascii="Arial" w:hAnsi="Arial" w:cs="Arial"/>
          <w:sz w:val="24"/>
        </w:rPr>
        <w:t>s and potential participants shall be assessed for the activities performed in the period starting from October 1 of the previous year to October 1 of the same year (4 quarters). Evaluation of the behavior shall be conducted for every quarter. The annual score shall be calculated as the sum of the quarterly scores.</w:t>
      </w:r>
    </w:p>
    <w:p w:rsidR="00140B95" w:rsidRPr="00AF261F" w:rsidRDefault="00876A9F" w:rsidP="00140B95">
      <w:pPr>
        <w:numPr>
          <w:ilvl w:val="0"/>
          <w:numId w:val="1"/>
        </w:numPr>
        <w:tabs>
          <w:tab w:val="clear" w:pos="360"/>
          <w:tab w:val="num" w:pos="284"/>
        </w:tabs>
        <w:spacing w:line="360" w:lineRule="auto"/>
        <w:ind w:left="0" w:firstLine="0"/>
        <w:jc w:val="both"/>
        <w:rPr>
          <w:rFonts w:ascii="Arial" w:hAnsi="Arial" w:cs="Arial"/>
          <w:sz w:val="24"/>
        </w:rPr>
      </w:pPr>
      <w:r w:rsidRPr="00AF261F">
        <w:rPr>
          <w:rFonts w:ascii="Arial" w:hAnsi="Arial" w:cs="Arial"/>
          <w:sz w:val="24"/>
        </w:rPr>
        <w:t>T</w:t>
      </w:r>
      <w:r w:rsidR="00140B95" w:rsidRPr="00AF261F">
        <w:rPr>
          <w:rFonts w:ascii="Arial" w:hAnsi="Arial" w:cs="Arial"/>
          <w:sz w:val="24"/>
        </w:rPr>
        <w:t xml:space="preserve">he performance of the </w:t>
      </w:r>
      <w:r w:rsidR="00962642" w:rsidRPr="00AF261F">
        <w:rPr>
          <w:rFonts w:ascii="Arial" w:hAnsi="Arial" w:cs="Arial"/>
          <w:sz w:val="24"/>
        </w:rPr>
        <w:t>Agent</w:t>
      </w:r>
      <w:r w:rsidRPr="00AF261F">
        <w:rPr>
          <w:rFonts w:ascii="Arial" w:hAnsi="Arial" w:cs="Arial"/>
          <w:sz w:val="24"/>
        </w:rPr>
        <w:t>s</w:t>
      </w:r>
      <w:r w:rsidR="00140B95" w:rsidRPr="00AF261F">
        <w:rPr>
          <w:rFonts w:ascii="Arial" w:hAnsi="Arial" w:cs="Arial"/>
          <w:sz w:val="24"/>
        </w:rPr>
        <w:t xml:space="preserve"> </w:t>
      </w:r>
      <w:r w:rsidRPr="00AF261F">
        <w:rPr>
          <w:rFonts w:ascii="Arial" w:hAnsi="Arial" w:cs="Arial"/>
          <w:sz w:val="24"/>
        </w:rPr>
        <w:t xml:space="preserve">in the estimated period </w:t>
      </w:r>
      <w:r w:rsidR="00140B95" w:rsidRPr="00AF261F">
        <w:rPr>
          <w:rFonts w:ascii="Arial" w:hAnsi="Arial" w:cs="Arial"/>
          <w:sz w:val="24"/>
        </w:rPr>
        <w:t xml:space="preserve">shall be assessed based on the </w:t>
      </w:r>
      <w:r w:rsidR="0066038B" w:rsidRPr="00AF261F">
        <w:rPr>
          <w:rFonts w:ascii="Arial" w:hAnsi="Arial" w:cs="Arial"/>
          <w:sz w:val="24"/>
        </w:rPr>
        <w:t>indicators</w:t>
      </w:r>
      <w:r w:rsidR="00140B95" w:rsidRPr="00AF261F">
        <w:rPr>
          <w:rFonts w:ascii="Arial" w:hAnsi="Arial" w:cs="Arial"/>
          <w:sz w:val="24"/>
        </w:rPr>
        <w:t xml:space="preserve"> in the following areas:</w:t>
      </w:r>
    </w:p>
    <w:p w:rsidR="00140B95" w:rsidRPr="00AF261F" w:rsidRDefault="00876A9F" w:rsidP="00140B95">
      <w:pPr>
        <w:tabs>
          <w:tab w:val="left" w:pos="3804"/>
        </w:tabs>
        <w:spacing w:line="360" w:lineRule="auto"/>
        <w:jc w:val="both"/>
        <w:rPr>
          <w:rFonts w:ascii="Arial" w:hAnsi="Arial" w:cs="Arial"/>
          <w:sz w:val="24"/>
        </w:rPr>
      </w:pPr>
      <w:r w:rsidRPr="00AF261F">
        <w:rPr>
          <w:rFonts w:ascii="Arial" w:hAnsi="Arial" w:cs="Arial"/>
          <w:sz w:val="24"/>
        </w:rPr>
        <w:t>1) primary market participation;</w:t>
      </w:r>
      <w:r w:rsidR="00140B95" w:rsidRPr="00AF261F">
        <w:rPr>
          <w:rFonts w:ascii="Arial" w:hAnsi="Arial" w:cs="Arial"/>
          <w:sz w:val="24"/>
        </w:rPr>
        <w:tab/>
      </w:r>
    </w:p>
    <w:p w:rsidR="00140B95" w:rsidRPr="00AF261F" w:rsidRDefault="00140B95" w:rsidP="00140B95">
      <w:pPr>
        <w:spacing w:line="360" w:lineRule="auto"/>
        <w:jc w:val="both"/>
        <w:rPr>
          <w:rFonts w:ascii="Arial" w:hAnsi="Arial" w:cs="Arial"/>
          <w:sz w:val="24"/>
        </w:rPr>
      </w:pPr>
      <w:r w:rsidRPr="00AF261F">
        <w:rPr>
          <w:rFonts w:ascii="Arial" w:hAnsi="Arial" w:cs="Arial"/>
          <w:sz w:val="24"/>
        </w:rPr>
        <w:t>2) s</w:t>
      </w:r>
      <w:r w:rsidR="00876A9F" w:rsidRPr="00AF261F">
        <w:rPr>
          <w:rFonts w:ascii="Arial" w:hAnsi="Arial" w:cs="Arial"/>
          <w:sz w:val="24"/>
        </w:rPr>
        <w:t>econdary market activeness;</w:t>
      </w:r>
      <w:r w:rsidRPr="00AF261F">
        <w:rPr>
          <w:rFonts w:ascii="Arial" w:hAnsi="Arial" w:cs="Arial"/>
          <w:sz w:val="24"/>
        </w:rPr>
        <w:t xml:space="preserve"> </w:t>
      </w:r>
    </w:p>
    <w:p w:rsidR="00140B95" w:rsidRPr="00AF261F" w:rsidRDefault="00140B95" w:rsidP="00140B95">
      <w:pPr>
        <w:spacing w:line="360" w:lineRule="auto"/>
        <w:jc w:val="both"/>
        <w:rPr>
          <w:rFonts w:ascii="Arial" w:hAnsi="Arial" w:cs="Arial"/>
          <w:sz w:val="24"/>
        </w:rPr>
      </w:pPr>
      <w:r w:rsidRPr="00AF261F">
        <w:rPr>
          <w:rFonts w:ascii="Arial" w:hAnsi="Arial" w:cs="Arial"/>
          <w:sz w:val="24"/>
        </w:rPr>
        <w:t>3) work with the Issuer.</w:t>
      </w:r>
    </w:p>
    <w:p w:rsidR="00876A9F" w:rsidRPr="00AF261F" w:rsidRDefault="00876A9F" w:rsidP="00876A9F">
      <w:pPr>
        <w:numPr>
          <w:ilvl w:val="0"/>
          <w:numId w:val="1"/>
        </w:numPr>
        <w:tabs>
          <w:tab w:val="clear" w:pos="360"/>
          <w:tab w:val="num" w:pos="284"/>
        </w:tabs>
        <w:spacing w:line="360" w:lineRule="auto"/>
        <w:ind w:left="0" w:firstLine="0"/>
        <w:jc w:val="both"/>
        <w:rPr>
          <w:rFonts w:ascii="Arial" w:hAnsi="Arial" w:cs="Arial"/>
          <w:sz w:val="24"/>
        </w:rPr>
      </w:pPr>
      <w:r w:rsidRPr="00AF261F">
        <w:rPr>
          <w:rFonts w:ascii="Arial" w:hAnsi="Arial" w:cs="Arial"/>
          <w:sz w:val="24"/>
        </w:rPr>
        <w:t xml:space="preserve"> The quarterly generalized scores for </w:t>
      </w:r>
      <w:r w:rsidR="00962642" w:rsidRPr="00AF261F">
        <w:rPr>
          <w:rFonts w:ascii="Arial" w:hAnsi="Arial" w:cs="Arial"/>
          <w:sz w:val="24"/>
        </w:rPr>
        <w:t>Agent</w:t>
      </w:r>
      <w:r w:rsidRPr="00AF261F">
        <w:rPr>
          <w:rFonts w:ascii="Arial" w:hAnsi="Arial" w:cs="Arial"/>
          <w:sz w:val="24"/>
        </w:rPr>
        <w:t xml:space="preserve"> shall be calculated adding 40% of primary market participation scores to 50% of secondary market activeness scores and 10% of score for working with the Issuer </w:t>
      </w:r>
      <w:r w:rsidR="0066038B" w:rsidRPr="00AF261F">
        <w:rPr>
          <w:rFonts w:ascii="Arial" w:hAnsi="Arial" w:cs="Arial"/>
          <w:sz w:val="24"/>
        </w:rPr>
        <w:t xml:space="preserve">and </w:t>
      </w:r>
      <w:r w:rsidRPr="00AF261F">
        <w:rPr>
          <w:rFonts w:ascii="Arial" w:hAnsi="Arial" w:cs="Arial"/>
          <w:sz w:val="24"/>
        </w:rPr>
        <w:t xml:space="preserve">with reducing </w:t>
      </w:r>
      <w:r w:rsidR="0066038B" w:rsidRPr="00AF261F">
        <w:rPr>
          <w:rFonts w:ascii="Arial" w:hAnsi="Arial" w:cs="Arial"/>
          <w:sz w:val="24"/>
        </w:rPr>
        <w:t xml:space="preserve">number of </w:t>
      </w:r>
      <w:r w:rsidR="00962642" w:rsidRPr="00AF261F">
        <w:rPr>
          <w:rFonts w:ascii="Arial" w:hAnsi="Arial" w:cs="Arial"/>
          <w:sz w:val="24"/>
        </w:rPr>
        <w:t>Agent</w:t>
      </w:r>
      <w:r w:rsidRPr="00AF261F">
        <w:rPr>
          <w:rFonts w:ascii="Arial" w:hAnsi="Arial" w:cs="Arial"/>
          <w:sz w:val="24"/>
        </w:rPr>
        <w:t>s quoting violations</w:t>
      </w:r>
      <w:r w:rsidR="0066038B" w:rsidRPr="00AF261F">
        <w:rPr>
          <w:rFonts w:ascii="Arial" w:hAnsi="Arial" w:cs="Arial"/>
          <w:sz w:val="24"/>
        </w:rPr>
        <w:t xml:space="preserve"> score</w:t>
      </w:r>
      <w:r w:rsidRPr="00AF261F">
        <w:rPr>
          <w:rFonts w:ascii="Arial" w:hAnsi="Arial" w:cs="Arial"/>
          <w:sz w:val="24"/>
        </w:rPr>
        <w:t>.</w:t>
      </w:r>
    </w:p>
    <w:p w:rsidR="00A965DE" w:rsidRPr="00AF261F" w:rsidRDefault="00A965DE" w:rsidP="007B7B98">
      <w:pPr>
        <w:spacing w:line="360" w:lineRule="auto"/>
        <w:jc w:val="center"/>
        <w:rPr>
          <w:rFonts w:ascii="Arial" w:hAnsi="Arial" w:cs="Arial"/>
          <w:b/>
          <w:sz w:val="24"/>
        </w:rPr>
      </w:pPr>
    </w:p>
    <w:p w:rsidR="00183342" w:rsidRPr="00AF261F" w:rsidRDefault="0066038B" w:rsidP="007B7B98">
      <w:pPr>
        <w:numPr>
          <w:ilvl w:val="0"/>
          <w:numId w:val="1"/>
        </w:numPr>
        <w:spacing w:line="360" w:lineRule="auto"/>
        <w:jc w:val="both"/>
        <w:rPr>
          <w:rFonts w:ascii="Arial" w:hAnsi="Arial" w:cs="Arial"/>
          <w:sz w:val="24"/>
        </w:rPr>
      </w:pPr>
      <w:r w:rsidRPr="00AF261F">
        <w:rPr>
          <w:rFonts w:ascii="Arial" w:hAnsi="Arial" w:cs="Arial"/>
          <w:sz w:val="24"/>
        </w:rPr>
        <w:t>The indicators of evaluation of the behavior</w:t>
      </w:r>
      <w:r w:rsidR="00183342" w:rsidRPr="00AF261F">
        <w:rPr>
          <w:rFonts w:ascii="Arial" w:hAnsi="Arial" w:cs="Arial"/>
          <w:sz w:val="24"/>
        </w:rPr>
        <w:t xml:space="preserve"> of </w:t>
      </w:r>
      <w:r w:rsidR="00962642" w:rsidRPr="00AF261F">
        <w:rPr>
          <w:rFonts w:ascii="Arial" w:hAnsi="Arial" w:cs="Arial"/>
          <w:sz w:val="24"/>
        </w:rPr>
        <w:t>Agent</w:t>
      </w:r>
      <w:r w:rsidRPr="00AF261F">
        <w:rPr>
          <w:rFonts w:ascii="Arial" w:hAnsi="Arial" w:cs="Arial"/>
          <w:sz w:val="24"/>
        </w:rPr>
        <w:t>s are:</w:t>
      </w:r>
    </w:p>
    <w:p w:rsidR="00183342" w:rsidRPr="00AF261F" w:rsidRDefault="00183342" w:rsidP="007B7B98">
      <w:pPr>
        <w:spacing w:line="360" w:lineRule="auto"/>
        <w:rPr>
          <w:rFonts w:ascii="Arial" w:hAnsi="Arial" w:cs="Arial"/>
          <w:sz w:val="24"/>
        </w:rPr>
      </w:pPr>
    </w:p>
    <w:p w:rsidR="00183342" w:rsidRPr="00AF261F" w:rsidRDefault="00183342" w:rsidP="007B7B98">
      <w:pPr>
        <w:spacing w:line="360" w:lineRule="auto"/>
        <w:rPr>
          <w:rFonts w:ascii="Arial" w:hAnsi="Arial" w:cs="Arial"/>
          <w:sz w:val="24"/>
        </w:rPr>
      </w:pPr>
      <w:r w:rsidRPr="00AF261F">
        <w:rPr>
          <w:rFonts w:ascii="Arial" w:hAnsi="Arial" w:cs="Arial"/>
          <w:sz w:val="24"/>
        </w:rPr>
        <w:t xml:space="preserve">1) </w:t>
      </w:r>
      <w:r w:rsidRPr="00AF261F">
        <w:rPr>
          <w:rFonts w:ascii="Arial" w:hAnsi="Arial" w:cs="Arial"/>
          <w:b/>
          <w:sz w:val="24"/>
        </w:rPr>
        <w:t xml:space="preserve">Primary market participation </w:t>
      </w:r>
      <w:r w:rsidRPr="00AF261F">
        <w:rPr>
          <w:rFonts w:ascii="Arial" w:hAnsi="Arial" w:cs="Arial"/>
          <w:sz w:val="24"/>
        </w:rPr>
        <w:t>=</w:t>
      </w:r>
      <w:r w:rsidRPr="00AF261F">
        <w:rPr>
          <w:rFonts w:ascii="Arial" w:hAnsi="Arial" w:cs="Arial"/>
          <w:b/>
          <w:sz w:val="24"/>
        </w:rPr>
        <w:t xml:space="preserve"> I</w:t>
      </w:r>
      <w:r w:rsidRPr="00AF261F">
        <w:rPr>
          <w:rFonts w:ascii="Arial" w:hAnsi="Arial" w:cs="Arial"/>
          <w:b/>
          <w:sz w:val="24"/>
          <w:vertAlign w:val="subscript"/>
        </w:rPr>
        <w:t>1</w:t>
      </w:r>
      <w:r w:rsidRPr="00AF261F">
        <w:rPr>
          <w:rFonts w:ascii="Arial" w:hAnsi="Arial" w:cs="Arial"/>
          <w:b/>
          <w:sz w:val="24"/>
        </w:rPr>
        <w:t>*0.75+ I</w:t>
      </w:r>
      <w:r w:rsidRPr="00AF261F">
        <w:rPr>
          <w:rFonts w:ascii="Arial" w:hAnsi="Arial" w:cs="Arial"/>
          <w:b/>
          <w:sz w:val="24"/>
        </w:rPr>
        <w:softHyphen/>
      </w:r>
      <w:r w:rsidRPr="00AF261F">
        <w:rPr>
          <w:rFonts w:ascii="Arial" w:hAnsi="Arial" w:cs="Arial"/>
          <w:b/>
          <w:sz w:val="24"/>
        </w:rPr>
        <w:softHyphen/>
      </w:r>
      <w:r w:rsidRPr="00AF261F">
        <w:rPr>
          <w:rFonts w:ascii="Arial" w:hAnsi="Arial" w:cs="Arial"/>
          <w:b/>
          <w:sz w:val="24"/>
          <w:vertAlign w:val="subscript"/>
        </w:rPr>
        <w:t>2</w:t>
      </w:r>
      <w:r w:rsidRPr="00AF261F">
        <w:rPr>
          <w:rFonts w:ascii="Arial" w:hAnsi="Arial" w:cs="Arial"/>
          <w:b/>
          <w:sz w:val="24"/>
        </w:rPr>
        <w:t>*0.25</w:t>
      </w:r>
    </w:p>
    <w:p w:rsidR="00183342" w:rsidRPr="00AF261F" w:rsidRDefault="00183342" w:rsidP="007B7B98">
      <w:pPr>
        <w:spacing w:line="360" w:lineRule="auto"/>
        <w:ind w:firstLine="567"/>
        <w:jc w:val="both"/>
        <w:rPr>
          <w:rFonts w:ascii="Arial" w:hAnsi="Arial" w:cs="Arial"/>
          <w:color w:val="0000FF"/>
          <w:sz w:val="24"/>
        </w:rPr>
      </w:pPr>
      <w:r w:rsidRPr="00AF261F">
        <w:rPr>
          <w:rFonts w:ascii="Arial" w:hAnsi="Arial" w:cs="Arial"/>
          <w:sz w:val="24"/>
        </w:rPr>
        <w:t xml:space="preserve">Primary market participation indicators of </w:t>
      </w:r>
      <w:r w:rsidR="00962642" w:rsidRPr="00AF261F">
        <w:rPr>
          <w:rFonts w:ascii="Arial" w:hAnsi="Arial" w:cs="Arial"/>
          <w:sz w:val="24"/>
        </w:rPr>
        <w:t>Agent</w:t>
      </w:r>
      <w:r w:rsidRPr="00AF261F">
        <w:rPr>
          <w:rFonts w:ascii="Arial" w:hAnsi="Arial" w:cs="Arial"/>
          <w:sz w:val="24"/>
        </w:rPr>
        <w:t xml:space="preserve"> are</w:t>
      </w:r>
      <w:r w:rsidR="0066038B" w:rsidRPr="00AF261F">
        <w:rPr>
          <w:rFonts w:ascii="Arial" w:hAnsi="Arial" w:cs="Arial"/>
          <w:sz w:val="24"/>
        </w:rPr>
        <w:t>:</w:t>
      </w:r>
    </w:p>
    <w:p w:rsidR="00183342" w:rsidRPr="00AF261F" w:rsidRDefault="00183342" w:rsidP="007B7B98">
      <w:pPr>
        <w:spacing w:line="360" w:lineRule="auto"/>
        <w:rPr>
          <w:rFonts w:ascii="Arial" w:hAnsi="Arial" w:cs="Arial"/>
          <w:sz w:val="24"/>
        </w:rPr>
      </w:pPr>
      <w:r w:rsidRPr="00AF261F">
        <w:rPr>
          <w:rFonts w:ascii="Arial" w:hAnsi="Arial" w:cs="Arial"/>
          <w:sz w:val="24"/>
        </w:rPr>
        <w:t xml:space="preserve">a) allocation and buyback share indicator </w:t>
      </w:r>
    </w:p>
    <w:p w:rsidR="00183342" w:rsidRPr="00AF261F" w:rsidRDefault="00183342" w:rsidP="007B7B98">
      <w:pPr>
        <w:spacing w:line="360" w:lineRule="auto"/>
        <w:jc w:val="center"/>
        <w:rPr>
          <w:rFonts w:ascii="Arial" w:hAnsi="Arial" w:cs="Arial"/>
          <w:b/>
          <w:sz w:val="24"/>
        </w:rPr>
      </w:pPr>
      <w:r w:rsidRPr="00AF261F">
        <w:rPr>
          <w:rFonts w:ascii="Arial" w:hAnsi="Arial" w:cs="Arial"/>
          <w:b/>
          <w:sz w:val="24"/>
        </w:rPr>
        <w:t>I</w:t>
      </w:r>
      <w:r w:rsidRPr="00AF261F">
        <w:rPr>
          <w:rFonts w:ascii="Arial" w:hAnsi="Arial" w:cs="Arial"/>
          <w:b/>
          <w:sz w:val="24"/>
        </w:rPr>
        <w:softHyphen/>
      </w:r>
      <w:r w:rsidRPr="00AF261F">
        <w:rPr>
          <w:rFonts w:ascii="Arial" w:hAnsi="Arial" w:cs="Arial"/>
          <w:b/>
          <w:sz w:val="24"/>
          <w:vertAlign w:val="subscript"/>
        </w:rPr>
        <w:t>1</w:t>
      </w:r>
      <w:r w:rsidRPr="00AF261F">
        <w:rPr>
          <w:rFonts w:ascii="Arial" w:hAnsi="Arial" w:cs="Arial"/>
          <w:b/>
          <w:sz w:val="24"/>
        </w:rPr>
        <w:t>= T-bill*0.2+T-notes*0.4+T-bonds*0.4</w:t>
      </w:r>
    </w:p>
    <w:p w:rsidR="00183342" w:rsidRPr="00AF261F" w:rsidRDefault="00183342" w:rsidP="007B7B98">
      <w:pPr>
        <w:spacing w:line="360" w:lineRule="auto"/>
        <w:ind w:left="426"/>
        <w:rPr>
          <w:rFonts w:ascii="Arial" w:hAnsi="Arial" w:cs="Arial"/>
          <w:sz w:val="24"/>
        </w:rPr>
      </w:pPr>
      <w:r w:rsidRPr="00AF261F">
        <w:rPr>
          <w:rFonts w:ascii="Arial" w:hAnsi="Arial" w:cs="Arial"/>
          <w:sz w:val="24"/>
        </w:rPr>
        <w:lastRenderedPageBreak/>
        <w:t>where</w:t>
      </w:r>
    </w:p>
    <w:p w:rsidR="00183342" w:rsidRPr="00AF261F" w:rsidRDefault="00183342" w:rsidP="007B7B98">
      <w:pPr>
        <w:spacing w:line="360" w:lineRule="auto"/>
        <w:ind w:left="426"/>
        <w:jc w:val="both"/>
        <w:rPr>
          <w:rFonts w:ascii="Arial" w:hAnsi="Arial" w:cs="Arial"/>
          <w:sz w:val="24"/>
        </w:rPr>
      </w:pPr>
      <w:r w:rsidRPr="00AF261F">
        <w:rPr>
          <w:rFonts w:ascii="Arial" w:hAnsi="Arial" w:cs="Arial"/>
          <w:sz w:val="24"/>
        </w:rPr>
        <w:t>In T-bill</w:t>
      </w:r>
      <w:r w:rsidR="00B87509" w:rsidRPr="00AF261F">
        <w:rPr>
          <w:rFonts w:ascii="Arial" w:hAnsi="Arial" w:cs="Arial"/>
          <w:sz w:val="24"/>
        </w:rPr>
        <w:t>s,</w:t>
      </w:r>
      <w:r w:rsidRPr="00AF261F">
        <w:rPr>
          <w:rFonts w:ascii="Arial" w:hAnsi="Arial" w:cs="Arial"/>
          <w:sz w:val="24"/>
        </w:rPr>
        <w:t xml:space="preserve"> T-notes and T-bonds reporting period is the relation of the volume of the total successful bids offered by the </w:t>
      </w:r>
      <w:r w:rsidR="00962642" w:rsidRPr="00AF261F">
        <w:rPr>
          <w:rFonts w:ascii="Arial" w:hAnsi="Arial" w:cs="Arial"/>
          <w:sz w:val="24"/>
        </w:rPr>
        <w:t>Agent</w:t>
      </w:r>
      <w:r w:rsidRPr="00AF261F">
        <w:rPr>
          <w:rFonts w:ascii="Arial" w:hAnsi="Arial" w:cs="Arial"/>
          <w:sz w:val="24"/>
        </w:rPr>
        <w:t xml:space="preserve"> in each primary allocation and buyback auction of T-bill</w:t>
      </w:r>
      <w:r w:rsidR="00B87509" w:rsidRPr="00AF261F">
        <w:rPr>
          <w:rFonts w:ascii="Arial" w:hAnsi="Arial" w:cs="Arial"/>
          <w:sz w:val="24"/>
        </w:rPr>
        <w:t>s,</w:t>
      </w:r>
      <w:r w:rsidRPr="00AF261F">
        <w:rPr>
          <w:rFonts w:ascii="Arial" w:hAnsi="Arial" w:cs="Arial"/>
          <w:sz w:val="24"/>
        </w:rPr>
        <w:t xml:space="preserve"> T-notes and T-bonds to the allocated and bought back volume of each T-bill</w:t>
      </w:r>
      <w:r w:rsidR="00B87509" w:rsidRPr="00AF261F">
        <w:rPr>
          <w:rFonts w:ascii="Arial" w:hAnsi="Arial" w:cs="Arial"/>
          <w:sz w:val="24"/>
        </w:rPr>
        <w:t>s</w:t>
      </w:r>
      <w:r w:rsidRPr="00AF261F">
        <w:rPr>
          <w:rFonts w:ascii="Arial" w:hAnsi="Arial" w:cs="Arial"/>
          <w:sz w:val="24"/>
        </w:rPr>
        <w:t xml:space="preserve"> T-notes and T-bonds.</w:t>
      </w:r>
      <w:r w:rsidR="00F97B95" w:rsidRPr="00AF261F">
        <w:rPr>
          <w:rFonts w:ascii="Arial" w:hAnsi="Arial" w:cs="Arial"/>
          <w:sz w:val="24"/>
        </w:rPr>
        <w:t>:</w:t>
      </w:r>
    </w:p>
    <w:p w:rsidR="00183342" w:rsidRPr="00AF261F" w:rsidRDefault="00183342" w:rsidP="007B7B98">
      <w:pPr>
        <w:spacing w:line="360" w:lineRule="auto"/>
        <w:rPr>
          <w:rFonts w:ascii="Arial" w:hAnsi="Arial" w:cs="Arial"/>
          <w:sz w:val="24"/>
        </w:rPr>
      </w:pPr>
      <w:r w:rsidRPr="00AF261F">
        <w:rPr>
          <w:rFonts w:ascii="Arial" w:hAnsi="Arial" w:cs="Arial"/>
          <w:sz w:val="24"/>
        </w:rPr>
        <w:t xml:space="preserve">b) effective participation indicator </w:t>
      </w:r>
    </w:p>
    <w:p w:rsidR="00183342" w:rsidRPr="00AF261F" w:rsidRDefault="00183342" w:rsidP="007B7B98">
      <w:pPr>
        <w:spacing w:line="360" w:lineRule="auto"/>
        <w:ind w:left="426"/>
        <w:jc w:val="center"/>
        <w:rPr>
          <w:rFonts w:ascii="Arial" w:hAnsi="Arial" w:cs="Arial"/>
          <w:b/>
          <w:sz w:val="24"/>
        </w:rPr>
      </w:pPr>
      <w:r w:rsidRPr="00AF261F">
        <w:rPr>
          <w:rFonts w:ascii="Arial" w:hAnsi="Arial" w:cs="Arial"/>
          <w:b/>
          <w:sz w:val="24"/>
        </w:rPr>
        <w:t>I</w:t>
      </w:r>
      <w:r w:rsidRPr="00AF261F">
        <w:rPr>
          <w:rFonts w:ascii="Arial" w:hAnsi="Arial" w:cs="Arial"/>
          <w:b/>
          <w:sz w:val="24"/>
        </w:rPr>
        <w:softHyphen/>
      </w:r>
      <w:r w:rsidRPr="00AF261F">
        <w:rPr>
          <w:rFonts w:ascii="Arial" w:hAnsi="Arial" w:cs="Arial"/>
          <w:b/>
          <w:sz w:val="24"/>
        </w:rPr>
        <w:softHyphen/>
      </w:r>
      <w:r w:rsidRPr="00AF261F">
        <w:rPr>
          <w:rFonts w:ascii="Arial" w:hAnsi="Arial" w:cs="Arial"/>
          <w:b/>
          <w:sz w:val="24"/>
          <w:vertAlign w:val="subscript"/>
        </w:rPr>
        <w:t>2</w:t>
      </w:r>
      <w:r w:rsidRPr="00AF261F">
        <w:rPr>
          <w:rFonts w:ascii="Arial" w:hAnsi="Arial" w:cs="Arial"/>
          <w:b/>
          <w:sz w:val="24"/>
        </w:rPr>
        <w:t>= T-bill*0.2+T-note*0.4+T-bond*0.4</w:t>
      </w:r>
    </w:p>
    <w:p w:rsidR="00183342" w:rsidRPr="00AF261F" w:rsidRDefault="00183342" w:rsidP="007B7B98">
      <w:pPr>
        <w:spacing w:line="360" w:lineRule="auto"/>
        <w:ind w:left="426"/>
        <w:rPr>
          <w:rFonts w:ascii="Arial" w:hAnsi="Arial" w:cs="Arial"/>
          <w:sz w:val="24"/>
        </w:rPr>
      </w:pPr>
      <w:r w:rsidRPr="00AF261F">
        <w:rPr>
          <w:rFonts w:ascii="Arial" w:hAnsi="Arial" w:cs="Arial"/>
          <w:sz w:val="24"/>
        </w:rPr>
        <w:t>where</w:t>
      </w:r>
    </w:p>
    <w:p w:rsidR="00183342" w:rsidRPr="00AF261F" w:rsidRDefault="00183342" w:rsidP="007B7B98">
      <w:pPr>
        <w:spacing w:line="360" w:lineRule="auto"/>
        <w:ind w:left="426"/>
        <w:jc w:val="both"/>
        <w:rPr>
          <w:rFonts w:ascii="Arial" w:hAnsi="Arial" w:cs="Arial"/>
          <w:sz w:val="24"/>
        </w:rPr>
      </w:pPr>
      <w:r w:rsidRPr="00AF261F">
        <w:rPr>
          <w:rFonts w:ascii="Arial" w:hAnsi="Arial" w:cs="Arial"/>
          <w:sz w:val="24"/>
        </w:rPr>
        <w:t>In T-bill</w:t>
      </w:r>
      <w:r w:rsidR="00B87509" w:rsidRPr="00AF261F">
        <w:rPr>
          <w:rFonts w:ascii="Arial" w:hAnsi="Arial" w:cs="Arial"/>
          <w:sz w:val="24"/>
        </w:rPr>
        <w:t>s,</w:t>
      </w:r>
      <w:r w:rsidRPr="00AF261F">
        <w:rPr>
          <w:rFonts w:ascii="Arial" w:hAnsi="Arial" w:cs="Arial"/>
          <w:sz w:val="24"/>
        </w:rPr>
        <w:t xml:space="preserve"> T-notes and T-bonds reporting period is the relation of the volume of the total successful competitive bids offered by the </w:t>
      </w:r>
      <w:r w:rsidR="00962642" w:rsidRPr="00AF261F">
        <w:rPr>
          <w:rFonts w:ascii="Arial" w:hAnsi="Arial" w:cs="Arial"/>
          <w:sz w:val="24"/>
        </w:rPr>
        <w:t>Agent</w:t>
      </w:r>
      <w:r w:rsidRPr="00AF261F">
        <w:rPr>
          <w:rFonts w:ascii="Arial" w:hAnsi="Arial" w:cs="Arial"/>
          <w:sz w:val="24"/>
        </w:rPr>
        <w:t xml:space="preserve"> in each primary allocation and buyback auction of T-bill</w:t>
      </w:r>
      <w:r w:rsidR="00B87509" w:rsidRPr="00AF261F">
        <w:rPr>
          <w:rFonts w:ascii="Arial" w:hAnsi="Arial" w:cs="Arial"/>
          <w:sz w:val="24"/>
        </w:rPr>
        <w:t>s,</w:t>
      </w:r>
      <w:r w:rsidRPr="00AF261F">
        <w:rPr>
          <w:rFonts w:ascii="Arial" w:hAnsi="Arial" w:cs="Arial"/>
          <w:sz w:val="24"/>
        </w:rPr>
        <w:t xml:space="preserve"> T-notes and T-bonds to the volume of competitive offers made by him.</w:t>
      </w:r>
    </w:p>
    <w:p w:rsidR="00183342" w:rsidRPr="00AF261F" w:rsidRDefault="00183342" w:rsidP="007B7B98">
      <w:pPr>
        <w:spacing w:line="360" w:lineRule="auto"/>
        <w:jc w:val="both"/>
        <w:rPr>
          <w:rFonts w:ascii="Arial" w:hAnsi="Arial" w:cs="Arial"/>
          <w:sz w:val="24"/>
        </w:rPr>
      </w:pPr>
      <w:r w:rsidRPr="00AF261F">
        <w:rPr>
          <w:rFonts w:ascii="Arial" w:hAnsi="Arial" w:cs="Arial"/>
          <w:sz w:val="24"/>
        </w:rPr>
        <w:t>While calculating I</w:t>
      </w:r>
      <w:r w:rsidRPr="00AF261F">
        <w:rPr>
          <w:rFonts w:ascii="Arial" w:hAnsi="Arial" w:cs="Arial"/>
          <w:sz w:val="24"/>
          <w:vertAlign w:val="subscript"/>
        </w:rPr>
        <w:t xml:space="preserve">1 </w:t>
      </w:r>
      <w:r w:rsidRPr="00AF261F">
        <w:rPr>
          <w:rFonts w:ascii="Arial" w:hAnsi="Arial" w:cs="Arial"/>
          <w:sz w:val="24"/>
        </w:rPr>
        <w:t>and I</w:t>
      </w:r>
      <w:r w:rsidRPr="00AF261F">
        <w:rPr>
          <w:rFonts w:ascii="Arial" w:hAnsi="Arial" w:cs="Arial"/>
          <w:sz w:val="24"/>
        </w:rPr>
        <w:softHyphen/>
      </w:r>
      <w:r w:rsidRPr="00AF261F">
        <w:rPr>
          <w:rFonts w:ascii="Arial" w:hAnsi="Arial" w:cs="Arial"/>
          <w:sz w:val="24"/>
        </w:rPr>
        <w:softHyphen/>
      </w:r>
      <w:r w:rsidRPr="00AF261F">
        <w:rPr>
          <w:rFonts w:ascii="Arial" w:hAnsi="Arial" w:cs="Arial"/>
          <w:sz w:val="24"/>
          <w:vertAlign w:val="subscript"/>
        </w:rPr>
        <w:t xml:space="preserve">2 </w:t>
      </w:r>
      <w:r w:rsidRPr="00AF261F">
        <w:rPr>
          <w:rFonts w:ascii="Arial" w:hAnsi="Arial" w:cs="Arial"/>
          <w:sz w:val="24"/>
        </w:rPr>
        <w:t>indicators</w:t>
      </w:r>
      <w:r w:rsidR="00B87509" w:rsidRPr="00AF261F">
        <w:rPr>
          <w:rFonts w:ascii="Arial" w:hAnsi="Arial" w:cs="Arial"/>
          <w:sz w:val="24"/>
        </w:rPr>
        <w:t>,</w:t>
      </w:r>
      <w:r w:rsidRPr="00AF261F">
        <w:rPr>
          <w:rFonts w:ascii="Arial" w:hAnsi="Arial" w:cs="Arial"/>
          <w:sz w:val="24"/>
        </w:rPr>
        <w:t xml:space="preserve"> the allocation and buyback </w:t>
      </w:r>
      <w:r w:rsidR="00F97B95" w:rsidRPr="00AF261F">
        <w:rPr>
          <w:rFonts w:ascii="Arial" w:hAnsi="Arial" w:cs="Arial"/>
          <w:sz w:val="24"/>
        </w:rPr>
        <w:t>tenor</w:t>
      </w:r>
      <w:r w:rsidRPr="00AF261F">
        <w:rPr>
          <w:rFonts w:ascii="Arial" w:hAnsi="Arial" w:cs="Arial"/>
          <w:sz w:val="24"/>
        </w:rPr>
        <w:t xml:space="preserve"> is viewed by outstanding maturity, and the securities having maturity of up to 365 days are considered as T-bills, the securities with the maturity of 366 up to 1825 days are T-bonds (medium-term bonds) and scurrilities with the maturity </w:t>
      </w:r>
      <w:r w:rsidR="00B87509" w:rsidRPr="00AF261F">
        <w:rPr>
          <w:rFonts w:ascii="Arial" w:hAnsi="Arial" w:cs="Arial"/>
          <w:sz w:val="24"/>
        </w:rPr>
        <w:t xml:space="preserve">of </w:t>
      </w:r>
      <w:r w:rsidRPr="00AF261F">
        <w:rPr>
          <w:rFonts w:ascii="Arial" w:hAnsi="Arial" w:cs="Arial"/>
          <w:sz w:val="24"/>
        </w:rPr>
        <w:t xml:space="preserve">1826 days and more are considered as T-bonds (long-term bonds). </w:t>
      </w:r>
    </w:p>
    <w:p w:rsidR="00183342" w:rsidRPr="00AF261F" w:rsidRDefault="00183342" w:rsidP="007B7B98">
      <w:pPr>
        <w:spacing w:line="360" w:lineRule="auto"/>
        <w:rPr>
          <w:rFonts w:ascii="Arial" w:hAnsi="Arial" w:cs="Arial"/>
          <w:sz w:val="24"/>
        </w:rPr>
      </w:pPr>
    </w:p>
    <w:p w:rsidR="00183342" w:rsidRPr="00AF261F" w:rsidRDefault="00183342" w:rsidP="007B7B98">
      <w:pPr>
        <w:spacing w:line="360" w:lineRule="auto"/>
        <w:rPr>
          <w:rFonts w:ascii="Arial" w:hAnsi="Arial" w:cs="Arial"/>
          <w:sz w:val="24"/>
        </w:rPr>
      </w:pPr>
      <w:r w:rsidRPr="00AF261F">
        <w:rPr>
          <w:rFonts w:ascii="Arial" w:hAnsi="Arial" w:cs="Arial"/>
          <w:sz w:val="24"/>
        </w:rPr>
        <w:t xml:space="preserve">2) </w:t>
      </w:r>
      <w:r w:rsidRPr="00AF261F">
        <w:rPr>
          <w:rFonts w:ascii="Arial" w:hAnsi="Arial" w:cs="Arial"/>
          <w:b/>
          <w:sz w:val="24"/>
        </w:rPr>
        <w:t xml:space="preserve">Secondary market activeness indicator </w:t>
      </w:r>
    </w:p>
    <w:p w:rsidR="00183342" w:rsidRPr="00AF261F" w:rsidRDefault="00166AF1" w:rsidP="007B7B98">
      <w:pPr>
        <w:spacing w:line="360" w:lineRule="auto"/>
        <w:ind w:left="426"/>
        <w:rPr>
          <w:rFonts w:ascii="Arial" w:hAnsi="Arial" w:cs="Arial"/>
          <w:sz w:val="24"/>
        </w:rPr>
      </w:pPr>
      <w:r w:rsidRPr="00AF261F">
        <w:rPr>
          <w:rFonts w:ascii="Arial" w:hAnsi="Arial" w:cs="Arial"/>
          <w:sz w:val="24"/>
        </w:rPr>
        <w:t>Indicator of</w:t>
      </w:r>
      <w:r w:rsidR="00183342" w:rsidRPr="00AF261F">
        <w:rPr>
          <w:rFonts w:ascii="Arial" w:hAnsi="Arial" w:cs="Arial"/>
          <w:sz w:val="24"/>
        </w:rPr>
        <w:t xml:space="preserve"> share in </w:t>
      </w:r>
      <w:r w:rsidRPr="00AF261F">
        <w:rPr>
          <w:rFonts w:ascii="Arial" w:hAnsi="Arial" w:cs="Arial"/>
          <w:sz w:val="24"/>
        </w:rPr>
        <w:t xml:space="preserve">the volume of </w:t>
      </w:r>
      <w:r w:rsidR="00183342" w:rsidRPr="00AF261F">
        <w:rPr>
          <w:rFonts w:ascii="Arial" w:hAnsi="Arial" w:cs="Arial"/>
          <w:sz w:val="24"/>
        </w:rPr>
        <w:t xml:space="preserve">operations </w:t>
      </w:r>
    </w:p>
    <w:p w:rsidR="00183342" w:rsidRPr="00AF261F" w:rsidRDefault="00183342" w:rsidP="007B7B98">
      <w:pPr>
        <w:spacing w:line="360" w:lineRule="auto"/>
        <w:jc w:val="center"/>
        <w:rPr>
          <w:rFonts w:ascii="Arial" w:hAnsi="Arial" w:cs="Arial"/>
          <w:b/>
          <w:sz w:val="24"/>
        </w:rPr>
      </w:pPr>
    </w:p>
    <w:p w:rsidR="00166AF1" w:rsidRPr="00AF261F" w:rsidRDefault="00183342" w:rsidP="007B7B98">
      <w:pPr>
        <w:spacing w:line="360" w:lineRule="auto"/>
        <w:jc w:val="center"/>
        <w:rPr>
          <w:rFonts w:ascii="Arial" w:hAnsi="Arial" w:cs="Arial"/>
          <w:b/>
          <w:sz w:val="24"/>
        </w:rPr>
      </w:pPr>
      <w:r w:rsidRPr="00AF261F">
        <w:rPr>
          <w:rFonts w:ascii="Arial" w:hAnsi="Arial" w:cs="Arial"/>
          <w:b/>
          <w:sz w:val="24"/>
        </w:rPr>
        <w:t>I</w:t>
      </w:r>
      <w:r w:rsidRPr="00AF261F">
        <w:rPr>
          <w:rFonts w:ascii="Arial" w:hAnsi="Arial" w:cs="Arial"/>
          <w:b/>
          <w:sz w:val="24"/>
        </w:rPr>
        <w:softHyphen/>
      </w:r>
      <w:r w:rsidRPr="00AF261F">
        <w:rPr>
          <w:rFonts w:ascii="Arial" w:hAnsi="Arial" w:cs="Arial"/>
          <w:b/>
          <w:sz w:val="24"/>
        </w:rPr>
        <w:softHyphen/>
      </w:r>
      <w:r w:rsidRPr="00AF261F">
        <w:rPr>
          <w:rFonts w:ascii="Arial" w:hAnsi="Arial" w:cs="Arial"/>
          <w:b/>
          <w:sz w:val="24"/>
          <w:vertAlign w:val="subscript"/>
        </w:rPr>
        <w:t>3</w:t>
      </w:r>
      <w:r w:rsidRPr="00AF261F">
        <w:rPr>
          <w:rFonts w:ascii="Arial" w:hAnsi="Arial" w:cs="Arial"/>
          <w:b/>
          <w:sz w:val="24"/>
        </w:rPr>
        <w:t xml:space="preserve">= </w:t>
      </w:r>
      <m:oMath>
        <m:nary>
          <m:naryPr>
            <m:chr m:val="∑"/>
            <m:limLoc m:val="undOvr"/>
            <m:ctrlPr>
              <w:rPr>
                <w:rFonts w:ascii="Cambria Math" w:hAnsi="Cambria Math" w:cs="Arial"/>
                <w:i/>
                <w:sz w:val="28"/>
                <w:szCs w:val="28"/>
              </w:rPr>
            </m:ctrlPr>
          </m:naryPr>
          <m:sub>
            <m:r>
              <w:rPr>
                <w:rFonts w:ascii="Cambria Math" w:hAnsi="Cambria Math" w:cs="Arial"/>
                <w:sz w:val="28"/>
                <w:szCs w:val="28"/>
              </w:rPr>
              <m:t>i=1</m:t>
            </m:r>
          </m:sub>
          <m:sup>
            <m:r>
              <w:rPr>
                <w:rFonts w:ascii="Cambria Math" w:hAnsi="Cambria Math" w:cs="Arial"/>
                <w:sz w:val="28"/>
                <w:szCs w:val="28"/>
              </w:rPr>
              <m:t>N</m:t>
            </m:r>
          </m:sup>
          <m:e>
            <m:r>
              <m:rPr>
                <m:sty m:val="b"/>
              </m:rPr>
              <w:rPr>
                <w:rFonts w:ascii="Cambria Math" w:hAnsi="Cambria Math" w:cs="Arial"/>
                <w:sz w:val="24"/>
              </w:rPr>
              <m:t>(</m:t>
            </m:r>
            <m:r>
              <m:rPr>
                <m:sty m:val="bi"/>
              </m:rPr>
              <w:rPr>
                <w:rFonts w:ascii="Cambria Math" w:hAnsi="Cambria Math" w:cs="Arial"/>
                <w:sz w:val="24"/>
              </w:rPr>
              <m:t>EP</m:t>
            </m:r>
            <m:r>
              <m:rPr>
                <m:sty m:val="b"/>
              </m:rPr>
              <w:rPr>
                <w:rFonts w:ascii="Cambria Math" w:hAnsi="Cambria Math" w:cs="Arial"/>
                <w:sz w:val="24"/>
              </w:rPr>
              <m:t>*0.6+</m:t>
            </m:r>
            <m:r>
              <m:rPr>
                <m:sty m:val="bi"/>
              </m:rPr>
              <w:rPr>
                <w:rFonts w:ascii="Cambria Math" w:hAnsi="Cambria Math" w:cs="Arial"/>
                <w:sz w:val="24"/>
              </w:rPr>
              <m:t>OTC</m:t>
            </m:r>
            <m:r>
              <m:rPr>
                <m:sty m:val="b"/>
              </m:rPr>
              <w:rPr>
                <w:rFonts w:ascii="Cambria Math" w:hAnsi="Cambria Math" w:cs="Arial"/>
                <w:sz w:val="24"/>
              </w:rPr>
              <m:t>*0.4)</m:t>
            </m:r>
          </m:e>
        </m:nary>
      </m:oMath>
    </w:p>
    <w:p w:rsidR="00183342" w:rsidRPr="00AF261F" w:rsidRDefault="00166AF1" w:rsidP="007B7B98">
      <w:pPr>
        <w:spacing w:line="360" w:lineRule="auto"/>
        <w:ind w:left="426"/>
        <w:jc w:val="both"/>
        <w:rPr>
          <w:rFonts w:ascii="Arial" w:hAnsi="Arial" w:cs="Arial"/>
          <w:sz w:val="24"/>
        </w:rPr>
      </w:pPr>
      <w:r w:rsidRPr="00AF261F">
        <w:rPr>
          <w:rFonts w:ascii="Arial" w:hAnsi="Arial" w:cs="Arial"/>
          <w:sz w:val="24"/>
        </w:rPr>
        <w:t>w</w:t>
      </w:r>
      <w:r w:rsidR="00183342" w:rsidRPr="00AF261F">
        <w:rPr>
          <w:rFonts w:ascii="Arial" w:hAnsi="Arial" w:cs="Arial"/>
          <w:sz w:val="24"/>
        </w:rPr>
        <w:t>here</w:t>
      </w:r>
    </w:p>
    <w:p w:rsidR="00166AF1" w:rsidRPr="00AF261F" w:rsidRDefault="00166AF1" w:rsidP="007B7B98">
      <w:pPr>
        <w:spacing w:line="360" w:lineRule="auto"/>
        <w:ind w:left="426"/>
        <w:jc w:val="both"/>
        <w:rPr>
          <w:rFonts w:ascii="Arial" w:hAnsi="Arial" w:cs="Arial"/>
          <w:sz w:val="24"/>
        </w:rPr>
      </w:pPr>
      <w:r w:rsidRPr="00AF261F">
        <w:rPr>
          <w:rFonts w:ascii="Arial" w:hAnsi="Arial" w:cs="Arial"/>
          <w:sz w:val="24"/>
        </w:rPr>
        <w:t>N is number of working days in a given quarter;</w:t>
      </w:r>
    </w:p>
    <w:p w:rsidR="00183342" w:rsidRPr="00AF261F" w:rsidRDefault="00166AF1" w:rsidP="007B7B98">
      <w:pPr>
        <w:spacing w:line="360" w:lineRule="auto"/>
        <w:ind w:left="426"/>
        <w:jc w:val="both"/>
        <w:rPr>
          <w:rFonts w:ascii="Arial" w:hAnsi="Arial" w:cs="Arial"/>
          <w:sz w:val="24"/>
        </w:rPr>
      </w:pPr>
      <w:r w:rsidRPr="00AF261F">
        <w:rPr>
          <w:rFonts w:ascii="Arial" w:hAnsi="Arial" w:cs="Arial"/>
          <w:sz w:val="24"/>
        </w:rPr>
        <w:t>EP</w:t>
      </w:r>
      <w:r w:rsidR="00183342" w:rsidRPr="00AF261F">
        <w:rPr>
          <w:rFonts w:ascii="Arial" w:hAnsi="Arial" w:cs="Arial"/>
          <w:sz w:val="24"/>
        </w:rPr>
        <w:t xml:space="preserve"> and OTC is the share </w:t>
      </w:r>
      <w:r w:rsidRPr="00AF261F">
        <w:rPr>
          <w:rFonts w:ascii="Arial" w:hAnsi="Arial" w:cs="Arial"/>
          <w:sz w:val="24"/>
        </w:rPr>
        <w:t xml:space="preserve">of trading operations </w:t>
      </w:r>
      <w:r w:rsidR="00D07D8B" w:rsidRPr="00AF261F">
        <w:rPr>
          <w:rFonts w:ascii="Arial" w:hAnsi="Arial" w:cs="Arial"/>
          <w:sz w:val="24"/>
        </w:rPr>
        <w:t xml:space="preserve">of </w:t>
      </w:r>
      <w:r w:rsidR="00962642" w:rsidRPr="00AF261F">
        <w:rPr>
          <w:rFonts w:ascii="Arial" w:hAnsi="Arial" w:cs="Arial"/>
          <w:sz w:val="24"/>
        </w:rPr>
        <w:t>Agent</w:t>
      </w:r>
      <w:r w:rsidR="00D07D8B" w:rsidRPr="00AF261F">
        <w:rPr>
          <w:rFonts w:ascii="Arial" w:hAnsi="Arial" w:cs="Arial"/>
          <w:sz w:val="24"/>
        </w:rPr>
        <w:t xml:space="preserve"> </w:t>
      </w:r>
      <w:r w:rsidRPr="00AF261F">
        <w:rPr>
          <w:rFonts w:ascii="Arial" w:hAnsi="Arial" w:cs="Arial"/>
          <w:sz w:val="24"/>
        </w:rPr>
        <w:t>in</w:t>
      </w:r>
      <w:r w:rsidR="00183342" w:rsidRPr="00AF261F">
        <w:rPr>
          <w:rFonts w:ascii="Arial" w:hAnsi="Arial" w:cs="Arial"/>
          <w:sz w:val="24"/>
        </w:rPr>
        <w:t xml:space="preserve"> </w:t>
      </w:r>
      <w:r w:rsidRPr="00AF261F">
        <w:rPr>
          <w:rFonts w:ascii="Arial" w:hAnsi="Arial" w:cs="Arial"/>
          <w:sz w:val="24"/>
        </w:rPr>
        <w:t>exchange platform</w:t>
      </w:r>
      <w:r w:rsidR="00183342" w:rsidRPr="00AF261F">
        <w:rPr>
          <w:rFonts w:ascii="Arial" w:hAnsi="Arial" w:cs="Arial"/>
          <w:sz w:val="24"/>
        </w:rPr>
        <w:t xml:space="preserve"> and OTC </w:t>
      </w:r>
      <w:r w:rsidRPr="00AF261F">
        <w:rPr>
          <w:rFonts w:ascii="Arial" w:hAnsi="Arial" w:cs="Arial"/>
          <w:sz w:val="24"/>
        </w:rPr>
        <w:t>market</w:t>
      </w:r>
      <w:r w:rsidR="00183342" w:rsidRPr="00AF261F">
        <w:rPr>
          <w:rFonts w:ascii="Arial" w:hAnsi="Arial" w:cs="Arial"/>
          <w:sz w:val="24"/>
        </w:rPr>
        <w:t xml:space="preserve"> in the reporting period in the total daily volume. </w:t>
      </w:r>
    </w:p>
    <w:p w:rsidR="00183342" w:rsidRPr="00AF261F" w:rsidRDefault="00183342" w:rsidP="007B7B98">
      <w:pPr>
        <w:spacing w:line="360" w:lineRule="auto"/>
        <w:ind w:left="426"/>
        <w:jc w:val="both"/>
        <w:rPr>
          <w:rFonts w:ascii="Arial" w:hAnsi="Arial" w:cs="Arial"/>
          <w:sz w:val="24"/>
        </w:rPr>
      </w:pPr>
      <w:bookmarkStart w:id="1" w:name="OLE_LINK3"/>
      <w:r w:rsidRPr="00AF261F">
        <w:rPr>
          <w:rFonts w:ascii="Arial" w:hAnsi="Arial" w:cs="Arial"/>
          <w:sz w:val="24"/>
        </w:rPr>
        <w:t>I</w:t>
      </w:r>
      <w:r w:rsidRPr="00AF261F">
        <w:rPr>
          <w:rFonts w:ascii="Arial" w:hAnsi="Arial" w:cs="Arial"/>
          <w:sz w:val="24"/>
        </w:rPr>
        <w:softHyphen/>
      </w:r>
      <w:r w:rsidRPr="00AF261F">
        <w:rPr>
          <w:rFonts w:ascii="Arial" w:hAnsi="Arial" w:cs="Arial"/>
          <w:sz w:val="24"/>
        </w:rPr>
        <w:softHyphen/>
      </w:r>
      <w:r w:rsidRPr="00AF261F">
        <w:rPr>
          <w:rFonts w:ascii="Arial" w:hAnsi="Arial" w:cs="Arial"/>
          <w:sz w:val="24"/>
          <w:vertAlign w:val="subscript"/>
        </w:rPr>
        <w:t>3</w:t>
      </w:r>
      <w:r w:rsidRPr="00AF261F">
        <w:rPr>
          <w:rFonts w:ascii="Arial" w:hAnsi="Arial" w:cs="Arial"/>
          <w:sz w:val="24"/>
        </w:rPr>
        <w:t xml:space="preserve"> indicator is calculated by C</w:t>
      </w:r>
      <w:r w:rsidR="00D07D8B" w:rsidRPr="00AF261F">
        <w:rPr>
          <w:rFonts w:ascii="Arial" w:hAnsi="Arial" w:cs="Arial"/>
          <w:sz w:val="24"/>
        </w:rPr>
        <w:t xml:space="preserve">entral </w:t>
      </w:r>
      <w:r w:rsidRPr="00AF261F">
        <w:rPr>
          <w:rFonts w:ascii="Arial" w:hAnsi="Arial" w:cs="Arial"/>
          <w:sz w:val="24"/>
        </w:rPr>
        <w:t>B</w:t>
      </w:r>
      <w:r w:rsidR="00D07D8B" w:rsidRPr="00AF261F">
        <w:rPr>
          <w:rFonts w:ascii="Arial" w:hAnsi="Arial" w:cs="Arial"/>
          <w:sz w:val="24"/>
        </w:rPr>
        <w:t>ank of the Republic of Armenia</w:t>
      </w:r>
      <w:r w:rsidRPr="00AF261F">
        <w:rPr>
          <w:rFonts w:ascii="Arial" w:hAnsi="Arial" w:cs="Arial"/>
          <w:sz w:val="24"/>
        </w:rPr>
        <w:t xml:space="preserve"> and submitted to the </w:t>
      </w:r>
      <w:r w:rsidR="00D07D8B" w:rsidRPr="00AF261F">
        <w:rPr>
          <w:rFonts w:ascii="Arial" w:hAnsi="Arial" w:cs="Arial"/>
          <w:sz w:val="24"/>
        </w:rPr>
        <w:t>Issuer</w:t>
      </w:r>
      <w:r w:rsidRPr="00AF261F">
        <w:rPr>
          <w:rFonts w:ascii="Arial" w:hAnsi="Arial" w:cs="Arial"/>
          <w:sz w:val="24"/>
        </w:rPr>
        <w:t xml:space="preserve"> within 5 working days after the end of the reporting quarter.</w:t>
      </w:r>
    </w:p>
    <w:bookmarkEnd w:id="1"/>
    <w:p w:rsidR="00183342" w:rsidRPr="00AF261F" w:rsidRDefault="00183342" w:rsidP="007B7B98">
      <w:pPr>
        <w:spacing w:line="360" w:lineRule="auto"/>
        <w:rPr>
          <w:rFonts w:ascii="Arial" w:hAnsi="Arial" w:cs="Arial"/>
          <w:color w:val="FF0000"/>
          <w:sz w:val="24"/>
        </w:rPr>
      </w:pPr>
      <w:r w:rsidRPr="00AF261F">
        <w:rPr>
          <w:rFonts w:ascii="Arial" w:hAnsi="Arial" w:cs="Arial"/>
          <w:sz w:val="24"/>
        </w:rPr>
        <w:t xml:space="preserve">3) </w:t>
      </w:r>
      <w:r w:rsidRPr="00AF261F">
        <w:rPr>
          <w:rFonts w:ascii="Arial" w:hAnsi="Arial" w:cs="Arial"/>
          <w:b/>
          <w:sz w:val="24"/>
        </w:rPr>
        <w:t xml:space="preserve">Work with the Issuer </w:t>
      </w:r>
      <w:r w:rsidR="00D00047" w:rsidRPr="00AF261F">
        <w:rPr>
          <w:rFonts w:ascii="Arial" w:hAnsi="Arial" w:cs="Arial"/>
          <w:b/>
          <w:sz w:val="24"/>
        </w:rPr>
        <w:t>(I</w:t>
      </w:r>
      <w:r w:rsidR="00D00047" w:rsidRPr="00AF261F">
        <w:rPr>
          <w:rFonts w:ascii="Arial" w:hAnsi="Arial" w:cs="Arial"/>
          <w:b/>
          <w:sz w:val="24"/>
          <w:vertAlign w:val="subscript"/>
        </w:rPr>
        <w:t>4</w:t>
      </w:r>
      <w:r w:rsidR="00D00047" w:rsidRPr="00AF261F">
        <w:rPr>
          <w:rFonts w:ascii="Arial" w:hAnsi="Arial" w:cs="Arial"/>
          <w:b/>
          <w:sz w:val="24"/>
        </w:rPr>
        <w:t>)</w:t>
      </w:r>
      <w:r w:rsidRPr="00AF261F">
        <w:rPr>
          <w:rFonts w:ascii="Arial" w:hAnsi="Arial" w:cs="Arial"/>
          <w:sz w:val="24"/>
        </w:rPr>
        <w:t xml:space="preserve"> </w:t>
      </w:r>
    </w:p>
    <w:p w:rsidR="00183342" w:rsidRPr="00AF261F" w:rsidRDefault="00183342" w:rsidP="007B7B98">
      <w:pPr>
        <w:spacing w:line="360" w:lineRule="auto"/>
        <w:jc w:val="both"/>
        <w:rPr>
          <w:rFonts w:ascii="Arial" w:hAnsi="Arial" w:cs="Arial"/>
          <w:color w:val="FF0000"/>
          <w:sz w:val="24"/>
        </w:rPr>
      </w:pPr>
      <w:r w:rsidRPr="00AF261F">
        <w:rPr>
          <w:rFonts w:ascii="Arial" w:hAnsi="Arial" w:cs="Arial"/>
          <w:sz w:val="24"/>
        </w:rPr>
        <w:t>I</w:t>
      </w:r>
      <w:r w:rsidRPr="00AF261F">
        <w:rPr>
          <w:rFonts w:ascii="Arial" w:hAnsi="Arial" w:cs="Arial"/>
          <w:sz w:val="24"/>
          <w:vertAlign w:val="subscript"/>
        </w:rPr>
        <w:t>4</w:t>
      </w:r>
      <w:r w:rsidRPr="00AF261F">
        <w:rPr>
          <w:rFonts w:ascii="Arial" w:hAnsi="Arial" w:cs="Arial"/>
          <w:sz w:val="24"/>
        </w:rPr>
        <w:t xml:space="preserve"> - is an indicator assessing reporting on consultancy, analysis and forecasts provided for the Issuer on the capital market through CBANet for the coming quarter by the </w:t>
      </w:r>
      <w:r w:rsidR="00962642" w:rsidRPr="00AF261F">
        <w:rPr>
          <w:rFonts w:ascii="Arial" w:hAnsi="Arial" w:cs="Arial"/>
          <w:sz w:val="24"/>
        </w:rPr>
        <w:t>Agent</w:t>
      </w:r>
      <w:r w:rsidRPr="00AF261F">
        <w:rPr>
          <w:rFonts w:ascii="Arial" w:hAnsi="Arial" w:cs="Arial"/>
          <w:sz w:val="24"/>
        </w:rPr>
        <w:t xml:space="preserve"> 10 days before each quarter, as wel</w:t>
      </w:r>
      <w:r w:rsidR="00B87509" w:rsidRPr="00AF261F">
        <w:rPr>
          <w:rFonts w:ascii="Arial" w:hAnsi="Arial" w:cs="Arial"/>
          <w:sz w:val="24"/>
        </w:rPr>
        <w:t>l as recommendations and comment</w:t>
      </w:r>
      <w:r w:rsidRPr="00AF261F">
        <w:rPr>
          <w:rFonts w:ascii="Arial" w:hAnsi="Arial" w:cs="Arial"/>
          <w:sz w:val="24"/>
        </w:rPr>
        <w:t>s made during the meetings</w:t>
      </w:r>
      <w:r w:rsidR="00D00047" w:rsidRPr="00AF261F">
        <w:rPr>
          <w:rFonts w:ascii="Arial" w:hAnsi="Arial" w:cs="Arial"/>
          <w:sz w:val="24"/>
        </w:rPr>
        <w:t xml:space="preserve"> with </w:t>
      </w:r>
      <w:r w:rsidR="00962642" w:rsidRPr="00AF261F">
        <w:rPr>
          <w:rFonts w:ascii="Arial" w:hAnsi="Arial" w:cs="Arial"/>
          <w:sz w:val="24"/>
        </w:rPr>
        <w:t>Agent</w:t>
      </w:r>
      <w:r w:rsidR="00D00047" w:rsidRPr="00AF261F">
        <w:rPr>
          <w:rFonts w:ascii="Arial" w:hAnsi="Arial" w:cs="Arial"/>
          <w:sz w:val="24"/>
        </w:rPr>
        <w:t>s</w:t>
      </w:r>
      <w:r w:rsidRPr="00AF261F">
        <w:rPr>
          <w:rFonts w:ascii="Arial" w:hAnsi="Arial" w:cs="Arial"/>
          <w:sz w:val="24"/>
        </w:rPr>
        <w:t xml:space="preserve">. </w:t>
      </w:r>
    </w:p>
    <w:p w:rsidR="00183342" w:rsidRPr="00AF261F" w:rsidRDefault="00183342" w:rsidP="007B7B98">
      <w:pPr>
        <w:numPr>
          <w:ilvl w:val="0"/>
          <w:numId w:val="1"/>
        </w:numPr>
        <w:tabs>
          <w:tab w:val="clear" w:pos="360"/>
          <w:tab w:val="num" w:pos="142"/>
        </w:tabs>
        <w:spacing w:line="360" w:lineRule="auto"/>
        <w:ind w:left="0" w:firstLine="0"/>
        <w:jc w:val="both"/>
        <w:rPr>
          <w:rFonts w:ascii="Arial" w:hAnsi="Arial" w:cs="Arial"/>
          <w:sz w:val="24"/>
        </w:rPr>
      </w:pPr>
      <w:r w:rsidRPr="00AF261F">
        <w:rPr>
          <w:rFonts w:ascii="Arial" w:hAnsi="Arial" w:cs="Arial"/>
          <w:sz w:val="24"/>
        </w:rPr>
        <w:t xml:space="preserve">For quarterly assessment of each </w:t>
      </w:r>
      <w:r w:rsidR="00242A37" w:rsidRPr="00AF261F">
        <w:rPr>
          <w:rFonts w:ascii="Arial" w:hAnsi="Arial" w:cs="Arial"/>
          <w:sz w:val="24"/>
        </w:rPr>
        <w:t>Agent</w:t>
      </w:r>
      <w:r w:rsidR="00B87509" w:rsidRPr="00AF261F">
        <w:rPr>
          <w:rFonts w:ascii="Arial" w:hAnsi="Arial" w:cs="Arial"/>
          <w:sz w:val="24"/>
        </w:rPr>
        <w:t>,</w:t>
      </w:r>
      <w:r w:rsidRPr="00AF261F">
        <w:rPr>
          <w:rFonts w:ascii="Arial" w:hAnsi="Arial" w:cs="Arial"/>
          <w:sz w:val="24"/>
        </w:rPr>
        <w:t xml:space="preserve"> the indicator of the number of violations of quotation rules by the </w:t>
      </w:r>
      <w:r w:rsidR="00242A37" w:rsidRPr="00AF261F">
        <w:rPr>
          <w:rFonts w:ascii="Arial" w:hAnsi="Arial" w:cs="Arial"/>
          <w:sz w:val="24"/>
        </w:rPr>
        <w:t>Agents</w:t>
      </w:r>
      <w:r w:rsidR="00B87509" w:rsidRPr="00AF261F">
        <w:rPr>
          <w:rFonts w:ascii="Arial" w:hAnsi="Arial" w:cs="Arial"/>
          <w:sz w:val="24"/>
        </w:rPr>
        <w:t xml:space="preserve"> shall b</w:t>
      </w:r>
      <w:r w:rsidR="00242A37" w:rsidRPr="00AF261F">
        <w:rPr>
          <w:rFonts w:ascii="Arial" w:hAnsi="Arial" w:cs="Arial"/>
          <w:sz w:val="24"/>
        </w:rPr>
        <w:t>e</w:t>
      </w:r>
      <w:r w:rsidR="00B87509" w:rsidRPr="00AF261F">
        <w:rPr>
          <w:rFonts w:ascii="Arial" w:hAnsi="Arial" w:cs="Arial"/>
          <w:sz w:val="24"/>
        </w:rPr>
        <w:t xml:space="preserve"> applied</w:t>
      </w:r>
      <w:r w:rsidRPr="00AF261F">
        <w:rPr>
          <w:rFonts w:ascii="Arial" w:hAnsi="Arial" w:cs="Arial"/>
          <w:sz w:val="24"/>
        </w:rPr>
        <w:t xml:space="preserve">. Decimal points of </w:t>
      </w:r>
      <w:r w:rsidR="00424FD4" w:rsidRPr="00AF261F">
        <w:rPr>
          <w:rFonts w:ascii="Arial" w:hAnsi="Arial" w:cs="Arial"/>
          <w:sz w:val="24"/>
        </w:rPr>
        <w:t xml:space="preserve">number of </w:t>
      </w:r>
      <w:r w:rsidRPr="00AF261F">
        <w:rPr>
          <w:rFonts w:ascii="Arial" w:hAnsi="Arial" w:cs="Arial"/>
          <w:sz w:val="24"/>
        </w:rPr>
        <w:t xml:space="preserve">operating </w:t>
      </w:r>
      <w:r w:rsidR="00242A37" w:rsidRPr="00AF261F">
        <w:rPr>
          <w:rFonts w:ascii="Arial" w:hAnsi="Arial" w:cs="Arial"/>
          <w:sz w:val="24"/>
        </w:rPr>
        <w:lastRenderedPageBreak/>
        <w:t>Agents</w:t>
      </w:r>
      <w:r w:rsidR="003A27E2" w:rsidRPr="00AF261F">
        <w:rPr>
          <w:rFonts w:ascii="Arial" w:hAnsi="Arial" w:cs="Arial"/>
          <w:sz w:val="24"/>
        </w:rPr>
        <w:t xml:space="preserve"> </w:t>
      </w:r>
      <w:r w:rsidRPr="00AF261F">
        <w:rPr>
          <w:rFonts w:ascii="Arial" w:hAnsi="Arial" w:cs="Arial"/>
          <w:sz w:val="24"/>
        </w:rPr>
        <w:t xml:space="preserve">as of the last day of the assessed quarter is subtracted from the quarterly score of the </w:t>
      </w:r>
      <w:r w:rsidR="00242A37" w:rsidRPr="00AF261F">
        <w:rPr>
          <w:rFonts w:ascii="Arial" w:hAnsi="Arial" w:cs="Arial"/>
          <w:sz w:val="24"/>
        </w:rPr>
        <w:t>Agent</w:t>
      </w:r>
      <w:r w:rsidRPr="00AF261F">
        <w:rPr>
          <w:rFonts w:ascii="Arial" w:hAnsi="Arial" w:cs="Arial"/>
          <w:sz w:val="24"/>
        </w:rPr>
        <w:t xml:space="preserve"> having the highest number of violations, and in the list of violations – 0.1 point less from every next </w:t>
      </w:r>
      <w:r w:rsidR="00242A37" w:rsidRPr="00AF261F">
        <w:rPr>
          <w:rFonts w:ascii="Arial" w:hAnsi="Arial" w:cs="Arial"/>
          <w:sz w:val="24"/>
        </w:rPr>
        <w:t>Agent</w:t>
      </w:r>
      <w:r w:rsidRPr="00AF261F">
        <w:rPr>
          <w:rFonts w:ascii="Arial" w:hAnsi="Arial" w:cs="Arial"/>
          <w:sz w:val="24"/>
        </w:rPr>
        <w:t xml:space="preserve">. No points are subtracted from the </w:t>
      </w:r>
      <w:r w:rsidR="00242A37" w:rsidRPr="00AF261F">
        <w:rPr>
          <w:rFonts w:ascii="Arial" w:hAnsi="Arial" w:cs="Arial"/>
          <w:sz w:val="24"/>
        </w:rPr>
        <w:t>Agent</w:t>
      </w:r>
      <w:r w:rsidR="003A27E2" w:rsidRPr="00AF261F">
        <w:rPr>
          <w:rFonts w:ascii="Arial" w:hAnsi="Arial" w:cs="Arial"/>
          <w:sz w:val="24"/>
        </w:rPr>
        <w:t xml:space="preserve"> </w:t>
      </w:r>
      <w:r w:rsidRPr="00AF261F">
        <w:rPr>
          <w:rFonts w:ascii="Arial" w:hAnsi="Arial" w:cs="Arial"/>
          <w:sz w:val="24"/>
        </w:rPr>
        <w:t xml:space="preserve">having no violation. </w:t>
      </w:r>
    </w:p>
    <w:p w:rsidR="00183342" w:rsidRPr="00AF261F" w:rsidRDefault="00183342" w:rsidP="007B7B98">
      <w:pPr>
        <w:numPr>
          <w:ilvl w:val="0"/>
          <w:numId w:val="1"/>
        </w:numPr>
        <w:tabs>
          <w:tab w:val="clear" w:pos="360"/>
          <w:tab w:val="num" w:pos="0"/>
        </w:tabs>
        <w:spacing w:line="360" w:lineRule="auto"/>
        <w:ind w:left="0" w:firstLine="0"/>
        <w:jc w:val="both"/>
        <w:rPr>
          <w:rFonts w:ascii="Arial" w:hAnsi="Arial" w:cs="Arial"/>
          <w:sz w:val="24"/>
        </w:rPr>
      </w:pPr>
      <w:r w:rsidRPr="00AF261F">
        <w:rPr>
          <w:rFonts w:ascii="Arial" w:hAnsi="Arial" w:cs="Arial"/>
          <w:sz w:val="24"/>
        </w:rPr>
        <w:t xml:space="preserve">Quarterly operation assessment of the </w:t>
      </w:r>
      <w:r w:rsidR="00424FD4" w:rsidRPr="00AF261F">
        <w:rPr>
          <w:rFonts w:ascii="Arial" w:hAnsi="Arial" w:cs="Arial"/>
          <w:sz w:val="24"/>
        </w:rPr>
        <w:t>Agent</w:t>
      </w:r>
      <w:r w:rsidRPr="00AF261F">
        <w:rPr>
          <w:rFonts w:ascii="Arial" w:hAnsi="Arial" w:cs="Arial"/>
          <w:sz w:val="24"/>
        </w:rPr>
        <w:t xml:space="preserve"> </w:t>
      </w:r>
      <w:r w:rsidR="00B87509" w:rsidRPr="00AF261F">
        <w:rPr>
          <w:rFonts w:ascii="Arial" w:hAnsi="Arial" w:cs="Arial"/>
          <w:sz w:val="24"/>
        </w:rPr>
        <w:t xml:space="preserve">shall be done </w:t>
      </w:r>
      <w:r w:rsidRPr="00AF261F">
        <w:rPr>
          <w:rFonts w:ascii="Arial" w:hAnsi="Arial" w:cs="Arial"/>
          <w:sz w:val="24"/>
        </w:rPr>
        <w:t>in the following stages:</w:t>
      </w:r>
    </w:p>
    <w:p w:rsidR="00183342" w:rsidRPr="00AF261F" w:rsidRDefault="00183342" w:rsidP="007B7B98">
      <w:pPr>
        <w:tabs>
          <w:tab w:val="num" w:pos="0"/>
        </w:tabs>
        <w:spacing w:line="360" w:lineRule="auto"/>
        <w:jc w:val="both"/>
        <w:rPr>
          <w:rFonts w:ascii="Arial" w:hAnsi="Arial" w:cs="Arial"/>
          <w:sz w:val="24"/>
        </w:rPr>
      </w:pPr>
      <w:r w:rsidRPr="00AF261F">
        <w:rPr>
          <w:rFonts w:ascii="Arial" w:hAnsi="Arial" w:cs="Arial"/>
          <w:sz w:val="24"/>
        </w:rPr>
        <w:t>1) calculation of the sum of primary marke</w:t>
      </w:r>
      <w:r w:rsidR="00424FD4" w:rsidRPr="00AF261F">
        <w:rPr>
          <w:rFonts w:ascii="Arial" w:hAnsi="Arial" w:cs="Arial"/>
          <w:sz w:val="24"/>
        </w:rPr>
        <w:t>t participation indicators;</w:t>
      </w:r>
    </w:p>
    <w:p w:rsidR="00183342" w:rsidRPr="00AF261F" w:rsidRDefault="00183342" w:rsidP="007B7B98">
      <w:pPr>
        <w:tabs>
          <w:tab w:val="num" w:pos="0"/>
        </w:tabs>
        <w:spacing w:line="360" w:lineRule="auto"/>
        <w:jc w:val="both"/>
        <w:rPr>
          <w:rFonts w:ascii="Arial" w:hAnsi="Arial" w:cs="Arial"/>
          <w:sz w:val="24"/>
        </w:rPr>
      </w:pPr>
      <w:r w:rsidRPr="00AF261F">
        <w:rPr>
          <w:rFonts w:ascii="Arial" w:hAnsi="Arial" w:cs="Arial"/>
          <w:sz w:val="24"/>
        </w:rPr>
        <w:t>2) calculation of second</w:t>
      </w:r>
      <w:r w:rsidR="00424FD4" w:rsidRPr="00AF261F">
        <w:rPr>
          <w:rFonts w:ascii="Arial" w:hAnsi="Arial" w:cs="Arial"/>
          <w:sz w:val="24"/>
        </w:rPr>
        <w:t>ary market activeness indicator;</w:t>
      </w:r>
    </w:p>
    <w:p w:rsidR="00183342" w:rsidRPr="00AF261F" w:rsidRDefault="00183342" w:rsidP="007B7B98">
      <w:pPr>
        <w:tabs>
          <w:tab w:val="num" w:pos="0"/>
        </w:tabs>
        <w:spacing w:line="360" w:lineRule="auto"/>
        <w:jc w:val="both"/>
        <w:rPr>
          <w:rFonts w:ascii="Arial" w:hAnsi="Arial" w:cs="Arial"/>
          <w:sz w:val="24"/>
        </w:rPr>
      </w:pPr>
      <w:r w:rsidRPr="00AF261F">
        <w:rPr>
          <w:rFonts w:ascii="Arial" w:hAnsi="Arial" w:cs="Arial"/>
          <w:sz w:val="24"/>
        </w:rPr>
        <w:t>3) calculation of work with the Issuer indicator</w:t>
      </w:r>
      <w:r w:rsidR="00424FD4" w:rsidRPr="00AF261F">
        <w:rPr>
          <w:rFonts w:ascii="Arial" w:hAnsi="Arial" w:cs="Arial"/>
          <w:sz w:val="24"/>
        </w:rPr>
        <w:t>;</w:t>
      </w:r>
    </w:p>
    <w:p w:rsidR="00183342" w:rsidRPr="00AF261F" w:rsidRDefault="00183342" w:rsidP="007B7B98">
      <w:pPr>
        <w:tabs>
          <w:tab w:val="num" w:pos="0"/>
        </w:tabs>
        <w:spacing w:line="360" w:lineRule="auto"/>
        <w:jc w:val="both"/>
        <w:rPr>
          <w:rFonts w:ascii="Arial" w:hAnsi="Arial" w:cs="Arial"/>
        </w:rPr>
      </w:pPr>
      <w:r w:rsidRPr="00AF261F">
        <w:rPr>
          <w:rFonts w:ascii="Arial" w:hAnsi="Arial" w:cs="Arial"/>
          <w:sz w:val="24"/>
        </w:rPr>
        <w:t xml:space="preserve">4) The </w:t>
      </w:r>
      <w:r w:rsidR="00424FD4" w:rsidRPr="00AF261F">
        <w:rPr>
          <w:rFonts w:ascii="Arial" w:hAnsi="Arial" w:cs="Arial"/>
          <w:sz w:val="24"/>
        </w:rPr>
        <w:t>Agents</w:t>
      </w:r>
      <w:r w:rsidR="003A27E2" w:rsidRPr="00AF261F">
        <w:rPr>
          <w:rFonts w:ascii="Arial" w:hAnsi="Arial" w:cs="Arial"/>
          <w:sz w:val="24"/>
        </w:rPr>
        <w:t xml:space="preserve"> </w:t>
      </w:r>
      <w:r w:rsidR="00B87509" w:rsidRPr="00AF261F">
        <w:rPr>
          <w:rFonts w:ascii="Arial" w:hAnsi="Arial" w:cs="Arial"/>
          <w:sz w:val="24"/>
        </w:rPr>
        <w:t>shall be</w:t>
      </w:r>
      <w:r w:rsidRPr="00AF261F">
        <w:rPr>
          <w:rFonts w:ascii="Arial" w:hAnsi="Arial" w:cs="Arial"/>
          <w:sz w:val="24"/>
        </w:rPr>
        <w:t xml:space="preserve"> given the scores, in line with the results for each indicator defined by paragraphs 1, 2 and 3 of this point, in descending order, in accordance with the Table below. </w:t>
      </w:r>
    </w:p>
    <w:p w:rsidR="00183342" w:rsidRPr="00AF261F" w:rsidRDefault="00183342" w:rsidP="007B7B98">
      <w:pPr>
        <w:spacing w:line="360" w:lineRule="auto"/>
        <w:ind w:left="360"/>
        <w:jc w:val="both"/>
        <w:rPr>
          <w:rFonts w:ascii="Arial" w:hAnsi="Arial" w:cs="Arial"/>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701"/>
      </w:tblGrid>
      <w:tr w:rsidR="00183342" w:rsidRPr="00AF261F" w:rsidTr="008A53F6">
        <w:tc>
          <w:tcPr>
            <w:tcW w:w="2268" w:type="dxa"/>
            <w:shd w:val="clear" w:color="auto" w:fill="auto"/>
          </w:tcPr>
          <w:p w:rsidR="00183342" w:rsidRPr="00AF261F" w:rsidRDefault="00183342" w:rsidP="007B7B98">
            <w:pPr>
              <w:spacing w:line="360" w:lineRule="auto"/>
              <w:jc w:val="both"/>
              <w:rPr>
                <w:rFonts w:ascii="Arial" w:hAnsi="Arial" w:cs="Arial"/>
                <w:sz w:val="24"/>
              </w:rPr>
            </w:pPr>
            <w:r w:rsidRPr="00AF261F">
              <w:rPr>
                <w:rFonts w:ascii="Arial" w:hAnsi="Arial" w:cs="Arial"/>
                <w:sz w:val="24"/>
              </w:rPr>
              <w:t xml:space="preserve">Maximum result </w:t>
            </w:r>
          </w:p>
        </w:tc>
        <w:tc>
          <w:tcPr>
            <w:tcW w:w="1701" w:type="dxa"/>
            <w:shd w:val="clear" w:color="auto" w:fill="auto"/>
          </w:tcPr>
          <w:p w:rsidR="00183342" w:rsidRPr="00AF261F" w:rsidRDefault="00183342" w:rsidP="007B7B98">
            <w:pPr>
              <w:spacing w:line="360" w:lineRule="auto"/>
              <w:jc w:val="both"/>
              <w:rPr>
                <w:rFonts w:ascii="Arial" w:hAnsi="Arial" w:cs="Arial"/>
                <w:sz w:val="24"/>
              </w:rPr>
            </w:pPr>
            <w:r w:rsidRPr="00AF261F">
              <w:rPr>
                <w:rFonts w:ascii="Arial" w:hAnsi="Arial" w:cs="Arial"/>
                <w:sz w:val="24"/>
              </w:rPr>
              <w:t xml:space="preserve">7 points </w:t>
            </w:r>
          </w:p>
        </w:tc>
      </w:tr>
      <w:tr w:rsidR="00183342" w:rsidRPr="00AF261F" w:rsidTr="008A53F6">
        <w:tc>
          <w:tcPr>
            <w:tcW w:w="2268" w:type="dxa"/>
            <w:shd w:val="clear" w:color="auto" w:fill="auto"/>
          </w:tcPr>
          <w:p w:rsidR="00183342" w:rsidRPr="00AF261F" w:rsidRDefault="00183342" w:rsidP="007B7B98">
            <w:pPr>
              <w:spacing w:line="360" w:lineRule="auto"/>
              <w:jc w:val="both"/>
              <w:rPr>
                <w:rFonts w:ascii="Arial" w:hAnsi="Arial" w:cs="Arial"/>
                <w:sz w:val="24"/>
              </w:rPr>
            </w:pPr>
          </w:p>
        </w:tc>
        <w:tc>
          <w:tcPr>
            <w:tcW w:w="1701" w:type="dxa"/>
            <w:shd w:val="clear" w:color="auto" w:fill="auto"/>
          </w:tcPr>
          <w:p w:rsidR="00183342" w:rsidRPr="00AF261F" w:rsidRDefault="00183342" w:rsidP="007B7B98">
            <w:pPr>
              <w:spacing w:line="360" w:lineRule="auto"/>
              <w:jc w:val="both"/>
              <w:rPr>
                <w:rFonts w:ascii="Arial" w:hAnsi="Arial" w:cs="Arial"/>
                <w:sz w:val="24"/>
              </w:rPr>
            </w:pPr>
            <w:r w:rsidRPr="00AF261F">
              <w:rPr>
                <w:rFonts w:ascii="Arial" w:hAnsi="Arial" w:cs="Arial"/>
                <w:sz w:val="24"/>
              </w:rPr>
              <w:t>6 points</w:t>
            </w:r>
          </w:p>
        </w:tc>
      </w:tr>
      <w:tr w:rsidR="00183342" w:rsidRPr="00AF261F" w:rsidTr="008A53F6">
        <w:tc>
          <w:tcPr>
            <w:tcW w:w="2268" w:type="dxa"/>
            <w:shd w:val="clear" w:color="auto" w:fill="auto"/>
          </w:tcPr>
          <w:p w:rsidR="00183342" w:rsidRPr="00AF261F" w:rsidRDefault="00183342" w:rsidP="007B7B98">
            <w:pPr>
              <w:spacing w:line="360" w:lineRule="auto"/>
              <w:jc w:val="both"/>
              <w:rPr>
                <w:rFonts w:ascii="Arial" w:hAnsi="Arial" w:cs="Arial"/>
                <w:sz w:val="24"/>
              </w:rPr>
            </w:pPr>
          </w:p>
        </w:tc>
        <w:tc>
          <w:tcPr>
            <w:tcW w:w="1701" w:type="dxa"/>
            <w:shd w:val="clear" w:color="auto" w:fill="auto"/>
          </w:tcPr>
          <w:p w:rsidR="00183342" w:rsidRPr="00AF261F" w:rsidRDefault="00183342" w:rsidP="007B7B98">
            <w:pPr>
              <w:spacing w:line="360" w:lineRule="auto"/>
              <w:jc w:val="both"/>
              <w:rPr>
                <w:rFonts w:ascii="Arial" w:hAnsi="Arial" w:cs="Arial"/>
                <w:sz w:val="24"/>
              </w:rPr>
            </w:pPr>
            <w:r w:rsidRPr="00AF261F">
              <w:rPr>
                <w:rFonts w:ascii="Arial" w:hAnsi="Arial" w:cs="Arial"/>
                <w:sz w:val="24"/>
              </w:rPr>
              <w:t>5 points</w:t>
            </w:r>
          </w:p>
        </w:tc>
      </w:tr>
      <w:tr w:rsidR="00183342" w:rsidRPr="00AF261F" w:rsidTr="008A53F6">
        <w:tc>
          <w:tcPr>
            <w:tcW w:w="2268" w:type="dxa"/>
            <w:shd w:val="clear" w:color="auto" w:fill="auto"/>
          </w:tcPr>
          <w:p w:rsidR="00183342" w:rsidRPr="00AF261F" w:rsidRDefault="00183342" w:rsidP="007B7B98">
            <w:pPr>
              <w:spacing w:line="360" w:lineRule="auto"/>
              <w:jc w:val="both"/>
              <w:rPr>
                <w:rFonts w:ascii="Arial" w:hAnsi="Arial" w:cs="Arial"/>
                <w:sz w:val="24"/>
              </w:rPr>
            </w:pPr>
          </w:p>
        </w:tc>
        <w:tc>
          <w:tcPr>
            <w:tcW w:w="1701" w:type="dxa"/>
            <w:shd w:val="clear" w:color="auto" w:fill="auto"/>
          </w:tcPr>
          <w:p w:rsidR="00183342" w:rsidRPr="00AF261F" w:rsidRDefault="00183342" w:rsidP="007B7B98">
            <w:pPr>
              <w:spacing w:line="360" w:lineRule="auto"/>
              <w:jc w:val="both"/>
              <w:rPr>
                <w:rFonts w:ascii="Arial" w:hAnsi="Arial" w:cs="Arial"/>
                <w:sz w:val="24"/>
              </w:rPr>
            </w:pPr>
            <w:r w:rsidRPr="00AF261F">
              <w:rPr>
                <w:rFonts w:ascii="Arial" w:hAnsi="Arial" w:cs="Arial"/>
                <w:sz w:val="24"/>
              </w:rPr>
              <w:t xml:space="preserve">4 points </w:t>
            </w:r>
          </w:p>
        </w:tc>
      </w:tr>
      <w:tr w:rsidR="00183342" w:rsidRPr="00AF261F" w:rsidTr="008A53F6">
        <w:tc>
          <w:tcPr>
            <w:tcW w:w="2268" w:type="dxa"/>
            <w:shd w:val="clear" w:color="auto" w:fill="auto"/>
          </w:tcPr>
          <w:p w:rsidR="00183342" w:rsidRPr="00AF261F" w:rsidRDefault="00183342" w:rsidP="007B7B98">
            <w:pPr>
              <w:spacing w:line="360" w:lineRule="auto"/>
              <w:jc w:val="both"/>
              <w:rPr>
                <w:rFonts w:ascii="Arial" w:hAnsi="Arial" w:cs="Arial"/>
                <w:sz w:val="24"/>
              </w:rPr>
            </w:pPr>
          </w:p>
        </w:tc>
        <w:tc>
          <w:tcPr>
            <w:tcW w:w="1701" w:type="dxa"/>
            <w:shd w:val="clear" w:color="auto" w:fill="auto"/>
          </w:tcPr>
          <w:p w:rsidR="00183342" w:rsidRPr="00AF261F" w:rsidRDefault="00183342" w:rsidP="007B7B98">
            <w:pPr>
              <w:spacing w:line="360" w:lineRule="auto"/>
              <w:jc w:val="both"/>
              <w:rPr>
                <w:rFonts w:ascii="Arial" w:hAnsi="Arial" w:cs="Arial"/>
                <w:sz w:val="24"/>
              </w:rPr>
            </w:pPr>
            <w:r w:rsidRPr="00AF261F">
              <w:rPr>
                <w:rFonts w:ascii="Arial" w:hAnsi="Arial" w:cs="Arial"/>
                <w:sz w:val="24"/>
              </w:rPr>
              <w:t>3 points</w:t>
            </w:r>
          </w:p>
        </w:tc>
      </w:tr>
      <w:tr w:rsidR="00183342" w:rsidRPr="00AF261F" w:rsidTr="008A53F6">
        <w:tc>
          <w:tcPr>
            <w:tcW w:w="2268" w:type="dxa"/>
            <w:shd w:val="clear" w:color="auto" w:fill="auto"/>
          </w:tcPr>
          <w:p w:rsidR="00183342" w:rsidRPr="00AF261F" w:rsidRDefault="00183342" w:rsidP="007B7B98">
            <w:pPr>
              <w:spacing w:line="360" w:lineRule="auto"/>
              <w:jc w:val="both"/>
              <w:rPr>
                <w:rFonts w:ascii="Arial" w:hAnsi="Arial" w:cs="Arial"/>
                <w:sz w:val="24"/>
              </w:rPr>
            </w:pPr>
          </w:p>
        </w:tc>
        <w:tc>
          <w:tcPr>
            <w:tcW w:w="1701" w:type="dxa"/>
            <w:shd w:val="clear" w:color="auto" w:fill="auto"/>
          </w:tcPr>
          <w:p w:rsidR="00183342" w:rsidRPr="00AF261F" w:rsidRDefault="00183342" w:rsidP="007B7B98">
            <w:pPr>
              <w:spacing w:line="360" w:lineRule="auto"/>
              <w:jc w:val="both"/>
              <w:rPr>
                <w:rFonts w:ascii="Arial" w:hAnsi="Arial" w:cs="Arial"/>
                <w:sz w:val="24"/>
              </w:rPr>
            </w:pPr>
            <w:r w:rsidRPr="00AF261F">
              <w:rPr>
                <w:rFonts w:ascii="Arial" w:hAnsi="Arial" w:cs="Arial"/>
                <w:sz w:val="24"/>
              </w:rPr>
              <w:t>2 points</w:t>
            </w:r>
          </w:p>
        </w:tc>
      </w:tr>
      <w:tr w:rsidR="00183342" w:rsidRPr="00AF261F" w:rsidTr="008A53F6">
        <w:tc>
          <w:tcPr>
            <w:tcW w:w="2268" w:type="dxa"/>
            <w:shd w:val="clear" w:color="auto" w:fill="auto"/>
          </w:tcPr>
          <w:p w:rsidR="00183342" w:rsidRPr="00AF261F" w:rsidRDefault="00183342" w:rsidP="007B7B98">
            <w:pPr>
              <w:spacing w:line="360" w:lineRule="auto"/>
              <w:jc w:val="both"/>
              <w:rPr>
                <w:rFonts w:ascii="Arial" w:hAnsi="Arial" w:cs="Arial"/>
                <w:sz w:val="24"/>
              </w:rPr>
            </w:pPr>
            <w:r w:rsidRPr="00AF261F">
              <w:rPr>
                <w:rFonts w:ascii="Arial" w:hAnsi="Arial" w:cs="Arial"/>
                <w:sz w:val="24"/>
              </w:rPr>
              <w:t>Mini</w:t>
            </w:r>
            <w:r w:rsidR="00B327F6" w:rsidRPr="00AF261F">
              <w:rPr>
                <w:rFonts w:ascii="Arial" w:hAnsi="Arial" w:cs="Arial"/>
                <w:sz w:val="24"/>
              </w:rPr>
              <w:t>m</w:t>
            </w:r>
            <w:r w:rsidRPr="00AF261F">
              <w:rPr>
                <w:rFonts w:ascii="Arial" w:hAnsi="Arial" w:cs="Arial"/>
                <w:sz w:val="24"/>
              </w:rPr>
              <w:t>um result *</w:t>
            </w:r>
          </w:p>
        </w:tc>
        <w:tc>
          <w:tcPr>
            <w:tcW w:w="1701" w:type="dxa"/>
            <w:shd w:val="clear" w:color="auto" w:fill="auto"/>
          </w:tcPr>
          <w:p w:rsidR="00183342" w:rsidRPr="00AF261F" w:rsidRDefault="00183342" w:rsidP="007B7B98">
            <w:pPr>
              <w:spacing w:line="360" w:lineRule="auto"/>
              <w:jc w:val="both"/>
              <w:rPr>
                <w:rFonts w:ascii="Arial" w:hAnsi="Arial" w:cs="Arial"/>
                <w:sz w:val="24"/>
              </w:rPr>
            </w:pPr>
            <w:r w:rsidRPr="00AF261F">
              <w:rPr>
                <w:rFonts w:ascii="Arial" w:hAnsi="Arial" w:cs="Arial"/>
                <w:sz w:val="24"/>
              </w:rPr>
              <w:t>1 points</w:t>
            </w:r>
          </w:p>
        </w:tc>
      </w:tr>
    </w:tbl>
    <w:p w:rsidR="00D97EFA" w:rsidRPr="00AF261F" w:rsidRDefault="00D97EFA" w:rsidP="007B7B98">
      <w:pPr>
        <w:spacing w:line="360" w:lineRule="auto"/>
        <w:ind w:left="360"/>
        <w:jc w:val="both"/>
        <w:rPr>
          <w:rFonts w:ascii="Arial" w:hAnsi="Arial" w:cs="Arial"/>
          <w:sz w:val="24"/>
        </w:rPr>
      </w:pPr>
      <w:r w:rsidRPr="00AF261F">
        <w:rPr>
          <w:rFonts w:ascii="Arial" w:hAnsi="Arial" w:cs="Arial"/>
          <w:sz w:val="24"/>
        </w:rPr>
        <w:t xml:space="preserve"> </w:t>
      </w:r>
    </w:p>
    <w:p w:rsidR="00D97EFA" w:rsidRPr="00AF261F" w:rsidRDefault="00D97EFA" w:rsidP="007B7B98">
      <w:pPr>
        <w:spacing w:line="360" w:lineRule="auto"/>
        <w:jc w:val="both"/>
        <w:rPr>
          <w:rFonts w:ascii="Arial" w:hAnsi="Arial" w:cs="Arial"/>
          <w:sz w:val="24"/>
        </w:rPr>
      </w:pPr>
      <w:r w:rsidRPr="00AF261F">
        <w:rPr>
          <w:rFonts w:ascii="Arial" w:hAnsi="Arial" w:cs="Arial"/>
          <w:sz w:val="24"/>
        </w:rPr>
        <w:t xml:space="preserve">*- </w:t>
      </w:r>
      <w:r w:rsidR="00B327F6" w:rsidRPr="00AF261F">
        <w:rPr>
          <w:rFonts w:ascii="Arial" w:hAnsi="Arial" w:cs="Arial"/>
          <w:sz w:val="24"/>
        </w:rPr>
        <w:t xml:space="preserve">in case of 7 </w:t>
      </w:r>
      <w:r w:rsidR="008A53F6" w:rsidRPr="00AF261F">
        <w:rPr>
          <w:rFonts w:ascii="Arial" w:hAnsi="Arial" w:cs="Arial"/>
          <w:sz w:val="24"/>
        </w:rPr>
        <w:t>Agents</w:t>
      </w:r>
      <w:r w:rsidR="003A27E2" w:rsidRPr="00AF261F">
        <w:rPr>
          <w:rFonts w:ascii="Arial" w:hAnsi="Arial" w:cs="Arial"/>
          <w:sz w:val="24"/>
        </w:rPr>
        <w:t xml:space="preserve"> </w:t>
      </w:r>
      <w:r w:rsidR="00B327F6" w:rsidRPr="00AF261F">
        <w:rPr>
          <w:rFonts w:ascii="Arial" w:hAnsi="Arial" w:cs="Arial"/>
          <w:sz w:val="24"/>
        </w:rPr>
        <w:t>in the primary market.</w:t>
      </w:r>
      <w:r w:rsidRPr="00AF261F">
        <w:rPr>
          <w:rFonts w:ascii="Arial" w:hAnsi="Arial" w:cs="Arial"/>
          <w:sz w:val="24"/>
        </w:rPr>
        <w:t xml:space="preserve"> </w:t>
      </w:r>
      <w:r w:rsidR="00B327F6" w:rsidRPr="00AF261F">
        <w:rPr>
          <w:rFonts w:ascii="Arial" w:hAnsi="Arial" w:cs="Arial"/>
          <w:sz w:val="24"/>
        </w:rPr>
        <w:t xml:space="preserve">In case of </w:t>
      </w:r>
      <w:r w:rsidRPr="00AF261F">
        <w:rPr>
          <w:rFonts w:ascii="Arial" w:hAnsi="Arial" w:cs="Arial"/>
          <w:sz w:val="24"/>
        </w:rPr>
        <w:t>n</w:t>
      </w:r>
      <w:r w:rsidR="00B327F6" w:rsidRPr="00AF261F">
        <w:rPr>
          <w:rFonts w:ascii="Arial" w:hAnsi="Arial" w:cs="Arial"/>
          <w:sz w:val="24"/>
        </w:rPr>
        <w:t xml:space="preserve"> number of </w:t>
      </w:r>
      <w:r w:rsidR="00C813F1" w:rsidRPr="00AF261F">
        <w:rPr>
          <w:rFonts w:ascii="Arial" w:hAnsi="Arial" w:cs="Arial"/>
          <w:sz w:val="24"/>
        </w:rPr>
        <w:t>Agents</w:t>
      </w:r>
      <w:r w:rsidR="003A27E2" w:rsidRPr="00AF261F">
        <w:rPr>
          <w:rFonts w:ascii="Arial" w:hAnsi="Arial" w:cs="Arial"/>
          <w:sz w:val="24"/>
        </w:rPr>
        <w:t xml:space="preserve"> </w:t>
      </w:r>
      <w:r w:rsidR="00B327F6" w:rsidRPr="00AF261F">
        <w:rPr>
          <w:rFonts w:ascii="Arial" w:hAnsi="Arial" w:cs="Arial"/>
          <w:sz w:val="24"/>
        </w:rPr>
        <w:t xml:space="preserve">the maximum score </w:t>
      </w:r>
      <w:r w:rsidR="00854E93" w:rsidRPr="00AF261F">
        <w:rPr>
          <w:rFonts w:ascii="Arial" w:hAnsi="Arial" w:cs="Arial"/>
          <w:sz w:val="24"/>
        </w:rPr>
        <w:t>shall</w:t>
      </w:r>
      <w:r w:rsidR="00B327F6" w:rsidRPr="00AF261F">
        <w:rPr>
          <w:rFonts w:ascii="Arial" w:hAnsi="Arial" w:cs="Arial"/>
          <w:sz w:val="24"/>
        </w:rPr>
        <w:t xml:space="preserve"> equal to </w:t>
      </w:r>
      <w:r w:rsidRPr="00AF261F">
        <w:rPr>
          <w:rFonts w:ascii="Arial" w:hAnsi="Arial" w:cs="Arial"/>
          <w:sz w:val="24"/>
        </w:rPr>
        <w:t>n,</w:t>
      </w:r>
      <w:r w:rsidR="00B327F6" w:rsidRPr="00AF261F">
        <w:rPr>
          <w:rFonts w:ascii="Arial" w:hAnsi="Arial" w:cs="Arial"/>
          <w:sz w:val="24"/>
        </w:rPr>
        <w:t xml:space="preserve"> and every next score </w:t>
      </w:r>
      <w:r w:rsidR="00854E93" w:rsidRPr="00AF261F">
        <w:rPr>
          <w:rFonts w:ascii="Arial" w:hAnsi="Arial" w:cs="Arial"/>
          <w:sz w:val="24"/>
        </w:rPr>
        <w:t xml:space="preserve">shall be </w:t>
      </w:r>
      <w:r w:rsidR="00B327F6" w:rsidRPr="00AF261F">
        <w:rPr>
          <w:rFonts w:ascii="Arial" w:hAnsi="Arial" w:cs="Arial"/>
          <w:sz w:val="24"/>
        </w:rPr>
        <w:t>1 less</w:t>
      </w:r>
      <w:r w:rsidR="00C813F1" w:rsidRPr="00AF261F">
        <w:rPr>
          <w:rFonts w:ascii="Arial" w:hAnsi="Arial" w:cs="Arial"/>
          <w:sz w:val="24"/>
        </w:rPr>
        <w:t>;</w:t>
      </w:r>
    </w:p>
    <w:p w:rsidR="00D97EFA" w:rsidRPr="00AF261F" w:rsidRDefault="006C634D" w:rsidP="007B7B98">
      <w:pPr>
        <w:spacing w:line="360" w:lineRule="auto"/>
        <w:jc w:val="both"/>
        <w:rPr>
          <w:rFonts w:ascii="Arial" w:hAnsi="Arial" w:cs="Arial"/>
          <w:sz w:val="24"/>
        </w:rPr>
      </w:pPr>
      <w:r w:rsidRPr="00AF261F">
        <w:rPr>
          <w:rFonts w:ascii="Arial" w:hAnsi="Arial" w:cs="Arial"/>
          <w:sz w:val="24"/>
        </w:rPr>
        <w:t>5</w:t>
      </w:r>
      <w:r w:rsidR="00D97EFA" w:rsidRPr="00AF261F">
        <w:rPr>
          <w:rFonts w:ascii="Arial" w:hAnsi="Arial" w:cs="Arial"/>
          <w:sz w:val="24"/>
        </w:rPr>
        <w:t xml:space="preserve">) </w:t>
      </w:r>
      <w:r w:rsidR="00B327F6" w:rsidRPr="00AF261F">
        <w:rPr>
          <w:rFonts w:ascii="Arial" w:hAnsi="Arial" w:cs="Arial"/>
          <w:sz w:val="24"/>
        </w:rPr>
        <w:t xml:space="preserve">The score for each indicator of the </w:t>
      </w:r>
      <w:r w:rsidR="008A53F6" w:rsidRPr="00AF261F">
        <w:rPr>
          <w:rFonts w:ascii="Arial" w:hAnsi="Arial" w:cs="Arial"/>
          <w:sz w:val="24"/>
        </w:rPr>
        <w:t>Agent</w:t>
      </w:r>
      <w:r w:rsidR="00B327F6" w:rsidRPr="00AF261F">
        <w:rPr>
          <w:rFonts w:ascii="Arial" w:hAnsi="Arial" w:cs="Arial"/>
          <w:sz w:val="24"/>
        </w:rPr>
        <w:t xml:space="preserve"> </w:t>
      </w:r>
      <w:r w:rsidR="00854E93" w:rsidRPr="00AF261F">
        <w:rPr>
          <w:rFonts w:ascii="Arial" w:hAnsi="Arial" w:cs="Arial"/>
          <w:sz w:val="24"/>
        </w:rPr>
        <w:t>shall be</w:t>
      </w:r>
      <w:r w:rsidR="00B327F6" w:rsidRPr="00AF261F">
        <w:rPr>
          <w:rFonts w:ascii="Arial" w:hAnsi="Arial" w:cs="Arial"/>
          <w:sz w:val="24"/>
        </w:rPr>
        <w:t xml:space="preserve"> weighted with the share of the relevant area</w:t>
      </w:r>
      <w:r w:rsidR="00C813F1" w:rsidRPr="00AF261F">
        <w:rPr>
          <w:rFonts w:ascii="Arial" w:hAnsi="Arial" w:cs="Arial"/>
          <w:sz w:val="24"/>
        </w:rPr>
        <w:t>;</w:t>
      </w:r>
    </w:p>
    <w:p w:rsidR="00D97EFA" w:rsidRPr="00AF261F" w:rsidRDefault="006C634D" w:rsidP="007B7B98">
      <w:pPr>
        <w:spacing w:line="360" w:lineRule="auto"/>
        <w:jc w:val="both"/>
        <w:rPr>
          <w:rFonts w:ascii="Arial" w:hAnsi="Arial" w:cs="Arial"/>
          <w:sz w:val="24"/>
        </w:rPr>
      </w:pPr>
      <w:r w:rsidRPr="00AF261F">
        <w:rPr>
          <w:rFonts w:ascii="Arial" w:hAnsi="Arial" w:cs="Arial"/>
          <w:sz w:val="24"/>
        </w:rPr>
        <w:t>6</w:t>
      </w:r>
      <w:r w:rsidR="00D97EFA" w:rsidRPr="00AF261F">
        <w:rPr>
          <w:rFonts w:ascii="Arial" w:hAnsi="Arial" w:cs="Arial"/>
          <w:sz w:val="24"/>
        </w:rPr>
        <w:t xml:space="preserve">) </w:t>
      </w:r>
      <w:r w:rsidR="00572DA1" w:rsidRPr="00AF261F">
        <w:rPr>
          <w:rFonts w:ascii="Arial" w:hAnsi="Arial" w:cs="Arial"/>
          <w:sz w:val="24"/>
        </w:rPr>
        <w:t xml:space="preserve">The </w:t>
      </w:r>
      <w:r w:rsidR="00C813F1" w:rsidRPr="00AF261F">
        <w:rPr>
          <w:rFonts w:ascii="Arial" w:hAnsi="Arial" w:cs="Arial"/>
          <w:sz w:val="24"/>
        </w:rPr>
        <w:t xml:space="preserve">sum of weighted </w:t>
      </w:r>
      <w:r w:rsidR="00572DA1" w:rsidRPr="00AF261F">
        <w:rPr>
          <w:rFonts w:ascii="Arial" w:hAnsi="Arial" w:cs="Arial"/>
          <w:sz w:val="24"/>
        </w:rPr>
        <w:t>score</w:t>
      </w:r>
      <w:r w:rsidR="00C813F1" w:rsidRPr="00AF261F">
        <w:rPr>
          <w:rFonts w:ascii="Arial" w:hAnsi="Arial" w:cs="Arial"/>
          <w:sz w:val="24"/>
        </w:rPr>
        <w:t>s</w:t>
      </w:r>
      <w:r w:rsidR="00572DA1" w:rsidRPr="00AF261F">
        <w:rPr>
          <w:rFonts w:ascii="Arial" w:hAnsi="Arial" w:cs="Arial"/>
          <w:sz w:val="24"/>
        </w:rPr>
        <w:t xml:space="preserve"> </w:t>
      </w:r>
      <w:r w:rsidR="00C813F1" w:rsidRPr="00AF261F">
        <w:rPr>
          <w:rFonts w:ascii="Arial" w:hAnsi="Arial" w:cs="Arial"/>
          <w:sz w:val="24"/>
        </w:rPr>
        <w:t xml:space="preserve">for each Agent </w:t>
      </w:r>
      <w:r w:rsidR="00854E93" w:rsidRPr="00AF261F">
        <w:rPr>
          <w:rFonts w:ascii="Arial" w:hAnsi="Arial" w:cs="Arial"/>
          <w:sz w:val="24"/>
        </w:rPr>
        <w:t>shall be</w:t>
      </w:r>
      <w:r w:rsidR="00572DA1" w:rsidRPr="00AF261F">
        <w:rPr>
          <w:rFonts w:ascii="Arial" w:hAnsi="Arial" w:cs="Arial"/>
          <w:sz w:val="24"/>
        </w:rPr>
        <w:t xml:space="preserve"> reduced with the indicator of the nu</w:t>
      </w:r>
      <w:r w:rsidR="00B77993" w:rsidRPr="00AF261F">
        <w:rPr>
          <w:rFonts w:ascii="Arial" w:hAnsi="Arial" w:cs="Arial"/>
          <w:sz w:val="24"/>
        </w:rPr>
        <w:t>m</w:t>
      </w:r>
      <w:r w:rsidR="00572DA1" w:rsidRPr="00AF261F">
        <w:rPr>
          <w:rFonts w:ascii="Arial" w:hAnsi="Arial" w:cs="Arial"/>
          <w:sz w:val="24"/>
        </w:rPr>
        <w:t>ber of violations of quotation rules.</w:t>
      </w:r>
      <w:r w:rsidR="00D97EFA" w:rsidRPr="00AF261F">
        <w:rPr>
          <w:rFonts w:ascii="Arial" w:hAnsi="Arial" w:cs="Arial"/>
          <w:sz w:val="24"/>
        </w:rPr>
        <w:t xml:space="preserve"> </w:t>
      </w:r>
    </w:p>
    <w:p w:rsidR="00424FD4" w:rsidRPr="00AF261F" w:rsidRDefault="00424FD4" w:rsidP="00424FD4">
      <w:pPr>
        <w:numPr>
          <w:ilvl w:val="0"/>
          <w:numId w:val="1"/>
        </w:numPr>
        <w:tabs>
          <w:tab w:val="clear" w:pos="360"/>
          <w:tab w:val="num" w:pos="142"/>
        </w:tabs>
        <w:spacing w:line="360" w:lineRule="auto"/>
        <w:ind w:left="0" w:firstLine="0"/>
        <w:jc w:val="both"/>
        <w:rPr>
          <w:rFonts w:ascii="Arial" w:hAnsi="Arial" w:cs="Arial"/>
          <w:sz w:val="24"/>
        </w:rPr>
      </w:pPr>
      <w:r w:rsidRPr="00AF261F">
        <w:rPr>
          <w:rFonts w:ascii="Arial" w:hAnsi="Arial" w:cs="Arial"/>
          <w:sz w:val="24"/>
        </w:rPr>
        <w:t xml:space="preserve">The </w:t>
      </w:r>
      <w:r w:rsidR="00C813F1" w:rsidRPr="00AF261F">
        <w:rPr>
          <w:rFonts w:ascii="Arial" w:hAnsi="Arial" w:cs="Arial"/>
          <w:sz w:val="24"/>
        </w:rPr>
        <w:t>activity of potential</w:t>
      </w:r>
      <w:r w:rsidRPr="00AF261F">
        <w:rPr>
          <w:rFonts w:ascii="Arial" w:hAnsi="Arial" w:cs="Arial"/>
          <w:sz w:val="24"/>
        </w:rPr>
        <w:t xml:space="preserve"> participants shall be assessed with secondary market participant activeness indicator.</w:t>
      </w:r>
    </w:p>
    <w:p w:rsidR="00424FD4" w:rsidRPr="00AF261F" w:rsidRDefault="00424FD4" w:rsidP="00424FD4">
      <w:pPr>
        <w:spacing w:line="360" w:lineRule="auto"/>
        <w:ind w:left="426"/>
        <w:rPr>
          <w:rFonts w:ascii="Arial" w:hAnsi="Arial" w:cs="Arial"/>
          <w:b/>
          <w:sz w:val="24"/>
        </w:rPr>
      </w:pPr>
    </w:p>
    <w:p w:rsidR="00424FD4" w:rsidRPr="00AF261F" w:rsidRDefault="00424FD4" w:rsidP="00424FD4">
      <w:pPr>
        <w:spacing w:line="360" w:lineRule="auto"/>
        <w:ind w:left="426"/>
        <w:rPr>
          <w:rFonts w:ascii="Arial" w:hAnsi="Arial" w:cs="Arial"/>
          <w:sz w:val="24"/>
        </w:rPr>
      </w:pPr>
      <w:r w:rsidRPr="00AF261F">
        <w:rPr>
          <w:rFonts w:ascii="Arial" w:hAnsi="Arial" w:cs="Arial"/>
          <w:b/>
          <w:sz w:val="24"/>
        </w:rPr>
        <w:t xml:space="preserve">Share in the total transaction volume </w:t>
      </w:r>
    </w:p>
    <w:p w:rsidR="00424FD4" w:rsidRPr="00AF261F" w:rsidRDefault="00424FD4" w:rsidP="00424FD4">
      <w:pPr>
        <w:spacing w:line="360" w:lineRule="auto"/>
        <w:jc w:val="center"/>
        <w:rPr>
          <w:rFonts w:ascii="Arial" w:hAnsi="Arial" w:cs="Arial"/>
          <w:b/>
          <w:sz w:val="24"/>
        </w:rPr>
      </w:pPr>
    </w:p>
    <w:p w:rsidR="00C813F1" w:rsidRPr="00AF261F" w:rsidRDefault="00C813F1" w:rsidP="00C813F1">
      <w:pPr>
        <w:spacing w:line="360" w:lineRule="auto"/>
        <w:jc w:val="center"/>
        <w:rPr>
          <w:rFonts w:ascii="Arial" w:hAnsi="Arial" w:cs="Arial"/>
          <w:b/>
          <w:sz w:val="24"/>
        </w:rPr>
      </w:pPr>
      <w:r w:rsidRPr="00AF261F">
        <w:rPr>
          <w:rFonts w:ascii="Arial" w:hAnsi="Arial" w:cs="Arial"/>
          <w:b/>
          <w:sz w:val="24"/>
        </w:rPr>
        <w:t>I</w:t>
      </w:r>
      <w:r w:rsidRPr="00AF261F">
        <w:rPr>
          <w:rFonts w:ascii="Arial" w:hAnsi="Arial" w:cs="Arial"/>
          <w:b/>
          <w:sz w:val="24"/>
        </w:rPr>
        <w:softHyphen/>
      </w:r>
      <w:r w:rsidRPr="00AF261F">
        <w:rPr>
          <w:rFonts w:ascii="Arial" w:hAnsi="Arial" w:cs="Arial"/>
          <w:b/>
          <w:sz w:val="24"/>
        </w:rPr>
        <w:softHyphen/>
      </w:r>
      <w:r w:rsidRPr="00AF261F">
        <w:rPr>
          <w:rFonts w:ascii="Arial" w:hAnsi="Arial" w:cs="Arial"/>
          <w:b/>
          <w:sz w:val="24"/>
          <w:vertAlign w:val="subscript"/>
        </w:rPr>
        <w:t>5</w:t>
      </w:r>
      <w:r w:rsidRPr="00AF261F">
        <w:rPr>
          <w:rFonts w:ascii="Arial" w:hAnsi="Arial" w:cs="Arial"/>
          <w:b/>
          <w:sz w:val="24"/>
        </w:rPr>
        <w:t xml:space="preserve">= </w:t>
      </w:r>
      <m:oMath>
        <m:nary>
          <m:naryPr>
            <m:chr m:val="∑"/>
            <m:limLoc m:val="undOvr"/>
            <m:ctrlPr>
              <w:rPr>
                <w:rFonts w:ascii="Cambria Math" w:hAnsi="Cambria Math" w:cs="Arial"/>
                <w:i/>
                <w:sz w:val="28"/>
                <w:szCs w:val="28"/>
              </w:rPr>
            </m:ctrlPr>
          </m:naryPr>
          <m:sub>
            <m:r>
              <w:rPr>
                <w:rFonts w:ascii="Cambria Math" w:hAnsi="Cambria Math" w:cs="Arial"/>
                <w:sz w:val="28"/>
                <w:szCs w:val="28"/>
              </w:rPr>
              <m:t>i=1</m:t>
            </m:r>
          </m:sub>
          <m:sup>
            <m:r>
              <w:rPr>
                <w:rFonts w:ascii="Cambria Math" w:hAnsi="Cambria Math" w:cs="Arial"/>
                <w:sz w:val="28"/>
                <w:szCs w:val="28"/>
              </w:rPr>
              <m:t>N</m:t>
            </m:r>
          </m:sup>
          <m:e>
            <m:r>
              <m:rPr>
                <m:sty m:val="b"/>
              </m:rPr>
              <w:rPr>
                <w:rFonts w:ascii="Cambria Math" w:hAnsi="Cambria Math" w:cs="Arial"/>
                <w:sz w:val="24"/>
              </w:rPr>
              <m:t>(</m:t>
            </m:r>
            <m:r>
              <m:rPr>
                <m:sty m:val="bi"/>
              </m:rPr>
              <w:rPr>
                <w:rFonts w:ascii="Cambria Math" w:hAnsi="Cambria Math" w:cs="Arial"/>
                <w:sz w:val="24"/>
              </w:rPr>
              <m:t>EP</m:t>
            </m:r>
            <m:r>
              <m:rPr>
                <m:sty m:val="b"/>
              </m:rPr>
              <w:rPr>
                <w:rFonts w:ascii="Cambria Math" w:hAnsi="Cambria Math" w:cs="Arial"/>
                <w:sz w:val="24"/>
              </w:rPr>
              <m:t>*0.6+</m:t>
            </m:r>
            <m:r>
              <m:rPr>
                <m:sty m:val="bi"/>
              </m:rPr>
              <w:rPr>
                <w:rFonts w:ascii="Cambria Math" w:hAnsi="Cambria Math" w:cs="Arial"/>
                <w:sz w:val="24"/>
              </w:rPr>
              <m:t>OTC</m:t>
            </m:r>
            <m:r>
              <m:rPr>
                <m:sty m:val="b"/>
              </m:rPr>
              <w:rPr>
                <w:rFonts w:ascii="Cambria Math" w:hAnsi="Cambria Math" w:cs="Arial"/>
                <w:sz w:val="24"/>
              </w:rPr>
              <m:t>*0.4)</m:t>
            </m:r>
          </m:e>
        </m:nary>
      </m:oMath>
    </w:p>
    <w:p w:rsidR="00C813F1" w:rsidRPr="00AF261F" w:rsidRDefault="00C813F1" w:rsidP="00C813F1">
      <w:pPr>
        <w:spacing w:line="360" w:lineRule="auto"/>
        <w:ind w:left="426"/>
        <w:jc w:val="both"/>
        <w:rPr>
          <w:rFonts w:ascii="Arial" w:hAnsi="Arial" w:cs="Arial"/>
          <w:sz w:val="24"/>
        </w:rPr>
      </w:pPr>
      <w:r w:rsidRPr="00AF261F">
        <w:rPr>
          <w:rFonts w:ascii="Arial" w:hAnsi="Arial" w:cs="Arial"/>
          <w:sz w:val="24"/>
        </w:rPr>
        <w:t>where</w:t>
      </w:r>
    </w:p>
    <w:p w:rsidR="00C813F1" w:rsidRPr="00AF261F" w:rsidRDefault="00C813F1" w:rsidP="00C813F1">
      <w:pPr>
        <w:spacing w:line="360" w:lineRule="auto"/>
        <w:ind w:left="426"/>
        <w:jc w:val="both"/>
        <w:rPr>
          <w:rFonts w:ascii="Arial" w:hAnsi="Arial" w:cs="Arial"/>
          <w:sz w:val="24"/>
        </w:rPr>
      </w:pPr>
      <w:r w:rsidRPr="00AF261F">
        <w:rPr>
          <w:rFonts w:ascii="Arial" w:hAnsi="Arial" w:cs="Arial"/>
          <w:sz w:val="24"/>
        </w:rPr>
        <w:t>N is number of working days in a given quarter;</w:t>
      </w:r>
    </w:p>
    <w:p w:rsidR="00560FD8" w:rsidRPr="00AF261F" w:rsidRDefault="00C813F1" w:rsidP="00560FD8">
      <w:pPr>
        <w:spacing w:line="360" w:lineRule="auto"/>
        <w:ind w:left="426"/>
        <w:jc w:val="both"/>
        <w:rPr>
          <w:rFonts w:ascii="Arial" w:hAnsi="Arial" w:cs="Arial"/>
          <w:sz w:val="24"/>
        </w:rPr>
      </w:pPr>
      <w:r w:rsidRPr="00AF261F">
        <w:rPr>
          <w:rFonts w:ascii="Arial" w:hAnsi="Arial" w:cs="Arial"/>
          <w:sz w:val="24"/>
        </w:rPr>
        <w:t>EP and OTC is the share of trading operations of potential participant in exchange platform and OTC market in the reporting period in the total daily volume.</w:t>
      </w:r>
    </w:p>
    <w:p w:rsidR="00C813F1" w:rsidRPr="00AF261F" w:rsidRDefault="00C813F1" w:rsidP="00560FD8">
      <w:pPr>
        <w:spacing w:line="360" w:lineRule="auto"/>
        <w:ind w:left="426"/>
        <w:jc w:val="both"/>
        <w:rPr>
          <w:rFonts w:ascii="Arial" w:hAnsi="Arial" w:cs="Arial"/>
          <w:b/>
          <w:sz w:val="24"/>
        </w:rPr>
      </w:pPr>
      <w:r w:rsidRPr="00AF261F">
        <w:rPr>
          <w:rFonts w:ascii="Arial" w:hAnsi="Arial" w:cs="Arial"/>
          <w:sz w:val="24"/>
        </w:rPr>
        <w:lastRenderedPageBreak/>
        <w:t>I</w:t>
      </w:r>
      <w:r w:rsidRPr="00AF261F">
        <w:rPr>
          <w:rFonts w:ascii="Arial" w:hAnsi="Arial" w:cs="Arial"/>
          <w:sz w:val="24"/>
        </w:rPr>
        <w:softHyphen/>
      </w:r>
      <w:r w:rsidRPr="00AF261F">
        <w:rPr>
          <w:rFonts w:ascii="Arial" w:hAnsi="Arial" w:cs="Arial"/>
          <w:sz w:val="24"/>
        </w:rPr>
        <w:softHyphen/>
      </w:r>
      <w:r w:rsidRPr="00AF261F">
        <w:rPr>
          <w:rFonts w:ascii="Arial" w:hAnsi="Arial" w:cs="Arial"/>
          <w:sz w:val="24"/>
          <w:vertAlign w:val="subscript"/>
        </w:rPr>
        <w:t>5</w:t>
      </w:r>
      <w:r w:rsidRPr="00AF261F">
        <w:rPr>
          <w:rFonts w:ascii="Arial" w:hAnsi="Arial" w:cs="Arial"/>
          <w:sz w:val="24"/>
        </w:rPr>
        <w:t xml:space="preserve"> indicator is calculated by Central Bank of the Republic of Armenia and submitted to the Issuer within 5 working days after the end of the reporting quarter</w:t>
      </w:r>
    </w:p>
    <w:p w:rsidR="00424FD4" w:rsidRPr="00AF261F" w:rsidRDefault="00424FD4" w:rsidP="00424FD4">
      <w:pPr>
        <w:spacing w:line="360" w:lineRule="auto"/>
        <w:jc w:val="both"/>
        <w:rPr>
          <w:rFonts w:ascii="Arial" w:hAnsi="Arial" w:cs="Arial"/>
        </w:rPr>
      </w:pPr>
      <w:r w:rsidRPr="00AF261F">
        <w:rPr>
          <w:rFonts w:ascii="Arial" w:hAnsi="Arial" w:cs="Arial"/>
          <w:sz w:val="24"/>
        </w:rPr>
        <w:t>I</w:t>
      </w:r>
      <w:r w:rsidRPr="00AF261F">
        <w:rPr>
          <w:rFonts w:ascii="Arial" w:hAnsi="Arial" w:cs="Arial"/>
          <w:sz w:val="24"/>
        </w:rPr>
        <w:softHyphen/>
      </w:r>
      <w:r w:rsidRPr="00AF261F">
        <w:rPr>
          <w:rFonts w:ascii="Arial" w:hAnsi="Arial" w:cs="Arial"/>
          <w:sz w:val="24"/>
        </w:rPr>
        <w:softHyphen/>
      </w:r>
      <w:r w:rsidRPr="00AF261F">
        <w:rPr>
          <w:rFonts w:ascii="Arial" w:hAnsi="Arial" w:cs="Arial"/>
          <w:sz w:val="24"/>
          <w:vertAlign w:val="subscript"/>
        </w:rPr>
        <w:t>5</w:t>
      </w:r>
      <w:r w:rsidRPr="00AF261F">
        <w:rPr>
          <w:rFonts w:ascii="Arial" w:hAnsi="Arial" w:cs="Arial"/>
          <w:sz w:val="24"/>
        </w:rPr>
        <w:t xml:space="preserve"> indicators shall be calculated for each quarter as the sum of daily share</w:t>
      </w:r>
    </w:p>
    <w:p w:rsidR="00560FD8" w:rsidRPr="00AF261F" w:rsidRDefault="00560FD8" w:rsidP="00560FD8">
      <w:pPr>
        <w:numPr>
          <w:ilvl w:val="0"/>
          <w:numId w:val="1"/>
        </w:numPr>
        <w:tabs>
          <w:tab w:val="clear" w:pos="360"/>
          <w:tab w:val="num" w:pos="0"/>
        </w:tabs>
        <w:spacing w:line="360" w:lineRule="auto"/>
        <w:ind w:left="0" w:firstLine="0"/>
        <w:jc w:val="both"/>
        <w:rPr>
          <w:rFonts w:ascii="Arial" w:hAnsi="Arial" w:cs="Arial"/>
          <w:sz w:val="24"/>
        </w:rPr>
      </w:pPr>
      <w:r w:rsidRPr="00AF261F">
        <w:rPr>
          <w:rFonts w:ascii="Arial" w:hAnsi="Arial" w:cs="Arial"/>
          <w:sz w:val="24"/>
        </w:rPr>
        <w:t xml:space="preserve">Quarterly operation assessment of the potential participants shall be done in the following </w:t>
      </w:r>
      <w:r w:rsidR="00A15F8A" w:rsidRPr="00AF261F">
        <w:rPr>
          <w:rFonts w:ascii="Arial" w:hAnsi="Arial" w:cs="Arial"/>
          <w:sz w:val="24"/>
        </w:rPr>
        <w:t>manner</w:t>
      </w:r>
      <w:r w:rsidRPr="00AF261F">
        <w:rPr>
          <w:rFonts w:ascii="Arial" w:hAnsi="Arial" w:cs="Arial"/>
          <w:sz w:val="24"/>
        </w:rPr>
        <w:t>:</w:t>
      </w:r>
    </w:p>
    <w:p w:rsidR="00560FD8" w:rsidRPr="00AF261F" w:rsidRDefault="00560FD8" w:rsidP="00560FD8">
      <w:pPr>
        <w:tabs>
          <w:tab w:val="num" w:pos="0"/>
        </w:tabs>
        <w:spacing w:line="360" w:lineRule="auto"/>
        <w:jc w:val="both"/>
        <w:rPr>
          <w:rFonts w:ascii="Arial" w:hAnsi="Arial" w:cs="Arial"/>
        </w:rPr>
      </w:pPr>
      <w:r w:rsidRPr="00AF261F">
        <w:rPr>
          <w:rFonts w:ascii="Arial" w:hAnsi="Arial" w:cs="Arial"/>
          <w:sz w:val="24"/>
        </w:rPr>
        <w:t xml:space="preserve">1) The Agents shall be given the scores, in line with the results for each indicator defined by paragraphs 1, 2 and 3 of this point, in descending order, in accordance with the Table below. </w:t>
      </w:r>
      <w:r w:rsidR="00A15F8A" w:rsidRPr="00AF261F">
        <w:rPr>
          <w:rFonts w:ascii="Arial" w:hAnsi="Arial" w:cs="Arial"/>
          <w:sz w:val="24"/>
        </w:rPr>
        <w:t>The potential participants who have collected the highest seven results of I</w:t>
      </w:r>
      <w:r w:rsidR="00A15F8A" w:rsidRPr="00AF261F">
        <w:rPr>
          <w:rFonts w:ascii="Arial" w:hAnsi="Arial" w:cs="Arial"/>
          <w:sz w:val="24"/>
        </w:rPr>
        <w:softHyphen/>
      </w:r>
      <w:r w:rsidR="00A15F8A" w:rsidRPr="00AF261F">
        <w:rPr>
          <w:rFonts w:ascii="Arial" w:hAnsi="Arial" w:cs="Arial"/>
          <w:sz w:val="24"/>
        </w:rPr>
        <w:softHyphen/>
      </w:r>
      <w:r w:rsidR="00A15F8A" w:rsidRPr="00AF261F">
        <w:rPr>
          <w:rFonts w:ascii="Arial" w:hAnsi="Arial" w:cs="Arial"/>
          <w:sz w:val="24"/>
          <w:vertAlign w:val="subscript"/>
        </w:rPr>
        <w:t>5</w:t>
      </w:r>
      <w:r w:rsidR="00A15F8A" w:rsidRPr="00AF261F">
        <w:rPr>
          <w:rFonts w:ascii="Arial" w:hAnsi="Arial" w:cs="Arial"/>
          <w:sz w:val="24"/>
        </w:rPr>
        <w:t xml:space="preserve"> indicator are given corresponding points in descending order, in accordance with the Table below.</w:t>
      </w:r>
    </w:p>
    <w:p w:rsidR="00560FD8" w:rsidRPr="00AF261F" w:rsidRDefault="00560FD8" w:rsidP="00560FD8">
      <w:pPr>
        <w:spacing w:line="360" w:lineRule="auto"/>
        <w:ind w:left="360"/>
        <w:jc w:val="both"/>
        <w:rPr>
          <w:rFonts w:ascii="Arial" w:hAnsi="Arial" w:cs="Arial"/>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701"/>
      </w:tblGrid>
      <w:tr w:rsidR="00560FD8" w:rsidRPr="00AF261F" w:rsidTr="00560FD8">
        <w:tc>
          <w:tcPr>
            <w:tcW w:w="2268" w:type="dxa"/>
            <w:shd w:val="clear" w:color="auto" w:fill="auto"/>
          </w:tcPr>
          <w:p w:rsidR="00560FD8" w:rsidRPr="00AF261F" w:rsidRDefault="00560FD8" w:rsidP="00560FD8">
            <w:pPr>
              <w:spacing w:line="360" w:lineRule="auto"/>
              <w:jc w:val="both"/>
              <w:rPr>
                <w:rFonts w:ascii="Arial" w:hAnsi="Arial" w:cs="Arial"/>
                <w:sz w:val="24"/>
              </w:rPr>
            </w:pPr>
            <w:r w:rsidRPr="00AF261F">
              <w:rPr>
                <w:rFonts w:ascii="Arial" w:hAnsi="Arial" w:cs="Arial"/>
                <w:sz w:val="24"/>
              </w:rPr>
              <w:t xml:space="preserve">Maximum result </w:t>
            </w:r>
          </w:p>
        </w:tc>
        <w:tc>
          <w:tcPr>
            <w:tcW w:w="1701" w:type="dxa"/>
            <w:shd w:val="clear" w:color="auto" w:fill="auto"/>
          </w:tcPr>
          <w:p w:rsidR="00560FD8" w:rsidRPr="00AF261F" w:rsidRDefault="00560FD8" w:rsidP="00560FD8">
            <w:pPr>
              <w:spacing w:line="360" w:lineRule="auto"/>
              <w:jc w:val="both"/>
              <w:rPr>
                <w:rFonts w:ascii="Arial" w:hAnsi="Arial" w:cs="Arial"/>
                <w:sz w:val="24"/>
              </w:rPr>
            </w:pPr>
            <w:r w:rsidRPr="00AF261F">
              <w:rPr>
                <w:rFonts w:ascii="Arial" w:hAnsi="Arial" w:cs="Arial"/>
                <w:sz w:val="24"/>
              </w:rPr>
              <w:t xml:space="preserve">7 points </w:t>
            </w:r>
          </w:p>
        </w:tc>
      </w:tr>
      <w:tr w:rsidR="00560FD8" w:rsidRPr="00AF261F" w:rsidTr="00560FD8">
        <w:tc>
          <w:tcPr>
            <w:tcW w:w="2268" w:type="dxa"/>
            <w:shd w:val="clear" w:color="auto" w:fill="auto"/>
          </w:tcPr>
          <w:p w:rsidR="00560FD8" w:rsidRPr="00AF261F" w:rsidRDefault="00560FD8" w:rsidP="00560FD8">
            <w:pPr>
              <w:spacing w:line="360" w:lineRule="auto"/>
              <w:jc w:val="both"/>
              <w:rPr>
                <w:rFonts w:ascii="Arial" w:hAnsi="Arial" w:cs="Arial"/>
                <w:sz w:val="24"/>
              </w:rPr>
            </w:pPr>
          </w:p>
        </w:tc>
        <w:tc>
          <w:tcPr>
            <w:tcW w:w="1701" w:type="dxa"/>
            <w:shd w:val="clear" w:color="auto" w:fill="auto"/>
          </w:tcPr>
          <w:p w:rsidR="00560FD8" w:rsidRPr="00AF261F" w:rsidRDefault="00560FD8" w:rsidP="00560FD8">
            <w:pPr>
              <w:spacing w:line="360" w:lineRule="auto"/>
              <w:jc w:val="both"/>
              <w:rPr>
                <w:rFonts w:ascii="Arial" w:hAnsi="Arial" w:cs="Arial"/>
                <w:sz w:val="24"/>
              </w:rPr>
            </w:pPr>
            <w:r w:rsidRPr="00AF261F">
              <w:rPr>
                <w:rFonts w:ascii="Arial" w:hAnsi="Arial" w:cs="Arial"/>
                <w:sz w:val="24"/>
              </w:rPr>
              <w:t>6 points</w:t>
            </w:r>
          </w:p>
        </w:tc>
      </w:tr>
      <w:tr w:rsidR="00560FD8" w:rsidRPr="00AF261F" w:rsidTr="00560FD8">
        <w:tc>
          <w:tcPr>
            <w:tcW w:w="2268" w:type="dxa"/>
            <w:shd w:val="clear" w:color="auto" w:fill="auto"/>
          </w:tcPr>
          <w:p w:rsidR="00560FD8" w:rsidRPr="00AF261F" w:rsidRDefault="00560FD8" w:rsidP="00560FD8">
            <w:pPr>
              <w:spacing w:line="360" w:lineRule="auto"/>
              <w:jc w:val="both"/>
              <w:rPr>
                <w:rFonts w:ascii="Arial" w:hAnsi="Arial" w:cs="Arial"/>
                <w:sz w:val="24"/>
              </w:rPr>
            </w:pPr>
          </w:p>
        </w:tc>
        <w:tc>
          <w:tcPr>
            <w:tcW w:w="1701" w:type="dxa"/>
            <w:shd w:val="clear" w:color="auto" w:fill="auto"/>
          </w:tcPr>
          <w:p w:rsidR="00560FD8" w:rsidRPr="00AF261F" w:rsidRDefault="00560FD8" w:rsidP="00560FD8">
            <w:pPr>
              <w:spacing w:line="360" w:lineRule="auto"/>
              <w:jc w:val="both"/>
              <w:rPr>
                <w:rFonts w:ascii="Arial" w:hAnsi="Arial" w:cs="Arial"/>
                <w:sz w:val="24"/>
              </w:rPr>
            </w:pPr>
            <w:r w:rsidRPr="00AF261F">
              <w:rPr>
                <w:rFonts w:ascii="Arial" w:hAnsi="Arial" w:cs="Arial"/>
                <w:sz w:val="24"/>
              </w:rPr>
              <w:t>5 points</w:t>
            </w:r>
          </w:p>
        </w:tc>
      </w:tr>
      <w:tr w:rsidR="00560FD8" w:rsidRPr="00AF261F" w:rsidTr="00560FD8">
        <w:tc>
          <w:tcPr>
            <w:tcW w:w="2268" w:type="dxa"/>
            <w:shd w:val="clear" w:color="auto" w:fill="auto"/>
          </w:tcPr>
          <w:p w:rsidR="00560FD8" w:rsidRPr="00AF261F" w:rsidRDefault="00560FD8" w:rsidP="00560FD8">
            <w:pPr>
              <w:spacing w:line="360" w:lineRule="auto"/>
              <w:jc w:val="both"/>
              <w:rPr>
                <w:rFonts w:ascii="Arial" w:hAnsi="Arial" w:cs="Arial"/>
                <w:sz w:val="24"/>
              </w:rPr>
            </w:pPr>
          </w:p>
        </w:tc>
        <w:tc>
          <w:tcPr>
            <w:tcW w:w="1701" w:type="dxa"/>
            <w:shd w:val="clear" w:color="auto" w:fill="auto"/>
          </w:tcPr>
          <w:p w:rsidR="00560FD8" w:rsidRPr="00AF261F" w:rsidRDefault="00560FD8" w:rsidP="00560FD8">
            <w:pPr>
              <w:spacing w:line="360" w:lineRule="auto"/>
              <w:jc w:val="both"/>
              <w:rPr>
                <w:rFonts w:ascii="Arial" w:hAnsi="Arial" w:cs="Arial"/>
                <w:sz w:val="24"/>
              </w:rPr>
            </w:pPr>
            <w:r w:rsidRPr="00AF261F">
              <w:rPr>
                <w:rFonts w:ascii="Arial" w:hAnsi="Arial" w:cs="Arial"/>
                <w:sz w:val="24"/>
              </w:rPr>
              <w:t xml:space="preserve">4 points </w:t>
            </w:r>
          </w:p>
        </w:tc>
      </w:tr>
      <w:tr w:rsidR="00560FD8" w:rsidRPr="00AF261F" w:rsidTr="00560FD8">
        <w:tc>
          <w:tcPr>
            <w:tcW w:w="2268" w:type="dxa"/>
            <w:shd w:val="clear" w:color="auto" w:fill="auto"/>
          </w:tcPr>
          <w:p w:rsidR="00560FD8" w:rsidRPr="00AF261F" w:rsidRDefault="00560FD8" w:rsidP="00560FD8">
            <w:pPr>
              <w:spacing w:line="360" w:lineRule="auto"/>
              <w:jc w:val="both"/>
              <w:rPr>
                <w:rFonts w:ascii="Arial" w:hAnsi="Arial" w:cs="Arial"/>
                <w:sz w:val="24"/>
              </w:rPr>
            </w:pPr>
          </w:p>
        </w:tc>
        <w:tc>
          <w:tcPr>
            <w:tcW w:w="1701" w:type="dxa"/>
            <w:shd w:val="clear" w:color="auto" w:fill="auto"/>
          </w:tcPr>
          <w:p w:rsidR="00560FD8" w:rsidRPr="00AF261F" w:rsidRDefault="00560FD8" w:rsidP="00560FD8">
            <w:pPr>
              <w:spacing w:line="360" w:lineRule="auto"/>
              <w:jc w:val="both"/>
              <w:rPr>
                <w:rFonts w:ascii="Arial" w:hAnsi="Arial" w:cs="Arial"/>
                <w:sz w:val="24"/>
              </w:rPr>
            </w:pPr>
            <w:r w:rsidRPr="00AF261F">
              <w:rPr>
                <w:rFonts w:ascii="Arial" w:hAnsi="Arial" w:cs="Arial"/>
                <w:sz w:val="24"/>
              </w:rPr>
              <w:t>3 points</w:t>
            </w:r>
          </w:p>
        </w:tc>
      </w:tr>
      <w:tr w:rsidR="00560FD8" w:rsidRPr="00AF261F" w:rsidTr="00560FD8">
        <w:tc>
          <w:tcPr>
            <w:tcW w:w="2268" w:type="dxa"/>
            <w:shd w:val="clear" w:color="auto" w:fill="auto"/>
          </w:tcPr>
          <w:p w:rsidR="00560FD8" w:rsidRPr="00AF261F" w:rsidRDefault="00560FD8" w:rsidP="00560FD8">
            <w:pPr>
              <w:spacing w:line="360" w:lineRule="auto"/>
              <w:jc w:val="both"/>
              <w:rPr>
                <w:rFonts w:ascii="Arial" w:hAnsi="Arial" w:cs="Arial"/>
                <w:sz w:val="24"/>
              </w:rPr>
            </w:pPr>
          </w:p>
        </w:tc>
        <w:tc>
          <w:tcPr>
            <w:tcW w:w="1701" w:type="dxa"/>
            <w:shd w:val="clear" w:color="auto" w:fill="auto"/>
          </w:tcPr>
          <w:p w:rsidR="00560FD8" w:rsidRPr="00AF261F" w:rsidRDefault="00560FD8" w:rsidP="00560FD8">
            <w:pPr>
              <w:spacing w:line="360" w:lineRule="auto"/>
              <w:jc w:val="both"/>
              <w:rPr>
                <w:rFonts w:ascii="Arial" w:hAnsi="Arial" w:cs="Arial"/>
                <w:sz w:val="24"/>
              </w:rPr>
            </w:pPr>
            <w:r w:rsidRPr="00AF261F">
              <w:rPr>
                <w:rFonts w:ascii="Arial" w:hAnsi="Arial" w:cs="Arial"/>
                <w:sz w:val="24"/>
              </w:rPr>
              <w:t>2 points</w:t>
            </w:r>
          </w:p>
        </w:tc>
      </w:tr>
      <w:tr w:rsidR="00560FD8" w:rsidRPr="00AF261F" w:rsidTr="00560FD8">
        <w:tc>
          <w:tcPr>
            <w:tcW w:w="2268" w:type="dxa"/>
            <w:shd w:val="clear" w:color="auto" w:fill="auto"/>
          </w:tcPr>
          <w:p w:rsidR="00560FD8" w:rsidRPr="00AF261F" w:rsidRDefault="00560FD8" w:rsidP="00A15F8A">
            <w:pPr>
              <w:spacing w:line="360" w:lineRule="auto"/>
              <w:jc w:val="both"/>
              <w:rPr>
                <w:rFonts w:ascii="Arial" w:hAnsi="Arial" w:cs="Arial"/>
                <w:sz w:val="24"/>
              </w:rPr>
            </w:pPr>
            <w:r w:rsidRPr="00AF261F">
              <w:rPr>
                <w:rFonts w:ascii="Arial" w:hAnsi="Arial" w:cs="Arial"/>
                <w:sz w:val="24"/>
              </w:rPr>
              <w:t>Minimum result</w:t>
            </w:r>
          </w:p>
        </w:tc>
        <w:tc>
          <w:tcPr>
            <w:tcW w:w="1701" w:type="dxa"/>
            <w:shd w:val="clear" w:color="auto" w:fill="auto"/>
          </w:tcPr>
          <w:p w:rsidR="00560FD8" w:rsidRPr="00AF261F" w:rsidRDefault="00560FD8" w:rsidP="00560FD8">
            <w:pPr>
              <w:spacing w:line="360" w:lineRule="auto"/>
              <w:jc w:val="both"/>
              <w:rPr>
                <w:rFonts w:ascii="Arial" w:hAnsi="Arial" w:cs="Arial"/>
                <w:sz w:val="24"/>
              </w:rPr>
            </w:pPr>
            <w:r w:rsidRPr="00AF261F">
              <w:rPr>
                <w:rFonts w:ascii="Arial" w:hAnsi="Arial" w:cs="Arial"/>
                <w:sz w:val="24"/>
              </w:rPr>
              <w:t>1 points</w:t>
            </w:r>
          </w:p>
        </w:tc>
      </w:tr>
    </w:tbl>
    <w:p w:rsidR="00560FD8" w:rsidRPr="00AF261F" w:rsidRDefault="00560FD8" w:rsidP="00560FD8">
      <w:pPr>
        <w:spacing w:line="360" w:lineRule="auto"/>
        <w:ind w:left="360"/>
        <w:jc w:val="both"/>
        <w:rPr>
          <w:rFonts w:ascii="Arial" w:hAnsi="Arial" w:cs="Arial"/>
          <w:sz w:val="24"/>
        </w:rPr>
      </w:pPr>
      <w:r w:rsidRPr="00AF261F">
        <w:rPr>
          <w:rFonts w:ascii="Arial" w:hAnsi="Arial" w:cs="Arial"/>
          <w:sz w:val="24"/>
        </w:rPr>
        <w:t xml:space="preserve"> </w:t>
      </w:r>
    </w:p>
    <w:p w:rsidR="00560FD8" w:rsidRPr="00AF261F" w:rsidRDefault="00A15F8A" w:rsidP="00560FD8">
      <w:pPr>
        <w:spacing w:line="360" w:lineRule="auto"/>
        <w:jc w:val="both"/>
        <w:rPr>
          <w:rFonts w:ascii="Arial" w:hAnsi="Arial" w:cs="Arial"/>
          <w:sz w:val="24"/>
        </w:rPr>
      </w:pPr>
      <w:r w:rsidRPr="00AF261F">
        <w:rPr>
          <w:rFonts w:ascii="Arial" w:hAnsi="Arial" w:cs="Arial"/>
          <w:sz w:val="24"/>
        </w:rPr>
        <w:t>2</w:t>
      </w:r>
      <w:r w:rsidR="00560FD8" w:rsidRPr="00AF261F">
        <w:rPr>
          <w:rFonts w:ascii="Arial" w:hAnsi="Arial" w:cs="Arial"/>
          <w:sz w:val="24"/>
        </w:rPr>
        <w:t xml:space="preserve">) </w:t>
      </w:r>
      <w:r w:rsidRPr="00AF261F">
        <w:rPr>
          <w:rFonts w:ascii="Arial" w:hAnsi="Arial" w:cs="Arial"/>
          <w:sz w:val="24"/>
        </w:rPr>
        <w:t>Potential participants with lower scores are given 0 points.</w:t>
      </w:r>
    </w:p>
    <w:p w:rsidR="00DE7326" w:rsidRPr="00AF261F" w:rsidRDefault="00B77993" w:rsidP="007B7B98">
      <w:pPr>
        <w:numPr>
          <w:ilvl w:val="0"/>
          <w:numId w:val="1"/>
        </w:numPr>
        <w:tabs>
          <w:tab w:val="clear" w:pos="360"/>
          <w:tab w:val="num" w:pos="284"/>
        </w:tabs>
        <w:spacing w:line="360" w:lineRule="auto"/>
        <w:ind w:left="0" w:firstLine="0"/>
        <w:jc w:val="both"/>
        <w:rPr>
          <w:rFonts w:ascii="Arial" w:hAnsi="Arial" w:cs="Arial"/>
        </w:rPr>
      </w:pPr>
      <w:r w:rsidRPr="00AF261F">
        <w:rPr>
          <w:rFonts w:ascii="Arial" w:hAnsi="Arial" w:cs="Arial"/>
          <w:sz w:val="24"/>
        </w:rPr>
        <w:t xml:space="preserve">The annual score for potential participants </w:t>
      </w:r>
      <w:r w:rsidR="00854E93" w:rsidRPr="00AF261F">
        <w:rPr>
          <w:rFonts w:ascii="Arial" w:hAnsi="Arial" w:cs="Arial"/>
          <w:sz w:val="24"/>
        </w:rPr>
        <w:t>shall be</w:t>
      </w:r>
      <w:r w:rsidRPr="00AF261F">
        <w:rPr>
          <w:rFonts w:ascii="Arial" w:hAnsi="Arial" w:cs="Arial"/>
          <w:sz w:val="24"/>
        </w:rPr>
        <w:t xml:space="preserve"> the sum of the quarterly scores assessing the activeness of participant</w:t>
      </w:r>
      <w:r w:rsidR="00854E93" w:rsidRPr="00AF261F">
        <w:rPr>
          <w:rFonts w:ascii="Arial" w:hAnsi="Arial" w:cs="Arial"/>
          <w:sz w:val="24"/>
        </w:rPr>
        <w:t>s</w:t>
      </w:r>
      <w:r w:rsidRPr="00AF261F">
        <w:rPr>
          <w:rFonts w:ascii="Arial" w:hAnsi="Arial" w:cs="Arial"/>
          <w:sz w:val="24"/>
        </w:rPr>
        <w:t xml:space="preserve"> in the secondary market.</w:t>
      </w:r>
    </w:p>
    <w:p w:rsidR="00A15F8A" w:rsidRPr="00AF261F" w:rsidRDefault="00A15F8A" w:rsidP="0066038B">
      <w:pPr>
        <w:numPr>
          <w:ilvl w:val="0"/>
          <w:numId w:val="1"/>
        </w:numPr>
        <w:tabs>
          <w:tab w:val="clear" w:pos="360"/>
          <w:tab w:val="num" w:pos="284"/>
        </w:tabs>
        <w:spacing w:line="360" w:lineRule="auto"/>
        <w:ind w:left="0" w:firstLine="0"/>
        <w:jc w:val="both"/>
        <w:rPr>
          <w:rFonts w:ascii="Arial" w:hAnsi="Arial" w:cs="Arial"/>
          <w:sz w:val="24"/>
        </w:rPr>
      </w:pPr>
      <w:r w:rsidRPr="00AF261F">
        <w:rPr>
          <w:rFonts w:ascii="Arial" w:hAnsi="Arial" w:cs="Arial"/>
          <w:sz w:val="24"/>
        </w:rPr>
        <w:t xml:space="preserve">After 7 business days each quarter finishes the Issuer shall publish on its official website the results of quarterly assessment of Agents and potential participants, by separate indicators, specifying the names. </w:t>
      </w:r>
    </w:p>
    <w:p w:rsidR="00A15F8A" w:rsidRPr="00AF261F" w:rsidRDefault="00A15F8A" w:rsidP="00A15F8A">
      <w:pPr>
        <w:numPr>
          <w:ilvl w:val="0"/>
          <w:numId w:val="1"/>
        </w:numPr>
        <w:tabs>
          <w:tab w:val="clear" w:pos="360"/>
          <w:tab w:val="num" w:pos="284"/>
        </w:tabs>
        <w:spacing w:line="360" w:lineRule="auto"/>
        <w:ind w:left="0" w:firstLine="0"/>
        <w:jc w:val="both"/>
        <w:rPr>
          <w:rFonts w:ascii="Arial" w:hAnsi="Arial" w:cs="Arial"/>
          <w:sz w:val="24"/>
        </w:rPr>
      </w:pPr>
      <w:r w:rsidRPr="00AF261F">
        <w:rPr>
          <w:rFonts w:ascii="Arial" w:hAnsi="Arial" w:cs="Arial"/>
          <w:sz w:val="24"/>
        </w:rPr>
        <w:t>By October 15 each year the Issuer shall publish on its official website, the annual assessment of Agents and potential participants by separate indicators, specifying the names.</w:t>
      </w:r>
    </w:p>
    <w:p w:rsidR="00A15F8A" w:rsidRPr="00AF261F" w:rsidRDefault="00A15F8A" w:rsidP="00A15F8A">
      <w:pPr>
        <w:pStyle w:val="ListParagraph"/>
        <w:numPr>
          <w:ilvl w:val="0"/>
          <w:numId w:val="6"/>
        </w:numPr>
        <w:spacing w:line="360" w:lineRule="auto"/>
        <w:jc w:val="center"/>
        <w:rPr>
          <w:rFonts w:ascii="Arial" w:hAnsi="Arial" w:cs="Arial"/>
          <w:sz w:val="24"/>
        </w:rPr>
      </w:pPr>
      <w:r w:rsidRPr="00AF261F">
        <w:rPr>
          <w:rFonts w:ascii="Arial" w:hAnsi="Arial" w:cs="Arial"/>
          <w:sz w:val="24"/>
        </w:rPr>
        <w:t>SELECTION OF AGENTS</w:t>
      </w:r>
    </w:p>
    <w:p w:rsidR="00A15F8A" w:rsidRPr="00AF261F" w:rsidRDefault="0066038B" w:rsidP="0066038B">
      <w:pPr>
        <w:numPr>
          <w:ilvl w:val="0"/>
          <w:numId w:val="1"/>
        </w:numPr>
        <w:tabs>
          <w:tab w:val="clear" w:pos="360"/>
          <w:tab w:val="num" w:pos="284"/>
        </w:tabs>
        <w:spacing w:line="360" w:lineRule="auto"/>
        <w:ind w:left="0" w:firstLine="0"/>
        <w:jc w:val="both"/>
        <w:rPr>
          <w:rFonts w:ascii="Arial" w:hAnsi="Arial" w:cs="Arial"/>
          <w:sz w:val="24"/>
        </w:rPr>
      </w:pPr>
      <w:r w:rsidRPr="00AF261F">
        <w:rPr>
          <w:rFonts w:ascii="Arial" w:hAnsi="Arial" w:cs="Arial"/>
          <w:sz w:val="24"/>
        </w:rPr>
        <w:t xml:space="preserve">The </w:t>
      </w:r>
      <w:r w:rsidR="00242A37" w:rsidRPr="00AF261F">
        <w:rPr>
          <w:rFonts w:ascii="Arial" w:hAnsi="Arial" w:cs="Arial"/>
          <w:sz w:val="24"/>
        </w:rPr>
        <w:t>Issuer</w:t>
      </w:r>
      <w:r w:rsidRPr="00AF261F">
        <w:rPr>
          <w:rFonts w:ascii="Arial" w:hAnsi="Arial" w:cs="Arial"/>
          <w:sz w:val="24"/>
        </w:rPr>
        <w:t xml:space="preserve"> shall start the </w:t>
      </w:r>
      <w:r w:rsidR="00A15F8A" w:rsidRPr="00AF261F">
        <w:rPr>
          <w:rFonts w:ascii="Arial" w:hAnsi="Arial" w:cs="Arial"/>
          <w:sz w:val="24"/>
        </w:rPr>
        <w:t>Agents</w:t>
      </w:r>
      <w:r w:rsidRPr="00AF261F">
        <w:rPr>
          <w:rFonts w:ascii="Arial" w:hAnsi="Arial" w:cs="Arial"/>
          <w:sz w:val="24"/>
        </w:rPr>
        <w:t xml:space="preserve">' selection process on October 1 every year. </w:t>
      </w:r>
    </w:p>
    <w:p w:rsidR="004E1F8B" w:rsidRPr="00AF261F" w:rsidRDefault="004E1F8B" w:rsidP="0066038B">
      <w:pPr>
        <w:numPr>
          <w:ilvl w:val="0"/>
          <w:numId w:val="1"/>
        </w:numPr>
        <w:tabs>
          <w:tab w:val="clear" w:pos="360"/>
          <w:tab w:val="num" w:pos="284"/>
        </w:tabs>
        <w:spacing w:line="360" w:lineRule="auto"/>
        <w:ind w:left="0" w:firstLine="0"/>
        <w:jc w:val="both"/>
        <w:rPr>
          <w:rFonts w:ascii="Arial" w:hAnsi="Arial" w:cs="Arial"/>
          <w:sz w:val="24"/>
        </w:rPr>
      </w:pPr>
      <w:r w:rsidRPr="00AF261F">
        <w:rPr>
          <w:rFonts w:ascii="Arial" w:hAnsi="Arial" w:cs="Arial"/>
          <w:sz w:val="24"/>
        </w:rPr>
        <w:t>As a result of evaluation of behavior, the Agents and potential participants shall be classified by groups by descending assessment scores.</w:t>
      </w:r>
    </w:p>
    <w:p w:rsidR="004E1F8B" w:rsidRPr="00AF261F" w:rsidRDefault="004E1F8B" w:rsidP="0066038B">
      <w:pPr>
        <w:numPr>
          <w:ilvl w:val="0"/>
          <w:numId w:val="1"/>
        </w:numPr>
        <w:tabs>
          <w:tab w:val="clear" w:pos="360"/>
          <w:tab w:val="num" w:pos="284"/>
        </w:tabs>
        <w:spacing w:line="360" w:lineRule="auto"/>
        <w:ind w:left="0" w:firstLine="0"/>
        <w:jc w:val="both"/>
        <w:rPr>
          <w:rFonts w:ascii="Arial" w:hAnsi="Arial" w:cs="Arial"/>
          <w:sz w:val="24"/>
        </w:rPr>
      </w:pPr>
      <w:r w:rsidRPr="00AF261F">
        <w:rPr>
          <w:rFonts w:ascii="Arial" w:hAnsi="Arial" w:cs="Arial"/>
          <w:sz w:val="24"/>
        </w:rPr>
        <w:t xml:space="preserve"> The Issuer shall have to terminate the Agreement with the Agent having the least scores, if the minimum number defined by point 4 of the current </w:t>
      </w:r>
      <w:r w:rsidR="00FA2C88" w:rsidRPr="00AF261F">
        <w:rPr>
          <w:rFonts w:ascii="Arial" w:hAnsi="Arial" w:cs="Arial"/>
          <w:sz w:val="24"/>
        </w:rPr>
        <w:t>P</w:t>
      </w:r>
      <w:r w:rsidRPr="00AF261F">
        <w:rPr>
          <w:rFonts w:ascii="Arial" w:hAnsi="Arial" w:cs="Arial"/>
          <w:sz w:val="24"/>
        </w:rPr>
        <w:t xml:space="preserve">rocedure is not infringed. </w:t>
      </w:r>
    </w:p>
    <w:p w:rsidR="004270D6" w:rsidRPr="00AF261F" w:rsidRDefault="00012B7F" w:rsidP="0066038B">
      <w:pPr>
        <w:numPr>
          <w:ilvl w:val="0"/>
          <w:numId w:val="1"/>
        </w:numPr>
        <w:tabs>
          <w:tab w:val="clear" w:pos="360"/>
          <w:tab w:val="num" w:pos="284"/>
        </w:tabs>
        <w:spacing w:line="360" w:lineRule="auto"/>
        <w:ind w:left="0" w:firstLine="0"/>
        <w:jc w:val="both"/>
        <w:rPr>
          <w:rFonts w:ascii="Arial" w:hAnsi="Arial" w:cs="Arial"/>
          <w:sz w:val="24"/>
        </w:rPr>
      </w:pPr>
      <w:r w:rsidRPr="00AF261F">
        <w:rPr>
          <w:rFonts w:ascii="Arial" w:hAnsi="Arial" w:cs="Arial"/>
          <w:sz w:val="24"/>
        </w:rPr>
        <w:lastRenderedPageBreak/>
        <w:t>If the number of operating Agents is seven and as a result of assessment two Agents got equal lowest scores, the agreements with these Agents shall be terminated.</w:t>
      </w:r>
    </w:p>
    <w:p w:rsidR="004270D6" w:rsidRPr="00AF261F" w:rsidRDefault="00012B7F" w:rsidP="0066038B">
      <w:pPr>
        <w:numPr>
          <w:ilvl w:val="0"/>
          <w:numId w:val="1"/>
        </w:numPr>
        <w:tabs>
          <w:tab w:val="clear" w:pos="360"/>
          <w:tab w:val="num" w:pos="284"/>
        </w:tabs>
        <w:spacing w:line="360" w:lineRule="auto"/>
        <w:ind w:left="0" w:firstLine="0"/>
        <w:jc w:val="both"/>
        <w:rPr>
          <w:rFonts w:ascii="Arial" w:hAnsi="Arial" w:cs="Arial"/>
          <w:sz w:val="24"/>
        </w:rPr>
      </w:pPr>
      <w:r w:rsidRPr="00AF261F">
        <w:rPr>
          <w:rFonts w:ascii="Arial" w:hAnsi="Arial" w:cs="Arial"/>
          <w:sz w:val="24"/>
        </w:rPr>
        <w:t>If the number of operating Agents is seven and as a result of assessment more than two Agents got equal lowest scores, the agreements with these Agents shall not be terminated and no new Agents shall be selected.</w:t>
      </w:r>
    </w:p>
    <w:p w:rsidR="00012B7F" w:rsidRPr="00AF261F" w:rsidRDefault="00012B7F" w:rsidP="00012B7F">
      <w:pPr>
        <w:numPr>
          <w:ilvl w:val="0"/>
          <w:numId w:val="1"/>
        </w:numPr>
        <w:tabs>
          <w:tab w:val="clear" w:pos="360"/>
          <w:tab w:val="num" w:pos="284"/>
        </w:tabs>
        <w:spacing w:line="360" w:lineRule="auto"/>
        <w:ind w:left="0" w:firstLine="0"/>
        <w:jc w:val="both"/>
        <w:rPr>
          <w:rFonts w:ascii="Arial" w:hAnsi="Arial" w:cs="Arial"/>
          <w:sz w:val="24"/>
        </w:rPr>
      </w:pPr>
      <w:r w:rsidRPr="00AF261F">
        <w:rPr>
          <w:rFonts w:ascii="Arial" w:hAnsi="Arial" w:cs="Arial"/>
          <w:sz w:val="24"/>
        </w:rPr>
        <w:t>If the number of operating Agents is less than seven and as a result of assessment, two or more Agents have got equal lowest scores, the agreements with those Agents shall not be terminated and potential participants can submit to the Issuer an application for operating as an Agent.</w:t>
      </w:r>
    </w:p>
    <w:p w:rsidR="00012B7F" w:rsidRPr="00AF261F" w:rsidRDefault="00012B7F" w:rsidP="00012B7F">
      <w:pPr>
        <w:numPr>
          <w:ilvl w:val="0"/>
          <w:numId w:val="1"/>
        </w:numPr>
        <w:tabs>
          <w:tab w:val="clear" w:pos="360"/>
          <w:tab w:val="num" w:pos="284"/>
        </w:tabs>
        <w:spacing w:line="360" w:lineRule="auto"/>
        <w:ind w:left="0" w:firstLine="0"/>
        <w:jc w:val="both"/>
        <w:rPr>
          <w:rFonts w:ascii="Arial" w:hAnsi="Arial" w:cs="Arial"/>
          <w:sz w:val="24"/>
        </w:rPr>
      </w:pPr>
      <w:r w:rsidRPr="00AF261F">
        <w:rPr>
          <w:rFonts w:ascii="Arial" w:hAnsi="Arial" w:cs="Arial"/>
          <w:sz w:val="24"/>
        </w:rPr>
        <w:t xml:space="preserve">If the number of operating Agents is less than six and the potential participants have not applied to the Issuer for signing an agreement on operation as an Agent, the agreements with the Agents shall not be terminated. </w:t>
      </w:r>
    </w:p>
    <w:p w:rsidR="004270D6" w:rsidRPr="00AF261F" w:rsidRDefault="00012B7F" w:rsidP="00012B7F">
      <w:pPr>
        <w:numPr>
          <w:ilvl w:val="0"/>
          <w:numId w:val="1"/>
        </w:numPr>
        <w:tabs>
          <w:tab w:val="clear" w:pos="360"/>
          <w:tab w:val="num" w:pos="284"/>
        </w:tabs>
        <w:spacing w:line="360" w:lineRule="auto"/>
        <w:ind w:left="0" w:firstLine="0"/>
        <w:jc w:val="both"/>
        <w:rPr>
          <w:rFonts w:ascii="Arial" w:hAnsi="Arial" w:cs="Arial"/>
          <w:sz w:val="24"/>
        </w:rPr>
      </w:pPr>
      <w:r w:rsidRPr="00AF261F">
        <w:rPr>
          <w:rFonts w:ascii="Arial" w:hAnsi="Arial" w:cs="Arial"/>
          <w:sz w:val="24"/>
        </w:rPr>
        <w:t>If the agreement on implementation of functions of Agents is terminated in the assessed period, the Agent cannot be included in the list for the next year.</w:t>
      </w:r>
    </w:p>
    <w:p w:rsidR="00A15F8A" w:rsidRPr="00AF261F" w:rsidRDefault="004E1F8B" w:rsidP="0066038B">
      <w:pPr>
        <w:numPr>
          <w:ilvl w:val="0"/>
          <w:numId w:val="1"/>
        </w:numPr>
        <w:tabs>
          <w:tab w:val="clear" w:pos="360"/>
          <w:tab w:val="num" w:pos="284"/>
        </w:tabs>
        <w:spacing w:line="360" w:lineRule="auto"/>
        <w:ind w:left="0" w:firstLine="0"/>
        <w:jc w:val="both"/>
        <w:rPr>
          <w:rFonts w:ascii="Arial" w:hAnsi="Arial" w:cs="Arial"/>
          <w:sz w:val="24"/>
        </w:rPr>
      </w:pPr>
      <w:r w:rsidRPr="00AF261F">
        <w:rPr>
          <w:rFonts w:ascii="Arial" w:hAnsi="Arial" w:cs="Arial"/>
          <w:sz w:val="24"/>
        </w:rPr>
        <w:t xml:space="preserve">As a result of assessment, the 7 </w:t>
      </w:r>
      <w:r w:rsidR="00740971" w:rsidRPr="00AF261F">
        <w:rPr>
          <w:rFonts w:ascii="Arial" w:hAnsi="Arial" w:cs="Arial"/>
          <w:sz w:val="24"/>
        </w:rPr>
        <w:t>potential</w:t>
      </w:r>
      <w:r w:rsidRPr="00AF261F">
        <w:rPr>
          <w:rFonts w:ascii="Arial" w:hAnsi="Arial" w:cs="Arial"/>
          <w:sz w:val="24"/>
        </w:rPr>
        <w:t xml:space="preserve"> participants having the highest scores, can apply to the Issuer for concluding agreement on performing the operations of Agents within 10 days after publishing the results of annual assessment, in the order established by this Procedure. The Issuer shall select </w:t>
      </w:r>
      <w:r w:rsidR="00740971" w:rsidRPr="00AF261F">
        <w:rPr>
          <w:rFonts w:ascii="Arial" w:hAnsi="Arial" w:cs="Arial"/>
          <w:sz w:val="24"/>
        </w:rPr>
        <w:t>potential</w:t>
      </w:r>
      <w:r w:rsidRPr="00AF261F">
        <w:rPr>
          <w:rFonts w:ascii="Arial" w:hAnsi="Arial" w:cs="Arial"/>
          <w:sz w:val="24"/>
        </w:rPr>
        <w:t xml:space="preserve"> participant/participants who submitted an application and have the highest scores.</w:t>
      </w:r>
    </w:p>
    <w:p w:rsidR="0066038B" w:rsidRPr="00AF261F" w:rsidRDefault="0066038B" w:rsidP="0066038B">
      <w:pPr>
        <w:numPr>
          <w:ilvl w:val="0"/>
          <w:numId w:val="1"/>
        </w:numPr>
        <w:tabs>
          <w:tab w:val="clear" w:pos="360"/>
          <w:tab w:val="num" w:pos="284"/>
        </w:tabs>
        <w:spacing w:line="360" w:lineRule="auto"/>
        <w:ind w:left="0" w:firstLine="0"/>
        <w:jc w:val="both"/>
        <w:rPr>
          <w:rFonts w:ascii="Arial" w:hAnsi="Arial" w:cs="Arial"/>
          <w:sz w:val="24"/>
        </w:rPr>
      </w:pPr>
      <w:r w:rsidRPr="00AF261F">
        <w:rPr>
          <w:rFonts w:ascii="Arial" w:hAnsi="Arial" w:cs="Arial"/>
          <w:sz w:val="24"/>
        </w:rPr>
        <w:t xml:space="preserve">If, as a result of assessment of the first year of Agreement on implementation of </w:t>
      </w:r>
      <w:r w:rsidR="004E1F8B" w:rsidRPr="00AF261F">
        <w:rPr>
          <w:rFonts w:ascii="Arial" w:hAnsi="Arial" w:cs="Arial"/>
          <w:sz w:val="24"/>
        </w:rPr>
        <w:t>Agent</w:t>
      </w:r>
      <w:r w:rsidRPr="00AF261F">
        <w:rPr>
          <w:rFonts w:ascii="Arial" w:hAnsi="Arial" w:cs="Arial"/>
          <w:sz w:val="24"/>
        </w:rPr>
        <w:t xml:space="preserve">'s functions with the </w:t>
      </w:r>
      <w:r w:rsidR="00242A37" w:rsidRPr="00AF261F">
        <w:rPr>
          <w:rFonts w:ascii="Arial" w:hAnsi="Arial" w:cs="Arial"/>
          <w:sz w:val="24"/>
        </w:rPr>
        <w:t>Issuer</w:t>
      </w:r>
      <w:r w:rsidRPr="00AF261F">
        <w:rPr>
          <w:rFonts w:ascii="Arial" w:hAnsi="Arial" w:cs="Arial"/>
          <w:sz w:val="24"/>
        </w:rPr>
        <w:t xml:space="preserve">, the </w:t>
      </w:r>
      <w:r w:rsidR="004E1F8B" w:rsidRPr="00AF261F">
        <w:rPr>
          <w:rFonts w:ascii="Arial" w:hAnsi="Arial" w:cs="Arial"/>
          <w:sz w:val="24"/>
        </w:rPr>
        <w:t>Agent</w:t>
      </w:r>
      <w:r w:rsidRPr="00AF261F">
        <w:rPr>
          <w:rFonts w:ascii="Arial" w:hAnsi="Arial" w:cs="Arial"/>
          <w:sz w:val="24"/>
        </w:rPr>
        <w:t xml:space="preserve"> has the lowest performance, it shall maintain the status of </w:t>
      </w:r>
      <w:r w:rsidR="004E1F8B" w:rsidRPr="00AF261F">
        <w:rPr>
          <w:rFonts w:ascii="Arial" w:hAnsi="Arial" w:cs="Arial"/>
          <w:sz w:val="24"/>
        </w:rPr>
        <w:t>Agent</w:t>
      </w:r>
      <w:r w:rsidRPr="00AF261F">
        <w:rPr>
          <w:rFonts w:ascii="Arial" w:hAnsi="Arial" w:cs="Arial"/>
          <w:sz w:val="24"/>
        </w:rPr>
        <w:t xml:space="preserve">, and the Agreement with the </w:t>
      </w:r>
      <w:r w:rsidR="004E1F8B" w:rsidRPr="00AF261F">
        <w:rPr>
          <w:rFonts w:ascii="Arial" w:hAnsi="Arial" w:cs="Arial"/>
          <w:sz w:val="24"/>
        </w:rPr>
        <w:t>Agent</w:t>
      </w:r>
      <w:r w:rsidRPr="00AF261F">
        <w:rPr>
          <w:rFonts w:ascii="Arial" w:hAnsi="Arial" w:cs="Arial"/>
          <w:sz w:val="24"/>
        </w:rPr>
        <w:t xml:space="preserve"> operating for more than a year and having the lowest scores, shall be terminated. </w:t>
      </w:r>
    </w:p>
    <w:p w:rsidR="00740971" w:rsidRPr="00AF261F" w:rsidRDefault="00740971" w:rsidP="0066038B">
      <w:pPr>
        <w:numPr>
          <w:ilvl w:val="0"/>
          <w:numId w:val="1"/>
        </w:numPr>
        <w:tabs>
          <w:tab w:val="clear" w:pos="360"/>
          <w:tab w:val="num" w:pos="284"/>
        </w:tabs>
        <w:spacing w:line="360" w:lineRule="auto"/>
        <w:ind w:left="0" w:firstLine="0"/>
        <w:jc w:val="both"/>
        <w:rPr>
          <w:rFonts w:ascii="Arial" w:hAnsi="Arial" w:cs="Arial"/>
          <w:sz w:val="24"/>
        </w:rPr>
      </w:pPr>
      <w:r w:rsidRPr="00AF261F">
        <w:rPr>
          <w:rFonts w:ascii="Arial" w:hAnsi="Arial" w:cs="Arial"/>
          <w:sz w:val="24"/>
        </w:rPr>
        <w:t xml:space="preserve">The Issuer signs an agreement </w:t>
      </w:r>
      <w:r w:rsidRPr="00AF261F">
        <w:rPr>
          <w:rFonts w:ascii="Arial" w:hAnsi="Arial" w:cs="Arial"/>
          <w:sz w:val="24"/>
          <w:szCs w:val="24"/>
        </w:rPr>
        <w:t>“On implementation of functions of Agents in the market of state treasury T-bills, medium-term T-notes and long-term coupon bonds</w:t>
      </w:r>
      <w:r w:rsidRPr="00AF261F">
        <w:rPr>
          <w:rFonts w:ascii="Arial" w:hAnsi="Arial" w:cs="Arial"/>
          <w:sz w:val="24"/>
        </w:rPr>
        <w:t>” with selected Agents and can terminate it unilaterally.</w:t>
      </w:r>
    </w:p>
    <w:p w:rsidR="00740971" w:rsidRPr="00AF261F" w:rsidRDefault="00740971" w:rsidP="0066038B">
      <w:pPr>
        <w:numPr>
          <w:ilvl w:val="0"/>
          <w:numId w:val="1"/>
        </w:numPr>
        <w:tabs>
          <w:tab w:val="clear" w:pos="360"/>
          <w:tab w:val="num" w:pos="284"/>
        </w:tabs>
        <w:spacing w:line="360" w:lineRule="auto"/>
        <w:ind w:left="0" w:firstLine="0"/>
        <w:jc w:val="both"/>
        <w:rPr>
          <w:rFonts w:ascii="Arial" w:hAnsi="Arial" w:cs="Arial"/>
          <w:sz w:val="24"/>
        </w:rPr>
      </w:pPr>
      <w:r w:rsidRPr="00AF261F">
        <w:rPr>
          <w:rFonts w:ascii="Arial" w:hAnsi="Arial" w:cs="Arial"/>
          <w:sz w:val="24"/>
        </w:rPr>
        <w:t xml:space="preserve">The agreement signed with the Agent can be terminated if the Agent does not ensure the relevant requirements, as well as in the cases established by the Agreement. </w:t>
      </w:r>
    </w:p>
    <w:p w:rsidR="00AC5190" w:rsidRPr="00AF261F" w:rsidRDefault="00740971" w:rsidP="00AC5190">
      <w:pPr>
        <w:numPr>
          <w:ilvl w:val="0"/>
          <w:numId w:val="1"/>
        </w:numPr>
        <w:tabs>
          <w:tab w:val="clear" w:pos="360"/>
          <w:tab w:val="num" w:pos="284"/>
        </w:tabs>
        <w:spacing w:line="360" w:lineRule="auto"/>
        <w:ind w:left="0" w:firstLine="0"/>
        <w:jc w:val="both"/>
        <w:rPr>
          <w:rFonts w:ascii="Arial" w:hAnsi="Arial" w:cs="Arial"/>
          <w:sz w:val="24"/>
        </w:rPr>
      </w:pPr>
      <w:r w:rsidRPr="00AF261F">
        <w:rPr>
          <w:rFonts w:ascii="Arial" w:hAnsi="Arial" w:cs="Arial"/>
          <w:sz w:val="24"/>
        </w:rPr>
        <w:t>The Agreement on implementation of the functions of Agent shall be signed for one year for the period of January 1- December 31. If the Agreement is not terminated during this period, it is considered as rolled-over</w:t>
      </w:r>
      <w:r w:rsidR="00AC5190" w:rsidRPr="00AF261F">
        <w:rPr>
          <w:rFonts w:ascii="Arial" w:hAnsi="Arial" w:cs="Arial"/>
          <w:sz w:val="24"/>
        </w:rPr>
        <w:t xml:space="preserve"> for the period from January 1 to December 31 of the following year.</w:t>
      </w:r>
    </w:p>
    <w:p w:rsidR="00740971" w:rsidRPr="00AF261F" w:rsidRDefault="0066038B" w:rsidP="00AC5190">
      <w:pPr>
        <w:numPr>
          <w:ilvl w:val="0"/>
          <w:numId w:val="1"/>
        </w:numPr>
        <w:tabs>
          <w:tab w:val="clear" w:pos="360"/>
          <w:tab w:val="num" w:pos="284"/>
        </w:tabs>
        <w:spacing w:line="360" w:lineRule="auto"/>
        <w:ind w:left="0" w:firstLine="0"/>
        <w:jc w:val="both"/>
        <w:rPr>
          <w:rFonts w:ascii="Arial" w:hAnsi="Arial" w:cs="Arial"/>
          <w:sz w:val="24"/>
        </w:rPr>
      </w:pPr>
      <w:r w:rsidRPr="00AF261F">
        <w:rPr>
          <w:rFonts w:ascii="Arial" w:hAnsi="Arial" w:cs="Arial"/>
          <w:sz w:val="24"/>
        </w:rPr>
        <w:t xml:space="preserve">  </w:t>
      </w:r>
      <w:r w:rsidR="00740971" w:rsidRPr="00AF261F">
        <w:rPr>
          <w:rFonts w:ascii="Arial" w:hAnsi="Arial" w:cs="Arial"/>
          <w:sz w:val="24"/>
        </w:rPr>
        <w:t>The Issuer shall publish the list of Agents for the next year on its official website by November 1</w:t>
      </w:r>
      <w:r w:rsidR="00AC5190" w:rsidRPr="00AF261F">
        <w:rPr>
          <w:rFonts w:ascii="Arial" w:hAnsi="Arial" w:cs="Arial"/>
          <w:sz w:val="24"/>
        </w:rPr>
        <w:t>5</w:t>
      </w:r>
      <w:r w:rsidR="00740971" w:rsidRPr="00AF261F">
        <w:rPr>
          <w:rFonts w:ascii="Arial" w:hAnsi="Arial" w:cs="Arial"/>
          <w:sz w:val="24"/>
        </w:rPr>
        <w:t xml:space="preserve"> of the same year. </w:t>
      </w:r>
    </w:p>
    <w:sectPr w:rsidR="00740971" w:rsidRPr="00AF261F" w:rsidSect="006B6E64">
      <w:headerReference w:type="default" r:id="rId10"/>
      <w:footerReference w:type="even" r:id="rId11"/>
      <w:footerReference w:type="default" r:id="rId12"/>
      <w:pgSz w:w="11907" w:h="16839" w:code="9"/>
      <w:pgMar w:top="993" w:right="1134" w:bottom="851" w:left="1247" w:header="283"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68F" w:rsidRDefault="00F6068F">
      <w:r>
        <w:separator/>
      </w:r>
    </w:p>
  </w:endnote>
  <w:endnote w:type="continuationSeparator" w:id="0">
    <w:p w:rsidR="00F6068F" w:rsidRDefault="00F6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71" w:rsidRDefault="00740971" w:rsidP="004708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0971" w:rsidRDefault="00740971" w:rsidP="0041430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71" w:rsidRDefault="00740971" w:rsidP="004708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1CA4">
      <w:rPr>
        <w:rStyle w:val="PageNumber"/>
        <w:noProof/>
      </w:rPr>
      <w:t>1</w:t>
    </w:r>
    <w:r>
      <w:rPr>
        <w:rStyle w:val="PageNumber"/>
      </w:rPr>
      <w:fldChar w:fldCharType="end"/>
    </w:r>
  </w:p>
  <w:p w:rsidR="00740971" w:rsidRDefault="00740971" w:rsidP="0041430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68F" w:rsidRDefault="00F6068F">
      <w:r>
        <w:separator/>
      </w:r>
    </w:p>
  </w:footnote>
  <w:footnote w:type="continuationSeparator" w:id="0">
    <w:p w:rsidR="00F6068F" w:rsidRDefault="00F606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71" w:rsidRDefault="00740971" w:rsidP="006B6E64">
    <w:pPr>
      <w:pStyle w:val="Header"/>
      <w:jc w:val="right"/>
    </w:pPr>
    <w:r>
      <w:t>Non</w:t>
    </w:r>
    <w:r w:rsidR="00FA2C88">
      <w:t>-</w:t>
    </w:r>
    <w:r>
      <w:t>official translation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D7B87"/>
    <w:multiLevelType w:val="hybridMultilevel"/>
    <w:tmpl w:val="567A1782"/>
    <w:lvl w:ilvl="0" w:tplc="D4C4039E">
      <w:start w:val="22"/>
      <w:numFmt w:val="decimal"/>
      <w:lvlText w:val="%1."/>
      <w:lvlJc w:val="left"/>
      <w:pPr>
        <w:ind w:left="24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85B8F"/>
    <w:multiLevelType w:val="hybridMultilevel"/>
    <w:tmpl w:val="B412AFF6"/>
    <w:lvl w:ilvl="0" w:tplc="1F1CFD64">
      <w:start w:val="1"/>
      <w:numFmt w:val="decimal"/>
      <w:lvlText w:val="%1."/>
      <w:lvlJc w:val="left"/>
      <w:pPr>
        <w:tabs>
          <w:tab w:val="num" w:pos="502"/>
        </w:tabs>
        <w:ind w:left="502" w:hanging="360"/>
      </w:pPr>
      <w:rPr>
        <w:rFonts w:cs="Sylfaen" w:hint="default"/>
        <w:lang w:val="hy-AM"/>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 w15:restartNumberingAfterBreak="0">
    <w:nsid w:val="27634BD7"/>
    <w:multiLevelType w:val="hybridMultilevel"/>
    <w:tmpl w:val="91C82B48"/>
    <w:lvl w:ilvl="0" w:tplc="7670009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A0373"/>
    <w:multiLevelType w:val="multilevel"/>
    <w:tmpl w:val="2D6CD5DA"/>
    <w:lvl w:ilvl="0">
      <w:start w:val="1"/>
      <w:numFmt w:val="decimal"/>
      <w:lvlText w:val="%1."/>
      <w:lvlJc w:val="left"/>
      <w:pPr>
        <w:tabs>
          <w:tab w:val="num" w:pos="360"/>
        </w:tabs>
        <w:ind w:left="360" w:hanging="360"/>
      </w:pPr>
      <w:rPr>
        <w:rFonts w:ascii="GHEA Grapalat" w:hAnsi="GHEA Grapalat" w:hint="default"/>
        <w:b w:val="0"/>
        <w:i w:val="0"/>
        <w:color w:val="auto"/>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BB00692"/>
    <w:multiLevelType w:val="hybridMultilevel"/>
    <w:tmpl w:val="938CC4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336DA8"/>
    <w:multiLevelType w:val="multilevel"/>
    <w:tmpl w:val="350EE38A"/>
    <w:lvl w:ilvl="0">
      <w:start w:val="1"/>
      <w:numFmt w:val="decimal"/>
      <w:lvlText w:val="%1)"/>
      <w:lvlJc w:val="left"/>
      <w:pPr>
        <w:tabs>
          <w:tab w:val="num" w:pos="360"/>
        </w:tabs>
        <w:ind w:left="360" w:hanging="360"/>
      </w:pPr>
      <w:rPr>
        <w:rFonts w:hint="default"/>
        <w:b w:val="0"/>
        <w:i w:val="0"/>
        <w:color w:val="auto"/>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5F1D14F2"/>
    <w:multiLevelType w:val="hybridMultilevel"/>
    <w:tmpl w:val="89E491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C67366"/>
    <w:multiLevelType w:val="multilevel"/>
    <w:tmpl w:val="2D6CD5DA"/>
    <w:lvl w:ilvl="0">
      <w:start w:val="1"/>
      <w:numFmt w:val="decimal"/>
      <w:lvlText w:val="%1."/>
      <w:lvlJc w:val="left"/>
      <w:pPr>
        <w:tabs>
          <w:tab w:val="num" w:pos="360"/>
        </w:tabs>
        <w:ind w:left="360" w:hanging="360"/>
      </w:pPr>
      <w:rPr>
        <w:rFonts w:ascii="GHEA Grapalat" w:hAnsi="GHEA Grapalat" w:hint="default"/>
        <w:b w:val="0"/>
        <w:i w:val="0"/>
        <w:color w:val="auto"/>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CBC4121"/>
    <w:multiLevelType w:val="hybridMultilevel"/>
    <w:tmpl w:val="907EB7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4A5B2D"/>
    <w:multiLevelType w:val="hybridMultilevel"/>
    <w:tmpl w:val="270C7EAE"/>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15:restartNumberingAfterBreak="0">
    <w:nsid w:val="79341D06"/>
    <w:multiLevelType w:val="hybridMultilevel"/>
    <w:tmpl w:val="735E7EF8"/>
    <w:lvl w:ilvl="0" w:tplc="8DC40D74">
      <w:start w:val="1"/>
      <w:numFmt w:val="decimal"/>
      <w:lvlText w:val="%1)"/>
      <w:lvlJc w:val="left"/>
      <w:pPr>
        <w:tabs>
          <w:tab w:val="num" w:pos="2400"/>
        </w:tabs>
        <w:ind w:left="2400" w:hanging="360"/>
      </w:pPr>
      <w:rPr>
        <w:rFonts w:ascii="Arial Armenian" w:hAnsi="Arial Armenian" w:cs="Times New Roman" w:hint="default"/>
        <w:b w:val="0"/>
        <w:sz w:val="24"/>
        <w:szCs w:val="24"/>
      </w:rPr>
    </w:lvl>
    <w:lvl w:ilvl="1" w:tplc="9EC22654">
      <w:start w:val="11"/>
      <w:numFmt w:val="decimal"/>
      <w:lvlText w:val="%2."/>
      <w:lvlJc w:val="left"/>
      <w:pPr>
        <w:tabs>
          <w:tab w:val="num" w:pos="1500"/>
        </w:tabs>
        <w:ind w:left="1500" w:hanging="360"/>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Lucida Sans Typewriter" w:hAnsi="Lucida Sans Typewriter"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Lucida Sans Typewriter" w:hAnsi="Lucida Sans Typewriter"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7"/>
  </w:num>
  <w:num w:numId="2">
    <w:abstractNumId w:val="10"/>
  </w:num>
  <w:num w:numId="3">
    <w:abstractNumId w:val="0"/>
  </w:num>
  <w:num w:numId="4">
    <w:abstractNumId w:val="1"/>
  </w:num>
  <w:num w:numId="5">
    <w:abstractNumId w:val="9"/>
  </w:num>
  <w:num w:numId="6">
    <w:abstractNumId w:val="4"/>
  </w:num>
  <w:num w:numId="7">
    <w:abstractNumId w:val="8"/>
  </w:num>
  <w:num w:numId="8">
    <w:abstractNumId w:val="2"/>
  </w:num>
  <w:num w:numId="9">
    <w:abstractNumId w:val="5"/>
  </w:num>
  <w:num w:numId="10">
    <w:abstractNumId w:val="3"/>
  </w:num>
  <w:num w:numId="1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199"/>
    <w:rsid w:val="0000267E"/>
    <w:rsid w:val="00004D5E"/>
    <w:rsid w:val="00007351"/>
    <w:rsid w:val="00012B7F"/>
    <w:rsid w:val="000141E3"/>
    <w:rsid w:val="000147C7"/>
    <w:rsid w:val="0001617F"/>
    <w:rsid w:val="00023AF9"/>
    <w:rsid w:val="000317A8"/>
    <w:rsid w:val="00031D47"/>
    <w:rsid w:val="00032BF6"/>
    <w:rsid w:val="000348D5"/>
    <w:rsid w:val="0003525B"/>
    <w:rsid w:val="00036B17"/>
    <w:rsid w:val="00037DF4"/>
    <w:rsid w:val="00037ED2"/>
    <w:rsid w:val="000410DB"/>
    <w:rsid w:val="00042BAA"/>
    <w:rsid w:val="00047F9B"/>
    <w:rsid w:val="00052A92"/>
    <w:rsid w:val="00056632"/>
    <w:rsid w:val="00056BD9"/>
    <w:rsid w:val="00060E79"/>
    <w:rsid w:val="000623F3"/>
    <w:rsid w:val="000701F4"/>
    <w:rsid w:val="00070990"/>
    <w:rsid w:val="00070A3B"/>
    <w:rsid w:val="00072864"/>
    <w:rsid w:val="000735AE"/>
    <w:rsid w:val="00080B3F"/>
    <w:rsid w:val="0008184E"/>
    <w:rsid w:val="00083F6D"/>
    <w:rsid w:val="000842EF"/>
    <w:rsid w:val="0009258A"/>
    <w:rsid w:val="000928F6"/>
    <w:rsid w:val="0009333C"/>
    <w:rsid w:val="000A0144"/>
    <w:rsid w:val="000A1E44"/>
    <w:rsid w:val="000A3506"/>
    <w:rsid w:val="000A423C"/>
    <w:rsid w:val="000A42DD"/>
    <w:rsid w:val="000A4973"/>
    <w:rsid w:val="000A571C"/>
    <w:rsid w:val="000A6628"/>
    <w:rsid w:val="000A6781"/>
    <w:rsid w:val="000C0854"/>
    <w:rsid w:val="000C5612"/>
    <w:rsid w:val="000C7092"/>
    <w:rsid w:val="000D16E6"/>
    <w:rsid w:val="000D1D85"/>
    <w:rsid w:val="000D1E5A"/>
    <w:rsid w:val="000D3BBF"/>
    <w:rsid w:val="000D3C9F"/>
    <w:rsid w:val="000D3E7B"/>
    <w:rsid w:val="000D4426"/>
    <w:rsid w:val="000D44A7"/>
    <w:rsid w:val="000D4836"/>
    <w:rsid w:val="000D4D1A"/>
    <w:rsid w:val="000D6003"/>
    <w:rsid w:val="000D6933"/>
    <w:rsid w:val="000D6B38"/>
    <w:rsid w:val="000E1FC8"/>
    <w:rsid w:val="000E3E4E"/>
    <w:rsid w:val="000E7576"/>
    <w:rsid w:val="000F39A1"/>
    <w:rsid w:val="001022FC"/>
    <w:rsid w:val="00102C74"/>
    <w:rsid w:val="00106055"/>
    <w:rsid w:val="001061C9"/>
    <w:rsid w:val="00107ADB"/>
    <w:rsid w:val="00110814"/>
    <w:rsid w:val="001128A8"/>
    <w:rsid w:val="00115EF3"/>
    <w:rsid w:val="001200C6"/>
    <w:rsid w:val="00120F4C"/>
    <w:rsid w:val="001215ED"/>
    <w:rsid w:val="0012273B"/>
    <w:rsid w:val="001230B0"/>
    <w:rsid w:val="00123A73"/>
    <w:rsid w:val="00124D49"/>
    <w:rsid w:val="00130B76"/>
    <w:rsid w:val="0013419F"/>
    <w:rsid w:val="00136F14"/>
    <w:rsid w:val="00140B95"/>
    <w:rsid w:val="0014489E"/>
    <w:rsid w:val="001460C2"/>
    <w:rsid w:val="00152517"/>
    <w:rsid w:val="00153D4A"/>
    <w:rsid w:val="00154346"/>
    <w:rsid w:val="00163A54"/>
    <w:rsid w:val="0016683A"/>
    <w:rsid w:val="00166AF1"/>
    <w:rsid w:val="001725E2"/>
    <w:rsid w:val="00172C22"/>
    <w:rsid w:val="001745CA"/>
    <w:rsid w:val="00174919"/>
    <w:rsid w:val="00175BD4"/>
    <w:rsid w:val="00181F1E"/>
    <w:rsid w:val="00183342"/>
    <w:rsid w:val="00192F68"/>
    <w:rsid w:val="001A1046"/>
    <w:rsid w:val="001A1216"/>
    <w:rsid w:val="001A4098"/>
    <w:rsid w:val="001A782B"/>
    <w:rsid w:val="001B744B"/>
    <w:rsid w:val="001C072E"/>
    <w:rsid w:val="001C14CF"/>
    <w:rsid w:val="001C1F18"/>
    <w:rsid w:val="001C3009"/>
    <w:rsid w:val="001D615B"/>
    <w:rsid w:val="001E06D2"/>
    <w:rsid w:val="001E12D0"/>
    <w:rsid w:val="001E3347"/>
    <w:rsid w:val="001E603D"/>
    <w:rsid w:val="001E710A"/>
    <w:rsid w:val="001F1627"/>
    <w:rsid w:val="001F2C72"/>
    <w:rsid w:val="001F38D8"/>
    <w:rsid w:val="001F5611"/>
    <w:rsid w:val="001F724D"/>
    <w:rsid w:val="00200E16"/>
    <w:rsid w:val="002018D8"/>
    <w:rsid w:val="00224262"/>
    <w:rsid w:val="00224517"/>
    <w:rsid w:val="002247BF"/>
    <w:rsid w:val="00226988"/>
    <w:rsid w:val="002329F9"/>
    <w:rsid w:val="0023485E"/>
    <w:rsid w:val="002355F3"/>
    <w:rsid w:val="00241F44"/>
    <w:rsid w:val="00242A37"/>
    <w:rsid w:val="002520B1"/>
    <w:rsid w:val="00254C0F"/>
    <w:rsid w:val="00255FBC"/>
    <w:rsid w:val="002659A9"/>
    <w:rsid w:val="00266938"/>
    <w:rsid w:val="002709C8"/>
    <w:rsid w:val="00270A38"/>
    <w:rsid w:val="0027106C"/>
    <w:rsid w:val="002711D9"/>
    <w:rsid w:val="00271ABA"/>
    <w:rsid w:val="00277DE5"/>
    <w:rsid w:val="002803D3"/>
    <w:rsid w:val="00283052"/>
    <w:rsid w:val="00287F75"/>
    <w:rsid w:val="00291C21"/>
    <w:rsid w:val="002930B5"/>
    <w:rsid w:val="00294017"/>
    <w:rsid w:val="00295C97"/>
    <w:rsid w:val="002A23E6"/>
    <w:rsid w:val="002A37C0"/>
    <w:rsid w:val="002B16E2"/>
    <w:rsid w:val="002B5AF3"/>
    <w:rsid w:val="002C0095"/>
    <w:rsid w:val="002C1808"/>
    <w:rsid w:val="002C25D8"/>
    <w:rsid w:val="002C5EBA"/>
    <w:rsid w:val="002C6576"/>
    <w:rsid w:val="002C77CA"/>
    <w:rsid w:val="002D0191"/>
    <w:rsid w:val="002D0BAA"/>
    <w:rsid w:val="002D4060"/>
    <w:rsid w:val="002D5261"/>
    <w:rsid w:val="002D74E7"/>
    <w:rsid w:val="002E18D7"/>
    <w:rsid w:val="002E1D86"/>
    <w:rsid w:val="002E501A"/>
    <w:rsid w:val="002E63E1"/>
    <w:rsid w:val="002E6F1E"/>
    <w:rsid w:val="002F7D3E"/>
    <w:rsid w:val="00300820"/>
    <w:rsid w:val="00301066"/>
    <w:rsid w:val="00301BED"/>
    <w:rsid w:val="00305AB4"/>
    <w:rsid w:val="00310FE9"/>
    <w:rsid w:val="00311305"/>
    <w:rsid w:val="00313F7F"/>
    <w:rsid w:val="003161B5"/>
    <w:rsid w:val="00317ADF"/>
    <w:rsid w:val="00320097"/>
    <w:rsid w:val="003210A4"/>
    <w:rsid w:val="00322E48"/>
    <w:rsid w:val="00333A25"/>
    <w:rsid w:val="00333DB7"/>
    <w:rsid w:val="00334118"/>
    <w:rsid w:val="003509D1"/>
    <w:rsid w:val="0035249C"/>
    <w:rsid w:val="003556E7"/>
    <w:rsid w:val="00356794"/>
    <w:rsid w:val="00357FBB"/>
    <w:rsid w:val="00360BD8"/>
    <w:rsid w:val="00363933"/>
    <w:rsid w:val="00366FCF"/>
    <w:rsid w:val="00373719"/>
    <w:rsid w:val="00382CAF"/>
    <w:rsid w:val="00384403"/>
    <w:rsid w:val="00384BA8"/>
    <w:rsid w:val="00393737"/>
    <w:rsid w:val="003940B9"/>
    <w:rsid w:val="00394564"/>
    <w:rsid w:val="003A2401"/>
    <w:rsid w:val="003A27E2"/>
    <w:rsid w:val="003A48C6"/>
    <w:rsid w:val="003A57D2"/>
    <w:rsid w:val="003B10B2"/>
    <w:rsid w:val="003B1A12"/>
    <w:rsid w:val="003B30B9"/>
    <w:rsid w:val="003B7076"/>
    <w:rsid w:val="003B7257"/>
    <w:rsid w:val="003B7A20"/>
    <w:rsid w:val="003D1DB1"/>
    <w:rsid w:val="003D1F34"/>
    <w:rsid w:val="003D2093"/>
    <w:rsid w:val="003D54E1"/>
    <w:rsid w:val="003E11EC"/>
    <w:rsid w:val="003E1BFE"/>
    <w:rsid w:val="003E25AC"/>
    <w:rsid w:val="003E3529"/>
    <w:rsid w:val="003F2ABA"/>
    <w:rsid w:val="003F5726"/>
    <w:rsid w:val="004041E1"/>
    <w:rsid w:val="00405FFF"/>
    <w:rsid w:val="0041291B"/>
    <w:rsid w:val="004129F5"/>
    <w:rsid w:val="0041430E"/>
    <w:rsid w:val="0041445B"/>
    <w:rsid w:val="004174AA"/>
    <w:rsid w:val="00420EB1"/>
    <w:rsid w:val="00424E88"/>
    <w:rsid w:val="00424FD4"/>
    <w:rsid w:val="004270D6"/>
    <w:rsid w:val="0042767B"/>
    <w:rsid w:val="00427DAC"/>
    <w:rsid w:val="00434A7C"/>
    <w:rsid w:val="00436526"/>
    <w:rsid w:val="00444953"/>
    <w:rsid w:val="00445786"/>
    <w:rsid w:val="0045476B"/>
    <w:rsid w:val="00457444"/>
    <w:rsid w:val="00463BFB"/>
    <w:rsid w:val="00464490"/>
    <w:rsid w:val="004674D2"/>
    <w:rsid w:val="004708BC"/>
    <w:rsid w:val="0047259E"/>
    <w:rsid w:val="00474087"/>
    <w:rsid w:val="004742AE"/>
    <w:rsid w:val="00477A94"/>
    <w:rsid w:val="00480687"/>
    <w:rsid w:val="00482304"/>
    <w:rsid w:val="004913E2"/>
    <w:rsid w:val="00493EBE"/>
    <w:rsid w:val="00497715"/>
    <w:rsid w:val="004A023D"/>
    <w:rsid w:val="004A39F5"/>
    <w:rsid w:val="004A459E"/>
    <w:rsid w:val="004A4814"/>
    <w:rsid w:val="004A4B2E"/>
    <w:rsid w:val="004A5085"/>
    <w:rsid w:val="004B56B2"/>
    <w:rsid w:val="004B62B3"/>
    <w:rsid w:val="004B75C1"/>
    <w:rsid w:val="004B77AC"/>
    <w:rsid w:val="004C1AC8"/>
    <w:rsid w:val="004C331C"/>
    <w:rsid w:val="004C6568"/>
    <w:rsid w:val="004C6C0C"/>
    <w:rsid w:val="004D3E45"/>
    <w:rsid w:val="004D3F1A"/>
    <w:rsid w:val="004D5B87"/>
    <w:rsid w:val="004D69F3"/>
    <w:rsid w:val="004E1F8B"/>
    <w:rsid w:val="004E517E"/>
    <w:rsid w:val="004F21AE"/>
    <w:rsid w:val="004F77F4"/>
    <w:rsid w:val="005019E4"/>
    <w:rsid w:val="00501E07"/>
    <w:rsid w:val="005020EC"/>
    <w:rsid w:val="0050420F"/>
    <w:rsid w:val="00504A9D"/>
    <w:rsid w:val="00512E83"/>
    <w:rsid w:val="00522DAC"/>
    <w:rsid w:val="00523770"/>
    <w:rsid w:val="00524F23"/>
    <w:rsid w:val="0052660B"/>
    <w:rsid w:val="00544F44"/>
    <w:rsid w:val="0055063C"/>
    <w:rsid w:val="005537E4"/>
    <w:rsid w:val="00553FDC"/>
    <w:rsid w:val="00560FD8"/>
    <w:rsid w:val="00563E4B"/>
    <w:rsid w:val="0056744B"/>
    <w:rsid w:val="00567460"/>
    <w:rsid w:val="00572190"/>
    <w:rsid w:val="00572DA1"/>
    <w:rsid w:val="0057606B"/>
    <w:rsid w:val="00577879"/>
    <w:rsid w:val="00587C92"/>
    <w:rsid w:val="005936FD"/>
    <w:rsid w:val="00593D6D"/>
    <w:rsid w:val="005A0E8B"/>
    <w:rsid w:val="005A29A5"/>
    <w:rsid w:val="005B2E36"/>
    <w:rsid w:val="005B6523"/>
    <w:rsid w:val="005B6EE8"/>
    <w:rsid w:val="005C2F28"/>
    <w:rsid w:val="005C39D3"/>
    <w:rsid w:val="005D1146"/>
    <w:rsid w:val="005F630A"/>
    <w:rsid w:val="00603236"/>
    <w:rsid w:val="00606FCD"/>
    <w:rsid w:val="00611932"/>
    <w:rsid w:val="006120A9"/>
    <w:rsid w:val="00615B85"/>
    <w:rsid w:val="00620679"/>
    <w:rsid w:val="006213E7"/>
    <w:rsid w:val="00622755"/>
    <w:rsid w:val="00623106"/>
    <w:rsid w:val="00632B70"/>
    <w:rsid w:val="00632C5D"/>
    <w:rsid w:val="0063622F"/>
    <w:rsid w:val="00637C75"/>
    <w:rsid w:val="0064098C"/>
    <w:rsid w:val="006409A9"/>
    <w:rsid w:val="00640DAF"/>
    <w:rsid w:val="00643A38"/>
    <w:rsid w:val="00643D58"/>
    <w:rsid w:val="00643EDD"/>
    <w:rsid w:val="00652230"/>
    <w:rsid w:val="00657860"/>
    <w:rsid w:val="0066038B"/>
    <w:rsid w:val="00660621"/>
    <w:rsid w:val="00663A3C"/>
    <w:rsid w:val="00665750"/>
    <w:rsid w:val="00667759"/>
    <w:rsid w:val="0067169E"/>
    <w:rsid w:val="00673D50"/>
    <w:rsid w:val="0067675A"/>
    <w:rsid w:val="00677BF4"/>
    <w:rsid w:val="00682239"/>
    <w:rsid w:val="00686207"/>
    <w:rsid w:val="00686918"/>
    <w:rsid w:val="0069087C"/>
    <w:rsid w:val="00690FAC"/>
    <w:rsid w:val="00693552"/>
    <w:rsid w:val="00693B31"/>
    <w:rsid w:val="006A7008"/>
    <w:rsid w:val="006B1095"/>
    <w:rsid w:val="006B2B00"/>
    <w:rsid w:val="006B6E64"/>
    <w:rsid w:val="006C3F9A"/>
    <w:rsid w:val="006C423E"/>
    <w:rsid w:val="006C5EF2"/>
    <w:rsid w:val="006C634D"/>
    <w:rsid w:val="006C73F1"/>
    <w:rsid w:val="006D7FD8"/>
    <w:rsid w:val="006E66DE"/>
    <w:rsid w:val="006E71D8"/>
    <w:rsid w:val="006F0565"/>
    <w:rsid w:val="006F087C"/>
    <w:rsid w:val="006F1EB4"/>
    <w:rsid w:val="006F26C9"/>
    <w:rsid w:val="006F3FBF"/>
    <w:rsid w:val="006F4747"/>
    <w:rsid w:val="006F618D"/>
    <w:rsid w:val="006F6C6B"/>
    <w:rsid w:val="00701180"/>
    <w:rsid w:val="007066A9"/>
    <w:rsid w:val="00711585"/>
    <w:rsid w:val="00711F22"/>
    <w:rsid w:val="00712458"/>
    <w:rsid w:val="00713026"/>
    <w:rsid w:val="0071455F"/>
    <w:rsid w:val="007174A9"/>
    <w:rsid w:val="007176F8"/>
    <w:rsid w:val="00724BFA"/>
    <w:rsid w:val="00725E80"/>
    <w:rsid w:val="00726E72"/>
    <w:rsid w:val="00727D79"/>
    <w:rsid w:val="00734F0B"/>
    <w:rsid w:val="007363D2"/>
    <w:rsid w:val="00740971"/>
    <w:rsid w:val="0074226D"/>
    <w:rsid w:val="00743998"/>
    <w:rsid w:val="007440B9"/>
    <w:rsid w:val="007442E3"/>
    <w:rsid w:val="00753DDE"/>
    <w:rsid w:val="0075630C"/>
    <w:rsid w:val="00761193"/>
    <w:rsid w:val="00763030"/>
    <w:rsid w:val="00763D8A"/>
    <w:rsid w:val="00767454"/>
    <w:rsid w:val="00767DA4"/>
    <w:rsid w:val="0077034B"/>
    <w:rsid w:val="00773C45"/>
    <w:rsid w:val="007746D5"/>
    <w:rsid w:val="00774BCC"/>
    <w:rsid w:val="00776217"/>
    <w:rsid w:val="00781020"/>
    <w:rsid w:val="0078118E"/>
    <w:rsid w:val="00790244"/>
    <w:rsid w:val="00791320"/>
    <w:rsid w:val="00791BED"/>
    <w:rsid w:val="0079328D"/>
    <w:rsid w:val="0079331F"/>
    <w:rsid w:val="007A67BB"/>
    <w:rsid w:val="007B3B11"/>
    <w:rsid w:val="007B4298"/>
    <w:rsid w:val="007B66B6"/>
    <w:rsid w:val="007B7B98"/>
    <w:rsid w:val="007C17C2"/>
    <w:rsid w:val="007C28FE"/>
    <w:rsid w:val="007D4A34"/>
    <w:rsid w:val="007E1FB1"/>
    <w:rsid w:val="007F161B"/>
    <w:rsid w:val="007F2117"/>
    <w:rsid w:val="007F56F0"/>
    <w:rsid w:val="00801D67"/>
    <w:rsid w:val="00806073"/>
    <w:rsid w:val="008102D5"/>
    <w:rsid w:val="008158F7"/>
    <w:rsid w:val="00817847"/>
    <w:rsid w:val="00822E9D"/>
    <w:rsid w:val="008231B2"/>
    <w:rsid w:val="00826AAA"/>
    <w:rsid w:val="008270D2"/>
    <w:rsid w:val="00830A69"/>
    <w:rsid w:val="008367A8"/>
    <w:rsid w:val="00836CE0"/>
    <w:rsid w:val="008376C0"/>
    <w:rsid w:val="008420F9"/>
    <w:rsid w:val="00842DB0"/>
    <w:rsid w:val="00845E03"/>
    <w:rsid w:val="0084784C"/>
    <w:rsid w:val="00851A67"/>
    <w:rsid w:val="00854793"/>
    <w:rsid w:val="00854E93"/>
    <w:rsid w:val="008571F6"/>
    <w:rsid w:val="008576FB"/>
    <w:rsid w:val="00867534"/>
    <w:rsid w:val="008720A2"/>
    <w:rsid w:val="00873DBC"/>
    <w:rsid w:val="00874C4A"/>
    <w:rsid w:val="008760E0"/>
    <w:rsid w:val="00876A9F"/>
    <w:rsid w:val="00880C46"/>
    <w:rsid w:val="0088181B"/>
    <w:rsid w:val="008837D9"/>
    <w:rsid w:val="008865B3"/>
    <w:rsid w:val="0089363A"/>
    <w:rsid w:val="0089390A"/>
    <w:rsid w:val="00893924"/>
    <w:rsid w:val="008A0892"/>
    <w:rsid w:val="008A1D36"/>
    <w:rsid w:val="008A31E7"/>
    <w:rsid w:val="008A53F6"/>
    <w:rsid w:val="008A5415"/>
    <w:rsid w:val="008B0262"/>
    <w:rsid w:val="008B138E"/>
    <w:rsid w:val="008B37AC"/>
    <w:rsid w:val="008B5277"/>
    <w:rsid w:val="008C791A"/>
    <w:rsid w:val="008D10AC"/>
    <w:rsid w:val="008D7514"/>
    <w:rsid w:val="008E0B44"/>
    <w:rsid w:val="008E105D"/>
    <w:rsid w:val="008E3259"/>
    <w:rsid w:val="008E493A"/>
    <w:rsid w:val="008E4BD1"/>
    <w:rsid w:val="008E5A19"/>
    <w:rsid w:val="008E64BE"/>
    <w:rsid w:val="008F150A"/>
    <w:rsid w:val="008F6ADB"/>
    <w:rsid w:val="00900F75"/>
    <w:rsid w:val="009012C3"/>
    <w:rsid w:val="009016BF"/>
    <w:rsid w:val="009051C4"/>
    <w:rsid w:val="0090623B"/>
    <w:rsid w:val="00907821"/>
    <w:rsid w:val="00907AC0"/>
    <w:rsid w:val="009126EC"/>
    <w:rsid w:val="009141D3"/>
    <w:rsid w:val="00914EA1"/>
    <w:rsid w:val="00915D54"/>
    <w:rsid w:val="00921BFD"/>
    <w:rsid w:val="00924F8F"/>
    <w:rsid w:val="00926CB4"/>
    <w:rsid w:val="00927496"/>
    <w:rsid w:val="009278CD"/>
    <w:rsid w:val="00931187"/>
    <w:rsid w:val="009345FC"/>
    <w:rsid w:val="00935080"/>
    <w:rsid w:val="00937534"/>
    <w:rsid w:val="009418A3"/>
    <w:rsid w:val="0094408E"/>
    <w:rsid w:val="009461AE"/>
    <w:rsid w:val="009503C2"/>
    <w:rsid w:val="00953E86"/>
    <w:rsid w:val="00954441"/>
    <w:rsid w:val="00955D9A"/>
    <w:rsid w:val="00962642"/>
    <w:rsid w:val="00962CB4"/>
    <w:rsid w:val="0096709F"/>
    <w:rsid w:val="0097192A"/>
    <w:rsid w:val="00972FA7"/>
    <w:rsid w:val="0097690A"/>
    <w:rsid w:val="00977397"/>
    <w:rsid w:val="00990B5D"/>
    <w:rsid w:val="0099406A"/>
    <w:rsid w:val="009A1926"/>
    <w:rsid w:val="009A2C6A"/>
    <w:rsid w:val="009A40E4"/>
    <w:rsid w:val="009A542B"/>
    <w:rsid w:val="009A6F6A"/>
    <w:rsid w:val="009B41B5"/>
    <w:rsid w:val="009D2C18"/>
    <w:rsid w:val="009D392C"/>
    <w:rsid w:val="009D6FF0"/>
    <w:rsid w:val="009E0B1D"/>
    <w:rsid w:val="009E1A2B"/>
    <w:rsid w:val="009E6277"/>
    <w:rsid w:val="009E6AED"/>
    <w:rsid w:val="009E6E45"/>
    <w:rsid w:val="009E7FCE"/>
    <w:rsid w:val="009F22DF"/>
    <w:rsid w:val="009F5F05"/>
    <w:rsid w:val="00A15F8A"/>
    <w:rsid w:val="00A23E19"/>
    <w:rsid w:val="00A31F5D"/>
    <w:rsid w:val="00A3388A"/>
    <w:rsid w:val="00A36E9F"/>
    <w:rsid w:val="00A37476"/>
    <w:rsid w:val="00A43E47"/>
    <w:rsid w:val="00A47F46"/>
    <w:rsid w:val="00A5028D"/>
    <w:rsid w:val="00A5205C"/>
    <w:rsid w:val="00A54FBC"/>
    <w:rsid w:val="00A5661A"/>
    <w:rsid w:val="00A61BB9"/>
    <w:rsid w:val="00A61CA4"/>
    <w:rsid w:val="00A7664B"/>
    <w:rsid w:val="00A76F8F"/>
    <w:rsid w:val="00A772BC"/>
    <w:rsid w:val="00A77F25"/>
    <w:rsid w:val="00A81283"/>
    <w:rsid w:val="00A83043"/>
    <w:rsid w:val="00A8676E"/>
    <w:rsid w:val="00A9062E"/>
    <w:rsid w:val="00A928F9"/>
    <w:rsid w:val="00A936F8"/>
    <w:rsid w:val="00A955B6"/>
    <w:rsid w:val="00A965DE"/>
    <w:rsid w:val="00AA0159"/>
    <w:rsid w:val="00AA02D3"/>
    <w:rsid w:val="00AA2338"/>
    <w:rsid w:val="00AA2A93"/>
    <w:rsid w:val="00AA4F5B"/>
    <w:rsid w:val="00AB00FA"/>
    <w:rsid w:val="00AB0840"/>
    <w:rsid w:val="00AB0F49"/>
    <w:rsid w:val="00AB1292"/>
    <w:rsid w:val="00AB2D10"/>
    <w:rsid w:val="00AB5459"/>
    <w:rsid w:val="00AC26D8"/>
    <w:rsid w:val="00AC5190"/>
    <w:rsid w:val="00AC704B"/>
    <w:rsid w:val="00AD2443"/>
    <w:rsid w:val="00AD2D6C"/>
    <w:rsid w:val="00AD38B6"/>
    <w:rsid w:val="00AD432F"/>
    <w:rsid w:val="00AD4830"/>
    <w:rsid w:val="00AE19CF"/>
    <w:rsid w:val="00AE755F"/>
    <w:rsid w:val="00AF0413"/>
    <w:rsid w:val="00AF261F"/>
    <w:rsid w:val="00AF5246"/>
    <w:rsid w:val="00AF67DA"/>
    <w:rsid w:val="00AF7429"/>
    <w:rsid w:val="00B017F6"/>
    <w:rsid w:val="00B01ADC"/>
    <w:rsid w:val="00B062C5"/>
    <w:rsid w:val="00B06B1D"/>
    <w:rsid w:val="00B100AB"/>
    <w:rsid w:val="00B105D9"/>
    <w:rsid w:val="00B14199"/>
    <w:rsid w:val="00B14E01"/>
    <w:rsid w:val="00B21964"/>
    <w:rsid w:val="00B258F1"/>
    <w:rsid w:val="00B3251A"/>
    <w:rsid w:val="00B327F6"/>
    <w:rsid w:val="00B336A2"/>
    <w:rsid w:val="00B37F60"/>
    <w:rsid w:val="00B41293"/>
    <w:rsid w:val="00B46754"/>
    <w:rsid w:val="00B52605"/>
    <w:rsid w:val="00B53DA7"/>
    <w:rsid w:val="00B66BD3"/>
    <w:rsid w:val="00B73FD1"/>
    <w:rsid w:val="00B764B2"/>
    <w:rsid w:val="00B77993"/>
    <w:rsid w:val="00B77DEC"/>
    <w:rsid w:val="00B846C5"/>
    <w:rsid w:val="00B84FB0"/>
    <w:rsid w:val="00B87509"/>
    <w:rsid w:val="00B91B15"/>
    <w:rsid w:val="00B91B58"/>
    <w:rsid w:val="00B95B93"/>
    <w:rsid w:val="00B97543"/>
    <w:rsid w:val="00BA69D0"/>
    <w:rsid w:val="00BB0C6F"/>
    <w:rsid w:val="00BB16F7"/>
    <w:rsid w:val="00BB2E44"/>
    <w:rsid w:val="00BB7577"/>
    <w:rsid w:val="00BB7C61"/>
    <w:rsid w:val="00BC1720"/>
    <w:rsid w:val="00BC7152"/>
    <w:rsid w:val="00BD1CFE"/>
    <w:rsid w:val="00BD341E"/>
    <w:rsid w:val="00BD71A8"/>
    <w:rsid w:val="00C00408"/>
    <w:rsid w:val="00C00494"/>
    <w:rsid w:val="00C0426A"/>
    <w:rsid w:val="00C1023B"/>
    <w:rsid w:val="00C10DB1"/>
    <w:rsid w:val="00C225A3"/>
    <w:rsid w:val="00C23F2C"/>
    <w:rsid w:val="00C26C2C"/>
    <w:rsid w:val="00C27F5C"/>
    <w:rsid w:val="00C3663E"/>
    <w:rsid w:val="00C37AFC"/>
    <w:rsid w:val="00C37FDF"/>
    <w:rsid w:val="00C42AA6"/>
    <w:rsid w:val="00C45152"/>
    <w:rsid w:val="00C51865"/>
    <w:rsid w:val="00C53214"/>
    <w:rsid w:val="00C53ACB"/>
    <w:rsid w:val="00C57CD0"/>
    <w:rsid w:val="00C60707"/>
    <w:rsid w:val="00C60F1A"/>
    <w:rsid w:val="00C63337"/>
    <w:rsid w:val="00C6357D"/>
    <w:rsid w:val="00C66D2C"/>
    <w:rsid w:val="00C761FD"/>
    <w:rsid w:val="00C76EEE"/>
    <w:rsid w:val="00C77D77"/>
    <w:rsid w:val="00C813F1"/>
    <w:rsid w:val="00C8284C"/>
    <w:rsid w:val="00C83F59"/>
    <w:rsid w:val="00C84750"/>
    <w:rsid w:val="00C84CB8"/>
    <w:rsid w:val="00C875CE"/>
    <w:rsid w:val="00C9003C"/>
    <w:rsid w:val="00C90E4D"/>
    <w:rsid w:val="00C91053"/>
    <w:rsid w:val="00C92606"/>
    <w:rsid w:val="00C96BB8"/>
    <w:rsid w:val="00CA0AD9"/>
    <w:rsid w:val="00CA6EE3"/>
    <w:rsid w:val="00CA7633"/>
    <w:rsid w:val="00CB2B0B"/>
    <w:rsid w:val="00CB7296"/>
    <w:rsid w:val="00CC1555"/>
    <w:rsid w:val="00CC3189"/>
    <w:rsid w:val="00CC5753"/>
    <w:rsid w:val="00CD0CF5"/>
    <w:rsid w:val="00CD6872"/>
    <w:rsid w:val="00CD6B8D"/>
    <w:rsid w:val="00CD6D68"/>
    <w:rsid w:val="00CE301C"/>
    <w:rsid w:val="00CF5A6A"/>
    <w:rsid w:val="00D00047"/>
    <w:rsid w:val="00D02495"/>
    <w:rsid w:val="00D03A41"/>
    <w:rsid w:val="00D03DD3"/>
    <w:rsid w:val="00D04932"/>
    <w:rsid w:val="00D07D8B"/>
    <w:rsid w:val="00D11C97"/>
    <w:rsid w:val="00D124A1"/>
    <w:rsid w:val="00D2095A"/>
    <w:rsid w:val="00D21B81"/>
    <w:rsid w:val="00D226F8"/>
    <w:rsid w:val="00D26838"/>
    <w:rsid w:val="00D26CC7"/>
    <w:rsid w:val="00D27B65"/>
    <w:rsid w:val="00D35839"/>
    <w:rsid w:val="00D4439E"/>
    <w:rsid w:val="00D4727D"/>
    <w:rsid w:val="00D5024E"/>
    <w:rsid w:val="00D5264A"/>
    <w:rsid w:val="00D621FF"/>
    <w:rsid w:val="00D62601"/>
    <w:rsid w:val="00D6665F"/>
    <w:rsid w:val="00D72D06"/>
    <w:rsid w:val="00D73229"/>
    <w:rsid w:val="00D733BD"/>
    <w:rsid w:val="00D7657F"/>
    <w:rsid w:val="00D773B8"/>
    <w:rsid w:val="00D77614"/>
    <w:rsid w:val="00D81703"/>
    <w:rsid w:val="00D81DC7"/>
    <w:rsid w:val="00D846FE"/>
    <w:rsid w:val="00D86858"/>
    <w:rsid w:val="00D91C4B"/>
    <w:rsid w:val="00D92728"/>
    <w:rsid w:val="00D95991"/>
    <w:rsid w:val="00D97EFA"/>
    <w:rsid w:val="00DA0540"/>
    <w:rsid w:val="00DA1CF3"/>
    <w:rsid w:val="00DA3D36"/>
    <w:rsid w:val="00DA5A8E"/>
    <w:rsid w:val="00DB00BF"/>
    <w:rsid w:val="00DB24CB"/>
    <w:rsid w:val="00DB50AF"/>
    <w:rsid w:val="00DB66F1"/>
    <w:rsid w:val="00DB75E7"/>
    <w:rsid w:val="00DC3C62"/>
    <w:rsid w:val="00DC5BF5"/>
    <w:rsid w:val="00DC6763"/>
    <w:rsid w:val="00DC76ED"/>
    <w:rsid w:val="00DD3221"/>
    <w:rsid w:val="00DD374B"/>
    <w:rsid w:val="00DE2504"/>
    <w:rsid w:val="00DE2DAF"/>
    <w:rsid w:val="00DE41CB"/>
    <w:rsid w:val="00DE5735"/>
    <w:rsid w:val="00DE7326"/>
    <w:rsid w:val="00DF3855"/>
    <w:rsid w:val="00DF4654"/>
    <w:rsid w:val="00DF51D7"/>
    <w:rsid w:val="00DF57CF"/>
    <w:rsid w:val="00DF5927"/>
    <w:rsid w:val="00DF627B"/>
    <w:rsid w:val="00DF74C4"/>
    <w:rsid w:val="00E000CE"/>
    <w:rsid w:val="00E06763"/>
    <w:rsid w:val="00E10F2D"/>
    <w:rsid w:val="00E12320"/>
    <w:rsid w:val="00E12C01"/>
    <w:rsid w:val="00E12EFD"/>
    <w:rsid w:val="00E15C10"/>
    <w:rsid w:val="00E15DC7"/>
    <w:rsid w:val="00E177AA"/>
    <w:rsid w:val="00E24596"/>
    <w:rsid w:val="00E25653"/>
    <w:rsid w:val="00E26393"/>
    <w:rsid w:val="00E330C7"/>
    <w:rsid w:val="00E344C7"/>
    <w:rsid w:val="00E345A7"/>
    <w:rsid w:val="00E46214"/>
    <w:rsid w:val="00E54798"/>
    <w:rsid w:val="00E60351"/>
    <w:rsid w:val="00E60F09"/>
    <w:rsid w:val="00E646C2"/>
    <w:rsid w:val="00E66611"/>
    <w:rsid w:val="00E733DC"/>
    <w:rsid w:val="00E75A7F"/>
    <w:rsid w:val="00E80039"/>
    <w:rsid w:val="00E8097D"/>
    <w:rsid w:val="00E81B76"/>
    <w:rsid w:val="00E84B9B"/>
    <w:rsid w:val="00E85AAB"/>
    <w:rsid w:val="00E9099E"/>
    <w:rsid w:val="00E924DD"/>
    <w:rsid w:val="00E9253F"/>
    <w:rsid w:val="00EB2792"/>
    <w:rsid w:val="00EB7256"/>
    <w:rsid w:val="00EC39A0"/>
    <w:rsid w:val="00EC44ED"/>
    <w:rsid w:val="00ED7356"/>
    <w:rsid w:val="00ED798C"/>
    <w:rsid w:val="00EE41FA"/>
    <w:rsid w:val="00EE4968"/>
    <w:rsid w:val="00EE51F4"/>
    <w:rsid w:val="00EF1F8D"/>
    <w:rsid w:val="00EF39E2"/>
    <w:rsid w:val="00EF5076"/>
    <w:rsid w:val="00EF64FE"/>
    <w:rsid w:val="00EF6662"/>
    <w:rsid w:val="00EF76CD"/>
    <w:rsid w:val="00F00AB6"/>
    <w:rsid w:val="00F00FB3"/>
    <w:rsid w:val="00F017D1"/>
    <w:rsid w:val="00F05B03"/>
    <w:rsid w:val="00F15DC5"/>
    <w:rsid w:val="00F1710D"/>
    <w:rsid w:val="00F22C23"/>
    <w:rsid w:val="00F23282"/>
    <w:rsid w:val="00F25A50"/>
    <w:rsid w:val="00F3539B"/>
    <w:rsid w:val="00F35C90"/>
    <w:rsid w:val="00F3662B"/>
    <w:rsid w:val="00F36C2F"/>
    <w:rsid w:val="00F410F1"/>
    <w:rsid w:val="00F418C0"/>
    <w:rsid w:val="00F50FB4"/>
    <w:rsid w:val="00F5154B"/>
    <w:rsid w:val="00F51AC6"/>
    <w:rsid w:val="00F56E01"/>
    <w:rsid w:val="00F6068F"/>
    <w:rsid w:val="00F60A1A"/>
    <w:rsid w:val="00F67003"/>
    <w:rsid w:val="00F749CB"/>
    <w:rsid w:val="00F81819"/>
    <w:rsid w:val="00F81D9A"/>
    <w:rsid w:val="00F855D8"/>
    <w:rsid w:val="00F875BF"/>
    <w:rsid w:val="00F9009D"/>
    <w:rsid w:val="00F916C9"/>
    <w:rsid w:val="00F9524B"/>
    <w:rsid w:val="00F977A8"/>
    <w:rsid w:val="00F97B95"/>
    <w:rsid w:val="00FA21B1"/>
    <w:rsid w:val="00FA2C88"/>
    <w:rsid w:val="00FA64B2"/>
    <w:rsid w:val="00FA6968"/>
    <w:rsid w:val="00FA7256"/>
    <w:rsid w:val="00FB012C"/>
    <w:rsid w:val="00FB114C"/>
    <w:rsid w:val="00FB1660"/>
    <w:rsid w:val="00FB1DAF"/>
    <w:rsid w:val="00FB2EF8"/>
    <w:rsid w:val="00FB34EB"/>
    <w:rsid w:val="00FB4FD9"/>
    <w:rsid w:val="00FB5296"/>
    <w:rsid w:val="00FB6655"/>
    <w:rsid w:val="00FB6A11"/>
    <w:rsid w:val="00FB6F84"/>
    <w:rsid w:val="00FB78AA"/>
    <w:rsid w:val="00FC13F8"/>
    <w:rsid w:val="00FC2D02"/>
    <w:rsid w:val="00FC43EC"/>
    <w:rsid w:val="00FC4EAD"/>
    <w:rsid w:val="00FC711E"/>
    <w:rsid w:val="00FD7DF5"/>
    <w:rsid w:val="00FE67F0"/>
    <w:rsid w:val="00FF1B70"/>
    <w:rsid w:val="00FF3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2CC5E"/>
  <w15:docId w15:val="{7D8D8C74-9472-4ED6-8521-69615F83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1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6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
    <w:name w:val="Char Char Char Char Char Char Char Char Char Char"/>
    <w:basedOn w:val="Normal"/>
    <w:rsid w:val="005020EC"/>
    <w:pPr>
      <w:spacing w:after="160" w:line="240" w:lineRule="exact"/>
    </w:pPr>
    <w:rPr>
      <w:sz w:val="22"/>
      <w:lang w:val="ru-RU" w:eastAsia="ru-RU"/>
    </w:rPr>
  </w:style>
  <w:style w:type="paragraph" w:styleId="Footer">
    <w:name w:val="footer"/>
    <w:basedOn w:val="Normal"/>
    <w:rsid w:val="0041430E"/>
    <w:pPr>
      <w:tabs>
        <w:tab w:val="center" w:pos="4320"/>
        <w:tab w:val="right" w:pos="8640"/>
      </w:tabs>
    </w:pPr>
  </w:style>
  <w:style w:type="character" w:styleId="PageNumber">
    <w:name w:val="page number"/>
    <w:basedOn w:val="DefaultParagraphFont"/>
    <w:rsid w:val="0041430E"/>
  </w:style>
  <w:style w:type="paragraph" w:styleId="BalloonText">
    <w:name w:val="Balloon Text"/>
    <w:basedOn w:val="Normal"/>
    <w:semiHidden/>
    <w:rsid w:val="00763D8A"/>
    <w:rPr>
      <w:rFonts w:ascii="Tahoma" w:hAnsi="Tahoma" w:cs="Tahoma"/>
      <w:sz w:val="16"/>
      <w:szCs w:val="16"/>
    </w:rPr>
  </w:style>
  <w:style w:type="paragraph" w:styleId="ListParagraph">
    <w:name w:val="List Paragraph"/>
    <w:basedOn w:val="Normal"/>
    <w:uiPriority w:val="34"/>
    <w:qFormat/>
    <w:rsid w:val="000A42DD"/>
    <w:pPr>
      <w:ind w:left="720"/>
    </w:pPr>
  </w:style>
  <w:style w:type="character" w:styleId="CommentReference">
    <w:name w:val="annotation reference"/>
    <w:rsid w:val="00C875CE"/>
    <w:rPr>
      <w:sz w:val="16"/>
      <w:szCs w:val="16"/>
    </w:rPr>
  </w:style>
  <w:style w:type="paragraph" w:styleId="CommentText">
    <w:name w:val="annotation text"/>
    <w:basedOn w:val="Normal"/>
    <w:link w:val="CommentTextChar"/>
    <w:rsid w:val="00C875CE"/>
  </w:style>
  <w:style w:type="character" w:customStyle="1" w:styleId="CommentTextChar">
    <w:name w:val="Comment Text Char"/>
    <w:basedOn w:val="DefaultParagraphFont"/>
    <w:link w:val="CommentText"/>
    <w:rsid w:val="00C875CE"/>
  </w:style>
  <w:style w:type="paragraph" w:styleId="CommentSubject">
    <w:name w:val="annotation subject"/>
    <w:basedOn w:val="CommentText"/>
    <w:next w:val="CommentText"/>
    <w:link w:val="CommentSubjectChar"/>
    <w:rsid w:val="00C875CE"/>
    <w:rPr>
      <w:b/>
      <w:bCs/>
    </w:rPr>
  </w:style>
  <w:style w:type="character" w:customStyle="1" w:styleId="CommentSubjectChar">
    <w:name w:val="Comment Subject Char"/>
    <w:link w:val="CommentSubject"/>
    <w:rsid w:val="00C875CE"/>
    <w:rPr>
      <w:b/>
      <w:bCs/>
    </w:rPr>
  </w:style>
  <w:style w:type="paragraph" w:styleId="BodyText">
    <w:name w:val="Body Text"/>
    <w:basedOn w:val="Normal"/>
    <w:link w:val="BodyTextChar"/>
    <w:rsid w:val="000701F4"/>
    <w:pPr>
      <w:jc w:val="both"/>
    </w:pPr>
    <w:rPr>
      <w:rFonts w:ascii="Times Armenian" w:hAnsi="Times Armenian"/>
      <w:sz w:val="24"/>
    </w:rPr>
  </w:style>
  <w:style w:type="character" w:customStyle="1" w:styleId="BodyTextChar">
    <w:name w:val="Body Text Char"/>
    <w:link w:val="BodyText"/>
    <w:rsid w:val="000701F4"/>
    <w:rPr>
      <w:rFonts w:ascii="Times Armenian" w:hAnsi="Times Armenian"/>
      <w:sz w:val="24"/>
    </w:rPr>
  </w:style>
  <w:style w:type="paragraph" w:styleId="BodyTextIndent">
    <w:name w:val="Body Text Indent"/>
    <w:basedOn w:val="Normal"/>
    <w:link w:val="BodyTextIndentChar"/>
    <w:rsid w:val="000701F4"/>
    <w:pPr>
      <w:spacing w:after="120"/>
      <w:ind w:left="283"/>
    </w:pPr>
    <w:rPr>
      <w:rFonts w:ascii="Times Armenian" w:hAnsi="Times Armenian"/>
      <w:sz w:val="24"/>
      <w:szCs w:val="24"/>
    </w:rPr>
  </w:style>
  <w:style w:type="character" w:customStyle="1" w:styleId="BodyTextIndentChar">
    <w:name w:val="Body Text Indent Char"/>
    <w:link w:val="BodyTextIndent"/>
    <w:rsid w:val="000701F4"/>
    <w:rPr>
      <w:rFonts w:ascii="Times Armenian" w:hAnsi="Times Armenian"/>
      <w:sz w:val="24"/>
      <w:szCs w:val="24"/>
    </w:rPr>
  </w:style>
  <w:style w:type="paragraph" w:styleId="Header">
    <w:name w:val="header"/>
    <w:basedOn w:val="Normal"/>
    <w:link w:val="HeaderChar"/>
    <w:rsid w:val="006B6E64"/>
    <w:pPr>
      <w:tabs>
        <w:tab w:val="center" w:pos="4680"/>
        <w:tab w:val="right" w:pos="9360"/>
      </w:tabs>
    </w:pPr>
  </w:style>
  <w:style w:type="character" w:customStyle="1" w:styleId="HeaderChar">
    <w:name w:val="Header Char"/>
    <w:basedOn w:val="DefaultParagraphFont"/>
    <w:link w:val="Header"/>
    <w:rsid w:val="006B6E64"/>
  </w:style>
  <w:style w:type="character" w:customStyle="1" w:styleId="normChar">
    <w:name w:val="norm Char"/>
    <w:link w:val="norm"/>
    <w:locked/>
    <w:rsid w:val="007B7B98"/>
    <w:rPr>
      <w:rFonts w:ascii="Arial Armenian" w:hAnsi="Arial Armenian"/>
      <w:sz w:val="22"/>
      <w:lang w:eastAsia="ru-RU"/>
    </w:rPr>
  </w:style>
  <w:style w:type="paragraph" w:customStyle="1" w:styleId="norm">
    <w:name w:val="norm"/>
    <w:basedOn w:val="Normal"/>
    <w:link w:val="normChar"/>
    <w:rsid w:val="007B7B98"/>
    <w:pPr>
      <w:spacing w:line="480" w:lineRule="auto"/>
      <w:ind w:firstLine="709"/>
      <w:jc w:val="both"/>
    </w:pPr>
    <w:rPr>
      <w:rFonts w:ascii="Arial Armenian" w:hAnsi="Arial Armeni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3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nfin.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98F09-77C3-4879-981C-A5E8D6877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7</Pages>
  <Words>2005</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Î²ð</vt:lpstr>
    </vt:vector>
  </TitlesOfParts>
  <Company>MoF</Company>
  <LinksUpToDate>false</LinksUpToDate>
  <CharactersWithSpaces>13408</CharactersWithSpaces>
  <SharedDoc>false</SharedDoc>
  <HLinks>
    <vt:vector size="6" baseType="variant">
      <vt:variant>
        <vt:i4>131152</vt:i4>
      </vt:variant>
      <vt:variant>
        <vt:i4>0</vt:i4>
      </vt:variant>
      <vt:variant>
        <vt:i4>0</vt:i4>
      </vt:variant>
      <vt:variant>
        <vt:i4>5</vt:i4>
      </vt:variant>
      <vt:variant>
        <vt:lpwstr>http://www.minfin.am/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Î²ð</dc:title>
  <dc:creator>Shushan</dc:creator>
  <cp:keywords>https://mul2-minfin.gov.am/tasks/536232/oneclick/Hraman_348-N_ENG.docx?token=afe87731762d248f22215d4ceace1cfe</cp:keywords>
  <cp:lastModifiedBy>Liana Daveyan</cp:lastModifiedBy>
  <cp:revision>17</cp:revision>
  <cp:lastPrinted>2015-09-25T15:08:00Z</cp:lastPrinted>
  <dcterms:created xsi:type="dcterms:W3CDTF">2022-01-24T12:21:00Z</dcterms:created>
  <dcterms:modified xsi:type="dcterms:W3CDTF">2022-10-12T10:19:00Z</dcterms:modified>
</cp:coreProperties>
</file>